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175895</wp:posOffset>
            </wp:positionV>
            <wp:extent cx="13119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20-F</w:t>
      </w:r>
    </w:p>
    <w:p>
      <w:pPr>
        <w:spacing w:after="0" w:line="37" w:lineRule="exact"/>
        <w:rPr>
          <w:sz w:val="24"/>
          <w:szCs w:val="24"/>
          <w:color w:val="auto"/>
        </w:rPr>
      </w:pPr>
    </w:p>
    <w:p>
      <w:pPr>
        <w:ind w:left="5580" w:right="1400" w:hanging="5572"/>
        <w:spacing w:after="0" w:line="282" w:lineRule="auto"/>
        <w:tabs>
          <w:tab w:leader="none" w:pos="451"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REGISTRATION STATEMENT PURSUANT TO SECTION 12(b) OR (g) OF THE SECURITIES EXCHANGE ACT OF 1934 OR</w:t>
      </w:r>
    </w:p>
    <w:p>
      <w:pPr>
        <w:spacing w:after="0" w:line="27" w:lineRule="exact"/>
        <w:rPr>
          <w:sz w:val="24"/>
          <w:szCs w:val="24"/>
          <w:color w:val="auto"/>
        </w:rPr>
      </w:pPr>
    </w:p>
    <w:p>
      <w:pPr>
        <w:ind w:left="4260" w:right="2400" w:hanging="4252"/>
        <w:spacing w:after="0" w:line="297" w:lineRule="auto"/>
        <w:tabs>
          <w:tab w:leader="none" w:pos="452"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September 30, 2012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 w:lineRule="exact"/>
        <w:rPr>
          <w:sz w:val="24"/>
          <w:szCs w:val="24"/>
          <w:color w:val="auto"/>
        </w:rPr>
      </w:pPr>
    </w:p>
    <w:p>
      <w:pPr>
        <w:ind w:left="5580" w:right="2040" w:hanging="5572"/>
        <w:spacing w:after="0" w:line="282" w:lineRule="auto"/>
        <w:tabs>
          <w:tab w:leader="none" w:pos="451"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OR</w:t>
      </w:r>
    </w:p>
    <w:p>
      <w:pPr>
        <w:spacing w:after="0" w:line="27" w:lineRule="exact"/>
        <w:rPr>
          <w:rFonts w:ascii="MS PGothic" w:cs="MS PGothic" w:eastAsia="MS PGothic" w:hAnsi="MS PGothic"/>
          <w:sz w:val="18"/>
          <w:szCs w:val="18"/>
          <w:color w:val="auto"/>
        </w:rPr>
      </w:pPr>
    </w:p>
    <w:p>
      <w:pPr>
        <w:ind w:left="460" w:right="1600" w:hanging="452"/>
        <w:spacing w:after="0" w:line="297" w:lineRule="auto"/>
        <w:tabs>
          <w:tab w:leader="none" w:pos="449" w:val="left"/>
        </w:tabs>
        <w:numPr>
          <w:ilvl w:val="0"/>
          <w:numId w:val="3"/>
        </w:numPr>
        <w:rPr>
          <w:rFonts w:ascii="MS PGothic" w:cs="MS PGothic" w:eastAsia="MS PGothic" w:hAnsi="MS PGothic"/>
          <w:sz w:val="18"/>
          <w:szCs w:val="18"/>
          <w:color w:val="auto"/>
        </w:rPr>
      </w:pPr>
      <w:r>
        <w:rPr>
          <w:rFonts w:ascii="Arial" w:cs="Arial" w:eastAsia="Arial" w:hAnsi="Arial"/>
          <w:sz w:val="18"/>
          <w:szCs w:val="18"/>
          <w:b w:val="1"/>
          <w:bCs w:val="1"/>
          <w:color w:val="auto"/>
        </w:rPr>
        <w:t>SHELL COMPANY REPORT PURSUANT TO SECTION 13 OR 15(d) OF THE SECURITIES EXCHANGE ACT OF 1934 Date of event requiring this shell company report</w:t>
      </w:r>
    </w:p>
    <w:tbl>
      <w:tblPr>
        <w:tblLayout w:type="fixed"/>
        <w:tblInd w:w="3740" w:type="dxa"/>
        <w:tblCellMar>
          <w:top w:w="0" w:type="dxa"/>
          <w:left w:w="0" w:type="dxa"/>
          <w:bottom w:w="0" w:type="dxa"/>
          <w:right w:w="0" w:type="dxa"/>
        </w:tblCellMar>
      </w:tblPr>
      <w:tr>
        <w:trPr>
          <w:trHeight w:val="191"/>
        </w:trPr>
        <w:tc>
          <w:tcPr>
            <w:tcW w:w="2260" w:type="dxa"/>
            <w:vAlign w:val="bottom"/>
          </w:tcPr>
          <w:p>
            <w:pPr>
              <w:spacing w:after="0" w:line="191" w:lineRule="exact"/>
              <w:rPr>
                <w:sz w:val="20"/>
                <w:szCs w:val="20"/>
                <w:color w:val="auto"/>
              </w:rPr>
            </w:pPr>
            <w:r>
              <w:rPr>
                <w:rFonts w:ascii="Arial" w:cs="Arial" w:eastAsia="Arial" w:hAnsi="Arial"/>
                <w:sz w:val="18"/>
                <w:szCs w:val="18"/>
                <w:b w:val="1"/>
                <w:bCs w:val="1"/>
                <w:color w:val="auto"/>
                <w:w w:val="88"/>
              </w:rPr>
              <w:t>For the transition period from</w:t>
            </w:r>
          </w:p>
        </w:tc>
        <w:tc>
          <w:tcPr>
            <w:tcW w:w="4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 w:type="dxa"/>
            <w:vAlign w:val="bottom"/>
          </w:tcPr>
          <w:p>
            <w:pPr>
              <w:ind w:left="60"/>
              <w:spacing w:after="0" w:line="191" w:lineRule="exact"/>
              <w:rPr>
                <w:sz w:val="20"/>
                <w:szCs w:val="20"/>
                <w:color w:val="auto"/>
              </w:rPr>
            </w:pPr>
            <w:r>
              <w:rPr>
                <w:rFonts w:ascii="Arial" w:cs="Arial" w:eastAsia="Arial" w:hAnsi="Arial"/>
                <w:sz w:val="18"/>
                <w:szCs w:val="18"/>
                <w:b w:val="1"/>
                <w:bCs w:val="1"/>
                <w:color w:val="auto"/>
              </w:rPr>
              <w:t>to</w:t>
            </w:r>
          </w:p>
        </w:tc>
        <w:tc>
          <w:tcPr>
            <w:tcW w:w="660" w:type="dxa"/>
            <w:vAlign w:val="bottom"/>
            <w:tcBorders>
              <w:bottom w:val="single" w:sz="8" w:color="auto"/>
            </w:tcBorders>
          </w:tcPr>
          <w:p>
            <w:pPr>
              <w:spacing w:after="0"/>
              <w:rPr>
                <w:sz w:val="16"/>
                <w:szCs w:val="16"/>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196"/>
        </w:trPr>
        <w:tc>
          <w:tcPr>
            <w:tcW w:w="3240" w:type="dxa"/>
            <w:vAlign w:val="bottom"/>
            <w:gridSpan w:val="4"/>
          </w:tcPr>
          <w:p>
            <w:pPr>
              <w:ind w:left="700"/>
              <w:spacing w:after="0" w:line="196" w:lineRule="exact"/>
              <w:rPr>
                <w:sz w:val="20"/>
                <w:szCs w:val="20"/>
                <w:color w:val="auto"/>
              </w:rPr>
            </w:pPr>
            <w:r>
              <w:rPr>
                <w:rFonts w:ascii="Arial" w:cs="Arial" w:eastAsia="Arial" w:hAnsi="Arial"/>
                <w:sz w:val="18"/>
                <w:szCs w:val="18"/>
                <w:b w:val="1"/>
                <w:bCs w:val="1"/>
                <w:color w:val="auto"/>
                <w:w w:val="86"/>
              </w:rPr>
              <w:t>Commission File Number 1-14840</w:t>
            </w: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0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u w:val="single" w:color="auto"/>
          <w:color w:val="auto"/>
        </w:rPr>
        <w:t>AMDOCS LIMITED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-311785</wp:posOffset>
            </wp:positionV>
            <wp:extent cx="1311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9" w:lineRule="exact"/>
        <w:rPr>
          <w:sz w:val="24"/>
          <w:szCs w:val="24"/>
          <w:color w:val="auto"/>
        </w:rPr>
      </w:pPr>
    </w:p>
    <w:p>
      <w:pPr>
        <w:ind w:left="420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5" w:lineRule="exact"/>
        <w:rPr>
          <w:sz w:val="24"/>
          <w:szCs w:val="24"/>
          <w:color w:val="auto"/>
        </w:rPr>
      </w:pPr>
    </w:p>
    <w:p>
      <w:pPr>
        <w:ind w:left="5160"/>
        <w:spacing w:after="0"/>
        <w:rPr>
          <w:sz w:val="20"/>
          <w:szCs w:val="20"/>
          <w:color w:val="auto"/>
        </w:rPr>
      </w:pPr>
      <w:r>
        <w:rPr>
          <w:rFonts w:ascii="Arial" w:cs="Arial" w:eastAsia="Arial" w:hAnsi="Arial"/>
          <w:sz w:val="14"/>
          <w:szCs w:val="14"/>
          <w:b w:val="1"/>
          <w:bCs w:val="1"/>
          <w:u w:val="single" w:color="auto"/>
          <w:color w:val="auto"/>
        </w:rPr>
        <w:t>Island of Guernsey</w:t>
      </w:r>
    </w:p>
    <w:p>
      <w:pPr>
        <w:spacing w:after="0" w:line="1" w:lineRule="exact"/>
        <w:rPr>
          <w:sz w:val="24"/>
          <w:szCs w:val="24"/>
          <w:color w:val="auto"/>
        </w:rPr>
      </w:pPr>
    </w:p>
    <w:p>
      <w:pPr>
        <w:ind w:left="4380"/>
        <w:spacing w:after="0"/>
        <w:rPr>
          <w:sz w:val="20"/>
          <w:szCs w:val="20"/>
          <w:color w:val="auto"/>
        </w:rPr>
      </w:pPr>
      <w:r>
        <w:rPr>
          <w:rFonts w:ascii="Arial" w:cs="Arial" w:eastAsia="Arial" w:hAnsi="Arial"/>
          <w:sz w:val="14"/>
          <w:szCs w:val="14"/>
          <w:b w:val="1"/>
          <w:bCs w:val="1"/>
          <w:color w:val="auto"/>
        </w:rPr>
        <w:t>(Jurisdiction of incorporation or organization)</w:t>
      </w:r>
    </w:p>
    <w:p>
      <w:pPr>
        <w:spacing w:after="0" w:line="15" w:lineRule="exact"/>
        <w:rPr>
          <w:sz w:val="24"/>
          <w:szCs w:val="24"/>
          <w:color w:val="auto"/>
        </w:rPr>
      </w:pPr>
    </w:p>
    <w:p>
      <w:pPr>
        <w:ind w:left="4620"/>
        <w:spacing w:after="0"/>
        <w:rPr>
          <w:sz w:val="20"/>
          <w:szCs w:val="20"/>
          <w:color w:val="auto"/>
        </w:rPr>
      </w:pPr>
      <w:r>
        <w:rPr>
          <w:rFonts w:ascii="Arial" w:cs="Arial" w:eastAsia="Arial" w:hAnsi="Arial"/>
          <w:sz w:val="14"/>
          <w:szCs w:val="14"/>
          <w:b w:val="1"/>
          <w:bCs w:val="1"/>
          <w:color w:val="auto"/>
        </w:rPr>
        <w:t>Suite 5, Tower Hill House Le Bordage</w:t>
      </w:r>
    </w:p>
    <w:p>
      <w:pPr>
        <w:jc w:val="center"/>
        <w:ind w:right="-19"/>
        <w:spacing w:after="0" w:line="223" w:lineRule="auto"/>
        <w:rPr>
          <w:sz w:val="20"/>
          <w:szCs w:val="20"/>
          <w:color w:val="auto"/>
        </w:rPr>
      </w:pPr>
      <w:r>
        <w:rPr>
          <w:rFonts w:ascii="Arial" w:cs="Arial" w:eastAsia="Arial" w:hAnsi="Arial"/>
          <w:sz w:val="14"/>
          <w:szCs w:val="14"/>
          <w:b w:val="1"/>
          <w:bCs w:val="1"/>
          <w:color w:val="auto"/>
        </w:rPr>
        <w:t>St. Peter Port, Island of Guernsey, GY1 3QT</w:t>
      </w:r>
    </w:p>
    <w:p>
      <w:pPr>
        <w:jc w:val="center"/>
        <w:ind w:right="-19"/>
        <w:spacing w:after="0" w:line="222" w:lineRule="auto"/>
        <w:rPr>
          <w:sz w:val="20"/>
          <w:szCs w:val="20"/>
          <w:color w:val="auto"/>
        </w:rPr>
      </w:pPr>
      <w:r>
        <w:rPr>
          <w:rFonts w:ascii="Arial" w:cs="Arial" w:eastAsia="Arial" w:hAnsi="Arial"/>
          <w:sz w:val="14"/>
          <w:szCs w:val="14"/>
          <w:b w:val="1"/>
          <w:bCs w:val="1"/>
          <w:color w:val="auto"/>
        </w:rPr>
        <w:t>Amdocs, Inc.</w:t>
      </w:r>
    </w:p>
    <w:p>
      <w:pPr>
        <w:jc w:val="center"/>
        <w:ind w:right="-19"/>
        <w:spacing w:after="0" w:line="221" w:lineRule="auto"/>
        <w:rPr>
          <w:sz w:val="20"/>
          <w:szCs w:val="20"/>
          <w:color w:val="auto"/>
        </w:rPr>
      </w:pPr>
      <w:r>
        <w:rPr>
          <w:rFonts w:ascii="Arial" w:cs="Arial" w:eastAsia="Arial" w:hAnsi="Arial"/>
          <w:sz w:val="14"/>
          <w:szCs w:val="14"/>
          <w:b w:val="1"/>
          <w:bCs w:val="1"/>
          <w:u w:val="single" w:color="auto"/>
          <w:color w:val="auto"/>
        </w:rPr>
        <w:t>1390 Timberlake Manor Parkway, Chesterfield, Missouri 63017</w:t>
      </w: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Elizabeth W. McDermon</w:t>
      </w:r>
    </w:p>
    <w:p>
      <w:pPr>
        <w:jc w:val="center"/>
        <w:ind w:right="-19"/>
        <w:spacing w:after="0" w:line="223" w:lineRule="auto"/>
        <w:rPr>
          <w:sz w:val="20"/>
          <w:szCs w:val="20"/>
          <w:color w:val="auto"/>
        </w:rPr>
      </w:pPr>
      <w:r>
        <w:rPr>
          <w:rFonts w:ascii="Arial" w:cs="Arial" w:eastAsia="Arial" w:hAnsi="Arial"/>
          <w:sz w:val="14"/>
          <w:szCs w:val="14"/>
          <w:b w:val="1"/>
          <w:bCs w:val="1"/>
          <w:color w:val="auto"/>
        </w:rPr>
        <w:t>Amdocs, Inc.</w:t>
      </w:r>
    </w:p>
    <w:p>
      <w:pPr>
        <w:jc w:val="center"/>
        <w:ind w:right="-19"/>
        <w:spacing w:after="0" w:line="222" w:lineRule="auto"/>
        <w:rPr>
          <w:sz w:val="20"/>
          <w:szCs w:val="20"/>
          <w:color w:val="auto"/>
        </w:rPr>
      </w:pPr>
      <w:r>
        <w:rPr>
          <w:rFonts w:ascii="Arial" w:cs="Arial" w:eastAsia="Arial" w:hAnsi="Arial"/>
          <w:sz w:val="14"/>
          <w:szCs w:val="14"/>
          <w:b w:val="1"/>
          <w:bCs w:val="1"/>
          <w:color w:val="auto"/>
        </w:rPr>
        <w:t>1390 Timberlake Manor Parkway, Chesterfield, Missouri 63017</w:t>
      </w:r>
    </w:p>
    <w:p>
      <w:pPr>
        <w:jc w:val="center"/>
        <w:ind w:right="-19"/>
        <w:spacing w:after="0" w:line="221" w:lineRule="auto"/>
        <w:rPr>
          <w:sz w:val="20"/>
          <w:szCs w:val="20"/>
          <w:color w:val="auto"/>
        </w:rPr>
      </w:pPr>
      <w:r>
        <w:rPr>
          <w:rFonts w:ascii="Arial" w:cs="Arial" w:eastAsia="Arial" w:hAnsi="Arial"/>
          <w:sz w:val="14"/>
          <w:szCs w:val="14"/>
          <w:b w:val="1"/>
          <w:bCs w:val="1"/>
          <w:color w:val="auto"/>
        </w:rPr>
        <w:t>Telephone: 314-212-8328</w:t>
      </w:r>
    </w:p>
    <w:p>
      <w:pPr>
        <w:jc w:val="center"/>
        <w:ind w:right="-19"/>
        <w:spacing w:after="0" w:line="222" w:lineRule="auto"/>
        <w:rPr>
          <w:sz w:val="20"/>
          <w:szCs w:val="20"/>
          <w:color w:val="auto"/>
        </w:rPr>
      </w:pPr>
      <w:r>
        <w:rPr>
          <w:rFonts w:ascii="Arial" w:cs="Arial" w:eastAsia="Arial" w:hAnsi="Arial"/>
          <w:sz w:val="14"/>
          <w:szCs w:val="14"/>
          <w:b w:val="1"/>
          <w:bCs w:val="1"/>
          <w:color w:val="auto"/>
        </w:rPr>
        <w:t>Email: dox_info@amdocs.com</w:t>
      </w:r>
    </w:p>
    <w:p>
      <w:pPr>
        <w:jc w:val="center"/>
        <w:ind w:right="-1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29" w:lineRule="exact"/>
        <w:rPr>
          <w:sz w:val="24"/>
          <w:szCs w:val="24"/>
          <w:color w:val="auto"/>
        </w:rPr>
      </w:pPr>
    </w:p>
    <w:tbl>
      <w:tblPr>
        <w:tblLayout w:type="fixed"/>
        <w:tblInd w:w="198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7"/>
              </w:rPr>
              <w:t>Name of Exchange on Which</w:t>
            </w:r>
          </w:p>
        </w:tc>
      </w:tr>
      <w:tr>
        <w:trPr>
          <w:trHeight w:val="161"/>
        </w:trPr>
        <w:tc>
          <w:tcPr>
            <w:tcW w:w="380" w:type="dxa"/>
            <w:vAlign w:val="bottom"/>
          </w:tcPr>
          <w:p>
            <w:pPr>
              <w:spacing w:after="0"/>
              <w:rPr>
                <w:sz w:val="14"/>
                <w:szCs w:val="14"/>
                <w:color w:val="auto"/>
              </w:rPr>
            </w:pPr>
          </w:p>
        </w:tc>
        <w:tc>
          <w:tcPr>
            <w:tcW w:w="5240" w:type="dxa"/>
            <w:vAlign w:val="bottom"/>
            <w:gridSpan w:val="2"/>
          </w:tcPr>
          <w:p>
            <w:pPr>
              <w:jc w:val="right"/>
              <w:ind w:right="4092"/>
              <w:spacing w:after="0"/>
              <w:rPr>
                <w:sz w:val="20"/>
                <w:szCs w:val="20"/>
                <w:color w:val="auto"/>
              </w:rPr>
            </w:pPr>
            <w:r>
              <w:rPr>
                <w:rFonts w:ascii="Arial" w:cs="Arial" w:eastAsia="Arial" w:hAnsi="Arial"/>
                <w:sz w:val="14"/>
                <w:szCs w:val="14"/>
                <w:b w:val="1"/>
                <w:bCs w:val="1"/>
                <w:color w:val="auto"/>
                <w:w w:val="85"/>
              </w:rPr>
              <w:t>Title of Each Class</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2"/>
              </w:rPr>
              <w:t>Registered</w:t>
            </w:r>
          </w:p>
        </w:tc>
      </w:tr>
      <w:tr>
        <w:trPr>
          <w:trHeight w:val="166"/>
        </w:trPr>
        <w:tc>
          <w:tcPr>
            <w:tcW w:w="380" w:type="dxa"/>
            <w:vAlign w:val="bottom"/>
          </w:tcPr>
          <w:p>
            <w:pPr>
              <w:spacing w:after="0"/>
              <w:rPr>
                <w:sz w:val="20"/>
                <w:szCs w:val="20"/>
                <w:color w:val="auto"/>
              </w:rPr>
            </w:pPr>
            <w:r>
              <w:rPr>
                <w:rFonts w:ascii="Arial" w:cs="Arial" w:eastAsia="Arial" w:hAnsi="Arial"/>
                <w:sz w:val="12"/>
                <w:szCs w:val="12"/>
                <w:color w:val="auto"/>
                <w:w w:val="78"/>
              </w:rPr>
              <w:t>Ordinary</w:t>
            </w:r>
          </w:p>
        </w:tc>
        <w:tc>
          <w:tcPr>
            <w:tcW w:w="1020" w:type="dxa"/>
            <w:vAlign w:val="bottom"/>
            <w:tcBorders>
              <w:top w:val="single" w:sz="8" w:color="auto"/>
            </w:tcBorders>
          </w:tcPr>
          <w:p>
            <w:pPr>
              <w:ind w:left="140"/>
              <w:spacing w:after="0"/>
              <w:rPr>
                <w:sz w:val="20"/>
                <w:szCs w:val="20"/>
                <w:color w:val="auto"/>
              </w:rPr>
            </w:pPr>
            <w:r>
              <w:rPr>
                <w:rFonts w:ascii="Arial" w:cs="Arial" w:eastAsia="Arial" w:hAnsi="Arial"/>
                <w:sz w:val="14"/>
                <w:szCs w:val="14"/>
                <w:color w:val="auto"/>
                <w:w w:val="78"/>
              </w:rPr>
              <w:t>Shares, par value</w:t>
            </w:r>
          </w:p>
        </w:tc>
        <w:tc>
          <w:tcPr>
            <w:tcW w:w="4220" w:type="dxa"/>
            <w:vAlign w:val="bottom"/>
          </w:tcPr>
          <w:p>
            <w:pPr>
              <w:jc w:val="right"/>
              <w:ind w:right="3772"/>
              <w:spacing w:after="0" w:line="155" w:lineRule="exact"/>
              <w:rPr>
                <w:sz w:val="20"/>
                <w:szCs w:val="20"/>
                <w:color w:val="auto"/>
              </w:rPr>
            </w:pPr>
            <w:r>
              <w:rPr>
                <w:rFonts w:ascii="Arial" w:cs="Arial" w:eastAsia="Arial" w:hAnsi="Arial"/>
                <w:sz w:val="14"/>
                <w:szCs w:val="14"/>
                <w:color w:val="auto"/>
              </w:rPr>
              <w:t>£0.01</w:t>
            </w:r>
          </w:p>
        </w:tc>
        <w:tc>
          <w:tcPr>
            <w:tcW w:w="21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8"/>
              </w:rPr>
              <w:t>New York Stock Exchange</w:t>
            </w:r>
          </w:p>
        </w:tc>
      </w:tr>
    </w:tbl>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registered or to be registered pursuant to Section 12(g) of the Act:</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None</w:t>
      </w:r>
    </w:p>
    <w:p>
      <w:pPr>
        <w:spacing w:after="0" w:line="2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Securities for which there is a reporting obligation pursuant to Section 15(d) of the Act:</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2972435</wp:posOffset>
            </wp:positionH>
            <wp:positionV relativeFrom="paragraph">
              <wp:posOffset>120650</wp:posOffset>
            </wp:positionV>
            <wp:extent cx="1311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13" w:lineRule="exact"/>
        <w:rPr>
          <w:sz w:val="24"/>
          <w:szCs w:val="24"/>
          <w:color w:val="auto"/>
        </w:rPr>
      </w:pPr>
    </w:p>
    <w:p>
      <w:pPr>
        <w:ind w:left="360"/>
        <w:spacing w:after="0"/>
        <w:rPr>
          <w:sz w:val="20"/>
          <w:szCs w:val="20"/>
          <w:color w:val="auto"/>
        </w:rPr>
      </w:pPr>
      <w:r>
        <w:rPr>
          <w:rFonts w:ascii="Arial" w:cs="Arial" w:eastAsia="Arial" w:hAnsi="Arial"/>
          <w:sz w:val="12"/>
          <w:szCs w:val="12"/>
          <w:color w:val="auto"/>
        </w:rPr>
        <w:t>Indicate the number of outstanding shares of each of the issuer’s classes of capital or common stock as of the close of the period covered by the annual report.</w:t>
      </w:r>
    </w:p>
    <w:p>
      <w:pPr>
        <w:sectPr>
          <w:pgSz w:w="11900" w:h="16838" w:orient="portrait"/>
          <w:cols w:equalWidth="0" w:num="1">
            <w:col w:w="11420"/>
          </w:cols>
          <w:pgMar w:left="240" w:top="230" w:right="239" w:bottom="1440" w:gutter="0" w:footer="0" w:header="0"/>
        </w:sectPr>
      </w:pPr>
    </w:p>
    <w:p>
      <w:pPr>
        <w:spacing w:after="0" w:line="65" w:lineRule="exact"/>
        <w:rPr>
          <w:sz w:val="24"/>
          <w:szCs w:val="24"/>
          <w:color w:val="auto"/>
        </w:rPr>
      </w:pPr>
    </w:p>
    <w:p>
      <w:pPr>
        <w:jc w:val="center"/>
        <w:ind w:right="1700"/>
        <w:spacing w:after="0"/>
        <w:rPr>
          <w:sz w:val="20"/>
          <w:szCs w:val="20"/>
          <w:color w:val="auto"/>
        </w:rPr>
      </w:pPr>
      <w:r>
        <w:rPr>
          <w:rFonts w:ascii="Arial" w:cs="Arial" w:eastAsia="Arial" w:hAnsi="Arial"/>
          <w:sz w:val="12"/>
          <w:szCs w:val="12"/>
          <w:color w:val="auto"/>
        </w:rPr>
        <w:t>Ordinary Shares, par value £0.01</w:t>
      </w:r>
    </w:p>
    <w:p>
      <w:pPr>
        <w:spacing w:after="0" w:line="22" w:lineRule="exact"/>
        <w:rPr>
          <w:sz w:val="24"/>
          <w:szCs w:val="24"/>
          <w:color w:val="auto"/>
        </w:rPr>
      </w:pPr>
    </w:p>
    <w:p>
      <w:pPr>
        <w:jc w:val="center"/>
        <w:ind w:right="1700"/>
        <w:spacing w:after="0"/>
        <w:rPr>
          <w:sz w:val="20"/>
          <w:szCs w:val="20"/>
          <w:color w:val="auto"/>
        </w:rPr>
      </w:pPr>
      <w:r>
        <w:rPr>
          <w:rFonts w:ascii="Arial" w:cs="Arial" w:eastAsia="Arial" w:hAnsi="Arial"/>
          <w:sz w:val="14"/>
          <w:szCs w:val="14"/>
          <w:color w:val="auto"/>
        </w:rPr>
        <w:t>(Title of class)</w:t>
      </w:r>
    </w:p>
    <w:p>
      <w:pPr>
        <w:spacing w:after="0" w:line="20" w:lineRule="exact"/>
        <w:rPr>
          <w:sz w:val="24"/>
          <w:szCs w:val="24"/>
          <w:color w:val="auto"/>
        </w:rPr>
      </w:pPr>
      <w:r>
        <w:rPr>
          <w:sz w:val="24"/>
          <w:szCs w:val="24"/>
          <w:color w:val="auto"/>
        </w:rPr>
        <w:br w:type="column"/>
      </w:r>
    </w:p>
    <w:p>
      <w:pPr>
        <w:spacing w:after="0" w:line="44" w:lineRule="exact"/>
        <w:rPr>
          <w:sz w:val="24"/>
          <w:szCs w:val="24"/>
          <w:color w:val="auto"/>
        </w:rPr>
      </w:pPr>
    </w:p>
    <w:p>
      <w:pPr>
        <w:jc w:val="center"/>
        <w:ind w:right="2220"/>
        <w:spacing w:after="0"/>
        <w:rPr>
          <w:sz w:val="20"/>
          <w:szCs w:val="20"/>
          <w:color w:val="auto"/>
        </w:rPr>
      </w:pPr>
      <w:r>
        <w:rPr>
          <w:rFonts w:ascii="Arial" w:cs="Arial" w:eastAsia="Arial" w:hAnsi="Arial"/>
          <w:sz w:val="14"/>
          <w:szCs w:val="14"/>
          <w:color w:val="auto"/>
        </w:rPr>
        <w:t>162,454,100(1)</w:t>
      </w:r>
    </w:p>
    <w:p>
      <w:pPr>
        <w:jc w:val="center"/>
        <w:ind w:right="2220"/>
        <w:spacing w:after="0"/>
        <w:rPr>
          <w:sz w:val="20"/>
          <w:szCs w:val="20"/>
          <w:color w:val="auto"/>
        </w:rPr>
      </w:pPr>
      <w:r>
        <w:rPr>
          <w:rFonts w:ascii="Arial" w:cs="Arial" w:eastAsia="Arial" w:hAnsi="Arial"/>
          <w:sz w:val="12"/>
          <w:szCs w:val="12"/>
          <w:color w:val="auto"/>
        </w:rPr>
        <w:t>(Number of shares)</w:t>
      </w:r>
    </w:p>
    <w:p>
      <w:pPr>
        <w:spacing w:after="0" w:line="23" w:lineRule="exact"/>
        <w:rPr>
          <w:sz w:val="24"/>
          <w:szCs w:val="24"/>
          <w:color w:val="auto"/>
        </w:rPr>
      </w:pPr>
    </w:p>
    <w:p>
      <w:pPr>
        <w:sectPr>
          <w:pgSz w:w="11900" w:h="16838" w:orient="portrait"/>
          <w:cols w:equalWidth="0" w:num="2">
            <w:col w:w="7440" w:space="720"/>
            <w:col w:w="3260"/>
          </w:cols>
          <w:pgMar w:left="240" w:top="230" w:right="239" w:bottom="1440" w:gutter="0" w:footer="0" w:header="0"/>
          <w:type w:val="continuous"/>
        </w:sectPr>
      </w:pPr>
    </w:p>
    <w:p>
      <w:pPr>
        <w:spacing w:after="0" w:line="16" w:lineRule="exact"/>
        <w:rPr>
          <w:sz w:val="24"/>
          <w:szCs w:val="24"/>
          <w:color w:val="auto"/>
        </w:rPr>
      </w:pPr>
    </w:p>
    <w:p>
      <w:pPr>
        <w:ind w:left="360"/>
        <w:spacing w:after="0"/>
        <w:rPr>
          <w:sz w:val="20"/>
          <w:szCs w:val="20"/>
          <w:color w:val="auto"/>
        </w:rPr>
      </w:pPr>
      <w:r>
        <w:rPr>
          <w:rFonts w:ascii="Arial" w:cs="Arial" w:eastAsia="Arial" w:hAnsi="Arial"/>
          <w:sz w:val="12"/>
          <w:szCs w:val="12"/>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1"/>
          <w:szCs w:val="11"/>
          <w:color w:val="auto"/>
        </w:rPr>
        <w:t>Yes</w:t>
      </w:r>
    </w:p>
    <w:p>
      <w:pPr>
        <w:spacing w:after="0" w:line="20" w:lineRule="exact"/>
        <w:rPr>
          <w:sz w:val="24"/>
          <w:szCs w:val="24"/>
          <w:color w:val="auto"/>
        </w:rPr>
      </w:pPr>
      <w:r>
        <w:rPr>
          <w:sz w:val="24"/>
          <w:szCs w:val="24"/>
          <w:color w:val="auto"/>
        </w:rPr>
        <w:br w:type="column"/>
      </w:r>
    </w:p>
    <w:p>
      <w:pPr>
        <w:spacing w:after="0" w:line="100"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No</w:t>
      </w:r>
    </w:p>
    <w:p>
      <w:pPr>
        <w:spacing w:after="0" w:line="20" w:lineRule="exact"/>
        <w:rPr>
          <w:sz w:val="24"/>
          <w:szCs w:val="24"/>
          <w:color w:val="auto"/>
        </w:rPr>
      </w:pPr>
      <w:r>
        <w:rPr>
          <w:sz w:val="24"/>
          <w:szCs w:val="24"/>
          <w:color w:val="auto"/>
        </w:rPr>
        <w:br w:type="column"/>
      </w:r>
    </w:p>
    <w:p>
      <w:pPr>
        <w:spacing w:after="0" w:line="100" w:lineRule="exact"/>
        <w:rPr>
          <w:sz w:val="20"/>
          <w:szCs w:val="20"/>
          <w:color w:val="auto"/>
        </w:rPr>
      </w:pPr>
      <w:r>
        <w:rPr>
          <w:rFonts w:ascii="MS PGothic" w:cs="MS PGothic" w:eastAsia="MS PGothic" w:hAnsi="MS PGothic"/>
          <w:sz w:val="12"/>
          <w:szCs w:val="12"/>
          <w:color w:val="auto"/>
        </w:rPr>
        <w:t>☐</w:t>
      </w:r>
    </w:p>
    <w:p>
      <w:pPr>
        <w:spacing w:after="0" w:line="85" w:lineRule="exact"/>
        <w:rPr>
          <w:sz w:val="24"/>
          <w:szCs w:val="24"/>
          <w:color w:val="auto"/>
        </w:rPr>
      </w:pPr>
    </w:p>
    <w:p>
      <w:pPr>
        <w:sectPr>
          <w:pgSz w:w="11900" w:h="16838" w:orient="portrait"/>
          <w:cols w:equalWidth="0" w:num="5">
            <w:col w:w="6700" w:space="120"/>
            <w:col w:w="200" w:space="60"/>
            <w:col w:w="120" w:space="140"/>
            <w:col w:w="160" w:space="80"/>
            <w:col w:w="3840"/>
          </w:cols>
          <w:pgMar w:left="240" w:top="230" w:right="239" w:bottom="1440" w:gutter="0" w:footer="0" w:header="0"/>
          <w:type w:val="continuous"/>
        </w:sectPr>
      </w:pPr>
    </w:p>
    <w:p>
      <w:pPr>
        <w:ind w:right="1340" w:firstLine="342"/>
        <w:spacing w:after="0" w:line="168"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 w:lineRule="exact"/>
        <w:rPr>
          <w:sz w:val="24"/>
          <w:szCs w:val="24"/>
          <w:color w:val="auto"/>
        </w:rPr>
      </w:pPr>
    </w:p>
    <w:p>
      <w:pPr>
        <w:ind w:right="40" w:firstLine="342"/>
        <w:spacing w:after="0" w:line="168"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 w:lineRule="exact"/>
        <w:rPr>
          <w:sz w:val="24"/>
          <w:szCs w:val="24"/>
          <w:color w:val="auto"/>
        </w:rPr>
      </w:pPr>
    </w:p>
    <w:p>
      <w:pPr>
        <w:ind w:right="40" w:firstLine="342"/>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3" w:lineRule="exact"/>
        <w:rPr>
          <w:sz w:val="24"/>
          <w:szCs w:val="24"/>
          <w:color w:val="auto"/>
        </w:rPr>
      </w:pPr>
    </w:p>
    <w:p>
      <w:pPr>
        <w:ind w:left="36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or a non-accelerated filer. See definition of “accelerated filer and large accelerated filer” in Rule 12b-2 of the</w:t>
      </w:r>
    </w:p>
    <w:p>
      <w:pPr>
        <w:spacing w:after="0" w:line="22" w:lineRule="exact"/>
        <w:rPr>
          <w:sz w:val="24"/>
          <w:szCs w:val="24"/>
          <w:color w:val="auto"/>
        </w:rPr>
      </w:pPr>
    </w:p>
    <w:p>
      <w:pPr>
        <w:spacing w:after="0"/>
        <w:rPr>
          <w:sz w:val="20"/>
          <w:szCs w:val="20"/>
          <w:color w:val="auto"/>
        </w:rPr>
      </w:pPr>
      <w:r>
        <w:rPr>
          <w:rFonts w:ascii="Arial" w:cs="Arial" w:eastAsia="Arial" w:hAnsi="Arial"/>
          <w:sz w:val="14"/>
          <w:szCs w:val="14"/>
          <w:color w:val="auto"/>
        </w:rPr>
        <w:t>Exchange Act. (Check one):</w:t>
      </w:r>
    </w:p>
    <w:p>
      <w:pPr>
        <w:spacing w:after="0" w:line="5" w:lineRule="exact"/>
        <w:rPr>
          <w:sz w:val="24"/>
          <w:szCs w:val="24"/>
          <w:color w:val="auto"/>
        </w:rPr>
      </w:pPr>
    </w:p>
    <w:p>
      <w:pPr>
        <w:spacing w:after="0" w:line="161" w:lineRule="exact"/>
        <w:tabs>
          <w:tab w:leader="none" w:pos="6560" w:val="left"/>
          <w:tab w:leader="none" w:pos="1006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2"/>
          <w:szCs w:val="12"/>
          <w:color w:val="auto"/>
        </w:rPr>
        <w:t xml:space="preserve">Non-accelerated filer </w:t>
      </w:r>
      <w:r>
        <w:rPr>
          <w:rFonts w:ascii="MS PGothic" w:cs="MS PGothic" w:eastAsia="MS PGothic" w:hAnsi="MS PGothic"/>
          <w:sz w:val="12"/>
          <w:szCs w:val="12"/>
          <w:color w:val="auto"/>
        </w:rPr>
        <w:t>☐</w:t>
      </w:r>
    </w:p>
    <w:p>
      <w:pPr>
        <w:spacing w:after="0" w:line="53" w:lineRule="exact"/>
        <w:rPr>
          <w:sz w:val="24"/>
          <w:szCs w:val="24"/>
          <w:color w:val="auto"/>
        </w:rPr>
      </w:pPr>
    </w:p>
    <w:p>
      <w:pPr>
        <w:ind w:left="360"/>
        <w:spacing w:after="0"/>
        <w:rPr>
          <w:sz w:val="20"/>
          <w:szCs w:val="20"/>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p>
      <w:pPr>
        <w:spacing w:after="0" w:line="29" w:lineRule="exact"/>
        <w:rPr>
          <w:sz w:val="24"/>
          <w:szCs w:val="24"/>
          <w:color w:val="auto"/>
        </w:rPr>
      </w:pPr>
    </w:p>
    <w:tbl>
      <w:tblPr>
        <w:tblLayout w:type="fixed"/>
        <w:tblInd w:w="360" w:type="dxa"/>
        <w:tblCellMar>
          <w:top w:w="0" w:type="dxa"/>
          <w:left w:w="0" w:type="dxa"/>
          <w:bottom w:w="0" w:type="dxa"/>
          <w:right w:w="0" w:type="dxa"/>
        </w:tblCellMar>
      </w:tblPr>
      <w:tr>
        <w:trPr>
          <w:trHeight w:val="161"/>
        </w:trPr>
        <w:tc>
          <w:tcPr>
            <w:tcW w:w="560" w:type="dxa"/>
            <w:vAlign w:val="bottom"/>
          </w:tcPr>
          <w:p>
            <w:pPr>
              <w:spacing w:after="0"/>
              <w:rPr>
                <w:sz w:val="14"/>
                <w:szCs w:val="14"/>
                <w:color w:val="auto"/>
              </w:rPr>
            </w:pPr>
          </w:p>
        </w:tc>
        <w:tc>
          <w:tcPr>
            <w:tcW w:w="2260" w:type="dxa"/>
            <w:vAlign w:val="bottom"/>
            <w:shd w:val="clear" w:color="auto" w:fill="CCEEFF"/>
          </w:tcPr>
          <w:p>
            <w:pPr>
              <w:ind w:left="180"/>
              <w:spacing w:after="0" w:line="161" w:lineRule="exact"/>
              <w:rPr>
                <w:sz w:val="20"/>
                <w:szCs w:val="20"/>
                <w:color w:val="auto"/>
              </w:rPr>
            </w:pPr>
            <w:r>
              <w:rPr>
                <w:rFonts w:ascii="Arial" w:cs="Arial" w:eastAsia="Arial" w:hAnsi="Arial"/>
                <w:sz w:val="14"/>
                <w:szCs w:val="14"/>
                <w:color w:val="auto"/>
              </w:rPr>
              <w:t xml:space="preserve">U.S. GAAP </w:t>
            </w:r>
            <w:r>
              <w:rPr>
                <w:rFonts w:ascii="MS PGothic" w:cs="MS PGothic" w:eastAsia="MS PGothic" w:hAnsi="MS PGothic"/>
                <w:sz w:val="14"/>
                <w:szCs w:val="14"/>
                <w:color w:val="auto"/>
              </w:rPr>
              <w:t>☒</w:t>
            </w:r>
          </w:p>
        </w:tc>
        <w:tc>
          <w:tcPr>
            <w:tcW w:w="5300" w:type="dxa"/>
            <w:vAlign w:val="bottom"/>
            <w:shd w:val="clear" w:color="auto" w:fill="CCEEFF"/>
          </w:tcPr>
          <w:p>
            <w:pPr>
              <w:jc w:val="center"/>
              <w:ind w:left="212"/>
              <w:spacing w:after="0" w:line="161" w:lineRule="exact"/>
              <w:rPr>
                <w:sz w:val="20"/>
                <w:szCs w:val="20"/>
                <w:color w:val="auto"/>
              </w:rPr>
            </w:pPr>
            <w:r>
              <w:rPr>
                <w:rFonts w:ascii="Arial" w:cs="Arial" w:eastAsia="Arial" w:hAnsi="Arial"/>
                <w:sz w:val="14"/>
                <w:szCs w:val="14"/>
                <w:color w:val="auto"/>
                <w:w w:val="87"/>
              </w:rPr>
              <w:t xml:space="preserve">International Financial Reporting Standards as issued </w:t>
            </w:r>
            <w:r>
              <w:rPr>
                <w:rFonts w:ascii="MS PGothic" w:cs="MS PGothic" w:eastAsia="MS PGothic" w:hAnsi="MS PGothic"/>
                <w:sz w:val="14"/>
                <w:szCs w:val="14"/>
                <w:color w:val="auto"/>
                <w:w w:val="87"/>
              </w:rPr>
              <w:t>☐</w:t>
            </w:r>
          </w:p>
        </w:tc>
        <w:tc>
          <w:tcPr>
            <w:tcW w:w="2020" w:type="dxa"/>
            <w:vAlign w:val="bottom"/>
            <w:shd w:val="clear" w:color="auto" w:fill="CCEEFF"/>
          </w:tcPr>
          <w:p>
            <w:pPr>
              <w:ind w:left="1440"/>
              <w:spacing w:after="0" w:line="161" w:lineRule="exact"/>
              <w:rPr>
                <w:sz w:val="20"/>
                <w:szCs w:val="20"/>
                <w:color w:val="auto"/>
              </w:rPr>
            </w:pPr>
            <w:r>
              <w:rPr>
                <w:rFonts w:ascii="Arial" w:cs="Arial" w:eastAsia="Arial" w:hAnsi="Arial"/>
                <w:sz w:val="14"/>
                <w:szCs w:val="14"/>
                <w:color w:val="auto"/>
              </w:rPr>
              <w:t xml:space="preserve">Other </w:t>
            </w:r>
            <w:r>
              <w:rPr>
                <w:rFonts w:ascii="MS PGothic" w:cs="MS PGothic" w:eastAsia="MS PGothic" w:hAnsi="MS PGothic"/>
                <w:sz w:val="14"/>
                <w:szCs w:val="14"/>
                <w:color w:val="auto"/>
              </w:rPr>
              <w:t>☐</w:t>
            </w:r>
          </w:p>
        </w:tc>
      </w:tr>
      <w:tr>
        <w:trPr>
          <w:trHeight w:val="173"/>
        </w:trPr>
        <w:tc>
          <w:tcPr>
            <w:tcW w:w="560" w:type="dxa"/>
            <w:vAlign w:val="bottom"/>
          </w:tcPr>
          <w:p>
            <w:pPr>
              <w:spacing w:after="0"/>
              <w:rPr>
                <w:sz w:val="15"/>
                <w:szCs w:val="15"/>
                <w:color w:val="auto"/>
              </w:rPr>
            </w:pPr>
          </w:p>
        </w:tc>
        <w:tc>
          <w:tcPr>
            <w:tcW w:w="2260" w:type="dxa"/>
            <w:vAlign w:val="bottom"/>
            <w:shd w:val="clear" w:color="auto" w:fill="CCEEFF"/>
          </w:tcPr>
          <w:p>
            <w:pPr>
              <w:spacing w:after="0"/>
              <w:rPr>
                <w:sz w:val="15"/>
                <w:szCs w:val="15"/>
                <w:color w:val="auto"/>
              </w:rPr>
            </w:pPr>
          </w:p>
        </w:tc>
        <w:tc>
          <w:tcPr>
            <w:tcW w:w="5300" w:type="dxa"/>
            <w:vAlign w:val="bottom"/>
            <w:shd w:val="clear" w:color="auto" w:fill="CCEEFF"/>
          </w:tcPr>
          <w:p>
            <w:pPr>
              <w:jc w:val="center"/>
              <w:ind w:left="212"/>
              <w:spacing w:after="0"/>
              <w:rPr>
                <w:sz w:val="20"/>
                <w:szCs w:val="20"/>
                <w:color w:val="auto"/>
              </w:rPr>
            </w:pPr>
            <w:r>
              <w:rPr>
                <w:rFonts w:ascii="Arial" w:cs="Arial" w:eastAsia="Arial" w:hAnsi="Arial"/>
                <w:sz w:val="14"/>
                <w:szCs w:val="14"/>
                <w:color w:val="auto"/>
                <w:w w:val="88"/>
              </w:rPr>
              <w:t>by the International Accounting Standards Board</w:t>
            </w:r>
          </w:p>
        </w:tc>
        <w:tc>
          <w:tcPr>
            <w:tcW w:w="2020" w:type="dxa"/>
            <w:vAlign w:val="bottom"/>
            <w:shd w:val="clear" w:color="auto" w:fill="CCEEFF"/>
          </w:tcPr>
          <w:p>
            <w:pPr>
              <w:spacing w:after="0"/>
              <w:rPr>
                <w:sz w:val="15"/>
                <w:szCs w:val="15"/>
                <w:color w:val="auto"/>
              </w:rPr>
            </w:pPr>
          </w:p>
        </w:tc>
      </w:tr>
      <w:tr>
        <w:trPr>
          <w:trHeight w:val="216"/>
        </w:trPr>
        <w:tc>
          <w:tcPr>
            <w:tcW w:w="8120" w:type="dxa"/>
            <w:vAlign w:val="bottom"/>
            <w:gridSpan w:val="3"/>
          </w:tcPr>
          <w:p>
            <w:pPr>
              <w:spacing w:after="0" w:line="161" w:lineRule="exact"/>
              <w:rPr>
                <w:sz w:val="20"/>
                <w:szCs w:val="20"/>
                <w:color w:val="auto"/>
              </w:rPr>
            </w:pPr>
            <w:r>
              <w:rPr>
                <w:rFonts w:ascii="Arial" w:cs="Arial" w:eastAsia="Arial" w:hAnsi="Arial"/>
                <w:sz w:val="14"/>
                <w:szCs w:val="14"/>
                <w:color w:val="auto"/>
                <w:w w:val="89"/>
              </w:rPr>
              <w:t xml:space="preserve">If this is an annual report, indicate by check mark whether the registrant is a shell company (as defined in Rule 12b-2 of the Exchange Act).  Yes </w:t>
            </w:r>
            <w:r>
              <w:rPr>
                <w:rFonts w:ascii="MS PGothic" w:cs="MS PGothic" w:eastAsia="MS PGothic" w:hAnsi="MS PGothic"/>
                <w:sz w:val="14"/>
                <w:szCs w:val="14"/>
                <w:color w:val="auto"/>
                <w:w w:val="89"/>
              </w:rPr>
              <w:t>☐</w:t>
            </w:r>
          </w:p>
        </w:tc>
        <w:tc>
          <w:tcPr>
            <w:tcW w:w="202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pacing w:after="0" w:line="16" w:lineRule="exact"/>
        <w:rPr>
          <w:sz w:val="24"/>
          <w:szCs w:val="24"/>
          <w:color w:val="auto"/>
        </w:rPr>
      </w:pPr>
    </w:p>
    <w:p>
      <w:pPr>
        <w:ind w:left="340" w:right="260" w:hanging="332"/>
        <w:spacing w:after="0" w:line="239" w:lineRule="auto"/>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Net of 89,235,927 shares held in treasury. Does not include (a) 17,654,396 ordinary shares reserved for issuance upon exercise of stock options granted under our stock option plan or by companies we have acquired, and (b) 23,655 ordinary shares reserved for issuance upon conversion of outstanding convertible debt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160" w:type="dxa"/>
            <w:vAlign w:val="bottom"/>
            <w:gridSpan w:val="13"/>
          </w:tcPr>
          <w:p>
            <w:pPr>
              <w:jc w:val="center"/>
              <w:ind w:right="3200"/>
              <w:spacing w:after="0"/>
              <w:rPr>
                <w:sz w:val="20"/>
                <w:szCs w:val="20"/>
                <w:color w:val="auto"/>
              </w:rPr>
            </w:pPr>
            <w:r>
              <w:rPr>
                <w:rFonts w:ascii="Arial" w:cs="Arial" w:eastAsia="Arial" w:hAnsi="Arial"/>
                <w:sz w:val="18"/>
                <w:szCs w:val="18"/>
                <w:b w:val="1"/>
                <w:bCs w:val="1"/>
                <w:color w:val="auto"/>
              </w:rPr>
              <w:t>AMDOCS LIMITED</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0"/>
        </w:trPr>
        <w:tc>
          <w:tcPr>
            <w:tcW w:w="1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160" w:type="dxa"/>
            <w:vAlign w:val="bottom"/>
          </w:tcPr>
          <w:p>
            <w:pPr>
              <w:spacing w:after="0"/>
              <w:rPr>
                <w:sz w:val="7"/>
                <w:szCs w:val="7"/>
                <w:color w:val="auto"/>
              </w:rPr>
            </w:pPr>
          </w:p>
        </w:tc>
        <w:tc>
          <w:tcPr>
            <w:tcW w:w="14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60" w:type="dxa"/>
            <w:vAlign w:val="bottom"/>
            <w:gridSpan w:val="11"/>
          </w:tcPr>
          <w:p>
            <w:pPr>
              <w:jc w:val="center"/>
              <w:ind w:right="3500"/>
              <w:spacing w:after="0"/>
              <w:rPr>
                <w:sz w:val="20"/>
                <w:szCs w:val="20"/>
                <w:color w:val="auto"/>
              </w:rPr>
            </w:pPr>
            <w:r>
              <w:rPr>
                <w:rFonts w:ascii="Arial" w:cs="Arial" w:eastAsia="Arial" w:hAnsi="Arial"/>
                <w:sz w:val="18"/>
                <w:szCs w:val="18"/>
                <w:b w:val="1"/>
                <w:bCs w:val="1"/>
                <w:color w:val="auto"/>
                <w:w w:val="96"/>
              </w:rPr>
              <w:t>FORM 20-F</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20" w:type="dxa"/>
            <w:vAlign w:val="bottom"/>
            <w:gridSpan w:val="27"/>
          </w:tcPr>
          <w:p>
            <w:pPr>
              <w:jc w:val="center"/>
              <w:ind w:right="1160"/>
              <w:spacing w:after="0"/>
              <w:rPr>
                <w:sz w:val="20"/>
                <w:szCs w:val="20"/>
                <w:color w:val="auto"/>
              </w:rPr>
            </w:pPr>
            <w:r>
              <w:rPr>
                <w:rFonts w:ascii="Arial" w:cs="Arial" w:eastAsia="Arial" w:hAnsi="Arial"/>
                <w:sz w:val="18"/>
                <w:szCs w:val="18"/>
                <w:b w:val="1"/>
                <w:bCs w:val="1"/>
                <w:color w:val="auto"/>
                <w:w w:val="96"/>
              </w:rPr>
              <w:t>ANNUAL REPORT FOR THE FISCAL YEAR ENDED SEPTEMBER 30, 2012</w:t>
            </w: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1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520" w:type="dxa"/>
            <w:vAlign w:val="bottom"/>
            <w:gridSpan w:val="8"/>
          </w:tcPr>
          <w:p>
            <w:pPr>
              <w:jc w:val="center"/>
              <w:ind w:right="3840"/>
              <w:spacing w:after="0"/>
              <w:rPr>
                <w:sz w:val="20"/>
                <w:szCs w:val="20"/>
                <w:color w:val="auto"/>
              </w:rPr>
            </w:pPr>
            <w:r>
              <w:rPr>
                <w:rFonts w:ascii="Arial" w:cs="Arial" w:eastAsia="Arial" w:hAnsi="Arial"/>
                <w:sz w:val="18"/>
                <w:szCs w:val="18"/>
                <w:b w:val="1"/>
                <w:bCs w:val="1"/>
                <w:color w:val="auto"/>
              </w:rPr>
              <w:t>INDEX</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8"/>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w:t>
            </w: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Borders>
              <w:bottom w:val="single" w:sz="8" w:color="0000EE"/>
            </w:tcBorders>
            <w:gridSpan w:val="2"/>
          </w:tcPr>
          <w:p>
            <w:pPr>
              <w:jc w:val="center"/>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3940" w:type="dxa"/>
            <w:vAlign w:val="bottom"/>
            <w:gridSpan w:val="6"/>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392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Identity of Directors, Senior Management and Advisers</w:t>
              </w:r>
            </w:hyperlink>
          </w:p>
        </w:tc>
        <w:tc>
          <w:tcPr>
            <w:tcW w:w="4860" w:type="dxa"/>
            <w:vAlign w:val="bottom"/>
            <w:gridSpan w:val="11"/>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2.</w:t>
            </w:r>
          </w:p>
        </w:tc>
        <w:tc>
          <w:tcPr>
            <w:tcW w:w="2820" w:type="dxa"/>
            <w:vAlign w:val="bottom"/>
            <w:tcBorders>
              <w:bottom w:val="single" w:sz="8" w:color="0000EE"/>
            </w:tcBorders>
            <w:gridSpan w:val="15"/>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Offer Statistics and Expected Timetable</w:t>
              </w:r>
            </w:hyperlink>
          </w:p>
        </w:tc>
        <w:tc>
          <w:tcPr>
            <w:tcW w:w="5960" w:type="dxa"/>
            <w:vAlign w:val="bottom"/>
            <w:gridSpan w:val="18"/>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3.</w:t>
            </w:r>
          </w:p>
        </w:tc>
        <w:tc>
          <w:tcPr>
            <w:tcW w:w="8780" w:type="dxa"/>
            <w:vAlign w:val="bottom"/>
            <w:gridSpan w:val="33"/>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Key Information</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4.</w:t>
            </w: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206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Information on the Company</w:t>
              </w:r>
            </w:hyperlink>
          </w:p>
        </w:tc>
        <w:tc>
          <w:tcPr>
            <w:tcW w:w="6720" w:type="dxa"/>
            <w:vAlign w:val="bottom"/>
            <w:gridSpan w:val="22"/>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4A.</w:t>
            </w:r>
          </w:p>
        </w:tc>
        <w:tc>
          <w:tcPr>
            <w:tcW w:w="8780" w:type="dxa"/>
            <w:vAlign w:val="bottom"/>
            <w:gridSpan w:val="3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Unresolved Staff Comments</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5.</w:t>
            </w: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3320" w:type="dxa"/>
            <w:vAlign w:val="bottom"/>
            <w:tcBorders>
              <w:bottom w:val="single" w:sz="8" w:color="0000EE"/>
            </w:tcBorders>
            <w:gridSpan w:val="17"/>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Operating and Financial Review and Prospects</w:t>
              </w:r>
            </w:hyperlink>
          </w:p>
        </w:tc>
        <w:tc>
          <w:tcPr>
            <w:tcW w:w="5460" w:type="dxa"/>
            <w:vAlign w:val="bottom"/>
            <w:gridSpan w:val="16"/>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6.</w:t>
            </w:r>
          </w:p>
        </w:tc>
        <w:tc>
          <w:tcPr>
            <w:tcW w:w="3300" w:type="dxa"/>
            <w:vAlign w:val="bottom"/>
            <w:tcBorders>
              <w:bottom w:val="single" w:sz="8" w:color="0000EE"/>
            </w:tcBorders>
            <w:gridSpan w:val="16"/>
          </w:tcPr>
          <w:p>
            <w:pPr>
              <w:spacing w:after="0" w:line="196" w:lineRule="exact"/>
              <w:rPr>
                <w:rFonts w:ascii="Arial" w:cs="Arial" w:eastAsia="Arial" w:hAnsi="Arial"/>
                <w:sz w:val="18"/>
                <w:szCs w:val="18"/>
                <w:color w:val="0000EE"/>
                <w:w w:val="87"/>
              </w:rPr>
            </w:pPr>
            <w:hyperlink w:anchor="page45">
              <w:r>
                <w:rPr>
                  <w:rFonts w:ascii="Arial" w:cs="Arial" w:eastAsia="Arial" w:hAnsi="Arial"/>
                  <w:sz w:val="18"/>
                  <w:szCs w:val="18"/>
                  <w:color w:val="0000EE"/>
                  <w:w w:val="87"/>
                </w:rPr>
                <w:t>Directors, Senior Management and Employees</w:t>
              </w:r>
            </w:hyperlink>
          </w:p>
        </w:tc>
        <w:tc>
          <w:tcPr>
            <w:tcW w:w="5480" w:type="dxa"/>
            <w:vAlign w:val="bottom"/>
            <w:gridSpan w:val="17"/>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7.</w:t>
            </w:r>
          </w:p>
        </w:tc>
        <w:tc>
          <w:tcPr>
            <w:tcW w:w="8780" w:type="dxa"/>
            <w:vAlign w:val="bottom"/>
            <w:gridSpan w:val="33"/>
          </w:tcPr>
          <w:p>
            <w:pPr>
              <w:spacing w:after="0" w:line="196" w:lineRule="exact"/>
              <w:rPr>
                <w:rFonts w:ascii="Arial" w:cs="Arial" w:eastAsia="Arial" w:hAnsi="Arial"/>
                <w:sz w:val="18"/>
                <w:szCs w:val="18"/>
                <w:color w:val="0000EE"/>
              </w:rPr>
            </w:pPr>
            <w:hyperlink w:anchor="page52">
              <w:r>
                <w:rPr>
                  <w:rFonts w:ascii="Arial" w:cs="Arial" w:eastAsia="Arial" w:hAnsi="Arial"/>
                  <w:sz w:val="18"/>
                  <w:szCs w:val="18"/>
                  <w:color w:val="0000EE"/>
                </w:rPr>
                <w:t>Major Shareholders and Related Party Transactions</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8.</w:t>
            </w:r>
          </w:p>
        </w:tc>
        <w:tc>
          <w:tcPr>
            <w:tcW w:w="15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54">
              <w:r>
                <w:rPr>
                  <w:rFonts w:ascii="Arial" w:cs="Arial" w:eastAsia="Arial" w:hAnsi="Arial"/>
                  <w:sz w:val="18"/>
                  <w:szCs w:val="18"/>
                  <w:color w:val="0000EE"/>
                  <w:w w:val="92"/>
                </w:rPr>
                <w:t>Financial Information</w:t>
              </w:r>
            </w:hyperlink>
          </w:p>
        </w:tc>
        <w:tc>
          <w:tcPr>
            <w:tcW w:w="2060" w:type="dxa"/>
            <w:vAlign w:val="bottom"/>
            <w:tcBorders>
              <w:top w:val="single" w:sz="8" w:color="0000EE"/>
            </w:tcBorders>
            <w:gridSpan w:val="14"/>
          </w:tcPr>
          <w:p>
            <w:pPr>
              <w:spacing w:after="0"/>
              <w:rPr>
                <w:sz w:val="17"/>
                <w:szCs w:val="17"/>
                <w:color w:val="auto"/>
              </w:rPr>
            </w:pPr>
          </w:p>
        </w:tc>
        <w:tc>
          <w:tcPr>
            <w:tcW w:w="5160" w:type="dxa"/>
            <w:vAlign w:val="bottom"/>
            <w:gridSpan w:val="13"/>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9.</w:t>
            </w:r>
          </w:p>
        </w:tc>
        <w:tc>
          <w:tcPr>
            <w:tcW w:w="8780" w:type="dxa"/>
            <w:vAlign w:val="bottom"/>
            <w:gridSpan w:val="3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The Offer and Listing</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10.</w:t>
            </w: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8780" w:type="dxa"/>
            <w:vAlign w:val="bottom"/>
            <w:gridSpan w:val="33"/>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Additional Information</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11.</w:t>
            </w: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8780" w:type="dxa"/>
            <w:vAlign w:val="bottom"/>
            <w:gridSpan w:val="33"/>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Quantitative and Qualitative Disclosures About Market Risk</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12.</w:t>
            </w:r>
          </w:p>
        </w:tc>
        <w:tc>
          <w:tcPr>
            <w:tcW w:w="426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Description of Securities Other than Equity Securities</w:t>
              </w:r>
            </w:hyperlink>
          </w:p>
        </w:tc>
        <w:tc>
          <w:tcPr>
            <w:tcW w:w="4520" w:type="dxa"/>
            <w:vAlign w:val="bottom"/>
            <w:gridSpan w:val="8"/>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04"/>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13.</w:t>
            </w:r>
          </w:p>
        </w:tc>
        <w:tc>
          <w:tcPr>
            <w:tcW w:w="6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9"/>
          </w:tcPr>
          <w:p>
            <w:pPr>
              <w:jc w:val="center"/>
              <w:ind w:right="3920"/>
              <w:spacing w:after="0"/>
              <w:rPr>
                <w:rFonts w:ascii="Arial" w:cs="Arial" w:eastAsia="Arial" w:hAnsi="Arial"/>
                <w:sz w:val="18"/>
                <w:szCs w:val="18"/>
                <w:b w:val="1"/>
                <w:bCs w:val="1"/>
                <w:color w:val="0000EE"/>
                <w:w w:val="99"/>
              </w:rPr>
            </w:pPr>
            <w:hyperlink w:anchor="page65">
              <w:r>
                <w:rPr>
                  <w:rFonts w:ascii="Arial" w:cs="Arial" w:eastAsia="Arial" w:hAnsi="Arial"/>
                  <w:sz w:val="18"/>
                  <w:szCs w:val="18"/>
                  <w:b w:val="1"/>
                  <w:bCs w:val="1"/>
                  <w:color w:val="0000EE"/>
                  <w:w w:val="99"/>
                </w:rPr>
                <w:t>PART II</w:t>
              </w:r>
            </w:hyperlink>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4220" w:type="dxa"/>
            <w:vAlign w:val="bottom"/>
            <w:gridSpan w:val="24"/>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Defaults, Dividend Arrearages and Delinquencies</w:t>
              </w:r>
            </w:hyperlink>
          </w:p>
        </w:tc>
        <w:tc>
          <w:tcPr>
            <w:tcW w:w="640" w:type="dxa"/>
            <w:vAlign w:val="bottom"/>
            <w:tcBorders>
              <w:top w:val="single" w:sz="8" w:color="0000EE"/>
            </w:tcBorders>
            <w:gridSpan w:val="4"/>
          </w:tcPr>
          <w:p>
            <w:pPr>
              <w:spacing w:after="0"/>
              <w:rPr>
                <w:sz w:val="17"/>
                <w:szCs w:val="17"/>
                <w:color w:val="auto"/>
              </w:rPr>
            </w:pPr>
          </w:p>
        </w:tc>
        <w:tc>
          <w:tcPr>
            <w:tcW w:w="3920" w:type="dxa"/>
            <w:vAlign w:val="bottom"/>
            <w:gridSpan w:val="5"/>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14.</w:t>
            </w:r>
          </w:p>
        </w:tc>
        <w:tc>
          <w:tcPr>
            <w:tcW w:w="6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5480" w:type="dxa"/>
            <w:vAlign w:val="bottom"/>
            <w:tcBorders>
              <w:bottom w:val="single" w:sz="8" w:color="0000EE"/>
            </w:tcBorders>
            <w:gridSpan w:val="31"/>
          </w:tcPr>
          <w:p>
            <w:pPr>
              <w:spacing w:after="0" w:line="196" w:lineRule="exact"/>
              <w:rPr>
                <w:rFonts w:ascii="Arial" w:cs="Arial" w:eastAsia="Arial" w:hAnsi="Arial"/>
                <w:sz w:val="18"/>
                <w:szCs w:val="18"/>
                <w:color w:val="0000EE"/>
                <w:w w:val="89"/>
              </w:rPr>
            </w:pPr>
            <w:hyperlink w:anchor="page65">
              <w:r>
                <w:rPr>
                  <w:rFonts w:ascii="Arial" w:cs="Arial" w:eastAsia="Arial" w:hAnsi="Arial"/>
                  <w:sz w:val="18"/>
                  <w:szCs w:val="18"/>
                  <w:color w:val="0000EE"/>
                  <w:w w:val="89"/>
                </w:rPr>
                <w:t>Material Modifications to the Rights of Security Holders and Use of Proceeds</w:t>
              </w:r>
            </w:hyperlink>
          </w:p>
        </w:tc>
        <w:tc>
          <w:tcPr>
            <w:tcW w:w="3300" w:type="dxa"/>
            <w:vAlign w:val="bottom"/>
            <w:gridSpan w:val="2"/>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15.</w:t>
            </w:r>
          </w:p>
        </w:tc>
        <w:tc>
          <w:tcPr>
            <w:tcW w:w="1740" w:type="dxa"/>
            <w:vAlign w:val="bottom"/>
            <w:tcBorders>
              <w:bottom w:val="single" w:sz="8" w:color="0000EE"/>
            </w:tcBorders>
            <w:gridSpan w:val="9"/>
          </w:tcPr>
          <w:p>
            <w:pPr>
              <w:spacing w:after="0" w:line="196" w:lineRule="exact"/>
              <w:rPr>
                <w:rFonts w:ascii="Arial" w:cs="Arial" w:eastAsia="Arial" w:hAnsi="Arial"/>
                <w:sz w:val="18"/>
                <w:szCs w:val="18"/>
                <w:color w:val="0000EE"/>
                <w:w w:val="86"/>
              </w:rPr>
            </w:pPr>
            <w:hyperlink w:anchor="page65">
              <w:r>
                <w:rPr>
                  <w:rFonts w:ascii="Arial" w:cs="Arial" w:eastAsia="Arial" w:hAnsi="Arial"/>
                  <w:sz w:val="18"/>
                  <w:szCs w:val="18"/>
                  <w:color w:val="0000EE"/>
                  <w:w w:val="86"/>
                </w:rPr>
                <w:t>Controls and Procedures</w:t>
              </w:r>
            </w:hyperlink>
          </w:p>
        </w:tc>
        <w:tc>
          <w:tcPr>
            <w:tcW w:w="7040" w:type="dxa"/>
            <w:vAlign w:val="bottom"/>
            <w:gridSpan w:val="24"/>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16A.</w:t>
            </w:r>
          </w:p>
        </w:tc>
        <w:tc>
          <w:tcPr>
            <w:tcW w:w="8780" w:type="dxa"/>
            <w:vAlign w:val="bottom"/>
            <w:gridSpan w:val="33"/>
          </w:tcPr>
          <w:p>
            <w:pPr>
              <w:spacing w:after="0" w:line="196" w:lineRule="exact"/>
              <w:rPr>
                <w:rFonts w:ascii="Arial" w:cs="Arial" w:eastAsia="Arial" w:hAnsi="Arial"/>
                <w:sz w:val="18"/>
                <w:szCs w:val="18"/>
                <w:color w:val="0000EE"/>
              </w:rPr>
            </w:pPr>
            <w:hyperlink w:anchor="page65">
              <w:r>
                <w:rPr>
                  <w:rFonts w:ascii="Arial" w:cs="Arial" w:eastAsia="Arial" w:hAnsi="Arial"/>
                  <w:sz w:val="18"/>
                  <w:szCs w:val="18"/>
                  <w:color w:val="0000EE"/>
                </w:rPr>
                <w:t>Audit Committee Financial Expert</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16B.</w:t>
            </w:r>
          </w:p>
        </w:tc>
        <w:tc>
          <w:tcPr>
            <w:tcW w:w="10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65">
              <w:r>
                <w:rPr>
                  <w:rFonts w:ascii="Arial" w:cs="Arial" w:eastAsia="Arial" w:hAnsi="Arial"/>
                  <w:sz w:val="18"/>
                  <w:szCs w:val="18"/>
                  <w:color w:val="0000EE"/>
                  <w:w w:val="88"/>
                </w:rPr>
                <w:t>Code of Ethics</w:t>
              </w:r>
            </w:hyperlink>
          </w:p>
        </w:tc>
        <w:tc>
          <w:tcPr>
            <w:tcW w:w="1380" w:type="dxa"/>
            <w:vAlign w:val="bottom"/>
            <w:tcBorders>
              <w:top w:val="single" w:sz="8" w:color="0000EE"/>
            </w:tcBorders>
            <w:gridSpan w:val="11"/>
          </w:tcPr>
          <w:p>
            <w:pPr>
              <w:spacing w:after="0"/>
              <w:rPr>
                <w:sz w:val="17"/>
                <w:szCs w:val="17"/>
                <w:color w:val="auto"/>
              </w:rPr>
            </w:pPr>
          </w:p>
        </w:tc>
        <w:tc>
          <w:tcPr>
            <w:tcW w:w="6340" w:type="dxa"/>
            <w:vAlign w:val="bottom"/>
            <w:gridSpan w:val="20"/>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16C.</w:t>
            </w:r>
          </w:p>
        </w:tc>
        <w:tc>
          <w:tcPr>
            <w:tcW w:w="280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Principal Accountant Fees and Services</w:t>
              </w:r>
            </w:hyperlink>
          </w:p>
        </w:tc>
        <w:tc>
          <w:tcPr>
            <w:tcW w:w="5980" w:type="dxa"/>
            <w:vAlign w:val="bottom"/>
            <w:gridSpan w:val="19"/>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16D.</w:t>
            </w:r>
          </w:p>
        </w:tc>
        <w:tc>
          <w:tcPr>
            <w:tcW w:w="436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w:anchor="page66">
              <w:r>
                <w:rPr>
                  <w:rFonts w:ascii="Arial" w:cs="Arial" w:eastAsia="Arial" w:hAnsi="Arial"/>
                  <w:sz w:val="18"/>
                  <w:szCs w:val="18"/>
                  <w:color w:val="0000EE"/>
                  <w:w w:val="89"/>
                </w:rPr>
                <w:t>Exemptions from the Listing Standards for Audit Committees</w:t>
              </w:r>
            </w:hyperlink>
          </w:p>
        </w:tc>
        <w:tc>
          <w:tcPr>
            <w:tcW w:w="4420" w:type="dxa"/>
            <w:vAlign w:val="bottom"/>
            <w:gridSpan w:val="7"/>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16E.</w:t>
            </w:r>
          </w:p>
        </w:tc>
        <w:tc>
          <w:tcPr>
            <w:tcW w:w="4920" w:type="dxa"/>
            <w:vAlign w:val="bottom"/>
            <w:tcBorders>
              <w:bottom w:val="single" w:sz="8" w:color="0000EE"/>
            </w:tcBorders>
            <w:gridSpan w:val="30"/>
          </w:tcPr>
          <w:p>
            <w:pPr>
              <w:spacing w:after="0" w:line="196" w:lineRule="exact"/>
              <w:rPr>
                <w:rFonts w:ascii="Arial" w:cs="Arial" w:eastAsia="Arial" w:hAnsi="Arial"/>
                <w:sz w:val="18"/>
                <w:szCs w:val="18"/>
                <w:color w:val="0000EE"/>
                <w:w w:val="87"/>
              </w:rPr>
            </w:pPr>
            <w:hyperlink w:anchor="page67">
              <w:r>
                <w:rPr>
                  <w:rFonts w:ascii="Arial" w:cs="Arial" w:eastAsia="Arial" w:hAnsi="Arial"/>
                  <w:sz w:val="18"/>
                  <w:szCs w:val="18"/>
                  <w:color w:val="0000EE"/>
                  <w:w w:val="87"/>
                </w:rPr>
                <w:t>Purchases of Equity Securities by the Issuer and Affiliated Purchasers</w:t>
              </w:r>
            </w:hyperlink>
          </w:p>
        </w:tc>
        <w:tc>
          <w:tcPr>
            <w:tcW w:w="3860" w:type="dxa"/>
            <w:vAlign w:val="bottom"/>
            <w:gridSpan w:val="3"/>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16F.</w:t>
            </w:r>
          </w:p>
        </w:tc>
        <w:tc>
          <w:tcPr>
            <w:tcW w:w="33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67">
              <w:r>
                <w:rPr>
                  <w:rFonts w:ascii="Arial" w:cs="Arial" w:eastAsia="Arial" w:hAnsi="Arial"/>
                  <w:sz w:val="18"/>
                  <w:szCs w:val="18"/>
                  <w:color w:val="0000EE"/>
                  <w:w w:val="89"/>
                </w:rPr>
                <w:t>Changes in Registrant’s Certifying Accountant</w:t>
              </w:r>
            </w:hyperlink>
          </w:p>
        </w:tc>
        <w:tc>
          <w:tcPr>
            <w:tcW w:w="5480" w:type="dxa"/>
            <w:vAlign w:val="bottom"/>
            <w:gridSpan w:val="17"/>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16G.</w:t>
            </w:r>
          </w:p>
        </w:tc>
        <w:tc>
          <w:tcPr>
            <w:tcW w:w="8780" w:type="dxa"/>
            <w:vAlign w:val="bottom"/>
            <w:gridSpan w:val="33"/>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Corporate Governance</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16H.</w:t>
            </w:r>
          </w:p>
        </w:tc>
        <w:tc>
          <w:tcPr>
            <w:tcW w:w="600" w:type="dxa"/>
            <w:vAlign w:val="bottom"/>
            <w:shd w:val="clear" w:color="auto" w:fill="0000EE"/>
          </w:tcPr>
          <w:p>
            <w:pPr>
              <w:spacing w:after="0" w:line="20" w:lineRule="exact"/>
              <w:rPr>
                <w:sz w:val="1"/>
                <w:szCs w:val="1"/>
                <w:color w:val="auto"/>
              </w:rPr>
            </w:pPr>
          </w:p>
        </w:tc>
        <w:tc>
          <w:tcPr>
            <w:tcW w:w="88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40" w:type="dxa"/>
            <w:vAlign w:val="bottom"/>
            <w:gridSpan w:val="11"/>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388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8780" w:type="dxa"/>
            <w:vAlign w:val="bottom"/>
            <w:gridSpan w:val="33"/>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Mine Safety Disclosure</w:t>
              </w:r>
            </w:hyperlink>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304"/>
        </w:trPr>
        <w:tc>
          <w:tcPr>
            <w:tcW w:w="1120" w:type="dxa"/>
            <w:vAlign w:val="bottom"/>
            <w:vMerge w:val="restart"/>
          </w:tcPr>
          <w:p>
            <w:pPr>
              <w:spacing w:after="0"/>
              <w:rPr>
                <w:sz w:val="20"/>
                <w:szCs w:val="20"/>
                <w:color w:val="auto"/>
              </w:rPr>
            </w:pPr>
            <w:r>
              <w:rPr>
                <w:rFonts w:ascii="Arial" w:cs="Arial" w:eastAsia="Arial" w:hAnsi="Arial"/>
                <w:sz w:val="18"/>
                <w:szCs w:val="18"/>
                <w:b w:val="1"/>
                <w:bCs w:val="1"/>
                <w:color w:val="auto"/>
              </w:rPr>
              <w:t>Item 17.</w:t>
            </w:r>
          </w:p>
        </w:tc>
        <w:tc>
          <w:tcPr>
            <w:tcW w:w="60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Borders>
              <w:bottom w:val="single" w:sz="8" w:color="0000EE"/>
            </w:tcBorders>
            <w:gridSpan w:val="6"/>
          </w:tcPr>
          <w:p>
            <w:pPr>
              <w:jc w:val="center"/>
              <w:spacing w:after="0"/>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PART III</w:t>
              </w:r>
            </w:hyperlink>
          </w:p>
        </w:tc>
        <w:tc>
          <w:tcPr>
            <w:tcW w:w="3880" w:type="dxa"/>
            <w:vAlign w:val="bottom"/>
            <w:gridSpan w:val="4"/>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vMerge w:val="continue"/>
          </w:tcPr>
          <w:p>
            <w:pPr>
              <w:spacing w:after="0"/>
              <w:rPr>
                <w:sz w:val="17"/>
                <w:szCs w:val="17"/>
                <w:color w:val="auto"/>
              </w:rPr>
            </w:pPr>
          </w:p>
        </w:tc>
        <w:tc>
          <w:tcPr>
            <w:tcW w:w="15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Financial Statements</w:t>
              </w:r>
            </w:hyperlink>
          </w:p>
        </w:tc>
        <w:tc>
          <w:tcPr>
            <w:tcW w:w="7240" w:type="dxa"/>
            <w:vAlign w:val="bottom"/>
            <w:gridSpan w:val="28"/>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18.</w:t>
            </w:r>
          </w:p>
        </w:tc>
        <w:tc>
          <w:tcPr>
            <w:tcW w:w="1480" w:type="dxa"/>
            <w:vAlign w:val="bottom"/>
            <w:tcBorders>
              <w:bottom w:val="single" w:sz="8" w:color="0000EE"/>
            </w:tcBorders>
            <w:gridSpan w:val="4"/>
          </w:tcPr>
          <w:p>
            <w:pPr>
              <w:spacing w:after="0" w:line="196" w:lineRule="exact"/>
              <w:rPr>
                <w:rFonts w:ascii="Arial" w:cs="Arial" w:eastAsia="Arial" w:hAnsi="Arial"/>
                <w:sz w:val="18"/>
                <w:szCs w:val="18"/>
                <w:color w:val="0000EE"/>
                <w:w w:val="86"/>
              </w:rPr>
            </w:pPr>
            <w:hyperlink w:anchor="page68">
              <w:r>
                <w:rPr>
                  <w:rFonts w:ascii="Arial" w:cs="Arial" w:eastAsia="Arial" w:hAnsi="Arial"/>
                  <w:sz w:val="18"/>
                  <w:szCs w:val="18"/>
                  <w:color w:val="0000EE"/>
                  <w:w w:val="86"/>
                </w:rPr>
                <w:t>Financial Statements</w:t>
              </w:r>
            </w:hyperlink>
          </w:p>
        </w:tc>
        <w:tc>
          <w:tcPr>
            <w:tcW w:w="7300" w:type="dxa"/>
            <w:vAlign w:val="bottom"/>
            <w:gridSpan w:val="29"/>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b w:val="1"/>
                <w:bCs w:val="1"/>
                <w:color w:val="auto"/>
              </w:rPr>
              <w:t>Item 19.</w:t>
            </w: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91"/>
              </w:rPr>
            </w:pPr>
            <w:hyperlink w:anchor="page68">
              <w:r>
                <w:rPr>
                  <w:rFonts w:ascii="Arial" w:cs="Arial" w:eastAsia="Arial" w:hAnsi="Arial"/>
                  <w:sz w:val="18"/>
                  <w:szCs w:val="18"/>
                  <w:color w:val="0000EE"/>
                  <w:w w:val="91"/>
                </w:rPr>
                <w:t>Exhibits</w:t>
              </w:r>
            </w:hyperlink>
          </w:p>
        </w:tc>
        <w:tc>
          <w:tcPr>
            <w:tcW w:w="8180" w:type="dxa"/>
            <w:vAlign w:val="bottom"/>
            <w:gridSpan w:val="32"/>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87"/>
              </w:rPr>
            </w:pPr>
            <w:hyperlink w:anchor="page72">
              <w:r>
                <w:rPr>
                  <w:rFonts w:ascii="Arial" w:cs="Arial" w:eastAsia="Arial" w:hAnsi="Arial"/>
                  <w:sz w:val="18"/>
                  <w:szCs w:val="18"/>
                  <w:b w:val="1"/>
                  <w:bCs w:val="1"/>
                  <w:color w:val="0000EE"/>
                  <w:w w:val="87"/>
                </w:rPr>
                <w:t>Index to Consolidated Financial Statements</w:t>
              </w:r>
            </w:hyperlink>
          </w:p>
        </w:tc>
        <w:tc>
          <w:tcPr>
            <w:tcW w:w="6620" w:type="dxa"/>
            <w:vAlign w:val="bottom"/>
            <w:gridSpan w:val="21"/>
          </w:tcPr>
          <w:p>
            <w:pPr>
              <w:spacing w:after="0"/>
              <w:rPr>
                <w:sz w:val="17"/>
                <w:szCs w:val="17"/>
                <w:color w:val="auto"/>
              </w:rPr>
            </w:pPr>
          </w:p>
        </w:tc>
        <w:tc>
          <w:tcPr>
            <w:tcW w:w="14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383"/>
        </w:trPr>
        <w:tc>
          <w:tcPr>
            <w:tcW w:w="1120" w:type="dxa"/>
            <w:vAlign w:val="bottom"/>
          </w:tcPr>
          <w:p>
            <w:pPr>
              <w:spacing w:after="0"/>
              <w:rPr>
                <w:sz w:val="24"/>
                <w:szCs w:val="24"/>
                <w:color w:val="auto"/>
              </w:rPr>
            </w:pPr>
          </w:p>
        </w:tc>
        <w:tc>
          <w:tcPr>
            <w:tcW w:w="4840" w:type="dxa"/>
            <w:vAlign w:val="bottom"/>
            <w:gridSpan w:val="27"/>
          </w:tcPr>
          <w:p>
            <w:pPr>
              <w:jc w:val="center"/>
              <w:ind w:left="4272"/>
              <w:spacing w:after="0"/>
              <w:rPr>
                <w:sz w:val="20"/>
                <w:szCs w:val="20"/>
                <w:color w:val="auto"/>
              </w:rPr>
            </w:pPr>
            <w:r>
              <w:rPr>
                <w:rFonts w:ascii="Arial" w:cs="Arial" w:eastAsia="Arial" w:hAnsi="Arial"/>
                <w:sz w:val="18"/>
                <w:szCs w:val="18"/>
                <w:color w:val="auto"/>
                <w:w w:val="79"/>
              </w:rPr>
              <w:t>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Unless the context otherwise requires, all references in this Annual Report on Form 20-F to “Amdocs,” “we,” “our,” “us” and the “Company” refer to Amdocs Limited and its consolidated subsidiaries and their respective predecessors, and references to our software products, refer to current and subsequent versions. Our consolidated financial statements are prepared in accordance with generally accepted accounting principles in the United States, or U.S. GAAP, and are expressed in U.S. dollars. References to “dollars” or “$” are to U.S. dollars. For example, references to Amdocs CES 8 also refer to CES 8.1 and CES 8.2 and references to Amdocs CES 9 (which has not yet been released) also refer to its subsequent versions. Our fiscal year ends on September 30 of each calendar year. References to any specific fiscal year refer to the year ended September 30 of the calendar year specified. For example, we refer to the fiscal year ending September 30, 2012 as “fiscal 2012.”</w:t>
      </w:r>
    </w:p>
    <w:p>
      <w:pPr>
        <w:spacing w:after="0" w:line="3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own, have rights to or use trademarks or trade names in conjunction with the sale of our products and services, including, without limitation, each of the following: Amdocs</w:t>
      </w:r>
      <w:r>
        <w:rPr>
          <w:rFonts w:ascii="Arial" w:cs="Arial" w:eastAsia="Arial" w:hAnsi="Arial"/>
          <w:sz w:val="9"/>
          <w:szCs w:val="9"/>
          <w:color w:val="auto"/>
        </w:rPr>
        <w:t>TM</w:t>
      </w:r>
      <w:r>
        <w:rPr>
          <w:rFonts w:ascii="Arial" w:cs="Arial" w:eastAsia="Arial" w:hAnsi="Arial"/>
          <w:sz w:val="16"/>
          <w:szCs w:val="16"/>
          <w:color w:val="auto"/>
        </w:rPr>
        <w:t>, Bridgewater Systems</w:t>
      </w:r>
      <w:r>
        <w:rPr>
          <w:rFonts w:ascii="Arial" w:cs="Arial" w:eastAsia="Arial" w:hAnsi="Arial"/>
          <w:sz w:val="9"/>
          <w:szCs w:val="9"/>
          <w:color w:val="auto"/>
        </w:rPr>
        <w:t>TM</w:t>
      </w:r>
      <w:r>
        <w:rPr>
          <w:rFonts w:ascii="Arial" w:cs="Arial" w:eastAsia="Arial" w:hAnsi="Arial"/>
          <w:sz w:val="16"/>
          <w:szCs w:val="16"/>
          <w:color w:val="auto"/>
        </w:rPr>
        <w:t>, ChangingWorlds</w:t>
      </w:r>
      <w:r>
        <w:rPr>
          <w:rFonts w:ascii="Arial" w:cs="Arial" w:eastAsia="Arial" w:hAnsi="Arial"/>
          <w:sz w:val="9"/>
          <w:szCs w:val="9"/>
          <w:color w:val="auto"/>
        </w:rPr>
        <w:t>TM</w:t>
      </w:r>
      <w:r>
        <w:rPr>
          <w:rFonts w:ascii="Arial" w:cs="Arial" w:eastAsia="Arial" w:hAnsi="Arial"/>
          <w:sz w:val="16"/>
          <w:szCs w:val="16"/>
          <w:color w:val="auto"/>
        </w:rPr>
        <w:t>, Clarify</w:t>
      </w:r>
      <w:r>
        <w:rPr>
          <w:rFonts w:ascii="Arial" w:cs="Arial" w:eastAsia="Arial" w:hAnsi="Arial"/>
          <w:sz w:val="9"/>
          <w:szCs w:val="9"/>
          <w:color w:val="auto"/>
        </w:rPr>
        <w:t>TM</w:t>
      </w:r>
      <w:r>
        <w:rPr>
          <w:rFonts w:ascii="Arial" w:cs="Arial" w:eastAsia="Arial" w:hAnsi="Arial"/>
          <w:sz w:val="16"/>
          <w:szCs w:val="16"/>
          <w:color w:val="auto"/>
        </w:rPr>
        <w:t>, Cramer</w:t>
      </w:r>
      <w:r>
        <w:rPr>
          <w:rFonts w:ascii="Arial" w:cs="Arial" w:eastAsia="Arial" w:hAnsi="Arial"/>
          <w:sz w:val="9"/>
          <w:szCs w:val="9"/>
          <w:color w:val="auto"/>
        </w:rPr>
        <w:t>TM</w:t>
      </w:r>
      <w:r>
        <w:rPr>
          <w:rFonts w:ascii="Arial" w:cs="Arial" w:eastAsia="Arial" w:hAnsi="Arial"/>
          <w:sz w:val="16"/>
          <w:szCs w:val="16"/>
          <w:color w:val="auto"/>
        </w:rPr>
        <w:t>, CES</w:t>
      </w:r>
      <w:r>
        <w:rPr>
          <w:rFonts w:ascii="Arial" w:cs="Arial" w:eastAsia="Arial" w:hAnsi="Arial"/>
          <w:sz w:val="9"/>
          <w:szCs w:val="9"/>
          <w:color w:val="auto"/>
        </w:rPr>
        <w:t>TM</w:t>
      </w:r>
      <w:r>
        <w:rPr>
          <w:rFonts w:ascii="Arial" w:cs="Arial" w:eastAsia="Arial" w:hAnsi="Arial"/>
          <w:sz w:val="16"/>
          <w:szCs w:val="16"/>
          <w:color w:val="auto"/>
        </w:rPr>
        <w:t>, Collabrent</w:t>
      </w:r>
      <w:r>
        <w:rPr>
          <w:rFonts w:ascii="Arial" w:cs="Arial" w:eastAsia="Arial" w:hAnsi="Arial"/>
          <w:sz w:val="9"/>
          <w:szCs w:val="9"/>
          <w:color w:val="auto"/>
        </w:rPr>
        <w:t>TM</w:t>
      </w:r>
      <w:r>
        <w:rPr>
          <w:rFonts w:ascii="Arial" w:cs="Arial" w:eastAsia="Arial" w:hAnsi="Arial"/>
          <w:sz w:val="16"/>
          <w:szCs w:val="16"/>
          <w:color w:val="auto"/>
        </w:rPr>
        <w:t>, DST Innovis</w:t>
      </w:r>
      <w:r>
        <w:rPr>
          <w:rFonts w:ascii="Arial" w:cs="Arial" w:eastAsia="Arial" w:hAnsi="Arial"/>
          <w:sz w:val="9"/>
          <w:szCs w:val="9"/>
          <w:color w:val="auto"/>
        </w:rPr>
        <w:t>TM</w:t>
      </w:r>
      <w:r>
        <w:rPr>
          <w:rFonts w:ascii="Arial" w:cs="Arial" w:eastAsia="Arial" w:hAnsi="Arial"/>
          <w:sz w:val="16"/>
          <w:szCs w:val="16"/>
          <w:color w:val="auto"/>
        </w:rPr>
        <w:t>, Ensemble</w:t>
      </w:r>
      <w:r>
        <w:rPr>
          <w:rFonts w:ascii="Arial" w:cs="Arial" w:eastAsia="Arial" w:hAnsi="Arial"/>
          <w:sz w:val="9"/>
          <w:szCs w:val="9"/>
          <w:color w:val="auto"/>
        </w:rPr>
        <w:t>TM</w:t>
      </w:r>
      <w:r>
        <w:rPr>
          <w:rFonts w:ascii="Arial" w:cs="Arial" w:eastAsia="Arial" w:hAnsi="Arial"/>
          <w:sz w:val="16"/>
          <w:szCs w:val="16"/>
          <w:color w:val="auto"/>
        </w:rPr>
        <w:t>, Enabler</w:t>
      </w:r>
      <w:r>
        <w:rPr>
          <w:rFonts w:ascii="Arial" w:cs="Arial" w:eastAsia="Arial" w:hAnsi="Arial"/>
          <w:sz w:val="9"/>
          <w:szCs w:val="9"/>
          <w:color w:val="auto"/>
        </w:rPr>
        <w:t>TM</w:t>
      </w:r>
      <w:r>
        <w:rPr>
          <w:rFonts w:ascii="Arial" w:cs="Arial" w:eastAsia="Arial" w:hAnsi="Arial"/>
          <w:sz w:val="16"/>
          <w:szCs w:val="16"/>
          <w:color w:val="auto"/>
        </w:rPr>
        <w:t>, Intelecable</w:t>
      </w:r>
      <w:r>
        <w:rPr>
          <w:rFonts w:ascii="Arial" w:cs="Arial" w:eastAsia="Arial" w:hAnsi="Arial"/>
          <w:sz w:val="9"/>
          <w:szCs w:val="9"/>
          <w:color w:val="auto"/>
        </w:rPr>
        <w:t>TM</w:t>
      </w:r>
      <w:r>
        <w:rPr>
          <w:rFonts w:ascii="Arial" w:cs="Arial" w:eastAsia="Arial" w:hAnsi="Arial"/>
          <w:sz w:val="16"/>
          <w:szCs w:val="16"/>
          <w:color w:val="auto"/>
        </w:rPr>
        <w:t>, Intentional Customer Experience</w:t>
      </w:r>
      <w:r>
        <w:rPr>
          <w:rFonts w:ascii="Arial" w:cs="Arial" w:eastAsia="Arial" w:hAnsi="Arial"/>
          <w:sz w:val="9"/>
          <w:szCs w:val="9"/>
          <w:color w:val="auto"/>
        </w:rPr>
        <w:t>TM</w:t>
      </w:r>
      <w:r>
        <w:rPr>
          <w:rFonts w:ascii="Arial" w:cs="Arial" w:eastAsia="Arial" w:hAnsi="Arial"/>
          <w:sz w:val="16"/>
          <w:szCs w:val="16"/>
          <w:color w:val="auto"/>
        </w:rPr>
        <w:t>, JacobsRimell</w:t>
      </w:r>
      <w:r>
        <w:rPr>
          <w:rFonts w:ascii="Arial" w:cs="Arial" w:eastAsia="Arial" w:hAnsi="Arial"/>
          <w:sz w:val="9"/>
          <w:szCs w:val="9"/>
          <w:color w:val="auto"/>
        </w:rPr>
        <w:t>TM</w:t>
      </w:r>
      <w:r>
        <w:rPr>
          <w:rFonts w:ascii="Arial" w:cs="Arial" w:eastAsia="Arial" w:hAnsi="Arial"/>
          <w:sz w:val="16"/>
          <w:szCs w:val="16"/>
          <w:color w:val="auto"/>
        </w:rPr>
        <w:t>, jNetX</w:t>
      </w:r>
      <w:r>
        <w:rPr>
          <w:rFonts w:ascii="Arial" w:cs="Arial" w:eastAsia="Arial" w:hAnsi="Arial"/>
          <w:sz w:val="9"/>
          <w:szCs w:val="9"/>
          <w:color w:val="auto"/>
        </w:rPr>
        <w:t>TM</w:t>
      </w:r>
      <w:r>
        <w:rPr>
          <w:rFonts w:ascii="Arial" w:cs="Arial" w:eastAsia="Arial" w:hAnsi="Arial"/>
          <w:sz w:val="16"/>
          <w:szCs w:val="16"/>
          <w:color w:val="auto"/>
        </w:rPr>
        <w:t>, MX Telecom</w:t>
      </w:r>
      <w:r>
        <w:rPr>
          <w:rFonts w:ascii="Arial" w:cs="Arial" w:eastAsia="Arial" w:hAnsi="Arial"/>
          <w:sz w:val="9"/>
          <w:szCs w:val="9"/>
          <w:color w:val="auto"/>
        </w:rPr>
        <w:t>TM</w:t>
      </w:r>
      <w:r>
        <w:rPr>
          <w:rFonts w:ascii="Arial" w:cs="Arial" w:eastAsia="Arial" w:hAnsi="Arial"/>
          <w:sz w:val="16"/>
          <w:szCs w:val="16"/>
          <w:color w:val="auto"/>
        </w:rPr>
        <w:t>, OpenMarket</w:t>
      </w:r>
      <w:r>
        <w:rPr>
          <w:rFonts w:ascii="Arial" w:cs="Arial" w:eastAsia="Arial" w:hAnsi="Arial"/>
          <w:sz w:val="9"/>
          <w:szCs w:val="9"/>
          <w:color w:val="auto"/>
        </w:rPr>
        <w:t>TM</w:t>
      </w:r>
      <w:r>
        <w:rPr>
          <w:rFonts w:ascii="Arial" w:cs="Arial" w:eastAsia="Arial" w:hAnsi="Arial"/>
          <w:sz w:val="16"/>
          <w:szCs w:val="16"/>
          <w:color w:val="auto"/>
        </w:rPr>
        <w:t>, Qpass</w:t>
      </w:r>
      <w:r>
        <w:rPr>
          <w:rFonts w:ascii="Arial" w:cs="Arial" w:eastAsia="Arial" w:hAnsi="Arial"/>
          <w:sz w:val="9"/>
          <w:szCs w:val="9"/>
          <w:color w:val="auto"/>
        </w:rPr>
        <w:t>TM</w:t>
      </w:r>
      <w:r>
        <w:rPr>
          <w:rFonts w:ascii="Arial" w:cs="Arial" w:eastAsia="Arial" w:hAnsi="Arial"/>
          <w:sz w:val="16"/>
          <w:szCs w:val="16"/>
          <w:color w:val="auto"/>
        </w:rPr>
        <w:t>, SigValue</w:t>
      </w:r>
      <w:r>
        <w:rPr>
          <w:rFonts w:ascii="Arial" w:cs="Arial" w:eastAsia="Arial" w:hAnsi="Arial"/>
          <w:sz w:val="9"/>
          <w:szCs w:val="9"/>
          <w:color w:val="auto"/>
        </w:rPr>
        <w:t>TM</w:t>
      </w:r>
      <w:r>
        <w:rPr>
          <w:rFonts w:ascii="Arial" w:cs="Arial" w:eastAsia="Arial" w:hAnsi="Arial"/>
          <w:sz w:val="16"/>
          <w:szCs w:val="16"/>
          <w:color w:val="auto"/>
        </w:rPr>
        <w:t>, Streamezzo</w:t>
      </w:r>
      <w:r>
        <w:rPr>
          <w:rFonts w:ascii="Arial" w:cs="Arial" w:eastAsia="Arial" w:hAnsi="Arial"/>
          <w:sz w:val="9"/>
          <w:szCs w:val="9"/>
          <w:color w:val="auto"/>
        </w:rPr>
        <w:t>TM</w:t>
      </w:r>
      <w:r>
        <w:rPr>
          <w:rFonts w:ascii="Arial" w:cs="Arial" w:eastAsia="Arial" w:hAnsi="Arial"/>
          <w:sz w:val="16"/>
          <w:szCs w:val="16"/>
          <w:color w:val="auto"/>
        </w:rPr>
        <w:t>, Stibo Graphic Software</w:t>
      </w:r>
      <w:r>
        <w:rPr>
          <w:rFonts w:ascii="Arial" w:cs="Arial" w:eastAsia="Arial" w:hAnsi="Arial"/>
          <w:sz w:val="9"/>
          <w:szCs w:val="9"/>
          <w:color w:val="auto"/>
        </w:rPr>
        <w:t>TM</w:t>
      </w:r>
      <w:r>
        <w:rPr>
          <w:rFonts w:ascii="Arial" w:cs="Arial" w:eastAsia="Arial" w:hAnsi="Arial"/>
          <w:sz w:val="16"/>
          <w:szCs w:val="16"/>
          <w:color w:val="auto"/>
        </w:rPr>
        <w:t>, Xacct</w:t>
      </w:r>
      <w:r>
        <w:rPr>
          <w:rFonts w:ascii="Arial" w:cs="Arial" w:eastAsia="Arial" w:hAnsi="Arial"/>
          <w:sz w:val="9"/>
          <w:szCs w:val="9"/>
          <w:color w:val="auto"/>
        </w:rPr>
        <w:t>TM</w:t>
      </w:r>
      <w:r>
        <w:rPr>
          <w:rFonts w:ascii="Arial" w:cs="Arial" w:eastAsia="Arial" w:hAnsi="Arial"/>
          <w:sz w:val="16"/>
          <w:szCs w:val="16"/>
          <w:color w:val="auto"/>
        </w:rPr>
        <w:t>, Aging in Place</w:t>
      </w:r>
      <w:r>
        <w:rPr>
          <w:rFonts w:ascii="Arial" w:cs="Arial" w:eastAsia="Arial" w:hAnsi="Arial"/>
          <w:sz w:val="9"/>
          <w:szCs w:val="9"/>
          <w:color w:val="auto"/>
        </w:rPr>
        <w:t>TM</w:t>
      </w:r>
      <w:r>
        <w:rPr>
          <w:rFonts w:ascii="Arial" w:cs="Arial" w:eastAsia="Arial" w:hAnsi="Arial"/>
          <w:sz w:val="16"/>
          <w:szCs w:val="16"/>
          <w:color w:val="auto"/>
        </w:rPr>
        <w:t>, Embrace Challenge, Experience Success</w:t>
      </w:r>
      <w:r>
        <w:rPr>
          <w:rFonts w:ascii="Arial" w:cs="Arial" w:eastAsia="Arial" w:hAnsi="Arial"/>
          <w:sz w:val="9"/>
          <w:szCs w:val="9"/>
          <w:color w:val="auto"/>
        </w:rPr>
        <w:t>TM</w:t>
      </w:r>
      <w:r>
        <w:rPr>
          <w:rFonts w:ascii="Arial" w:cs="Arial" w:eastAsia="Arial" w:hAnsi="Arial"/>
          <w:sz w:val="16"/>
          <w:szCs w:val="16"/>
          <w:color w:val="auto"/>
        </w:rPr>
        <w:t>, and Quality Consumption</w:t>
      </w:r>
      <w:r>
        <w:rPr>
          <w:rFonts w:ascii="Arial" w:cs="Arial" w:eastAsia="Arial" w:hAnsi="Arial"/>
          <w:sz w:val="9"/>
          <w:szCs w:val="9"/>
          <w:color w:val="auto"/>
        </w:rPr>
        <w:t>TM</w:t>
      </w:r>
      <w:r>
        <w:rPr>
          <w:rFonts w:ascii="Arial" w:cs="Arial" w:eastAsia="Arial" w:hAnsi="Arial"/>
          <w:sz w:val="16"/>
          <w:szCs w:val="16"/>
          <w:color w:val="auto"/>
        </w:rPr>
        <w:t>.</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 Looking Statements</w:t>
      </w:r>
    </w:p>
    <w:p>
      <w:pPr>
        <w:spacing w:after="0" w:line="96" w:lineRule="exact"/>
        <w:rPr>
          <w:sz w:val="20"/>
          <w:szCs w:val="20"/>
          <w:color w:val="auto"/>
        </w:rPr>
      </w:pPr>
    </w:p>
    <w:p>
      <w:pPr>
        <w:ind w:right="20" w:firstLine="456"/>
        <w:spacing w:after="0" w:line="309" w:lineRule="auto"/>
        <w:rPr>
          <w:sz w:val="20"/>
          <w:szCs w:val="20"/>
          <w:color w:val="auto"/>
        </w:rPr>
      </w:pPr>
      <w:r>
        <w:rPr>
          <w:rFonts w:ascii="Arial" w:cs="Arial" w:eastAsia="Arial" w:hAnsi="Arial"/>
          <w:sz w:val="15"/>
          <w:szCs w:val="15"/>
          <w:color w:val="auto"/>
        </w:rPr>
        <w:t>This Annual Report on Form 20-F contains forward-looking statements (within the meaning of the U.S.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Annual Report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the filing of this Annual Report on Form 20-F.</w:t>
      </w:r>
    </w:p>
    <w:p>
      <w:pPr>
        <w:spacing w:after="0" w:line="27"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Important factors that may affect these projections or expectations include, but are not limited to: changes in the overall economy; changes in competition in markets in which we operate; changes in the demand for our products and services; the loss of a significant customer; consolidation within the industries in which our customers operate;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important factors, please read the information set forth below under the caption “Risk Factors.”</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PART I</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1. </w:t>
      </w:r>
      <w:r>
        <w:rPr>
          <w:rFonts w:ascii="Arial" w:cs="Arial" w:eastAsia="Arial" w:hAnsi="Arial"/>
          <w:sz w:val="16"/>
          <w:szCs w:val="16"/>
          <w:b w:val="1"/>
          <w:bCs w:val="1"/>
          <w:i w:val="1"/>
          <w:iCs w:val="1"/>
          <w:color w:val="auto"/>
        </w:rPr>
        <w:t>IDENTITY OF DIRECTORS, SENIOR MANAGEMENT AND ADVISERS</w:t>
      </w:r>
    </w:p>
    <w:p>
      <w:pPr>
        <w:spacing w:after="0" w:line="118" w:lineRule="exact"/>
        <w:rPr>
          <w:sz w:val="20"/>
          <w:szCs w:val="20"/>
          <w:color w:val="auto"/>
        </w:rPr>
      </w:pPr>
    </w:p>
    <w:p>
      <w:pPr>
        <w:sectPr>
          <w:pgSz w:w="11900" w:h="16838" w:orient="portrait"/>
          <w:cols w:equalWidth="0" w:num="2">
            <w:col w:w="480" w:space="560"/>
            <w:col w:w="1038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Not applicable.</w:t>
      </w:r>
    </w:p>
    <w:p>
      <w:pPr>
        <w:sectPr>
          <w:pgSz w:w="11900" w:h="16838" w:orient="portrait"/>
          <w:cols w:equalWidth="0" w:num="1">
            <w:col w:w="11420"/>
          </w:cols>
          <w:pgMar w:left="240" w:top="459" w:right="239" w:bottom="1440" w:gutter="0" w:footer="0" w:header="0"/>
          <w:type w:val="continuous"/>
        </w:sectPr>
      </w:pP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w:t>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2. </w:t>
      </w:r>
      <w:r>
        <w:rPr>
          <w:rFonts w:ascii="Arial" w:cs="Arial" w:eastAsia="Arial" w:hAnsi="Arial"/>
          <w:sz w:val="16"/>
          <w:szCs w:val="16"/>
          <w:b w:val="1"/>
          <w:bCs w:val="1"/>
          <w:i w:val="1"/>
          <w:iCs w:val="1"/>
          <w:color w:val="auto"/>
        </w:rPr>
        <w:t>OFFER STATISTICS AND EXPECTED TIMETABLE</w:t>
      </w:r>
    </w:p>
    <w:p>
      <w:pPr>
        <w:spacing w:after="0" w:line="118" w:lineRule="exact"/>
        <w:rPr>
          <w:sz w:val="20"/>
          <w:szCs w:val="20"/>
          <w:color w:val="auto"/>
        </w:rPr>
      </w:pPr>
    </w:p>
    <w:p>
      <w:pPr>
        <w:sectPr>
          <w:pgSz w:w="11900" w:h="16838" w:orient="portrait"/>
          <w:cols w:equalWidth="0" w:num="2">
            <w:col w:w="480" w:space="560"/>
            <w:col w:w="10380"/>
          </w:cols>
          <w:pgMar w:left="240" w:top="459" w:right="239" w:bottom="1440" w:gutter="0" w:footer="0" w:header="0"/>
          <w:type w:val="continuous"/>
        </w:sectPr>
      </w:pPr>
    </w:p>
    <w:p>
      <w:pPr>
        <w:ind w:left="460"/>
        <w:spacing w:after="0"/>
        <w:rPr>
          <w:sz w:val="20"/>
          <w:szCs w:val="20"/>
          <w:color w:val="auto"/>
        </w:rPr>
      </w:pPr>
      <w:r>
        <w:rPr>
          <w:rFonts w:ascii="Arial" w:cs="Arial" w:eastAsia="Arial" w:hAnsi="Arial"/>
          <w:sz w:val="18"/>
          <w:szCs w:val="18"/>
          <w:color w:val="auto"/>
        </w:rPr>
        <w:t>Not applicable.</w:t>
      </w:r>
    </w:p>
    <w:p>
      <w:pPr>
        <w:spacing w:after="0" w:line="84" w:lineRule="exact"/>
        <w:rPr>
          <w:sz w:val="20"/>
          <w:szCs w:val="20"/>
          <w:color w:val="auto"/>
        </w:rPr>
      </w:pPr>
    </w:p>
    <w:p>
      <w:pPr>
        <w:spacing w:after="0"/>
        <w:tabs>
          <w:tab w:leader="none" w:pos="1020" w:val="left"/>
        </w:tabs>
        <w:rPr>
          <w:sz w:val="20"/>
          <w:szCs w:val="20"/>
          <w:color w:val="auto"/>
        </w:rPr>
      </w:pPr>
      <w:r>
        <w:rPr>
          <w:rFonts w:ascii="Arial" w:cs="Arial" w:eastAsia="Arial" w:hAnsi="Arial"/>
          <w:sz w:val="16"/>
          <w:szCs w:val="16"/>
          <w:b w:val="1"/>
          <w:bCs w:val="1"/>
          <w:color w:val="auto"/>
        </w:rPr>
        <w:t>ITEM</w:t>
      </w:r>
      <w:r>
        <w:rPr>
          <w:sz w:val="20"/>
          <w:szCs w:val="20"/>
          <w:color w:val="auto"/>
        </w:rPr>
        <w:tab/>
      </w:r>
      <w:r>
        <w:rPr>
          <w:rFonts w:ascii="Arial" w:cs="Arial" w:eastAsia="Arial" w:hAnsi="Arial"/>
          <w:sz w:val="16"/>
          <w:szCs w:val="16"/>
          <w:b w:val="1"/>
          <w:bCs w:val="1"/>
          <w:color w:val="auto"/>
        </w:rPr>
        <w:t xml:space="preserve">3. </w:t>
      </w:r>
      <w:r>
        <w:rPr>
          <w:rFonts w:ascii="Arial" w:cs="Arial" w:eastAsia="Arial" w:hAnsi="Arial"/>
          <w:sz w:val="16"/>
          <w:szCs w:val="16"/>
          <w:b w:val="1"/>
          <w:bCs w:val="1"/>
          <w:i w:val="1"/>
          <w:iCs w:val="1"/>
          <w:color w:val="auto"/>
        </w:rPr>
        <w:t>KEY INFORMATION</w:t>
      </w:r>
    </w:p>
    <w:p>
      <w:pPr>
        <w:sectPr>
          <w:pgSz w:w="11900" w:h="16838" w:orient="portrait"/>
          <w:cols w:equalWidth="0" w:num="1">
            <w:col w:w="11420"/>
          </w:cols>
          <w:pgMar w:left="240" w:top="459" w:right="239" w:bottom="1440" w:gutter="0" w:footer="0" w:header="0"/>
          <w:type w:val="continuous"/>
        </w:sectPr>
      </w:pP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w:t>
      </w:r>
    </w:p>
    <w:p>
      <w:pPr>
        <w:spacing w:after="0" w:line="96" w:lineRule="exact"/>
        <w:rPr>
          <w:sz w:val="20"/>
          <w:szCs w:val="20"/>
          <w:color w:val="auto"/>
        </w:rPr>
      </w:pPr>
    </w:p>
    <w:p>
      <w:pPr>
        <w:ind w:right="340" w:firstLine="456"/>
        <w:spacing w:after="0" w:line="298" w:lineRule="auto"/>
        <w:rPr>
          <w:sz w:val="20"/>
          <w:szCs w:val="20"/>
          <w:color w:val="auto"/>
        </w:rPr>
      </w:pPr>
      <w:r>
        <w:rPr>
          <w:rFonts w:ascii="Arial" w:cs="Arial" w:eastAsia="Arial" w:hAnsi="Arial"/>
          <w:sz w:val="16"/>
          <w:szCs w:val="16"/>
          <w:color w:val="auto"/>
        </w:rPr>
        <w:t>Our historical consolidated financial statements are prepared in accordance with U.S. GAAP, and presented in U.S. dollars. The selected historical consolidated financial information set forth below has been derived from our historical consolidated financial statements for the years presented. Historical information as of and for the five years ended September 30, 2012 is derived from our consolidated financial statements, which have been audited by Ernst &amp; Young LLP, our independent registered public accounting firm. You should read the information presented below in conjunction with those statements.</w:t>
      </w:r>
    </w:p>
    <w:p>
      <w:pPr>
        <w:spacing w:after="0" w:line="3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information presented below is qualified by the more detailed historical consolidated financial statements, the notes thereto and the discussion under “Operating and Financial Review and Prospects” included elsewhere in this Annual Report.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2012</w:t>
            </w:r>
          </w:p>
        </w:tc>
        <w:tc>
          <w:tcPr>
            <w:tcW w:w="1240" w:type="dxa"/>
            <w:vAlign w:val="bottom"/>
          </w:tcPr>
          <w:p>
            <w:pPr>
              <w:jc w:val="right"/>
              <w:ind w:right="397"/>
              <w:spacing w:after="0"/>
              <w:rPr>
                <w:sz w:val="20"/>
                <w:szCs w:val="20"/>
                <w:color w:val="auto"/>
              </w:rPr>
            </w:pPr>
            <w:r>
              <w:rPr>
                <w:rFonts w:ascii="Arial" w:cs="Arial" w:eastAsia="Arial" w:hAnsi="Arial"/>
                <w:sz w:val="14"/>
                <w:szCs w:val="14"/>
                <w:b w:val="1"/>
                <w:bCs w:val="1"/>
                <w:color w:val="auto"/>
              </w:rPr>
              <w:t>2011</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1240" w:type="dxa"/>
            <w:vAlign w:val="bottom"/>
          </w:tcPr>
          <w:p>
            <w:pPr>
              <w:jc w:val="right"/>
              <w:ind w:right="335"/>
              <w:spacing w:after="0"/>
              <w:rPr>
                <w:sz w:val="20"/>
                <w:szCs w:val="20"/>
                <w:color w:val="auto"/>
              </w:rPr>
            </w:pPr>
            <w:r>
              <w:rPr>
                <w:rFonts w:ascii="Arial" w:cs="Arial" w:eastAsia="Arial" w:hAnsi="Arial"/>
                <w:sz w:val="14"/>
                <w:szCs w:val="14"/>
                <w:b w:val="1"/>
                <w:bCs w:val="1"/>
                <w:color w:val="auto"/>
              </w:rPr>
              <w:t>2009(1)</w:t>
            </w:r>
          </w:p>
        </w:tc>
        <w:tc>
          <w:tcPr>
            <w:tcW w:w="1060" w:type="dxa"/>
            <w:vAlign w:val="bottom"/>
          </w:tcPr>
          <w:p>
            <w:pPr>
              <w:jc w:val="right"/>
              <w:ind w:right="135"/>
              <w:spacing w:after="0"/>
              <w:rPr>
                <w:sz w:val="20"/>
                <w:szCs w:val="20"/>
                <w:color w:val="auto"/>
              </w:rPr>
            </w:pPr>
            <w:r>
              <w:rPr>
                <w:rFonts w:ascii="Arial" w:cs="Arial" w:eastAsia="Arial" w:hAnsi="Arial"/>
                <w:sz w:val="14"/>
                <w:szCs w:val="14"/>
                <w:b w:val="1"/>
                <w:bCs w:val="1"/>
                <w:color w:val="auto"/>
              </w:rPr>
              <w:t>2008(1)</w:t>
            </w:r>
          </w:p>
        </w:tc>
        <w:tc>
          <w:tcPr>
            <w:tcW w:w="10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37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86"/>
              </w:rPr>
              <w:t>(In thousands, except per share data)</w:t>
            </w: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Revenue</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$ 3,246,903</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$ 3,177,728</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$ 2,984,223</w:t>
            </w: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$ 2,862,607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$ 3,162,096</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442,472</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404,364</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410,433</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367,319</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405,596</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Net income</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391,371</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346,665</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343,906</w:t>
            </w: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326,176</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378,906</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1.87</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1.70</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1.60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2.31</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1.86</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1.69</w:t>
            </w: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1.57</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share(2)</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0.13</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351"/>
        </w:trPr>
        <w:tc>
          <w:tcPr>
            <w:tcW w:w="5100" w:type="dxa"/>
            <w:vAlign w:val="bottom"/>
          </w:tcPr>
          <w:p>
            <w:pPr>
              <w:spacing w:after="0"/>
              <w:rPr>
                <w:sz w:val="24"/>
                <w:szCs w:val="24"/>
                <w:color w:val="auto"/>
              </w:rPr>
            </w:pPr>
          </w:p>
        </w:tc>
        <w:tc>
          <w:tcPr>
            <w:tcW w:w="14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2012</w:t>
            </w:r>
          </w:p>
        </w:tc>
        <w:tc>
          <w:tcPr>
            <w:tcW w:w="1240" w:type="dxa"/>
            <w:vAlign w:val="bottom"/>
          </w:tcPr>
          <w:p>
            <w:pPr>
              <w:jc w:val="right"/>
              <w:ind w:right="397"/>
              <w:spacing w:after="0"/>
              <w:rPr>
                <w:sz w:val="20"/>
                <w:szCs w:val="20"/>
                <w:color w:val="auto"/>
              </w:rPr>
            </w:pPr>
            <w:r>
              <w:rPr>
                <w:rFonts w:ascii="Arial" w:cs="Arial" w:eastAsia="Arial" w:hAnsi="Arial"/>
                <w:sz w:val="14"/>
                <w:szCs w:val="14"/>
                <w:b w:val="1"/>
                <w:bCs w:val="1"/>
                <w:color w:val="auto"/>
              </w:rPr>
              <w:t>2011</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83"/>
              </w:rPr>
              <w:t>2010</w:t>
            </w:r>
          </w:p>
        </w:tc>
        <w:tc>
          <w:tcPr>
            <w:tcW w:w="1240" w:type="dxa"/>
            <w:vAlign w:val="bottom"/>
          </w:tcPr>
          <w:p>
            <w:pPr>
              <w:jc w:val="right"/>
              <w:ind w:right="415"/>
              <w:spacing w:after="0"/>
              <w:rPr>
                <w:sz w:val="20"/>
                <w:szCs w:val="20"/>
                <w:color w:val="auto"/>
              </w:rPr>
            </w:pPr>
            <w:r>
              <w:rPr>
                <w:rFonts w:ascii="Arial" w:cs="Arial" w:eastAsia="Arial" w:hAnsi="Arial"/>
                <w:sz w:val="14"/>
                <w:szCs w:val="14"/>
                <w:b w:val="1"/>
                <w:bCs w:val="1"/>
                <w:color w:val="auto"/>
              </w:rPr>
              <w:t>2009</w:t>
            </w:r>
          </w:p>
        </w:tc>
        <w:tc>
          <w:tcPr>
            <w:tcW w:w="1060" w:type="dxa"/>
            <w:vAlign w:val="bottom"/>
          </w:tcPr>
          <w:p>
            <w:pPr>
              <w:jc w:val="right"/>
              <w:ind w:right="215"/>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24"/>
                <w:szCs w:val="24"/>
                <w:color w:val="auto"/>
              </w:rPr>
            </w:pPr>
          </w:p>
        </w:tc>
      </w:tr>
      <w:tr>
        <w:trPr>
          <w:trHeight w:val="142"/>
        </w:trPr>
        <w:tc>
          <w:tcPr>
            <w:tcW w:w="5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124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w w:val="94"/>
              </w:rPr>
              <w:t>Cash, cash equivalents and short-term interest-bearing investments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$ 1,118,177</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$ 1,173,470</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$ 1,433,299</w:t>
            </w: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$ 1,173,041</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$ 1,244,378</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4,645,223</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4,636,572</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4,820,604</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4,328,417</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4,579,063</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Long-term obligations</w:t>
            </w:r>
          </w:p>
        </w:tc>
        <w:tc>
          <w:tcPr>
            <w:tcW w:w="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Convertible Senior Notes(3)</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1,020</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1,020</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1,020</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1,020</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w:t>
            </w:r>
          </w:p>
        </w:tc>
      </w:tr>
      <w:tr>
        <w:trPr>
          <w:trHeight w:val="216"/>
        </w:trPr>
        <w:tc>
          <w:tcPr>
            <w:tcW w:w="5100" w:type="dxa"/>
            <w:vAlign w:val="bottom"/>
          </w:tcPr>
          <w:p>
            <w:pPr>
              <w:ind w:left="220"/>
              <w:spacing w:after="0"/>
              <w:rPr>
                <w:sz w:val="20"/>
                <w:szCs w:val="20"/>
                <w:color w:val="auto"/>
              </w:rPr>
            </w:pPr>
            <w:r>
              <w:rPr>
                <w:rFonts w:ascii="Arial" w:cs="Arial" w:eastAsia="Arial" w:hAnsi="Arial"/>
                <w:sz w:val="18"/>
                <w:szCs w:val="18"/>
                <w:color w:val="auto"/>
              </w:rPr>
              <w:t>Long-term portion of capital lease obligations</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20</w:t>
            </w:r>
          </w:p>
        </w:tc>
        <w:tc>
          <w:tcPr>
            <w:tcW w:w="1240" w:type="dxa"/>
            <w:vAlign w:val="bottom"/>
          </w:tcPr>
          <w:p>
            <w:pPr>
              <w:jc w:val="right"/>
              <w:ind w:right="117"/>
              <w:spacing w:after="0"/>
              <w:rPr>
                <w:sz w:val="20"/>
                <w:szCs w:val="20"/>
                <w:color w:val="auto"/>
              </w:rPr>
            </w:pPr>
            <w:r>
              <w:rPr>
                <w:rFonts w:ascii="Arial" w:cs="Arial" w:eastAsia="Arial" w:hAnsi="Arial"/>
                <w:sz w:val="18"/>
                <w:szCs w:val="18"/>
                <w:color w:val="auto"/>
              </w:rPr>
              <w:t>457</w:t>
            </w:r>
          </w:p>
        </w:tc>
        <w:tc>
          <w:tcPr>
            <w:tcW w:w="1280" w:type="dxa"/>
            <w:vAlign w:val="bottom"/>
          </w:tcPr>
          <w:p>
            <w:pPr>
              <w:jc w:val="right"/>
              <w:ind w:right="157"/>
              <w:spacing w:after="0"/>
              <w:rPr>
                <w:sz w:val="20"/>
                <w:szCs w:val="20"/>
                <w:color w:val="auto"/>
              </w:rPr>
            </w:pPr>
            <w:r>
              <w:rPr>
                <w:rFonts w:ascii="Arial" w:cs="Arial" w:eastAsia="Arial" w:hAnsi="Arial"/>
                <w:sz w:val="18"/>
                <w:szCs w:val="18"/>
                <w:color w:val="auto"/>
              </w:rPr>
              <w:t>353</w:t>
            </w: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510</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3,033,202</w:t>
            </w:r>
          </w:p>
        </w:tc>
        <w:tc>
          <w:tcPr>
            <w:tcW w:w="1240" w:type="dxa"/>
            <w:vAlign w:val="bottom"/>
            <w:shd w:val="clear" w:color="auto" w:fill="CCEEFF"/>
          </w:tcPr>
          <w:p>
            <w:pPr>
              <w:jc w:val="right"/>
              <w:ind w:right="117"/>
              <w:spacing w:after="0"/>
              <w:rPr>
                <w:sz w:val="20"/>
                <w:szCs w:val="20"/>
                <w:color w:val="auto"/>
              </w:rPr>
            </w:pPr>
            <w:r>
              <w:rPr>
                <w:rFonts w:ascii="Arial" w:cs="Arial" w:eastAsia="Arial" w:hAnsi="Arial"/>
                <w:sz w:val="18"/>
                <w:szCs w:val="18"/>
                <w:color w:val="auto"/>
              </w:rPr>
              <w:t>3,023,301</w:t>
            </w:r>
          </w:p>
        </w:tc>
        <w:tc>
          <w:tcPr>
            <w:tcW w:w="1280" w:type="dxa"/>
            <w:vAlign w:val="bottom"/>
            <w:shd w:val="clear" w:color="auto" w:fill="CCEEFF"/>
          </w:tcPr>
          <w:p>
            <w:pPr>
              <w:jc w:val="right"/>
              <w:ind w:right="157"/>
              <w:spacing w:after="0"/>
              <w:rPr>
                <w:sz w:val="20"/>
                <w:szCs w:val="20"/>
                <w:color w:val="auto"/>
              </w:rPr>
            </w:pPr>
            <w:r>
              <w:rPr>
                <w:rFonts w:ascii="Arial" w:cs="Arial" w:eastAsia="Arial" w:hAnsi="Arial"/>
                <w:sz w:val="18"/>
                <w:szCs w:val="18"/>
                <w:color w:val="auto"/>
              </w:rPr>
              <w:t>3,229,380</w:t>
            </w: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3,213,053</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2,805,191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460" w:right="420" w:hanging="452"/>
        <w:spacing w:after="0" w:line="302" w:lineRule="auto"/>
        <w:tabs>
          <w:tab w:leader="none" w:pos="460" w:val="left"/>
        </w:tabs>
        <w:numPr>
          <w:ilvl w:val="0"/>
          <w:numId w:val="5"/>
        </w:numPr>
        <w:rPr>
          <w:rFonts w:ascii="Arial" w:cs="Arial" w:eastAsia="Arial" w:hAnsi="Arial"/>
          <w:sz w:val="15"/>
          <w:szCs w:val="15"/>
          <w:color w:val="auto"/>
        </w:rPr>
      </w:pPr>
      <w:r>
        <w:rPr>
          <w:rFonts w:ascii="Arial" w:cs="Arial" w:eastAsia="Arial" w:hAnsi="Arial"/>
          <w:sz w:val="15"/>
          <w:szCs w:val="15"/>
          <w:color w:val="auto"/>
        </w:rPr>
        <w:t>The basic and diluted weighted average number of shares outstanding for the fiscal years ended September 30, 2009 and 2008 have been retroactively adjusted to reflect the adoption of new earnings per share authoritative guidance requiring the inclusion of unvested share-based payment awards containing nonforfeitable rights to dividends or dividend equivalents in the calculation of basic weighted average number of shares outstanding. This adjustment reduced basic and/or diluted earnings per share for the fiscal years ended September 30, 2009, and 2008 by up to $0.01.</w:t>
      </w:r>
    </w:p>
    <w:p>
      <w:pPr>
        <w:spacing w:after="0" w:line="2" w:lineRule="exact"/>
        <w:rPr>
          <w:rFonts w:ascii="Arial" w:cs="Arial" w:eastAsia="Arial" w:hAnsi="Arial"/>
          <w:sz w:val="15"/>
          <w:szCs w:val="15"/>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declared a dividend of $0.13 per share in the fourth quarter of fiscal 2012, payable in the first quarter of fiscal 2013.</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80" w:hanging="452"/>
        <w:spacing w:after="0" w:line="259"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During fiscal 2009, using proceeds from our revolving credit facility, we purchased $449.0 million aggregate principal amount of our 0.50% convertible notes at an average price of 99.5% of the principal amount, excluding accrued interest and transaction fees. As of September 30, 2012, $1.02 million principal amount of the notes remain outstanding, due in 2024, in accordance with their terms.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5700" w:type="dxa"/>
            <w:vAlign w:val="bottom"/>
          </w:tcPr>
          <w:p>
            <w:pPr>
              <w:spacing w:after="0"/>
              <w:rPr>
                <w:sz w:val="15"/>
                <w:szCs w:val="15"/>
                <w:color w:val="auto"/>
              </w:rPr>
            </w:pPr>
          </w:p>
        </w:tc>
        <w:tc>
          <w:tcPr>
            <w:tcW w:w="1600" w:type="dxa"/>
            <w:vAlign w:val="bottom"/>
            <w:gridSpan w:val="5"/>
            <w:vMerge w:val="restart"/>
          </w:tcPr>
          <w:p>
            <w:pPr>
              <w:ind w:left="300"/>
              <w:spacing w:after="0"/>
              <w:rPr>
                <w:sz w:val="20"/>
                <w:szCs w:val="20"/>
                <w:color w:val="auto"/>
              </w:rPr>
            </w:pPr>
            <w:r>
              <w:rPr>
                <w:rFonts w:ascii="Arial" w:cs="Arial" w:eastAsia="Arial" w:hAnsi="Arial"/>
                <w:sz w:val="14"/>
                <w:szCs w:val="14"/>
                <w:b w:val="1"/>
                <w:bCs w:val="1"/>
                <w:color w:val="auto"/>
              </w:rPr>
              <w:t>Ordinary Shares</w:t>
            </w:r>
          </w:p>
        </w:tc>
        <w:tc>
          <w:tcPr>
            <w:tcW w:w="400" w:type="dxa"/>
            <w:vAlign w:val="bottom"/>
          </w:tcPr>
          <w:p>
            <w:pPr>
              <w:spacing w:after="0"/>
              <w:rPr>
                <w:sz w:val="15"/>
                <w:szCs w:val="15"/>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Additional</w:t>
            </w: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70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400" w:type="dxa"/>
            <w:vAlign w:val="bottom"/>
          </w:tcPr>
          <w:p>
            <w:pPr>
              <w:spacing w:after="0"/>
              <w:rPr>
                <w:sz w:val="8"/>
                <w:szCs w:val="8"/>
                <w:color w:val="auto"/>
              </w:rPr>
            </w:pPr>
          </w:p>
        </w:tc>
        <w:tc>
          <w:tcPr>
            <w:tcW w:w="12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Paid-In</w:t>
            </w:r>
          </w:p>
        </w:tc>
        <w:tc>
          <w:tcPr>
            <w:tcW w:w="100" w:type="dxa"/>
            <w:vAlign w:val="bottom"/>
          </w:tcPr>
          <w:p>
            <w:pPr>
              <w:spacing w:after="0"/>
              <w:rPr>
                <w:sz w:val="8"/>
                <w:szCs w:val="8"/>
                <w:color w:val="auto"/>
              </w:rPr>
            </w:pPr>
          </w:p>
        </w:tc>
        <w:tc>
          <w:tcPr>
            <w:tcW w:w="8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7"/>
              </w:rPr>
              <w:t>Treasury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70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200" w:type="dxa"/>
            <w:vAlign w:val="bottom"/>
          </w:tcPr>
          <w:p>
            <w:pPr>
              <w:spacing w:after="0"/>
              <w:rPr>
                <w:sz w:val="14"/>
                <w:szCs w:val="14"/>
                <w:color w:val="auto"/>
              </w:rPr>
            </w:pPr>
          </w:p>
        </w:tc>
        <w:tc>
          <w:tcPr>
            <w:tcW w:w="520" w:type="dxa"/>
            <w:vAlign w:val="bottom"/>
            <w:gridSpan w:val="2"/>
          </w:tcPr>
          <w:p>
            <w:pPr>
              <w:spacing w:after="0"/>
              <w:rPr>
                <w:sz w:val="20"/>
                <w:szCs w:val="20"/>
                <w:color w:val="auto"/>
              </w:rPr>
            </w:pPr>
            <w:r>
              <w:rPr>
                <w:rFonts w:ascii="Arial" w:cs="Arial" w:eastAsia="Arial" w:hAnsi="Arial"/>
                <w:sz w:val="14"/>
                <w:szCs w:val="14"/>
                <w:b w:val="1"/>
                <w:bCs w:val="1"/>
                <w:color w:val="auto"/>
                <w:w w:val="94"/>
              </w:rPr>
              <w:t>Amount</w:t>
            </w:r>
          </w:p>
        </w:tc>
        <w:tc>
          <w:tcPr>
            <w:tcW w:w="400" w:type="dxa"/>
            <w:vAlign w:val="bottom"/>
          </w:tcPr>
          <w:p>
            <w:pPr>
              <w:spacing w:after="0"/>
              <w:rPr>
                <w:sz w:val="14"/>
                <w:szCs w:val="14"/>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Capital</w:t>
            </w:r>
          </w:p>
        </w:tc>
        <w:tc>
          <w:tcPr>
            <w:tcW w:w="10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3"/>
          </w:tcPr>
          <w:p>
            <w:pPr>
              <w:jc w:val="right"/>
              <w:ind w:right="760"/>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Statement of Changes in Shareholders’ Equity Data:</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Balance as of September 30, 2008</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203,916</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$3,900</w:t>
            </w:r>
          </w:p>
        </w:tc>
        <w:tc>
          <w:tcPr>
            <w:tcW w:w="1640" w:type="dxa"/>
            <w:vAlign w:val="bottom"/>
            <w:gridSpan w:val="3"/>
          </w:tcPr>
          <w:p>
            <w:pPr>
              <w:jc w:val="right"/>
              <w:ind w:right="440"/>
              <w:spacing w:after="0"/>
              <w:rPr>
                <w:sz w:val="20"/>
                <w:szCs w:val="20"/>
                <w:color w:val="auto"/>
              </w:rPr>
            </w:pPr>
            <w:r>
              <w:rPr>
                <w:rFonts w:ascii="Arial" w:cs="Arial" w:eastAsia="Arial" w:hAnsi="Arial"/>
                <w:sz w:val="18"/>
                <w:szCs w:val="18"/>
                <w:color w:val="auto"/>
              </w:rPr>
              <w:t>$2,264,800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(907,280)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Employee stock options exercised</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1,289</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27,863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200"/>
              <w:spacing w:after="0"/>
              <w:rPr>
                <w:sz w:val="20"/>
                <w:szCs w:val="20"/>
                <w:color w:val="auto"/>
              </w:rPr>
            </w:pPr>
            <w:r>
              <w:rPr>
                <w:rFonts w:ascii="Arial" w:cs="Arial" w:eastAsia="Arial" w:hAnsi="Arial"/>
                <w:sz w:val="18"/>
                <w:szCs w:val="18"/>
                <w:color w:val="auto"/>
              </w:rPr>
              <w:t>Tax benefit of stock options exercised/cancelled</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380"/>
              <w:spacing w:after="0"/>
              <w:rPr>
                <w:sz w:val="20"/>
                <w:szCs w:val="20"/>
                <w:color w:val="auto"/>
              </w:rPr>
            </w:pPr>
            <w:r>
              <w:rPr>
                <w:rFonts w:ascii="Arial" w:cs="Arial" w:eastAsia="Arial" w:hAnsi="Arial"/>
                <w:sz w:val="18"/>
                <w:szCs w:val="18"/>
                <w:color w:val="auto"/>
              </w:rPr>
              <w:t>(1,484)</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Repurchase of shares</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(468)</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200"/>
              <w:spacing w:after="0"/>
              <w:rPr>
                <w:sz w:val="20"/>
                <w:szCs w:val="20"/>
                <w:color w:val="auto"/>
              </w:rPr>
            </w:pPr>
            <w:r>
              <w:rPr>
                <w:rFonts w:ascii="Arial" w:cs="Arial" w:eastAsia="Arial" w:hAnsi="Arial"/>
                <w:sz w:val="18"/>
                <w:szCs w:val="18"/>
                <w:color w:val="auto"/>
              </w:rPr>
              <w:t>Issuance of restricted stock, net of forfeitures</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342</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7</w:t>
            </w:r>
          </w:p>
        </w:tc>
        <w:tc>
          <w:tcPr>
            <w:tcW w:w="4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Equity-based compensation expense related to employees</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42,911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color w:val="auto"/>
              </w:rPr>
              <w:t>Balance as of September 30, 2009</w:t>
            </w: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gridSpan w:val="3"/>
            <w:vMerge w:val="continue"/>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205,079</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$3,930</w:t>
            </w:r>
          </w:p>
        </w:tc>
        <w:tc>
          <w:tcPr>
            <w:tcW w:w="1640" w:type="dxa"/>
            <w:vAlign w:val="bottom"/>
            <w:gridSpan w:val="3"/>
          </w:tcPr>
          <w:p>
            <w:pPr>
              <w:jc w:val="right"/>
              <w:ind w:right="440"/>
              <w:spacing w:after="0"/>
              <w:rPr>
                <w:sz w:val="20"/>
                <w:szCs w:val="20"/>
                <w:color w:val="auto"/>
              </w:rPr>
            </w:pPr>
            <w:r>
              <w:rPr>
                <w:rFonts w:ascii="Arial" w:cs="Arial" w:eastAsia="Arial" w:hAnsi="Arial"/>
                <w:sz w:val="18"/>
                <w:szCs w:val="18"/>
                <w:color w:val="auto"/>
              </w:rPr>
              <w:t>$2,334,090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(919,874)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Employee stock options exercised</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1,097</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23,618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200"/>
              <w:spacing w:after="0"/>
              <w:rPr>
                <w:sz w:val="20"/>
                <w:szCs w:val="20"/>
                <w:color w:val="auto"/>
              </w:rPr>
            </w:pPr>
            <w:r>
              <w:rPr>
                <w:rFonts w:ascii="Arial" w:cs="Arial" w:eastAsia="Arial" w:hAnsi="Arial"/>
                <w:sz w:val="18"/>
                <w:szCs w:val="18"/>
                <w:color w:val="auto"/>
              </w:rPr>
              <w:t>Repurchase of shares(1)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(13,695)</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(389,287)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Issuance of restricted stock, net of forfeitures</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568</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200"/>
              <w:spacing w:after="0"/>
              <w:rPr>
                <w:sz w:val="20"/>
                <w:szCs w:val="20"/>
                <w:color w:val="auto"/>
              </w:rPr>
            </w:pPr>
            <w:r>
              <w:rPr>
                <w:rFonts w:ascii="Arial" w:cs="Arial" w:eastAsia="Arial" w:hAnsi="Arial"/>
                <w:sz w:val="18"/>
                <w:szCs w:val="18"/>
                <w:color w:val="auto"/>
              </w:rPr>
              <w:t>Equity-based compensation expense related to employees</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440"/>
              <w:spacing w:after="0"/>
              <w:rPr>
                <w:sz w:val="20"/>
                <w:szCs w:val="20"/>
                <w:color w:val="auto"/>
              </w:rPr>
            </w:pPr>
            <w:r>
              <w:rPr>
                <w:rFonts w:ascii="Arial" w:cs="Arial" w:eastAsia="Arial" w:hAnsi="Arial"/>
                <w:sz w:val="18"/>
                <w:szCs w:val="18"/>
                <w:color w:val="auto"/>
              </w:rPr>
              <w:t>44,455</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193,049</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3,956</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2,402,163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(1,309,161)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gridSpan w:val="2"/>
            <w:vMerge w:val="restart"/>
          </w:tcPr>
          <w:p>
            <w:pPr>
              <w:ind w:left="200"/>
              <w:spacing w:after="0"/>
              <w:rPr>
                <w:sz w:val="20"/>
                <w:szCs w:val="20"/>
                <w:color w:val="auto"/>
              </w:rPr>
            </w:pPr>
            <w:r>
              <w:rPr>
                <w:rFonts w:ascii="Arial" w:cs="Arial" w:eastAsia="Arial" w:hAnsi="Arial"/>
                <w:sz w:val="18"/>
                <w:szCs w:val="18"/>
                <w:color w:val="auto"/>
              </w:rPr>
              <w:t>Employee stock options exercised</w:t>
            </w: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180" w:type="dxa"/>
            <w:vAlign w:val="bottom"/>
            <w:gridSpan w:val="2"/>
            <w:vMerge w:val="continue"/>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2,590</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42</w:t>
            </w:r>
          </w:p>
        </w:tc>
        <w:tc>
          <w:tcPr>
            <w:tcW w:w="1640" w:type="dxa"/>
            <w:vAlign w:val="bottom"/>
            <w:gridSpan w:val="3"/>
          </w:tcPr>
          <w:p>
            <w:pPr>
              <w:jc w:val="right"/>
              <w:ind w:right="440"/>
              <w:spacing w:after="0"/>
              <w:rPr>
                <w:sz w:val="20"/>
                <w:szCs w:val="20"/>
                <w:color w:val="auto"/>
              </w:rPr>
            </w:pPr>
            <w:r>
              <w:rPr>
                <w:rFonts w:ascii="Arial" w:cs="Arial" w:eastAsia="Arial" w:hAnsi="Arial"/>
                <w:sz w:val="18"/>
                <w:szCs w:val="18"/>
                <w:color w:val="auto"/>
              </w:rPr>
              <w:t>56,417</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Repurchase of shares(1)</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(21,866)</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(624,241)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200"/>
              <w:spacing w:after="0"/>
              <w:rPr>
                <w:sz w:val="20"/>
                <w:szCs w:val="20"/>
                <w:color w:val="auto"/>
              </w:rPr>
            </w:pPr>
            <w:r>
              <w:rPr>
                <w:rFonts w:ascii="Arial" w:cs="Arial" w:eastAsia="Arial" w:hAnsi="Arial"/>
                <w:sz w:val="18"/>
                <w:szCs w:val="18"/>
                <w:color w:val="auto"/>
              </w:rPr>
              <w:t>Issuance of restricted stock, net of forfeitures</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919</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Equity-based compensation expense related to employees</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36,631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color w:val="auto"/>
              </w:rPr>
              <w:t>Balance as of September 30, 2011</w:t>
            </w: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gridSpan w:val="3"/>
            <w:vMerge w:val="continue"/>
          </w:tcPr>
          <w:p>
            <w:pPr>
              <w:spacing w:after="0"/>
              <w:rPr>
                <w:sz w:val="19"/>
                <w:szCs w:val="19"/>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92"/>
              </w:rPr>
              <w:t>174,692</w:t>
            </w:r>
          </w:p>
        </w:tc>
        <w:tc>
          <w:tcPr>
            <w:tcW w:w="72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4,013</w:t>
            </w:r>
          </w:p>
        </w:tc>
        <w:tc>
          <w:tcPr>
            <w:tcW w:w="1640" w:type="dxa"/>
            <w:vAlign w:val="bottom"/>
            <w:gridSpan w:val="3"/>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2,495,211</w:t>
            </w: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(1,933,402)</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Employee stock options exercised</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3,585</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56</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86,610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200"/>
              <w:spacing w:after="0"/>
              <w:rPr>
                <w:sz w:val="20"/>
                <w:szCs w:val="20"/>
                <w:color w:val="auto"/>
              </w:rPr>
            </w:pPr>
            <w:r>
              <w:rPr>
                <w:rFonts w:ascii="Arial" w:cs="Arial" w:eastAsia="Arial" w:hAnsi="Arial"/>
                <w:sz w:val="18"/>
                <w:szCs w:val="18"/>
                <w:color w:val="auto"/>
              </w:rPr>
              <w:t>Repurchase of shares</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16,288</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(484,608)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Issuance of restricted stock, net of forfeitures</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465</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ind w:left="200"/>
              <w:spacing w:after="0"/>
              <w:rPr>
                <w:sz w:val="20"/>
                <w:szCs w:val="20"/>
                <w:color w:val="auto"/>
              </w:rPr>
            </w:pPr>
            <w:r>
              <w:rPr>
                <w:rFonts w:ascii="Arial" w:cs="Arial" w:eastAsia="Arial" w:hAnsi="Arial"/>
                <w:sz w:val="18"/>
                <w:szCs w:val="18"/>
                <w:color w:val="auto"/>
              </w:rPr>
              <w:t>Equity-based compensation expense related to employees</w:t>
            </w: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gridSpan w:val="3"/>
          </w:tcPr>
          <w:p>
            <w:pPr>
              <w:jc w:val="right"/>
              <w:ind w:right="440"/>
              <w:spacing w:after="0"/>
              <w:rPr>
                <w:sz w:val="20"/>
                <w:szCs w:val="20"/>
                <w:color w:val="auto"/>
              </w:rPr>
            </w:pPr>
            <w:r>
              <w:rPr>
                <w:rFonts w:ascii="Arial" w:cs="Arial" w:eastAsia="Arial" w:hAnsi="Arial"/>
                <w:sz w:val="18"/>
                <w:szCs w:val="18"/>
                <w:color w:val="auto"/>
              </w:rPr>
              <w:t>43,429</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80" w:type="dxa"/>
            <w:vAlign w:val="bottom"/>
          </w:tcPr>
          <w:p>
            <w:pPr>
              <w:spacing w:after="0"/>
              <w:rPr>
                <w:sz w:val="2"/>
                <w:szCs w:val="2"/>
                <w:color w:val="auto"/>
              </w:rPr>
            </w:pPr>
          </w:p>
        </w:tc>
        <w:tc>
          <w:tcPr>
            <w:tcW w:w="57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2012</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2"/>
              </w:rPr>
              <w:t>162,454</w:t>
            </w:r>
          </w:p>
        </w:tc>
        <w:tc>
          <w:tcPr>
            <w:tcW w:w="7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4,077</w:t>
            </w:r>
          </w:p>
        </w:tc>
        <w:tc>
          <w:tcPr>
            <w:tcW w:w="16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2,625,250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(2,418,010)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57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0" w:hanging="452"/>
        <w:spacing w:after="0" w:line="288"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 April 2010, our board of directors adopted a share repurchase plan authorizing the repurchase of up to $700.0 million of our outstanding ordinary shares over the following 12 months. In February 2011, our board of directors adopted an additional share repurchase plan authorizing the repurchase of up to $1.0 billion of our outstanding ordinary shares over the following 24 months. In April 2011, we completed the repurchase of the remaining authorized amount under the April 2010 share repurchase plan and started executing repurchases under the February 2011 plan. In fiscal 2012, we repurchased 16.3 million ordinary shares at an average price of $29.74 per share (excluding broker and transaction fees). As of September 30, 2012, we had remaining authority to repurchase up to $202.8 million of our outstanding ordinary shares under the February 2011 plan. In November 2012, our board of directors adopted another share repurchase plan authorizing the repurchase of up to $500.0 million of our ordinary shares. The November 2012 plan has no expiration date. The authorizations permit us to purchase our ordinary shares in open market or privately negotiated transactions at times and prices that we consider appropriate.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are exposed to general global economic and market conditions, particularly those impacting the communications industry.</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Developments in the communications industry, such as the impact of global economic conditions, industry consolidation, emergence of new competitors, commoditization of voice and data services and changes in the regulatory environment, at times have had, and could continue to have, a material adverse effect on our existing or potential customers. In the past, these conditions reduced the high growth rates that the communications industry had previously experienced, and caused the market value, financial results and prospects and capital spending levels of many communications companies to decline or degrade. During previous economic downturns, the communications industry experienced significant financial pressures that caused many in the industry to cut expenses and limit investment in capital intensive projects and, in some cases, led to restructurings and bankruptcies. The recent worldwide recession has had, and the European debt crisis and the continuing uncertainty as to economic recovery may have, adverse consequences for our customers and our business.</w:t>
      </w:r>
    </w:p>
    <w:p>
      <w:pPr>
        <w:spacing w:after="0" w:line="3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Downturns in the business climate for communications companies have in the past resulted in slower customer buying decisions and price pressures that adversely affected our ability to generate revenue. Adverse market conditions may have a negative impact on our business by decreasing our new customer engagements and the size of initial spending commitments under those engagements, as well as decreasing the level of discretionary spending by existing customers. In addition, a slowdown in buying decisions may extend our sales cycle period and may limit our ability to forecast our flow of new contracts . If such adverse business conditions arise in the future, our business may be harmed.</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If we fail to adapt to changing market conditions and cannot compete successfully with existing or new competitors, our business could be harmed.</w:t>
      </w:r>
    </w:p>
    <w:p>
      <w:pPr>
        <w:spacing w:after="0" w:line="12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be unable to compete successfully with existing or new competitors. Our failure to adapt to changing market conditions and to compete successfully with established or new competitors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management of data center operations and IT infrastructure, application management and ongoing support, systems modernization and consolidation and management of end-to-end business processes for billing and customer care operations.</w:t>
      </w:r>
    </w:p>
    <w:p>
      <w:pPr>
        <w:spacing w:after="0" w:line="3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market for communications information systems is highly competitive and fragmented, and we expect competition to continue to increase. We compete with independent software and service providers and with the in-house IT and network departments of communications companies. Our main competitors include firms that provide IT services (including consulting, systems integration and managed services), software vendors that sell products for particular aspects of a total information system, software vendors that specialize in systems for particular communications services (such as Internet, wireline and wireless services, cable, satellite and service bureaus) and network equipment providers that offer software systems in combination with the sale of network equipment. We also compete with companies that provide digital commerce software and solutions.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our ability to compete depends on a number of factors, including:</w:t>
      </w:r>
    </w:p>
    <w:p>
      <w:pPr>
        <w:spacing w:after="0" w:line="90"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development by others of software products that are competitive with our products and services,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price at which others offer competitive software and services,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competitors to deliver projects at a level of quality that rivals our own,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responsiveness of our competitors to customer needs,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ability of our competitors to hire, retain and motivate key personnel.</w:t>
      </w:r>
    </w:p>
    <w:p>
      <w:pPr>
        <w:spacing w:after="0" w:line="9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A number of our competitors have long operating histories, large customer bases, substantial financial, technical, sales, marketing and other resources, and strong name recognition. Current and potential competitors have established, and may establish in the future, cooperative relationships among themselves or with third parties to increase their abilities to address the needs of our existing or prospective customers. In addition, our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competitors have acquired, and may continue to acquire in the future, companies that may enhance their market offerings.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We cannot assure you that we will be able to compete successfully with existing or new competitors. If we fail to adapt to changing market conditions and to compete successfully with established or new competitors, our results of operations and financial condition may be adversely affected.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i w:val="1"/>
          <w:iCs w:val="1"/>
          <w:color w:val="auto"/>
        </w:rPr>
        <w:t>If we do not continually enhance our products and service offerings, we may have difficulty retaining existing customers and attracting new customers.</w:t>
      </w:r>
    </w:p>
    <w:p>
      <w:pPr>
        <w:spacing w:after="0" w:line="125"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our customer experience systems. Our present or future products may not satisfy the evolving needs of the communications industry or of other industries that we serve. If we are unable to anticipate or respond adequately to such needs, due to resource, technological or other constraints, our business and results of operations could be harmed.</w:t>
      </w:r>
    </w:p>
    <w:p>
      <w:pPr>
        <w:spacing w:after="0" w:line="116" w:lineRule="exact"/>
        <w:rPr>
          <w:sz w:val="20"/>
          <w:szCs w:val="20"/>
          <w:color w:val="auto"/>
        </w:rPr>
      </w:pPr>
    </w:p>
    <w:p>
      <w:pPr>
        <w:ind w:left="240" w:right="240"/>
        <w:spacing w:after="0" w:line="268" w:lineRule="auto"/>
        <w:rPr>
          <w:sz w:val="20"/>
          <w:szCs w:val="20"/>
          <w:color w:val="auto"/>
        </w:rPr>
      </w:pPr>
      <w:r>
        <w:rPr>
          <w:rFonts w:ascii="Arial" w:cs="Arial" w:eastAsia="Arial" w:hAnsi="Arial"/>
          <w:sz w:val="18"/>
          <w:szCs w:val="18"/>
          <w:b w:val="1"/>
          <w:bCs w:val="1"/>
          <w:i w:val="1"/>
          <w:iCs w:val="1"/>
          <w:color w:val="auto"/>
        </w:rPr>
        <w:t>Our business is dependent on a limited number of significant customers, and the loss of any one of our significant customers could harm our results of operations.</w:t>
      </w:r>
    </w:p>
    <w:p>
      <w:pPr>
        <w:spacing w:after="0" w:line="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business is dependent on a limited number of significant customers, of which AT&amp;T has historically been our largest. AT&amp;T accounted for 26% of our revenue in fiscal 2012 and 29% in fiscal 2011. In fiscal 2012, our two next largest customers were Sprint Nextel, Bell Canada and certain of their subsidiaries. Sprint Nextel accounted for 10% of our revenue in fiscal 2012 and 11% in fiscal 2011, and Bell Canada accounted for less than 10% of our revenue in fiscal 2012 and 10% in fiscal 2011. Aggregate revenue derived from the multiple business arrangements we have with our ten largest customers accounted for approximately 69% of our revenue in fiscal 2012 and 73% of our revenue in fiscal 2011. The loss of any significant customer, a significant decrease in business from any such customer or a reduction in customer revenue due to adverse changes in the terms of our contractual arrangements or other factors could harm our results of operations and financial condition. Revenue from individual customers may fluctuate from time to time based on the commencement and completion of projects, the timing of which may be affected by market conditions.</w:t>
      </w:r>
    </w:p>
    <w:p>
      <w:pPr>
        <w:spacing w:after="0" w:line="3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Although we have received a substantial portion of our revenue from recurring business with established customers, many of our major customers do not have any obligation to purchase additional products or services from us and generally have already acquired fully paid licenses to their installed systems. Therefore, our customers may not continue to purchase new systems, system enhancements or services in amounts similar to previous years or may delay implementation or significantly reduce the scope of committed projects, each of which could reduce our revenue and profits.</w:t>
      </w:r>
    </w:p>
    <w:p>
      <w:pPr>
        <w:spacing w:after="0" w:line="113" w:lineRule="exact"/>
        <w:rPr>
          <w:sz w:val="20"/>
          <w:szCs w:val="20"/>
          <w:color w:val="auto"/>
        </w:rPr>
      </w:pPr>
    </w:p>
    <w:p>
      <w:pPr>
        <w:ind w:left="240" w:right="540"/>
        <w:spacing w:after="0" w:line="268" w:lineRule="auto"/>
        <w:rPr>
          <w:sz w:val="20"/>
          <w:szCs w:val="20"/>
          <w:color w:val="auto"/>
        </w:rPr>
      </w:pPr>
      <w:r>
        <w:rPr>
          <w:rFonts w:ascii="Arial" w:cs="Arial" w:eastAsia="Arial" w:hAnsi="Arial"/>
          <w:sz w:val="18"/>
          <w:szCs w:val="18"/>
          <w:b w:val="1"/>
          <w:bCs w:val="1"/>
          <w:i w:val="1"/>
          <w:iCs w:val="1"/>
          <w:color w:val="auto"/>
        </w:rPr>
        <w:t>Our future success will depend on our ability to develop and maintain long-term relationships with our customers and to meet their expectations in providing products and performing services.</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our future success will depend to a significant extent on our ability to develop and maintain long-term relationships with successful network operators and service providers with the financial and other resources required to invest in significant ongoing customer experience systems. If we are unable to develop new customer relationships, our business will be harmed. In addition, our business and results of operations depend in part on our ability to provide high quality services to customers that have already implemented our products. If we are unable to meet customers’ expectations in providing products or performing services, our business and results of operations could be harmed.</w:t>
      </w:r>
    </w:p>
    <w:p>
      <w:pPr>
        <w:spacing w:after="0" w:line="116" w:lineRule="exact"/>
        <w:rPr>
          <w:sz w:val="20"/>
          <w:szCs w:val="20"/>
          <w:color w:val="auto"/>
        </w:rPr>
      </w:pPr>
    </w:p>
    <w:p>
      <w:pPr>
        <w:ind w:left="240" w:right="220"/>
        <w:spacing w:after="0" w:line="268" w:lineRule="auto"/>
        <w:rPr>
          <w:sz w:val="20"/>
          <w:szCs w:val="20"/>
          <w:color w:val="auto"/>
        </w:rPr>
      </w:pPr>
      <w:r>
        <w:rPr>
          <w:rFonts w:ascii="Arial" w:cs="Arial" w:eastAsia="Arial" w:hAnsi="Arial"/>
          <w:sz w:val="18"/>
          <w:szCs w:val="18"/>
          <w:b w:val="1"/>
          <w:bCs w:val="1"/>
          <w:i w:val="1"/>
          <w:iCs w:val="1"/>
          <w:color w:val="auto"/>
        </w:rPr>
        <w:t>We may seek to acquire companies or technologies that could disrupt our ongoing business, divert the attention of our management and employees and adversely affect our results of operations.</w:t>
      </w:r>
    </w:p>
    <w:p>
      <w:pPr>
        <w:spacing w:after="0" w:line="51"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It is a part of our business strategy to pursue acquisitions and other initiatives in order to offer new products or services or otherwise enhance our market position or strategic strengths. Since 1999, we have completed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color w:val="auto"/>
        </w:rPr>
        <w:t>numerous acquisitions, which, among other things, have expanded our business into customer management and billing solutions for broadband media cable and satellite companies, as well as digital commerce software and solutions, enhanced our offerings in the operational support systems, or OSS, market, extended our presence into the network policy management market, and enabled us to provide integrated billing and customer care systems in high-growth emerging markets. In the future, we may acquire other companies that we believe will advance our business strategy. We may not be able to identify suitable future acquisition candidates, consummate acquisitions on favorable terms or complete otherwise favorable acquisitions because of antitrust or other regulatory concerns.</w:t>
      </w:r>
    </w:p>
    <w:p>
      <w:pPr>
        <w:spacing w:after="0" w:line="1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cannot assure you that the acquisitions we have completed, or any future acquisitions that we may make, will enhance our products or strengthen our competitive position. We also cannot assure you that we have identified, or will be able to identify, all material adverse issues related to the integration of our acquisitions, such as significant defects in the internal control policies of companies that we have acquired. In addition, our acquisitions could lead to difficulties in integrating acquired personnel and operations and in retaining and motivating key personnel from these businesses. Any failure to recognize significant defects in the internal control policies of acquired companies or to properly integrate and retain personnel may require a significant amount of time and resources to address. Acquisitions may disrupt our ongoing operations, divert management from day-to-day responsibilities, increase our expenses and harm our results of operations or financial condition.</w:t>
      </w:r>
    </w:p>
    <w:p>
      <w:pPr>
        <w:spacing w:after="0" w:line="118"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b w:val="1"/>
          <w:bCs w:val="1"/>
          <w:i w:val="1"/>
          <w:iCs w:val="1"/>
          <w:color w:val="auto"/>
        </w:rPr>
        <w:t>The skilled and highly qualified workforce that we need to develop, implement and modify our solutions may be difficult to hire, train and retain, and we could face increased costs to attract and retain our skilled workforce.</w:t>
      </w:r>
    </w:p>
    <w:p>
      <w:pPr>
        <w:spacing w:after="0" w:line="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business operations depend in large part on our ability to attract, train, motivate and retain highly skilled information technology professionals, software programmers and communications engineers on a worldwide basis. In addition, our competitive success will depend on our ability to attract and retain other outstanding, highly qualified employees, consultants and other professionals.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serving several new customers or implementing several new large-scale projects in a short period of time may require us to attract and train additional IT professionals at a rapid rate. We may face difficulties identifying and hiring qualified personnel. Although we are heavily investing in training our new employees, we may not be able to train them rapidly enough to meet the increasing demands on our business, particularly in light of high attrition rates in some regions where we have operations. Our inability to hire, train and retain the appropriate personnel could increase our costs of retaining a skilled workforce and make it difficult for us to manage our operations, meet our commitments and compete for new customer contracts. In particular, wage costs in some of the countries in which we maintain development centers, such as Cyprus and India, have historically been significantly lower than wage costs in the United States, Europe and Israel for comparably-skilled professionals, although such costs are increasing. We may need to increase the levels of our employee compensation more rapidly than in the past to remain competitive.</w:t>
      </w:r>
    </w:p>
    <w:p>
      <w:pPr>
        <w:spacing w:after="0" w:line="4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As a result of our entry into the digital commerce space, we now compete for high quality employees in that space’s limited and competitive talent market. In addition, cost containment measures effected in recent years, such as the relocation of projects to lower costs countries, may lead to greater employee attrition and increase the cost of retaining our most skilled employees. The transition of projects to new locations may also lead to business disruptions due to differing levels of employee knowledge and organizational and leadership skills.</w:t>
      </w:r>
    </w:p>
    <w:p>
      <w:pPr>
        <w:spacing w:after="0" w:line="62"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Our success will also depend, to a certain extent, upon the continued active participation of a relatively small group of senior management personnel. The loss of the services of all or some of these executives could harm our operations and impair our efforts to expand our business.</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40"/>
        <w:spacing w:after="0" w:line="268" w:lineRule="auto"/>
        <w:rPr>
          <w:sz w:val="20"/>
          <w:szCs w:val="20"/>
          <w:color w:val="auto"/>
        </w:rPr>
      </w:pPr>
      <w:r>
        <w:rPr>
          <w:rFonts w:ascii="Arial" w:cs="Arial" w:eastAsia="Arial" w:hAnsi="Arial"/>
          <w:sz w:val="18"/>
          <w:szCs w:val="18"/>
          <w:b w:val="1"/>
          <w:bCs w:val="1"/>
          <w:i w:val="1"/>
          <w:iCs w:val="1"/>
          <w:color w:val="auto"/>
        </w:rPr>
        <w:t>Our quarterly operating results may fluctuate, and a decline in revenue in any quarter could result in lower profitability for that quarter and fluctuations in the market price of our ordinary shares.</w:t>
      </w:r>
    </w:p>
    <w:p>
      <w:pPr>
        <w:spacing w:after="0" w:line="5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At times, we have experienced fluctuations in our quarterly operating results and anticipate that such movements may continue to occur. Fluctuations may result from many factors, including:</w:t>
      </w:r>
    </w:p>
    <w:p>
      <w:pPr>
        <w:spacing w:after="0" w:line="51"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size, timing and pace of progress of significant customer projects and license and service fees,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delays in or cancellations of significant projects by customers,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operating expenses,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increased competition,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our strategy,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personnel changes,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penetration of new markets,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economic and political conditions.</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Generally, our combined license fee revenue and service fee revenue relating to customization, modification, implementation and integration are recognized as work is performed, using the percentage of completion method of accounting. Given our reliance on a limited number of significant customers, our quarterly results may be significantly affected by the size and timing of customer projects and our progress in completing such projects.</w:t>
      </w:r>
    </w:p>
    <w:p>
      <w:pPr>
        <w:spacing w:after="0" w:line="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the placement of customer orders may be concentrated in specific quarterly periods due to the time requirements and budgetary constraints of our customers. Although we recognize a significant portion of our revenue as projects are performed,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116" w:lineRule="exact"/>
        <w:rPr>
          <w:sz w:val="20"/>
          <w:szCs w:val="20"/>
          <w:color w:val="auto"/>
        </w:rPr>
      </w:pPr>
    </w:p>
    <w:p>
      <w:pPr>
        <w:ind w:left="240" w:right="760"/>
        <w:spacing w:after="0" w:line="268" w:lineRule="auto"/>
        <w:rPr>
          <w:sz w:val="20"/>
          <w:szCs w:val="20"/>
          <w:color w:val="auto"/>
        </w:rPr>
      </w:pPr>
      <w:r>
        <w:rPr>
          <w:rFonts w:ascii="Arial" w:cs="Arial" w:eastAsia="Arial" w:hAnsi="Arial"/>
          <w:sz w:val="18"/>
          <w:szCs w:val="18"/>
          <w:b w:val="1"/>
          <w:bCs w:val="1"/>
          <w:i w:val="1"/>
          <w:iCs w:val="1"/>
          <w:color w:val="auto"/>
        </w:rPr>
        <w:t>Our revenue, earnings and profitability are affected by the length of our sales cycle, and a longer sales cycle could adversely affect our results of operations and financial condition.</w:t>
      </w:r>
    </w:p>
    <w:p>
      <w:pPr>
        <w:spacing w:after="0" w:line="51" w:lineRule="exact"/>
        <w:rPr>
          <w:sz w:val="20"/>
          <w:szCs w:val="20"/>
          <w:color w:val="auto"/>
        </w:rPr>
      </w:pPr>
    </w:p>
    <w:p>
      <w:pPr>
        <w:ind w:right="240" w:firstLine="456"/>
        <w:spacing w:after="0" w:line="253" w:lineRule="auto"/>
        <w:rPr>
          <w:sz w:val="20"/>
          <w:szCs w:val="20"/>
          <w:color w:val="auto"/>
        </w:rPr>
      </w:pPr>
      <w:r>
        <w:rPr>
          <w:rFonts w:ascii="Arial" w:cs="Arial" w:eastAsia="Arial" w:hAnsi="Arial"/>
          <w:sz w:val="18"/>
          <w:szCs w:val="18"/>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and services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such as during 2009, our typical sales cycle lengthens, which means that the average time between our initial contact with a prospective customer and the signing of a sales contract increases. The lengthening of our sales cycle could reduce growth in our revenue. In addition, the lengthening of our sales cycle contributes to increased selling expenses, thereby reducing our profitability.</w:t>
      </w:r>
    </w:p>
    <w:p>
      <w:pPr>
        <w:spacing w:after="0" w:line="145" w:lineRule="exact"/>
        <w:rPr>
          <w:sz w:val="20"/>
          <w:szCs w:val="20"/>
          <w:color w:val="auto"/>
        </w:rPr>
      </w:pPr>
    </w:p>
    <w:p>
      <w:pPr>
        <w:ind w:left="240" w:right="840"/>
        <w:spacing w:after="0" w:line="268" w:lineRule="auto"/>
        <w:rPr>
          <w:sz w:val="20"/>
          <w:szCs w:val="20"/>
          <w:color w:val="auto"/>
        </w:rPr>
      </w:pPr>
      <w:r>
        <w:rPr>
          <w:rFonts w:ascii="Arial" w:cs="Arial" w:eastAsia="Arial" w:hAnsi="Arial"/>
          <w:sz w:val="18"/>
          <w:szCs w:val="18"/>
          <w:b w:val="1"/>
          <w:bCs w:val="1"/>
          <w:i w:val="1"/>
          <w:iCs w:val="1"/>
          <w:color w:val="auto"/>
        </w:rPr>
        <w:t>We may be required to increase or decrease the scope of our operations in response to changes in the demand for our products, and if we fail to successfully plan and manage changes in the size of our operations, our business will suffer.</w:t>
      </w:r>
    </w:p>
    <w:p>
      <w:pPr>
        <w:spacing w:after="0" w:line="5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Over the last several years, we have both grown and contracted our operations, in some cases rapidly, in order to profitably offer our products and services in a continuously changing market. If we are unable to manage these changes and plan and manage any future changes in the size and scope of our operations, our business will suffer.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Restructurings and cost reduction measures that we have implemented, from time to time, have reduced the size of our operations and workforce. Reductions in personnel can result in significant severance, administrative and legal expenses and may also adversely affect or delay various sales, marketing and product development programs and activities. These cost reduction measures have included, and may in the future include, employee separation costs and consolidating and/or relocating certain of our operations to different geographic locations.</w:t>
      </w:r>
    </w:p>
    <w:p>
      <w:pPr>
        <w:spacing w:after="0" w:line="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Acquisitions, organic growth and absorption of significant numbers of customers’ employees in connection with managed services projects have, from time to time, increased our headcount. Our total workforce, which includes employees and consultants, has increased from 17,244 at the end of fiscal 2009 to over 20,000 as of September 30, 2012. During periods of expansion, we may need to serve several new customers or implement several new large-scale projects in short periods of time. This may require us to attract and train additional IT professionals at a rapid rate, which we may have difficulties doing successfully.</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Volatility and turmoil in the world’s capital markets may adversely affect our investment portfolio and other financial assets.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cash, cash equivalents and short-term interest-bearing investments totaled $918 million, net of short-term debt, as of September 30, 2012. Our policy is to retain sufficient cash balances in order to support our growth. Our short-term investments consist primarily of money market funds, U.S. government treasuries, corporate bonds, government guaranteed debt and U.S. agency securities. Although we believe that we generally adhere to conservative investment guidelines, adverse market conditions have resulted in immaterial impairments of the carrying value of certain of our investment assets. Continuing adverse market conditions may lead to additional impairments. Realized or unrealized losses in our investments or in our other financial assets may adversely affect our financial condition.</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Declines in the financial condition of banks or other global financial institutions may adversely affect our normal financial operations.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We may be exposed to the credit risk of customers that have been adversely affected by weakened markets.</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We typically sell our software and related services as part of long-term projects. During the life of a project, a customer’s budgeting constraints can impact the scope of a project and the customer’s ability to make required payments. In addition, adverse general business conditions may degrade the creditworthiness of our customers over time, and we can be adversely affected by bankruptcies or other business failures.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Our international presence exposes us to risks associated with varied and changing political, cultural, legal and economic conditions worldwide.</w:t>
      </w:r>
    </w:p>
    <w:p>
      <w:pPr>
        <w:spacing w:after="0" w:line="11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affected by risks associated with conducting business internationally. We maintain development facilities in Brazil, Canada, Cyprus, India, Ireland, Israel and the United States, and have operations in North America, Europe, Israel, Latin America and the Asia-Pacific region. Although a substantial majority of our revenue is derived from customers in North America and Europe, we obtain significant revenue from customers in the Asia-Pacific region and Latin America. Our strategy is to continue to broaden our North American and European customer bases and to expand into international markets, including emerging markets, such as those in Latin America, the Commonwealth of Independent States, India and Southeast Asia. Conducting business internationally exposes us to certain risks inherent in doing business in international markets, including:</w:t>
      </w:r>
    </w:p>
    <w:p>
      <w:pPr>
        <w:spacing w:after="0" w:line="39"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lack of acceptance of non-localized products,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legal and cultural differences in the conduct of business,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collecting accounts receivable and withholding taxes that limit the repatriation of earnings,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trade barriers,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complying with varied legal and regulatory requirements across jurisdictions,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immigration regulations that limit our ability to deploy our employees,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political instability and threats of terrorism,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variations in effective income tax rates among countries where we conduct business.</w:t>
      </w:r>
    </w:p>
    <w:p>
      <w:pPr>
        <w:spacing w:after="0" w:line="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One or more of these factors could have a material adverse effect on our international operations, which could harm our results of operations and financial condition. As an example of the difficulties of conducting business in foreign jurisdictions, in 2005, as part of our strategic plan to establish a local presence to penetrate the Chinese market, we acquired Longshine Information Technology Company Ltd., or Longshine. Although it had been our plan to fully integrate Longshine into our operations, our expansion there met with a number of business challenges, and we subsequently realigned our strategy in China and divested our ownership of Longshine.</w:t>
      </w:r>
    </w:p>
    <w:p>
      <w:pPr>
        <w:spacing w:after="0" w:line="143" w:lineRule="exact"/>
        <w:rPr>
          <w:sz w:val="20"/>
          <w:szCs w:val="20"/>
          <w:color w:val="auto"/>
        </w:rPr>
      </w:pPr>
    </w:p>
    <w:p>
      <w:pPr>
        <w:ind w:left="240" w:right="700"/>
        <w:spacing w:after="0" w:line="268" w:lineRule="auto"/>
        <w:rPr>
          <w:sz w:val="20"/>
          <w:szCs w:val="20"/>
          <w:color w:val="auto"/>
        </w:rPr>
      </w:pPr>
      <w:r>
        <w:rPr>
          <w:rFonts w:ascii="Arial" w:cs="Arial" w:eastAsia="Arial" w:hAnsi="Arial"/>
          <w:sz w:val="18"/>
          <w:szCs w:val="18"/>
          <w:b w:val="1"/>
          <w:bCs w:val="1"/>
          <w:i w:val="1"/>
          <w:iCs w:val="1"/>
          <w:color w:val="auto"/>
        </w:rPr>
        <w:t>As we continue to develop our business in emerging markets, we face increasing challenges that could adversely impact our results of operations, reputation and business.</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we continue to expand our business in emerging markets, such as those in Latin America, the Commonwealth of Independent States, India and Southeast Asia, we face challenges related to more volatile economic conditions, competition from companies that are already present in the market, the need to identify correctly and leverage appropriate opportunities for sales and marketing, poor protection of intellectual property, inadequate protection against crime (including counterfeiting, corruption and fraud), inadvertent breaches of local laws or regulations and difficulties in recruiting sufficient personnel with appropriate skills and experience. In addition, local business practices in jurisdictions in which we operate, and particularly in emerging markets, may be inconsistent with international regulatory requirements, such as anti-corruption and anti-bribery regulations to which we are subject. It is possible that some of our employees, subcontractors, agents or partners may violate such legal and regulatory requirements, which may expose us to criminal or civil enforcement actions, including penalties and suspension or disqualification from U.S. federal procurement contracting. If we fail to comply with such legal and regulatory requirements, our business and reputation may be harmed.</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5"/>
          <w:szCs w:val="15"/>
          <w:b w:val="1"/>
          <w:bCs w:val="1"/>
          <w:i w:val="1"/>
          <w:iCs w:val="1"/>
          <w:color w:val="auto"/>
        </w:rPr>
        <w:t>Our international operations expose us to risks associated with fluctuations in foreign currency exchange rates that could adversely affect our business.</w:t>
      </w:r>
    </w:p>
    <w:p>
      <w:pPr>
        <w:spacing w:after="0" w:line="125"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Although we have operations throughout the world, approximately 70% to 80% of our revenue and approximately 50% to 60% of our operating costs are denominated in, or linked to, the U.S. dollar. Accordingly, we consider the U.S. dollar to be our functional currency. Fluctuations in exchange rates between the dollar and the currencies in which such revenues are earned or such costs are incurred may have a material adverse effect on our results of operations and financial condition. From time to time we may experience increases in the costs of our operations outside the United States, as expressed in dollars, which could have a material adverse effect on our results of operations and financial condition.</w:t>
      </w:r>
    </w:p>
    <w:p>
      <w:pPr>
        <w:spacing w:after="0" w:line="35"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For example, during the height of the financial crisis in fiscal 2008, we recognized higher than usual foreign exchange losses under interest and other expense, net, mainly due to the significant revaluation of assets and liabilities denominated in other currencies attributable to the rapid and significant foreign exchange rate changes associated with the global economic turbulence. Although our foreign exchange losses have been less significant since then as a result of enhanced hedging strategies, we believe that foreign exchange rates may continue to present challenges in future periods.</w:t>
      </w:r>
    </w:p>
    <w:p>
      <w:pPr>
        <w:spacing w:after="0" w:line="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policy is to hedge significant net exposures in the major foreign currencies in which we operate, and we generally hedge our net currency exposure with respect to expected revenue and operating costs and certain balance sheet items. We do not hedge all of our currency exposure, including for currencies for which the cost of hedging is prohibitively expensive. We cannot assure you that we will be able to effectively limit all of our exposure to currency exchange rate fluctuations.</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imposition of exchange or price controls or other restrictions on the conversion of foreign currencies could also have a material adverse effect on our business, results of operations and financial condition.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Political and economic conditions in the Middle East and other countries may adversely affect our business.</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Of the development centers we maintain worldwide, two of our largest development centers are located in Israel and India. In Israel, the centers are located in several different sites, and approximately 23% of our software and information technology, sales and marketing workforce is located in Israel. As a result, we are directly influenced by the political, economic and military conditions affecting Israel and its neighboring regions. Any major hostilities involving Israel could have a material adverse effect on our business. We have developed contingency plans to provide ongoing services to our customers in the event that escalated political or military conditions disrupt our normal operations. These plans include the transfer of some development operations within Israel to various of our other sites both within and outside of Israel. If we have to implement these plans, our operations would be disrupted and we would incur significant additional expenditures, which would adversely affect our business and results of operations.</w:t>
      </w:r>
    </w:p>
    <w:p>
      <w:pPr>
        <w:spacing w:after="0" w:line="37"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While Israel has entered into peace agreements with both Egypt and Jordan, Israel has not entered into peace arrangements with any other neighboring countries and recent instability in North Africa and the Middle East, including in Egypt, Syria and Jordan which border Israel, have introduced additional uncertainty in the region. Recent events in Iran, including reports of its continuing nuclear development program, continue to strain relations between Israel and Iran. Continued political or economic uncertainty, or violence, in the region could have a material adverse effect on our business.</w:t>
      </w:r>
    </w:p>
    <w:p>
      <w:pPr>
        <w:spacing w:after="0" w:line="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Over the past several years there has been a significant deterioration in Israel’s relationship with the Palestinian Authority and a related increase in violence, including recent hostilities related to Lebanon and the Gaza Strip. Efforts to resolve the problem have failed to result in a permanent solution. Continued violence between the Palestinian community and Israel may have a material adverse effect on our business. Further deterioration of relations with the Palestinian Authority or other countries in the Middle East might require more military reserve service by some of our workforce, which may have a material adverse effect on our business.</w:t>
      </w:r>
    </w:p>
    <w:p>
      <w:pPr>
        <w:spacing w:after="0" w:line="62"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recent years, we have expanded our operations internationally, particularly in India, Southeast Asia and Latin America. Conducting business in these and other countries involves unique challenges, including political instability, threats of terrorism, the transparency, consistency and effectiveness of business regulation, business corruption, the protection of intellectual property, and the availability of sufficient qualified local personnel. Any of these or other challenges associated with operating in these countries may adversely affect our business or operations. We have development and other facilities at multiple locations in India, and approximately 36% of our software and information technology, sales and marketing workforce is located in India. Terrorist activity in India and Pakistan has contributed to tensions between those countries and our operations in India may be adversely affected by future political and other events in the region.</w:t>
      </w:r>
    </w:p>
    <w:p>
      <w:pPr>
        <w:spacing w:after="0" w:line="6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In addition, our development facility in Cyprus may be adversely affected by political conditions in that country. As a result of intercommunal strife between the Greek and Turkish communities, Turkish troops invaded Cyprus in 1974 and continue to occupy a large portion of the island. Despite the admission of Cyprus into the European Union and recent improvements in the relations between the parties, discussions facilitated by the United Nations, the European Union and the United States have not resulted in a plan of reunification for Cyprus. Major hostilities between Cyprus and Turkey could have a material adverse effect on our development facility in Cyprus.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If we are unable to protect our proprietary technology from misappropriation, our business may be harmed.</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Any misappropriation of our technology or the development of competitive technology could seriously harm our business. Our software and software systems are largely comprised of software and systems we have developed or acquired and that we regard as proprietary. We rely upon a combination of trademarks, patents, contractual rights, trade secret law, copyrights, non-disclosure agreements and other methods to protect our proprietary rights. We enter into non-disclosure and confidentiality agreements with our customers, workforce and marketing representatives and with certain contractors with access to sensitive information, and we also limit our customer access to the source codes of our software and our software systems. However, we generally do not include in our software any mechanisms to prevent or inhibit unauthorized use.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or allow enforcement of confidentiality covenants to the same extent as the laws of the United States.</w:t>
      </w:r>
    </w:p>
    <w:p>
      <w:pPr>
        <w:spacing w:after="0" w:line="2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we have to resort to legal proceedings to enforce our intellectual property rights, the proceedings could be burdensome, protracted and expensive and could involve a high degree of risk.</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6"/>
          <w:szCs w:val="16"/>
          <w:b w:val="1"/>
          <w:bCs w:val="1"/>
          <w:i w:val="1"/>
          <w:iCs w:val="1"/>
          <w:color w:val="auto"/>
        </w:rPr>
        <w:t>Claims by others that we infringe their proprietary technology could harm our business and subject us to potentially burdensome litigation.</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software and software systems are the results of long and complex development processes, and, although our technology is not significantly dependent on patents or licenses from third parties, certain aspects of our products make use of readily available software components that we license from third parties, including our employees and contractors. As a developer of complex software systems, third parties may claim that portions of our systems violate their intellectual property rights.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w:t>
      </w:r>
    </w:p>
    <w:p>
      <w:pPr>
        <w:spacing w:after="0" w:line="6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expect that software developers will increasingly be subject to infringement claims as the number of products and competitors providing software and services to the communications industry increases and overlaps occur.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Additionally, since our 2006 acquisition of Qpass, we support service providers and media companies with respect to digital content services, which could subject us to claims related to such services. Our entry into the digital content services market has also subjected us to direct legal claims from retail consumers arising from the delivery of such services.</w:t>
      </w:r>
    </w:p>
    <w:p>
      <w:pPr>
        <w:spacing w:after="0" w:line="37"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If anyone asserts a claim against us relating to proprietary technology or information, we might seek to license their intellectual property. We might not, however,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 defects or software errors could adversely affect our business.</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Design defects or software errors may cause delays in product introductions and project implementations and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59"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Because our products are generally used by our customers to perform critical business functions, design defects, software errors, misuse of our products, incorrect data from external sources or other potential problems within or outside of our control may arise during implementation or from the use of our products, and may result in financial or other damages to our customers, for which we may be held responsible. Although we have license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right="160"/>
        <w:spacing w:after="0" w:line="268" w:lineRule="auto"/>
        <w:rPr>
          <w:sz w:val="20"/>
          <w:szCs w:val="20"/>
          <w:color w:val="auto"/>
        </w:rPr>
      </w:pPr>
      <w:r>
        <w:rPr>
          <w:rFonts w:ascii="Arial" w:cs="Arial" w:eastAsia="Arial" w:hAnsi="Arial"/>
          <w:sz w:val="18"/>
          <w:szCs w:val="18"/>
          <w:b w:val="1"/>
          <w:bCs w:val="1"/>
          <w:i w:val="1"/>
          <w:iCs w:val="1"/>
          <w:color w:val="auto"/>
        </w:rPr>
        <w:t>System disruptions and failures may result in customer dissatisfaction, customer loss or both, which could materially and adversely affect our reputation and business.</w:t>
      </w:r>
    </w:p>
    <w:p>
      <w:pPr>
        <w:spacing w:after="0" w:line="51"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systems are an integral part of our customers’ business operations. The continued and uninterrupted performance of these systems by our customers is critical to our success. Customers may become dissatisfied by any system failure that interrupts our ability to provide services to them. Sustained or repeated system failures would reduce the attractiveness of our services significantly and could result in decreased demand for our products and services.</w:t>
      </w:r>
    </w:p>
    <w:p>
      <w:pPr>
        <w:spacing w:after="0" w:line="2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ability to serve our customers depends on our ability to protect our computer systems against damage from fire, power loss, water damage, telecommunications failures, earthquake, terrorism attack, vandalism and similar unexpected adverse events. Despite our efforts to implement network security measures, our systems are also vulnerable to computer viruses, break-ins and similar disruptions from unauthorized tampering. Although we maintain insurance that we believe is appropriate for our business and industry, such coverage may not be sufficient to compensate for any significant losses that may occur as a result of any of these events.</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experienced systems outages and service interruptions in the past. To date, these outages have not had a material adverse effect on us. However, in the future, a prolonged system-wide outage or frequent outages could cause harm to our reputation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termination or reduction of certain government programs and tax benefits could adversely affect our overall effective tax rate.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There can be no assurance that our effective tax rate of 11.4% for the year ended September 30, 2012 will not change over time as a result of changes in corporate income tax rates or other changes in the tax laws of Guernsey, the jurisdiction in which our holding company is organized, or of the various countries in which we operate.</w:t>
      </w:r>
    </w:p>
    <w:p>
      <w:pPr>
        <w:spacing w:after="0" w:line="59"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benefited or currently benefit from a variety of government programs and tax benefits that generally carry conditions that we must meet in order to be eligible to obtain any benefit. For example, through subsidiaries, we operate development centers and a business processing operations center in India. In 2012, the effective corporate tax rate applicable in India on trading activities was 32.4%. Our subsidiaries in India operate under specific favorable tax entitlements that are based upon pre-approved information technology related services activity. As a result, our subsidiary in Delhi and a business unit we established in Pune in 2010 are entitled to considerable corporate income tax reductions for certain of their respective eligible income, which reduce their current applicable tax rate (cash basis) to 20%. Such favorable tax treatment is applied on all income derived from such pre-approved information technology activity, provided the subsidiaries continue to meet the conditions required for such tax benefits. The benefits applicable to our Delhi subsidiary and the Pune business unit are scheduled to phase out over 15 years from the commencement of operations. Proposed changes in Indian tax law may reduce or eliminate the availability of the noted beneficial tax rates for our Indian subsidiaries. Please see “Item 10 — Additional Information — Taxation — Certain Indian Tax Considerations” for more information.</w:t>
      </w:r>
    </w:p>
    <w:p>
      <w:pPr>
        <w:spacing w:after="0" w:line="42"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If we fail to meet the conditions upon which certain favorable tax treatment is based, we would not be able to claim future tax benefits and could be required to refund tax benefits already received. In addition, any of the following could have a material effect on our overall effective tax rate:</w:t>
      </w:r>
    </w:p>
    <w:p>
      <w:pPr>
        <w:spacing w:after="0" w:line="4"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some tax benefit programs may be limited in duration or may be discontinued,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unable to meet the requirements for continuing to qualify for some programs,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these programs and tax benefits may be unavailable at their current levels, or</w:t>
      </w:r>
    </w:p>
    <w:p>
      <w:pPr>
        <w:spacing w:after="0" w:line="90" w:lineRule="exact"/>
        <w:rPr>
          <w:rFonts w:ascii="Arial" w:cs="Arial" w:eastAsia="Arial" w:hAnsi="Arial"/>
          <w:sz w:val="18"/>
          <w:szCs w:val="18"/>
          <w:color w:val="auto"/>
        </w:rPr>
      </w:pPr>
    </w:p>
    <w:p>
      <w:pPr>
        <w:ind w:left="660" w:right="100" w:hanging="206"/>
        <w:spacing w:after="0" w:line="26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upon expiration of a particular benefit, we may not be eligible to participate in a new program or qualify for a new tax benefit that would offset the loss of the expiring tax benefit.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market price of our ordinary shares has and may continue to fluctuate widely.</w:t>
      </w:r>
    </w:p>
    <w:p>
      <w:pPr>
        <w:spacing w:after="0" w:line="90"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market price of our ordinary shares has from time to time fluctuated widely and may continue to do so. Many factors could cause the market price of our ordinary shares to rise and fall, including:</w:t>
      </w:r>
    </w:p>
    <w:p>
      <w:pPr>
        <w:spacing w:after="0" w:line="51" w:lineRule="exact"/>
        <w:rPr>
          <w:sz w:val="20"/>
          <w:szCs w:val="20"/>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market conditions in the industry and the economy as a whole,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backlog levels,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introductions of new products or new pricing policies by us or our competitors,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trends in the communications or software industries, including industry consolidation,</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acquisitions or strategic alliances by us or others in our industry,</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estimates of our performance or recommendations by financial analysts,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our shareholder base,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political developments in the Middle East or other areas of the world.</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In addition, the stock market frequently experiences significant price and volume fluctuations. In the past, market fluctuations have, from time to time, particularly affected the market prices of the securities of many high technology companies. These broad market fluctuations could adversely affect the market price of our ordinary shares.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It may be difficult for our shareholders to enforce any judgment obtained in the United States against us or our affiliates.</w:t>
      </w:r>
    </w:p>
    <w:p>
      <w:pPr>
        <w:spacing w:after="0" w:line="90"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We are incorporated under the laws of the Island of Guernsey and a majority of our directors and executive officers are not citizens or residents of the United States. A significant portion of our assets and the assets of those persons are located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United States courts of civil liabilities predicated solely upon the laws of the United States, including the federal securities laws.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INFORMATION ON THE COMPANY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History, Development and Organizational Structure of Amdocs</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Amdocs Limited was organized as a company with limited liability under the laws of the Island of Guernsey in 1988. Since 1995, Amdocs Limited has been a holding company for the various subsidiaries that conduct our business on a worldwide basis. Our global business is providing software and services solutions to enable communications companies that are major services providers in North America, Europe and the rest of the world to move toward an integrated approach to customer management. Our registered office is Suite 5, Tower Hill House Le Bordage, St. Peter Port, Guernsey, GY1 3QT, and the telephone number at that location is +44-1481-728444.</w:t>
      </w:r>
    </w:p>
    <w:p>
      <w:pPr>
        <w:spacing w:after="0" w:line="6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executive offices of our principal subsidiary in the United States are located at 1390 Timberlake Manor Parkway, Chesterfield, Missouri 63017, and the telephone number at that location is +1-314-212-8328.</w:t>
      </w:r>
    </w:p>
    <w:p>
      <w:pPr>
        <w:spacing w:after="0" w:line="51"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Our subsidiaries are organized under and subject to the laws of several countries. Our principal operating subsidiaries are in Canada, Cyprus, Hungary, India, Ireland, Israel and the United States. Please see Exhibit 8 to this Annual Report on Form 20-F for a listing of our significant subsidiaries.</w:t>
      </w:r>
    </w:p>
    <w:p>
      <w:pPr>
        <w:spacing w:after="0" w:line="4"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pursued and may continue to pursue acquisitions in order to offer new products or services or otherwise enhance our market position or strategic strengths. Since 1999, we have completed numerous acquisitions, which, among other things, have expanded our business into customer care and billing solutions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cable and satellite companies and enhanced our offerings in the OSS, digital content and commerce markets and high growth emerging markets. As part of our strategy, we may continue to pursue acquisitions and other initiatives in order to offer new products or services, or otherwise enhance our market position or strategic strengths.</w:t>
      </w:r>
    </w:p>
    <w:p>
      <w:pPr>
        <w:spacing w:after="0" w:line="5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As the result of our organic growth and acquisitions, our software and information technology, sales and marketing workforce has increased since the 2009 economic downturn from 18,051 as of the end of fiscal 2010 to 18,361 as of the end of fiscal 2011 to 18,623 as of the end of fiscal 2012. In the past, our workforce has fluctuated with changes in business conditions.</w:t>
      </w:r>
    </w:p>
    <w:p>
      <w:pPr>
        <w:spacing w:after="0" w:line="5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Our principal capital expenditures for fiscal 2012, 2011 and 2010 have been for computer equipment in our operating facilities and development centers, for which we spent approximately $107.4 million, $98.6 million and $70.6 million, respectively. As our managed services activity may expand, we may face an increase in our capital expenditures in the future. We anticipate our capital expenditures in fiscal 2013 will be financed internally and will consist of, among other things, additional computer equipment.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Amdocs is a leading provider of software and services for communications, media and entertainment industry service providers. Although our market focus has traditionally been primarily on Tier-1 and Tier-2 service providers in developed markets, we have also focused in the last several years on Tier-3 and Tier-4 providers in developed markets and on providers in emerging markets, such as Latin America, the Commonwealth of Independent States, India and Southeast Asia.</w:t>
      </w:r>
    </w:p>
    <w:p>
      <w:pPr>
        <w:spacing w:after="0" w:line="62"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develop, implement and manage software and services associated with business support systems (BSS), operational support systems (OSS) and network control product offerings to enable service providers to introduce new products and services quickly, understand their customers more deeply, process orders more efficiently, monetize data and support new business models while controlling costs. We refer to these systems collectively as customer experience systems because of the crucial impact that these systems have on the service providers’ end-user experience.</w:t>
      </w:r>
    </w:p>
    <w:p>
      <w:pPr>
        <w:spacing w:after="0" w:line="32"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believe the demand for our customer experience systems is driven by the need of service providers to help their consumers navigate the increasing number of devices, services and plans available in the connected communications world, while coping with the rapidly growing demand for data that these new devices and services have created. In fiscal 2012, we shifted our marketing focus from ‘what we do’ to ‘who we are’, based on our 30-year history of achievements that demonstrates how we are uniquely positioned to help our customers realize their vision regardless of how complex the solution may be. We embrace service providers’ biggest challenges, applying a strategy of innovation from the network and business support systems to the device and end user to ensure that our customers experience success. We continue to introduce and enhance products and services that enable service providers to simplify the customer experience, harness and capitalize on the data explosion, stay ahead with new digital services and improve operational efficiencies. Our goal is to supply scalable offerings that provide the functionality and flexibility to service providers that facilitate innovation and enable cost-effective execution. Regardless of whether providers are bringing their first offerings to market, scaling for growth, consolidating systems or transforming the way they do business, we believe that providers seek to differentiate their offerings by delivering a customer experience that is simple, personal and valuable at every point of service.</w:t>
      </w:r>
    </w:p>
    <w:p>
      <w:pPr>
        <w:spacing w:after="0" w:line="12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Industry Background</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Communications Industry</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As economic conditions remain uncertain, we believe that service providers will continue to maintain a strong focus on cost reduction and efficient operations, as seen by a number of transformation projects planned by leading service providers worldwide. The smartphone and associated communications and entertainment applications, or apps, continue to drive unprecedented growth in data demand, while other connected devices such as the iPad, Kindle and the improvement in machine-to-machine (M2M) technologies will only further this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growth in what we refer to as the “connected world”. In response to the demand for increased bandwidth, service providers, both wireline and wireless, are investing in their networks and are searching for ways to optimize and monetize their investment.</w:t>
      </w:r>
    </w:p>
    <w:p>
      <w:pPr>
        <w:spacing w:after="0" w:line="51"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In recent years, non-traditional service providers and device manufacturers have penetrated the wireless market and are now poised to compete for customer attention in the television market as well. Additionally, social networks such as Facebook and Twitter, alongside over-the-top players such as Skype, Viber and WhatsApp, have become widely-accepted alternatives to traditional voice communications. To meet the challenges from new competitors and differentiate themselves, service providers are moving towards a model of bundled services, with wireline operators, for example offering Internet Protocol TV services as well as the convergence of fixed-mobile networks. Service providers are also looking to strengthen their standing with enterprise customers, explore new opportunities in the wholesale market and provide M2M services to new vertical market segments, such as the health and automotive industries.</w:t>
      </w:r>
    </w:p>
    <w:p>
      <w:pPr>
        <w:spacing w:after="0" w:line="39"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To capture new revenue streams in the connected world, service providers will need the ability to expand within existing and non-traditional business models; they will need to provide customers with a simple and personalized experience across devices, networks, screens and services, and they must continue to build cost-efficient businesses and technical environments that can change quickly and onboard new partners. We believe service providers will place a greater emphasis on modernization and transformation projects for both network and business support systems as they look for innovative ways to improve operations.</w:t>
      </w:r>
    </w:p>
    <w:p>
      <w:pPr>
        <w:spacing w:after="0" w:line="1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As a result, we believe service providers require customer experience systems that provide the level of integration, flexibility and scalability needed to improve operational efficiency and to differentiate themselves from their competitors in an increasingly crowded marketplace. We believe these factors create significant opportunities for vendors of information technology software products and providers of managed services and end-to-end systems integration, such as Amdocs.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Amdocs Offerings</w:t>
      </w:r>
    </w:p>
    <w:p>
      <w:pPr>
        <w:spacing w:after="0" w:line="90"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We believe that our product-driven approach, commitment to and support of quality personnel and deep industry knowledge and expertise enable us to create and deliver effective offerings that are highly innovative, reliable and cost-effective. In addition, we offer software products that address the specific business needs of service providers. We believe our success derives from a combination of the following factors that differentiate us from most of our competitors.</w:t>
      </w:r>
    </w:p>
    <w:p>
      <w:pPr>
        <w:spacing w:after="0" w:line="62" w:lineRule="exact"/>
        <w:rPr>
          <w:sz w:val="20"/>
          <w:szCs w:val="20"/>
          <w:color w:val="auto"/>
        </w:rPr>
      </w:pPr>
    </w:p>
    <w:p>
      <w:pPr>
        <w:ind w:left="660" w:right="120" w:hanging="206"/>
        <w:spacing w:after="0" w:line="291"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 xml:space="preserve">Software Products. </w:t>
      </w:r>
      <w:r>
        <w:rPr>
          <w:rFonts w:ascii="Arial" w:cs="Arial" w:eastAsia="Arial" w:hAnsi="Arial"/>
          <w:sz w:val="16"/>
          <w:szCs w:val="16"/>
          <w:color w:val="auto"/>
        </w:rPr>
        <w:t>Throughout fiscal 2011 and fiscal 2012, we continued to release aspects of our Amdocs CES (Customer Experience Systems) 8</w:t>
      </w:r>
      <w:r>
        <w:rPr>
          <w:rFonts w:ascii="Arial" w:cs="Arial" w:eastAsia="Arial" w:hAnsi="Arial"/>
          <w:sz w:val="16"/>
          <w:szCs w:val="16"/>
          <w:i w:val="1"/>
          <w:iCs w:val="1"/>
          <w:color w:val="auto"/>
        </w:rPr>
        <w:t xml:space="preserve"> </w:t>
      </w:r>
      <w:r>
        <w:rPr>
          <w:rFonts w:ascii="Arial" w:cs="Arial" w:eastAsia="Arial" w:hAnsi="Arial"/>
          <w:sz w:val="16"/>
          <w:szCs w:val="16"/>
          <w:color w:val="auto"/>
        </w:rPr>
        <w:t>portfolio. Amdocs CES 8 provides integration between our post-paid and pre-paid billing, customer relationship management, operational support, network control and ordering applications and is designed to enable our customers to support new business models, devices and partnerships by centralizing common assets, such as customer, network and product data. Our portfolio of pre-integrated software products was built to span the entire customer lifecycle across BSS, OSS and service delivery to align business processes around the end customer. In addition, our products are designed to allow modular expansion as a service provider evolves, ensuring rapid, low-cost, reduced-risk implementations.</w:t>
      </w:r>
    </w:p>
    <w:p>
      <w:pPr>
        <w:spacing w:after="0" w:line="39" w:lineRule="exact"/>
        <w:rPr>
          <w:sz w:val="20"/>
          <w:szCs w:val="20"/>
          <w:color w:val="auto"/>
        </w:rPr>
      </w:pPr>
    </w:p>
    <w:p>
      <w:pPr>
        <w:ind w:left="700"/>
        <w:spacing w:after="0" w:line="255" w:lineRule="auto"/>
        <w:rPr>
          <w:sz w:val="20"/>
          <w:szCs w:val="20"/>
          <w:color w:val="auto"/>
        </w:rPr>
      </w:pPr>
      <w:r>
        <w:rPr>
          <w:rFonts w:ascii="Arial" w:cs="Arial" w:eastAsia="Arial" w:hAnsi="Arial"/>
          <w:sz w:val="18"/>
          <w:szCs w:val="18"/>
          <w:color w:val="auto"/>
        </w:rPr>
        <w:t>The Amdocs CES 8 portfolio is based on an open architecture that is intended to provide the functionality, scalability, modularity and adaptability required by service providers in their dynamic, highly competitive markets. The open architecture is based on the principles of service-oriented architecture (SOA) and business process management, which helps to ensure our products operate together or as stand-alone applications within existing environments. We believe this flexibility enables our customers to achieve significant time-to-market advantages and reduces their dependence on technical and other personnel.</w:t>
      </w:r>
    </w:p>
    <w:p>
      <w:pPr>
        <w:spacing w:after="0" w:line="62" w:lineRule="exact"/>
        <w:rPr>
          <w:sz w:val="20"/>
          <w:szCs w:val="20"/>
          <w:color w:val="auto"/>
        </w:rPr>
      </w:pPr>
    </w:p>
    <w:p>
      <w:pPr>
        <w:ind w:left="660" w:right="260" w:hanging="206"/>
        <w:spacing w:after="0" w:line="259"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Services. </w:t>
      </w:r>
      <w:r>
        <w:rPr>
          <w:rFonts w:ascii="Arial" w:cs="Arial" w:eastAsia="Arial" w:hAnsi="Arial"/>
          <w:sz w:val="18"/>
          <w:szCs w:val="18"/>
          <w:color w:val="auto"/>
        </w:rPr>
        <w:t>Our services include business consulting and systems integration as well as information technology outsourcing (ITO) and business process</w:t>
      </w:r>
      <w:r>
        <w:rPr>
          <w:rFonts w:ascii="Arial" w:cs="Arial" w:eastAsia="Arial" w:hAnsi="Arial"/>
          <w:sz w:val="18"/>
          <w:szCs w:val="18"/>
          <w:i w:val="1"/>
          <w:iCs w:val="1"/>
          <w:color w:val="auto"/>
        </w:rPr>
        <w:t xml:space="preserve"> </w:t>
      </w:r>
      <w:r>
        <w:rPr>
          <w:rFonts w:ascii="Arial" w:cs="Arial" w:eastAsia="Arial" w:hAnsi="Arial"/>
          <w:sz w:val="18"/>
          <w:szCs w:val="18"/>
          <w:color w:val="auto"/>
        </w:rPr>
        <w:t>outsourcing (BPO) managed services to support the deployment and operations of a service provider’s IT and key business processes. As a prime systems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60"/>
        <w:spacing w:after="0" w:line="298" w:lineRule="auto"/>
        <w:rPr>
          <w:sz w:val="20"/>
          <w:szCs w:val="20"/>
          <w:color w:val="auto"/>
        </w:rPr>
      </w:pPr>
      <w:r>
        <w:rPr>
          <w:rFonts w:ascii="Arial" w:cs="Arial" w:eastAsia="Arial" w:hAnsi="Arial"/>
          <w:sz w:val="16"/>
          <w:szCs w:val="16"/>
          <w:color w:val="auto"/>
        </w:rPr>
        <w:t>integrator we assume end-to-end responsibility to monitor, manage and deploy the overall development and integration activities of Amdocs and third-party vendors throughout the transformation lifecycle. Our managed services provides multi-year, flexible and tailored business processes and applications services, including, application development and maintenance, IT and infrastructure services and professional services that are designed to assist customers in the selection, implementation, operation, management and maintenance of their IT systems.</w:t>
      </w:r>
    </w:p>
    <w:p>
      <w:pPr>
        <w:spacing w:after="0" w:line="32" w:lineRule="exact"/>
        <w:rPr>
          <w:sz w:val="20"/>
          <w:szCs w:val="20"/>
          <w:color w:val="auto"/>
        </w:rPr>
      </w:pPr>
    </w:p>
    <w:p>
      <w:pPr>
        <w:ind w:left="660" w:right="240" w:hanging="206"/>
        <w:spacing w:after="0" w:line="332"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i w:val="1"/>
          <w:iCs w:val="1"/>
          <w:color w:val="auto"/>
        </w:rPr>
        <w:t xml:space="preserve">Solution Packs. </w:t>
      </w:r>
      <w:r>
        <w:rPr>
          <w:rFonts w:ascii="Arial" w:cs="Arial" w:eastAsia="Arial" w:hAnsi="Arial"/>
          <w:sz w:val="16"/>
          <w:szCs w:val="16"/>
          <w:color w:val="auto"/>
        </w:rPr>
        <w:t>“Packs” are turnkey versions of our products, designed for fast, lower-cost implementation. We believe that these packaged offerings</w:t>
      </w:r>
      <w:r>
        <w:rPr>
          <w:rFonts w:ascii="Arial" w:cs="Arial" w:eastAsia="Arial" w:hAnsi="Arial"/>
          <w:sz w:val="16"/>
          <w:szCs w:val="16"/>
          <w:i w:val="1"/>
          <w:iCs w:val="1"/>
          <w:color w:val="auto"/>
        </w:rPr>
        <w:t xml:space="preserve"> </w:t>
      </w:r>
      <w:r>
        <w:rPr>
          <w:rFonts w:ascii="Arial" w:cs="Arial" w:eastAsia="Arial" w:hAnsi="Arial"/>
          <w:sz w:val="16"/>
          <w:szCs w:val="16"/>
          <w:color w:val="auto"/>
        </w:rPr>
        <w:t>provide our customers with timely, cost-effective, relatively low-risk solutions to specific business issues at a consistent level of quality.</w:t>
      </w:r>
    </w:p>
    <w:p>
      <w:pPr>
        <w:spacing w:after="0" w:line="4" w:lineRule="exact"/>
        <w:rPr>
          <w:rFonts w:ascii="Arial" w:cs="Arial" w:eastAsia="Arial" w:hAnsi="Arial"/>
          <w:sz w:val="16"/>
          <w:szCs w:val="16"/>
          <w:color w:val="auto"/>
        </w:rPr>
      </w:pPr>
    </w:p>
    <w:p>
      <w:pPr>
        <w:ind w:left="660" w:right="220" w:hanging="206"/>
        <w:spacing w:after="0" w:line="254"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 xml:space="preserve">Experience. </w:t>
      </w:r>
      <w:r>
        <w:rPr>
          <w:rFonts w:ascii="Arial" w:cs="Arial" w:eastAsia="Arial" w:hAnsi="Arial"/>
          <w:sz w:val="18"/>
          <w:szCs w:val="18"/>
          <w:color w:val="auto"/>
        </w:rPr>
        <w:t>We are able to offer our customers superior products and services on a worldwide basis in large part because of our highly qualified and</w:t>
      </w:r>
      <w:r>
        <w:rPr>
          <w:rFonts w:ascii="Arial" w:cs="Arial" w:eastAsia="Arial" w:hAnsi="Arial"/>
          <w:sz w:val="18"/>
          <w:szCs w:val="18"/>
          <w:i w:val="1"/>
          <w:iCs w:val="1"/>
          <w:color w:val="auto"/>
        </w:rPr>
        <w:t xml:space="preserve"> </w:t>
      </w:r>
      <w:r>
        <w:rPr>
          <w:rFonts w:ascii="Arial" w:cs="Arial" w:eastAsia="Arial" w:hAnsi="Arial"/>
          <w:sz w:val="18"/>
          <w:szCs w:val="18"/>
          <w:color w:val="auto"/>
        </w:rPr>
        <w:t>trained technical, sales, marketing, consulting and management personnel. We combine deep industry knowledge and experience, advanced methodologies, industry best practices and pre-configured tools to help deliver consistent results and minimize our customers’ risks. We invest significantly in the ongoing training of our personnel in key areas such as industry knowledge, software technologies and management capabilities. Based in significant part on the skills and knowledge of our workforce, we believe that we have developed a reputation for reliably delivering quality solutions.</w:t>
      </w:r>
    </w:p>
    <w:p>
      <w:pPr>
        <w:spacing w:after="0" w:line="6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Due to the complex and dynamic nature of our customers’ business needs, the products and services that we provide are typically integrated and designed to work in concert to provide each customer with a complete solution.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90"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Our goal is to provide products, services and support to the world’s leading service providers as they evolve to remain relevant and competitive in the connected world. We seek to accomplish our goal by pursuing the strategies described below.</w:t>
      </w:r>
    </w:p>
    <w:p>
      <w:pPr>
        <w:spacing w:after="0" w:line="51" w:lineRule="exact"/>
        <w:rPr>
          <w:sz w:val="20"/>
          <w:szCs w:val="20"/>
          <w:color w:val="auto"/>
        </w:rPr>
      </w:pPr>
    </w:p>
    <w:p>
      <w:pPr>
        <w:ind w:left="660" w:right="200" w:hanging="206"/>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Continued Focus on the Communications, Media and Entertainment Industry. </w:t>
      </w:r>
      <w:r>
        <w:rPr>
          <w:rFonts w:ascii="Arial" w:cs="Arial" w:eastAsia="Arial" w:hAnsi="Arial"/>
          <w:sz w:val="18"/>
          <w:szCs w:val="18"/>
          <w:color w:val="auto"/>
        </w:rPr>
        <w:t>We focus our resources and efforts primarily on providing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 systems to service providers in the communications, media and entertainment industry. This strategy has enabled us to develop the specialized industry know-how and capability necessary to deliver the technologically advanced, large-scale, specifications-intensive customer experience systems required by the leading wireless, wireline, broadband cable and satellite companies. We consider our longstanding and continuing focus on this industry a competitive advantage.</w:t>
      </w:r>
    </w:p>
    <w:p>
      <w:pPr>
        <w:spacing w:after="0" w:line="61" w:lineRule="exact"/>
        <w:rPr>
          <w:rFonts w:ascii="Arial" w:cs="Arial" w:eastAsia="Arial" w:hAnsi="Arial"/>
          <w:sz w:val="18"/>
          <w:szCs w:val="18"/>
          <w:color w:val="auto"/>
        </w:rPr>
      </w:pPr>
    </w:p>
    <w:p>
      <w:pPr>
        <w:ind w:left="660" w:right="220" w:hanging="206"/>
        <w:spacing w:after="0" w:line="25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Target Industry Leaders. </w:t>
      </w:r>
      <w:r>
        <w:rPr>
          <w:rFonts w:ascii="Arial" w:cs="Arial" w:eastAsia="Arial" w:hAnsi="Arial"/>
          <w:sz w:val="18"/>
          <w:szCs w:val="18"/>
          <w:color w:val="auto"/>
        </w:rPr>
        <w:t>We intend to continue to direct our marketing efforts primarily toward communications, media and entertainment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leaders. By targeting such leading service providers, which require the most sophisticated customer experience systems, we believe that we are better able to remain at the forefront of developments in the industry. We derive the substantial majority of our revenues from our customer base of major service providers. We believe that the development of this customer base has helped position us as a market leader, while contributing to the core strength of our business.</w:t>
      </w:r>
    </w:p>
    <w:p>
      <w:pPr>
        <w:spacing w:after="0" w:line="61" w:lineRule="exact"/>
        <w:rPr>
          <w:rFonts w:ascii="Arial" w:cs="Arial" w:eastAsia="Arial" w:hAnsi="Arial"/>
          <w:sz w:val="18"/>
          <w:szCs w:val="18"/>
          <w:color w:val="auto"/>
        </w:rPr>
      </w:pPr>
    </w:p>
    <w:p>
      <w:pPr>
        <w:ind w:left="660" w:hanging="206"/>
        <w:spacing w:after="0" w:line="290"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i w:val="1"/>
          <w:iCs w:val="1"/>
          <w:color w:val="auto"/>
        </w:rPr>
        <w:t xml:space="preserve">Continued Expansion into Emerging Markets. </w:t>
      </w:r>
      <w:r>
        <w:rPr>
          <w:rFonts w:ascii="Arial" w:cs="Arial" w:eastAsia="Arial" w:hAnsi="Arial"/>
          <w:sz w:val="16"/>
          <w:szCs w:val="16"/>
          <w:color w:val="auto"/>
        </w:rPr>
        <w:t>We continue to improve our ability to serve the needs of service providers operating in emerging markets.</w:t>
      </w:r>
      <w:r>
        <w:rPr>
          <w:rFonts w:ascii="Arial" w:cs="Arial" w:eastAsia="Arial" w:hAnsi="Arial"/>
          <w:sz w:val="16"/>
          <w:szCs w:val="16"/>
          <w:i w:val="1"/>
          <w:iCs w:val="1"/>
          <w:color w:val="auto"/>
        </w:rPr>
        <w:t xml:space="preserve"> </w:t>
      </w:r>
      <w:r>
        <w:rPr>
          <w:rFonts w:ascii="Arial" w:cs="Arial" w:eastAsia="Arial" w:hAnsi="Arial"/>
          <w:sz w:val="16"/>
          <w:szCs w:val="16"/>
          <w:color w:val="auto"/>
        </w:rPr>
        <w:t>Prepaid subscriber growth remains high and average revenue per user remains relatively low in these markets in comparison to more developed Western markets. At the same time, however, we have started to see a shift in service provider focus as they begin to regard the customer experience as a key competitive differentiator. Our prospective customers in these markets vary dramatically, with some service providers serving subscriber bases already numbering in the hundreds of millions and others introducing communications services to communities for the first time. We believe this shift in focus on the customer experience and the wide spectrum of emerging market service providers require offerings ranging from relatively low-cost systems with pre-packaged services that can be implemented rapidly, to more robust services, to complete customer experience systems.</w:t>
      </w:r>
    </w:p>
    <w:p>
      <w:pPr>
        <w:spacing w:after="0" w:line="37" w:lineRule="exact"/>
        <w:rPr>
          <w:rFonts w:ascii="Arial" w:cs="Arial" w:eastAsia="Arial" w:hAnsi="Arial"/>
          <w:sz w:val="16"/>
          <w:szCs w:val="16"/>
          <w:color w:val="auto"/>
        </w:rPr>
      </w:pPr>
    </w:p>
    <w:p>
      <w:pPr>
        <w:ind w:left="660" w:right="320" w:hanging="206"/>
        <w:spacing w:after="0" w:line="26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 xml:space="preserve">Provide Customers with a Broad, Deep Portfolio of Integrated Products. </w:t>
      </w:r>
      <w:r>
        <w:rPr>
          <w:rFonts w:ascii="Arial" w:cs="Arial" w:eastAsia="Arial" w:hAnsi="Arial"/>
          <w:sz w:val="18"/>
          <w:szCs w:val="18"/>
          <w:color w:val="auto"/>
        </w:rPr>
        <w:t>We seek to provide our customers with a broad, yet integrated, portfolio of</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to help them deliver a customer experience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120"/>
        <w:spacing w:after="0" w:line="291" w:lineRule="auto"/>
        <w:rPr>
          <w:sz w:val="20"/>
          <w:szCs w:val="20"/>
          <w:color w:val="auto"/>
        </w:rPr>
      </w:pPr>
      <w:r>
        <w:rPr>
          <w:rFonts w:ascii="Arial" w:cs="Arial" w:eastAsia="Arial" w:hAnsi="Arial"/>
          <w:sz w:val="16"/>
          <w:szCs w:val="16"/>
          <w:color w:val="auto"/>
        </w:rPr>
        <w:t>that is simple, personal and valuable at every point of service. We provide customer experience systems across the BSS, OSS and network control domains, service delivery platforms and multiple lines of business, including wireline, wireless, broadband cable and satellite services. Integration of our systems is achieved through an open, service-oriented architecture, allowing our products to work well together and with third-party products. This holistic approach serves to support the world’s largest service providers throughout their often international operations. We believe that our ability to provide a broad, deep suite of products helps position us as a strategic partner for our customers, and also provides us with multiple avenues for strengthening and expanding our ongoing customer relationships.</w:t>
      </w:r>
    </w:p>
    <w:p>
      <w:pPr>
        <w:spacing w:after="0" w:line="39" w:lineRule="exact"/>
        <w:rPr>
          <w:sz w:val="20"/>
          <w:szCs w:val="20"/>
          <w:color w:val="auto"/>
        </w:rPr>
      </w:pPr>
    </w:p>
    <w:p>
      <w:pPr>
        <w:ind w:left="660" w:hanging="206"/>
        <w:spacing w:after="0" w:line="294"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Leverage Our Managed Services Capabilities. </w:t>
      </w:r>
      <w:r>
        <w:rPr>
          <w:rFonts w:ascii="Arial" w:cs="Arial" w:eastAsia="Arial" w:hAnsi="Arial"/>
          <w:sz w:val="16"/>
          <w:szCs w:val="16"/>
          <w:color w:val="auto"/>
        </w:rPr>
        <w:t>Managed services enable us to assume responsibility for the operation and management of our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Amdocs systems, as well as systems developed by in-house IT departments or by other vendors, and can extend across the service provider’s entire IT and encompass key business process operational needs. Our customers receive improved efficiencies and long-term savings over the day-to-day costs of operating and maintaining these systems, so they can focus on their own internal strengths, leaving systems concerns to us. Managed services also benefit us, as they can be a source of predictable revenue and long-term relationships.</w:t>
      </w:r>
    </w:p>
    <w:p>
      <w:pPr>
        <w:spacing w:after="0" w:line="34" w:lineRule="exact"/>
        <w:rPr>
          <w:rFonts w:ascii="Arial" w:cs="Arial" w:eastAsia="Arial" w:hAnsi="Arial"/>
          <w:sz w:val="16"/>
          <w:szCs w:val="16"/>
          <w:color w:val="auto"/>
        </w:rPr>
      </w:pPr>
    </w:p>
    <w:p>
      <w:pPr>
        <w:ind w:left="660" w:right="220" w:hanging="206"/>
        <w:spacing w:after="0" w:line="29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i w:val="1"/>
          <w:iCs w:val="1"/>
          <w:color w:val="auto"/>
        </w:rPr>
        <w:t xml:space="preserve">Maintain and Develop Long-Term Customer Relationships. </w:t>
      </w:r>
      <w:r>
        <w:rPr>
          <w:rFonts w:ascii="Arial" w:cs="Arial" w:eastAsia="Arial" w:hAnsi="Arial"/>
          <w:sz w:val="16"/>
          <w:szCs w:val="16"/>
          <w:color w:val="auto"/>
        </w:rPr>
        <w:t>We seek to maintain and develop long-term, mutually beneficial relationships with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and have organized our internal operations to better anticipate and respond to their needs. We believe these relationships can lead to additional product sales, as well as ongoing, long-term support, system enhancement and maintenance, and managed services agreements. We believe that such relationships are facilitated in many cases by the mission-critical, strategic nature of Amdocs systems and by the added value we provide through our specialized skills and knowledge. We believe that the longevity of our customer relationships and the recurring revenue that such relationships produce provide a competitive advantage for us.</w:t>
      </w:r>
    </w:p>
    <w:p>
      <w:pPr>
        <w:spacing w:after="0" w:line="12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Products</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product offerings consist of an extensive software portfolio that we have developed to provide comprehensive customer experience systems functionality for service providers. Our software systems support the full span of the customer lifecycle: revenue management, customer management, operations support, network control and digital services. Further, our systems employ a common architecture, including shared frameworks and services for deployment, configuration, integration, security, user interface and monitoring and control. We also provide solutions for high growth and emerging markets, as well as advertising and media solutions for digital local marketing and search service providers, including directory publishers.</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products focus on:</w:t>
      </w:r>
    </w:p>
    <w:p>
      <w:pPr>
        <w:spacing w:after="0" w:line="90" w:lineRule="exact"/>
        <w:rPr>
          <w:sz w:val="20"/>
          <w:szCs w:val="20"/>
          <w:color w:val="auto"/>
        </w:rPr>
      </w:pPr>
    </w:p>
    <w:p>
      <w:pPr>
        <w:ind w:left="660" w:right="560" w:hanging="206"/>
        <w:spacing w:after="0" w:line="268"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Revenue Management: </w:t>
      </w:r>
      <w:r>
        <w:rPr>
          <w:rFonts w:ascii="Arial" w:cs="Arial" w:eastAsia="Arial" w:hAnsi="Arial"/>
          <w:sz w:val="18"/>
          <w:szCs w:val="18"/>
          <w:color w:val="auto"/>
        </w:rPr>
        <w:t>Products that manage the end-to-end network services revenue stream from offer definition to cash-in-hand and spans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consumer, business and partner domains. Amdocs’ Revenue Management offerings include:</w:t>
      </w:r>
    </w:p>
    <w:p>
      <w:pPr>
        <w:spacing w:after="0" w:line="50" w:lineRule="exact"/>
        <w:rPr>
          <w:rFonts w:ascii="Arial" w:cs="Arial" w:eastAsia="Arial" w:hAnsi="Arial"/>
          <w:sz w:val="18"/>
          <w:szCs w:val="18"/>
          <w:color w:val="auto"/>
        </w:rPr>
      </w:pPr>
    </w:p>
    <w:p>
      <w:pPr>
        <w:ind w:left="900" w:right="240" w:hanging="217"/>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Convergent Charging and Billing: </w:t>
      </w:r>
      <w:r>
        <w:rPr>
          <w:rFonts w:ascii="Arial" w:cs="Arial" w:eastAsia="Arial" w:hAnsi="Arial"/>
          <w:sz w:val="18"/>
          <w:szCs w:val="18"/>
          <w:color w:val="auto"/>
        </w:rPr>
        <w:t>enables the consumption, monetization and management of network services across any customer, network and</w:t>
      </w:r>
      <w:r>
        <w:rPr>
          <w:rFonts w:ascii="Arial" w:cs="Arial" w:eastAsia="Arial" w:hAnsi="Arial"/>
          <w:sz w:val="18"/>
          <w:szCs w:val="18"/>
          <w:i w:val="1"/>
          <w:iCs w:val="1"/>
          <w:color w:val="auto"/>
        </w:rPr>
        <w:t xml:space="preserve"> </w:t>
      </w:r>
      <w:r>
        <w:rPr>
          <w:rFonts w:ascii="Arial" w:cs="Arial" w:eastAsia="Arial" w:hAnsi="Arial"/>
          <w:sz w:val="18"/>
          <w:szCs w:val="18"/>
          <w:color w:val="auto"/>
        </w:rPr>
        <w:t>device type and supports all lines of business and payment types.</w:t>
      </w:r>
    </w:p>
    <w:p>
      <w:pPr>
        <w:spacing w:after="0" w:line="50" w:lineRule="exact"/>
        <w:rPr>
          <w:rFonts w:ascii="Arial" w:cs="Arial" w:eastAsia="Arial" w:hAnsi="Arial"/>
          <w:sz w:val="18"/>
          <w:szCs w:val="18"/>
          <w:color w:val="auto"/>
        </w:rPr>
      </w:pPr>
    </w:p>
    <w:p>
      <w:pPr>
        <w:ind w:left="900" w:right="80" w:hanging="217"/>
        <w:spacing w:after="0" w:line="268"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Mediation: </w:t>
      </w:r>
      <w:r>
        <w:rPr>
          <w:rFonts w:ascii="Arial" w:cs="Arial" w:eastAsia="Arial" w:hAnsi="Arial"/>
          <w:sz w:val="18"/>
          <w:szCs w:val="18"/>
          <w:color w:val="auto"/>
        </w:rPr>
        <w:t>enables service providers to address BSS/OSS data processing and event handling needs across all lines of business and to transform raw</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data into actionable business information.</w:t>
      </w:r>
    </w:p>
    <w:p>
      <w:pPr>
        <w:spacing w:after="0" w:line="50" w:lineRule="exact"/>
        <w:rPr>
          <w:rFonts w:ascii="Arial" w:cs="Arial" w:eastAsia="Arial" w:hAnsi="Arial"/>
          <w:sz w:val="18"/>
          <w:szCs w:val="18"/>
          <w:color w:val="auto"/>
        </w:rPr>
      </w:pPr>
    </w:p>
    <w:p>
      <w:pPr>
        <w:ind w:left="900" w:right="340" w:hanging="217"/>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Partner Management: </w:t>
      </w:r>
      <w:r>
        <w:rPr>
          <w:rFonts w:ascii="Arial" w:cs="Arial" w:eastAsia="Arial" w:hAnsi="Arial"/>
          <w:sz w:val="18"/>
          <w:szCs w:val="18"/>
          <w:color w:val="auto"/>
        </w:rPr>
        <w:t>enables end-to-end partner lifecycle management for different aspects of partnership relationships, including interconnect,</w:t>
      </w:r>
      <w:r>
        <w:rPr>
          <w:rFonts w:ascii="Arial" w:cs="Arial" w:eastAsia="Arial" w:hAnsi="Arial"/>
          <w:sz w:val="18"/>
          <w:szCs w:val="18"/>
          <w:i w:val="1"/>
          <w:iCs w:val="1"/>
          <w:color w:val="auto"/>
        </w:rPr>
        <w:t xml:space="preserve"> </w:t>
      </w:r>
      <w:r>
        <w:rPr>
          <w:rFonts w:ascii="Arial" w:cs="Arial" w:eastAsia="Arial" w:hAnsi="Arial"/>
          <w:sz w:val="18"/>
          <w:szCs w:val="18"/>
          <w:color w:val="auto"/>
        </w:rPr>
        <w:t>roaming, wholesale and mobile virtual network operator (MVNO) (a mobile service provider that does not have its own spectrum), content and advertising and dealer management.</w:t>
      </w:r>
    </w:p>
    <w:p>
      <w:pPr>
        <w:spacing w:after="0" w:line="59" w:lineRule="exact"/>
        <w:rPr>
          <w:rFonts w:ascii="Arial" w:cs="Arial" w:eastAsia="Arial" w:hAnsi="Arial"/>
          <w:sz w:val="18"/>
          <w:szCs w:val="18"/>
          <w:color w:val="auto"/>
        </w:rPr>
      </w:pPr>
    </w:p>
    <w:p>
      <w:pPr>
        <w:ind w:left="900" w:right="60" w:hanging="217"/>
        <w:spacing w:after="0" w:line="259" w:lineRule="auto"/>
        <w:tabs>
          <w:tab w:leader="none" w:pos="900" w:val="left"/>
        </w:tabs>
        <w:numPr>
          <w:ilvl w:val="1"/>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Service Delivery: </w:t>
      </w:r>
      <w:r>
        <w:rPr>
          <w:rFonts w:ascii="Arial" w:cs="Arial" w:eastAsia="Arial" w:hAnsi="Arial"/>
          <w:sz w:val="18"/>
          <w:szCs w:val="18"/>
          <w:color w:val="auto"/>
        </w:rPr>
        <w:t>focuses on service creation, deployment and execution to enable service providers to rapidly deliver new services to any user on</w:t>
      </w:r>
      <w:r>
        <w:rPr>
          <w:rFonts w:ascii="Arial" w:cs="Arial" w:eastAsia="Arial" w:hAnsi="Arial"/>
          <w:sz w:val="18"/>
          <w:szCs w:val="18"/>
          <w:i w:val="1"/>
          <w:iCs w:val="1"/>
          <w:color w:val="auto"/>
        </w:rPr>
        <w:t xml:space="preserve"> </w:t>
      </w:r>
      <w:r>
        <w:rPr>
          <w:rFonts w:ascii="Arial" w:cs="Arial" w:eastAsia="Arial" w:hAnsi="Arial"/>
          <w:sz w:val="18"/>
          <w:szCs w:val="18"/>
          <w:color w:val="auto"/>
        </w:rPr>
        <w:t>any network. These offerings leverage Amdocs’ Service Platform which is a real-time, open, standards-based, Java service delivery environment, for developing,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line="268" w:lineRule="auto"/>
        <w:rPr>
          <w:sz w:val="20"/>
          <w:szCs w:val="20"/>
          <w:color w:val="auto"/>
        </w:rPr>
      </w:pPr>
      <w:r>
        <w:rPr>
          <w:rFonts w:ascii="Arial" w:cs="Arial" w:eastAsia="Arial" w:hAnsi="Arial"/>
          <w:sz w:val="18"/>
          <w:szCs w:val="18"/>
          <w:color w:val="auto"/>
        </w:rPr>
        <w:t>integrating, deploying and managing communications services across a multi-network environment, including fixed, mobile, IP-Multimedia subsystem (IMS), SS7 and IP-based, to capitalize on over-the-top (OTT) and third-party developer opportunities.</w:t>
      </w:r>
    </w:p>
    <w:p>
      <w:pPr>
        <w:spacing w:after="0" w:line="51" w:lineRule="exact"/>
        <w:rPr>
          <w:sz w:val="20"/>
          <w:szCs w:val="20"/>
          <w:color w:val="auto"/>
        </w:rPr>
      </w:pPr>
    </w:p>
    <w:p>
      <w:pPr>
        <w:ind w:left="900" w:right="180" w:hanging="217"/>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Compact Convergence: </w:t>
      </w:r>
      <w:r>
        <w:rPr>
          <w:rFonts w:ascii="Arial" w:cs="Arial" w:eastAsia="Arial" w:hAnsi="Arial"/>
          <w:sz w:val="18"/>
          <w:szCs w:val="18"/>
          <w:color w:val="auto"/>
        </w:rPr>
        <w:t>is a real-time converged billing and service delivery solution for small to medium-sized service providers, MVNOs and for</w:t>
      </w:r>
      <w:r>
        <w:rPr>
          <w:rFonts w:ascii="Arial" w:cs="Arial" w:eastAsia="Arial" w:hAnsi="Arial"/>
          <w:sz w:val="18"/>
          <w:szCs w:val="18"/>
          <w:i w:val="1"/>
          <w:iCs w:val="1"/>
          <w:color w:val="auto"/>
        </w:rPr>
        <w:t xml:space="preserve"> </w:t>
      </w:r>
      <w:r>
        <w:rPr>
          <w:rFonts w:ascii="Arial" w:cs="Arial" w:eastAsia="Arial" w:hAnsi="Arial"/>
          <w:sz w:val="18"/>
          <w:szCs w:val="18"/>
          <w:color w:val="auto"/>
        </w:rPr>
        <w:t>mobile virtual network enablers that provide services to MVNOs. This offering features out-of-the-box essential business functionality, such as invoicing and provisioning, customer care, self Web-care and reporting capabilities.</w:t>
      </w:r>
    </w:p>
    <w:p>
      <w:pPr>
        <w:spacing w:after="0" w:line="59" w:lineRule="exact"/>
        <w:rPr>
          <w:rFonts w:ascii="Arial" w:cs="Arial" w:eastAsia="Arial" w:hAnsi="Arial"/>
          <w:sz w:val="18"/>
          <w:szCs w:val="18"/>
          <w:color w:val="auto"/>
        </w:rPr>
      </w:pPr>
    </w:p>
    <w:p>
      <w:pPr>
        <w:ind w:left="660" w:right="22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Customer Management: </w:t>
      </w:r>
      <w:r>
        <w:rPr>
          <w:rFonts w:ascii="Arial" w:cs="Arial" w:eastAsia="Arial" w:hAnsi="Arial"/>
          <w:sz w:val="18"/>
          <w:szCs w:val="18"/>
          <w:color w:val="auto"/>
        </w:rPr>
        <w:t>Products that transform the way service providers deliver a cost-effective, superior customer experience across all interaction</w:t>
      </w:r>
      <w:r>
        <w:rPr>
          <w:rFonts w:ascii="Arial" w:cs="Arial" w:eastAsia="Arial" w:hAnsi="Arial"/>
          <w:sz w:val="18"/>
          <w:szCs w:val="18"/>
          <w:i w:val="1"/>
          <w:iCs w:val="1"/>
          <w:color w:val="auto"/>
        </w:rPr>
        <w:t xml:space="preserve"> </w:t>
      </w:r>
      <w:r>
        <w:rPr>
          <w:rFonts w:ascii="Arial" w:cs="Arial" w:eastAsia="Arial" w:hAnsi="Arial"/>
          <w:sz w:val="18"/>
          <w:szCs w:val="18"/>
          <w:color w:val="auto"/>
        </w:rPr>
        <w:t>channels and touch points. Amdocs’ Customer Management offerings include:</w:t>
      </w:r>
    </w:p>
    <w:p>
      <w:pPr>
        <w:spacing w:after="0" w:line="50" w:lineRule="exact"/>
        <w:rPr>
          <w:rFonts w:ascii="Arial" w:cs="Arial" w:eastAsia="Arial" w:hAnsi="Arial"/>
          <w:sz w:val="18"/>
          <w:szCs w:val="18"/>
          <w:color w:val="auto"/>
        </w:rPr>
      </w:pPr>
    </w:p>
    <w:p>
      <w:pPr>
        <w:ind w:left="900" w:hanging="217"/>
        <w:spacing w:after="0"/>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Multichannel Selling: </w:t>
      </w:r>
      <w:r>
        <w:rPr>
          <w:rFonts w:ascii="Arial" w:cs="Arial" w:eastAsia="Arial" w:hAnsi="Arial"/>
          <w:sz w:val="16"/>
          <w:szCs w:val="16"/>
          <w:color w:val="auto"/>
        </w:rPr>
        <w:t>unifies all sales channels around a single sales and ordering hub to provide the most complete order-to-cash cycle.</w:t>
      </w:r>
    </w:p>
    <w:p>
      <w:pPr>
        <w:spacing w:after="0" w:line="113" w:lineRule="exact"/>
        <w:rPr>
          <w:rFonts w:ascii="Arial" w:cs="Arial" w:eastAsia="Arial" w:hAnsi="Arial"/>
          <w:sz w:val="16"/>
          <w:szCs w:val="16"/>
          <w:color w:val="auto"/>
        </w:rPr>
      </w:pPr>
    </w:p>
    <w:p>
      <w:pPr>
        <w:ind w:left="900" w:right="40" w:hanging="217"/>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Assisted Multichannel: </w:t>
      </w:r>
      <w:r>
        <w:rPr>
          <w:rFonts w:ascii="Arial" w:cs="Arial" w:eastAsia="Arial" w:hAnsi="Arial"/>
          <w:sz w:val="18"/>
          <w:szCs w:val="18"/>
          <w:color w:val="auto"/>
        </w:rPr>
        <w:t>delivers a complete view of the customer across all lines of business to ensure all customer service channels can quickly and</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effectively diagnose and resolve customer issues, as well as handle escalations resulting from customer complaints, trouble tickets or cases submitted via a self-service channel.</w:t>
      </w:r>
    </w:p>
    <w:p>
      <w:pPr>
        <w:spacing w:after="0" w:line="59" w:lineRule="exact"/>
        <w:rPr>
          <w:rFonts w:ascii="Arial" w:cs="Arial" w:eastAsia="Arial" w:hAnsi="Arial"/>
          <w:sz w:val="18"/>
          <w:szCs w:val="18"/>
          <w:color w:val="auto"/>
        </w:rPr>
      </w:pPr>
    </w:p>
    <w:p>
      <w:pPr>
        <w:ind w:left="660" w:right="80" w:hanging="206"/>
        <w:spacing w:after="0" w:line="268"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OSS: </w:t>
      </w:r>
      <w:r>
        <w:rPr>
          <w:rFonts w:ascii="Arial" w:cs="Arial" w:eastAsia="Arial" w:hAnsi="Arial"/>
          <w:sz w:val="18"/>
          <w:szCs w:val="18"/>
          <w:color w:val="auto"/>
        </w:rPr>
        <w:t>Products that comprise the core operational support systems, such as network planning, service fulfillment and assurance. Amdocs’ OSS offerings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w:t>
      </w:r>
    </w:p>
    <w:p>
      <w:pPr>
        <w:spacing w:after="0" w:line="50" w:lineRule="exact"/>
        <w:rPr>
          <w:rFonts w:ascii="Arial" w:cs="Arial" w:eastAsia="Arial" w:hAnsi="Arial"/>
          <w:sz w:val="18"/>
          <w:szCs w:val="18"/>
          <w:color w:val="auto"/>
        </w:rPr>
      </w:pPr>
    </w:p>
    <w:p>
      <w:pPr>
        <w:ind w:left="900" w:right="160" w:hanging="217"/>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Network Planning: </w:t>
      </w:r>
      <w:r>
        <w:rPr>
          <w:rFonts w:ascii="Arial" w:cs="Arial" w:eastAsia="Arial" w:hAnsi="Arial"/>
          <w:sz w:val="18"/>
          <w:szCs w:val="18"/>
          <w:color w:val="auto"/>
        </w:rPr>
        <w:t>enables network planners to analyze current, short- and long-term consumption trends of network resources and to plan and roll</w:t>
      </w:r>
      <w:r>
        <w:rPr>
          <w:rFonts w:ascii="Arial" w:cs="Arial" w:eastAsia="Arial" w:hAnsi="Arial"/>
          <w:sz w:val="18"/>
          <w:szCs w:val="18"/>
          <w:i w:val="1"/>
          <w:iCs w:val="1"/>
          <w:color w:val="auto"/>
        </w:rPr>
        <w:t xml:space="preserve"> </w:t>
      </w:r>
      <w:r>
        <w:rPr>
          <w:rFonts w:ascii="Arial" w:cs="Arial" w:eastAsia="Arial" w:hAnsi="Arial"/>
          <w:sz w:val="18"/>
          <w:szCs w:val="18"/>
          <w:color w:val="auto"/>
        </w:rPr>
        <w:t>out a “service-ready network.”</w:t>
      </w:r>
    </w:p>
    <w:p>
      <w:pPr>
        <w:spacing w:after="0" w:line="50" w:lineRule="exact"/>
        <w:rPr>
          <w:rFonts w:ascii="Arial" w:cs="Arial" w:eastAsia="Arial" w:hAnsi="Arial"/>
          <w:sz w:val="18"/>
          <w:szCs w:val="18"/>
          <w:color w:val="auto"/>
        </w:rPr>
      </w:pPr>
    </w:p>
    <w:p>
      <w:pPr>
        <w:ind w:left="900" w:right="240" w:hanging="217"/>
        <w:spacing w:after="0" w:line="256"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Service Fulfillment: </w:t>
      </w:r>
      <w:r>
        <w:rPr>
          <w:rFonts w:ascii="Arial" w:cs="Arial" w:eastAsia="Arial" w:hAnsi="Arial"/>
          <w:sz w:val="18"/>
          <w:szCs w:val="18"/>
          <w:color w:val="auto"/>
        </w:rPr>
        <w:t>formalizes and automates the order-to-activation processes for residential, small and medium-sized businesses (SMBs) and</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customers. The offering includes pre-packaged automation for specific services and lines of business, including broadband, satellite and cable and supports the fulfillment of multiple services, either to support a convergent services bundle or to standardize fulfillment across the organization with a single interface for all fulfillment processes.</w:t>
      </w:r>
    </w:p>
    <w:p>
      <w:pPr>
        <w:spacing w:after="0" w:line="62" w:lineRule="exact"/>
        <w:rPr>
          <w:rFonts w:ascii="Arial" w:cs="Arial" w:eastAsia="Arial" w:hAnsi="Arial"/>
          <w:sz w:val="18"/>
          <w:szCs w:val="18"/>
          <w:color w:val="auto"/>
        </w:rPr>
      </w:pPr>
    </w:p>
    <w:p>
      <w:pPr>
        <w:ind w:left="900" w:right="320" w:hanging="217"/>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Service Assurance: </w:t>
      </w:r>
      <w:r>
        <w:rPr>
          <w:rFonts w:ascii="Arial" w:cs="Arial" w:eastAsia="Arial" w:hAnsi="Arial"/>
          <w:sz w:val="18"/>
          <w:szCs w:val="18"/>
          <w:color w:val="auto"/>
        </w:rPr>
        <w:t>supports service assurance by managing the problem resolution process, including impact analysis to assess what services are</w:t>
      </w:r>
      <w:r>
        <w:rPr>
          <w:rFonts w:ascii="Arial" w:cs="Arial" w:eastAsia="Arial" w:hAnsi="Arial"/>
          <w:sz w:val="18"/>
          <w:szCs w:val="18"/>
          <w:i w:val="1"/>
          <w:iCs w:val="1"/>
          <w:color w:val="auto"/>
        </w:rPr>
        <w:t xml:space="preserve"> </w:t>
      </w:r>
      <w:r>
        <w:rPr>
          <w:rFonts w:ascii="Arial" w:cs="Arial" w:eastAsia="Arial" w:hAnsi="Arial"/>
          <w:sz w:val="18"/>
          <w:szCs w:val="18"/>
          <w:color w:val="auto"/>
        </w:rPr>
        <w:t>affected by network outages.</w:t>
      </w:r>
    </w:p>
    <w:p>
      <w:pPr>
        <w:spacing w:after="0" w:line="50" w:lineRule="exact"/>
        <w:rPr>
          <w:rFonts w:ascii="Arial" w:cs="Arial" w:eastAsia="Arial" w:hAnsi="Arial"/>
          <w:sz w:val="18"/>
          <w:szCs w:val="18"/>
          <w:color w:val="auto"/>
        </w:rPr>
      </w:pPr>
    </w:p>
    <w:p>
      <w:pPr>
        <w:ind w:left="900" w:right="60" w:hanging="217"/>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Inventory and Discovery: </w:t>
      </w:r>
      <w:r>
        <w:rPr>
          <w:rFonts w:ascii="Arial" w:cs="Arial" w:eastAsia="Arial" w:hAnsi="Arial"/>
          <w:sz w:val="18"/>
          <w:szCs w:val="18"/>
          <w:color w:val="auto"/>
        </w:rPr>
        <w:t>provides a single and accurate source of service and network inventory and performance data, to support network planning</w:t>
      </w:r>
      <w:r>
        <w:rPr>
          <w:rFonts w:ascii="Arial" w:cs="Arial" w:eastAsia="Arial" w:hAnsi="Arial"/>
          <w:sz w:val="18"/>
          <w:szCs w:val="18"/>
          <w:i w:val="1"/>
          <w:iCs w:val="1"/>
          <w:color w:val="auto"/>
        </w:rPr>
        <w:t xml:space="preserve"> </w:t>
      </w:r>
      <w:r>
        <w:rPr>
          <w:rFonts w:ascii="Arial" w:cs="Arial" w:eastAsia="Arial" w:hAnsi="Arial"/>
          <w:sz w:val="18"/>
          <w:szCs w:val="18"/>
          <w:color w:val="auto"/>
        </w:rPr>
        <w:t>and service fulfillment and assurance.</w:t>
      </w:r>
    </w:p>
    <w:p>
      <w:pPr>
        <w:spacing w:after="0" w:line="50" w:lineRule="exact"/>
        <w:rPr>
          <w:rFonts w:ascii="Arial" w:cs="Arial" w:eastAsia="Arial" w:hAnsi="Arial"/>
          <w:sz w:val="18"/>
          <w:szCs w:val="18"/>
          <w:color w:val="auto"/>
        </w:rPr>
      </w:pPr>
    </w:p>
    <w:p>
      <w:pPr>
        <w:ind w:left="660" w:right="60" w:hanging="206"/>
        <w:spacing w:after="0" w:line="294"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Network Control: </w:t>
      </w:r>
      <w:r>
        <w:rPr>
          <w:rFonts w:ascii="Arial" w:cs="Arial" w:eastAsia="Arial" w:hAnsi="Arial"/>
          <w:sz w:val="16"/>
          <w:szCs w:val="16"/>
          <w:color w:val="auto"/>
        </w:rPr>
        <w:t>Products that manage how and under which circumstances subscribers and devices can access networks, including dynamic policy</w:t>
      </w:r>
      <w:r>
        <w:rPr>
          <w:rFonts w:ascii="Arial" w:cs="Arial" w:eastAsia="Arial" w:hAnsi="Arial"/>
          <w:sz w:val="16"/>
          <w:szCs w:val="16"/>
          <w:i w:val="1"/>
          <w:iCs w:val="1"/>
          <w:color w:val="auto"/>
        </w:rPr>
        <w:t xml:space="preserve"> </w:t>
      </w:r>
      <w:r>
        <w:rPr>
          <w:rFonts w:ascii="Arial" w:cs="Arial" w:eastAsia="Arial" w:hAnsi="Arial"/>
          <w:sz w:val="16"/>
          <w:szCs w:val="16"/>
          <w:color w:val="auto"/>
        </w:rPr>
        <w:t>controls that manage what happens to the device or subscriber when on the network, such as how much data is consumed and when to trigger a service top-up or notification. Dynamic network control functions allow service providers to manage the data experience in real time by controlling access to 3G, 4G, fixed and Wi-Fi networks. These controls also manage network resource, bandwidth consumption and enable the creation of services, including tiered offers, bandwidth boost and data pass which provides temporary data access. Amdocs’ Network Control offerings include:</w:t>
      </w:r>
    </w:p>
    <w:p>
      <w:pPr>
        <w:spacing w:after="0" w:line="34" w:lineRule="exact"/>
        <w:rPr>
          <w:rFonts w:ascii="Arial" w:cs="Arial" w:eastAsia="Arial" w:hAnsi="Arial"/>
          <w:sz w:val="16"/>
          <w:szCs w:val="16"/>
          <w:color w:val="auto"/>
        </w:rPr>
      </w:pPr>
    </w:p>
    <w:p>
      <w:pPr>
        <w:ind w:left="900" w:right="580" w:hanging="217"/>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Service Controller: </w:t>
      </w:r>
      <w:r>
        <w:rPr>
          <w:rFonts w:ascii="Arial" w:cs="Arial" w:eastAsia="Arial" w:hAnsi="Arial"/>
          <w:sz w:val="18"/>
          <w:szCs w:val="18"/>
          <w:color w:val="auto"/>
        </w:rPr>
        <w:t>provides authentication, authorization and accounting services for subscribers and devices in addition to real-time session</w:t>
      </w:r>
      <w:r>
        <w:rPr>
          <w:rFonts w:ascii="Arial" w:cs="Arial" w:eastAsia="Arial" w:hAnsi="Arial"/>
          <w:sz w:val="18"/>
          <w:szCs w:val="18"/>
          <w:i w:val="1"/>
          <w:iCs w:val="1"/>
          <w:color w:val="auto"/>
        </w:rPr>
        <w:t xml:space="preserve"> </w:t>
      </w:r>
      <w:r>
        <w:rPr>
          <w:rFonts w:ascii="Arial" w:cs="Arial" w:eastAsia="Arial" w:hAnsi="Arial"/>
          <w:sz w:val="18"/>
          <w:szCs w:val="18"/>
          <w:color w:val="auto"/>
        </w:rPr>
        <w:t>management to enable mobility, roaming and security access.</w:t>
      </w:r>
    </w:p>
    <w:p>
      <w:pPr>
        <w:spacing w:after="0" w:line="50" w:lineRule="exact"/>
        <w:rPr>
          <w:rFonts w:ascii="Arial" w:cs="Arial" w:eastAsia="Arial" w:hAnsi="Arial"/>
          <w:sz w:val="18"/>
          <w:szCs w:val="18"/>
          <w:color w:val="auto"/>
        </w:rPr>
      </w:pPr>
    </w:p>
    <w:p>
      <w:pPr>
        <w:ind w:left="900" w:right="40" w:hanging="217"/>
        <w:spacing w:after="0" w:line="332"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 xml:space="preserve">Home Subscriber Server (HSS): </w:t>
      </w:r>
      <w:r>
        <w:rPr>
          <w:rFonts w:ascii="Arial" w:cs="Arial" w:eastAsia="Arial" w:hAnsi="Arial"/>
          <w:sz w:val="16"/>
          <w:szCs w:val="16"/>
          <w:color w:val="auto"/>
        </w:rPr>
        <w:t>is the master repository in Long Term Evolution (LTE) and IP Multimedia Subsystem (IMS) that contains subscriber</w:t>
      </w:r>
      <w:r>
        <w:rPr>
          <w:rFonts w:ascii="Arial" w:cs="Arial" w:eastAsia="Arial" w:hAnsi="Arial"/>
          <w:sz w:val="16"/>
          <w:szCs w:val="16"/>
          <w:i w:val="1"/>
          <w:iCs w:val="1"/>
          <w:color w:val="auto"/>
        </w:rPr>
        <w:t xml:space="preserve"> </w:t>
      </w:r>
      <w:r>
        <w:rPr>
          <w:rFonts w:ascii="Arial" w:cs="Arial" w:eastAsia="Arial" w:hAnsi="Arial"/>
          <w:sz w:val="16"/>
          <w:szCs w:val="16"/>
          <w:color w:val="auto"/>
        </w:rPr>
        <w:t>and device profile and state information. It supports authentication, authorization and mobility management functions in LTE.</w:t>
      </w:r>
    </w:p>
    <w:p>
      <w:pPr>
        <w:spacing w:after="0" w:line="4" w:lineRule="exact"/>
        <w:rPr>
          <w:rFonts w:ascii="Arial" w:cs="Arial" w:eastAsia="Arial" w:hAnsi="Arial"/>
          <w:sz w:val="16"/>
          <w:szCs w:val="16"/>
          <w:color w:val="auto"/>
        </w:rPr>
      </w:pPr>
    </w:p>
    <w:p>
      <w:pPr>
        <w:ind w:left="900" w:right="180" w:hanging="217"/>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Policy Controller: </w:t>
      </w:r>
      <w:r>
        <w:rPr>
          <w:rFonts w:ascii="Arial" w:cs="Arial" w:eastAsia="Arial" w:hAnsi="Arial"/>
          <w:sz w:val="18"/>
          <w:szCs w:val="18"/>
          <w:color w:val="auto"/>
        </w:rPr>
        <w:t>provides real-time network, application and subscriber policy control allowing service providers to manage mobile data growth</w:t>
      </w:r>
      <w:r>
        <w:rPr>
          <w:rFonts w:ascii="Arial" w:cs="Arial" w:eastAsia="Arial" w:hAnsi="Arial"/>
          <w:sz w:val="18"/>
          <w:szCs w:val="18"/>
          <w:i w:val="1"/>
          <w:iCs w:val="1"/>
          <w:color w:val="auto"/>
        </w:rPr>
        <w:t xml:space="preserve"> </w:t>
      </w:r>
      <w:r>
        <w:rPr>
          <w:rFonts w:ascii="Arial" w:cs="Arial" w:eastAsia="Arial" w:hAnsi="Arial"/>
          <w:sz w:val="18"/>
          <w:szCs w:val="18"/>
          <w:color w:val="auto"/>
        </w:rPr>
        <w:t>and deliver personalized services. It determines how and under which circumstances subscribers have access to applications and network resources and ensures the appropriate quality of service.</w:t>
      </w:r>
    </w:p>
    <w:p>
      <w:pPr>
        <w:spacing w:after="0" w:line="59" w:lineRule="exact"/>
        <w:rPr>
          <w:rFonts w:ascii="Arial" w:cs="Arial" w:eastAsia="Arial" w:hAnsi="Arial"/>
          <w:sz w:val="18"/>
          <w:szCs w:val="18"/>
          <w:color w:val="auto"/>
        </w:rPr>
      </w:pPr>
    </w:p>
    <w:p>
      <w:pPr>
        <w:ind w:left="900" w:right="180" w:hanging="217"/>
        <w:spacing w:after="0" w:line="268"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 xml:space="preserve">Intelligent Diameter Routing Agent: </w:t>
      </w:r>
      <w:r>
        <w:rPr>
          <w:rFonts w:ascii="Arial" w:cs="Arial" w:eastAsia="Arial" w:hAnsi="Arial"/>
          <w:sz w:val="18"/>
          <w:szCs w:val="18"/>
          <w:color w:val="auto"/>
        </w:rPr>
        <w:t>provides a flexible and robust diameter routing solution for 3G/4G/IMS control plane connectivity and routing</w:t>
      </w:r>
      <w:r>
        <w:rPr>
          <w:rFonts w:ascii="Arial" w:cs="Arial" w:eastAsia="Arial" w:hAnsi="Arial"/>
          <w:sz w:val="18"/>
          <w:szCs w:val="18"/>
          <w:i w:val="1"/>
          <w:iCs w:val="1"/>
          <w:color w:val="auto"/>
        </w:rPr>
        <w:t xml:space="preserve"> </w:t>
      </w:r>
      <w:r>
        <w:rPr>
          <w:rFonts w:ascii="Arial" w:cs="Arial" w:eastAsia="Arial" w:hAnsi="Arial"/>
          <w:sz w:val="18"/>
          <w:szCs w:val="18"/>
          <w:color w:val="auto"/>
        </w:rPr>
        <w:t>needs. It enables centralized functions, such as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40"/>
        <w:spacing w:after="0" w:line="268" w:lineRule="auto"/>
        <w:rPr>
          <w:sz w:val="20"/>
          <w:szCs w:val="20"/>
          <w:color w:val="auto"/>
        </w:rPr>
      </w:pPr>
      <w:r>
        <w:rPr>
          <w:rFonts w:ascii="Arial" w:cs="Arial" w:eastAsia="Arial" w:hAnsi="Arial"/>
          <w:sz w:val="18"/>
          <w:szCs w:val="18"/>
          <w:color w:val="auto"/>
        </w:rPr>
        <w:t>load-balancing across clusters of applications, routing user request to the appropriate elements and binding different protocol interfaces corresponding to a subscriber.</w:t>
      </w:r>
    </w:p>
    <w:p>
      <w:pPr>
        <w:spacing w:after="0" w:line="51" w:lineRule="exact"/>
        <w:rPr>
          <w:sz w:val="20"/>
          <w:szCs w:val="20"/>
          <w:color w:val="auto"/>
        </w:rPr>
      </w:pPr>
    </w:p>
    <w:p>
      <w:pPr>
        <w:ind w:left="900" w:right="60" w:hanging="217"/>
        <w:spacing w:after="0" w:line="256"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Data Experience Solution: </w:t>
      </w:r>
      <w:r>
        <w:rPr>
          <w:rFonts w:ascii="Arial" w:cs="Arial" w:eastAsia="Arial" w:hAnsi="Arial"/>
          <w:sz w:val="18"/>
          <w:szCs w:val="18"/>
          <w:color w:val="auto"/>
        </w:rPr>
        <w:t>is a pre-integrated policy and charging solution designed for rapid mobile data service creation and monetization across a</w:t>
      </w:r>
      <w:r>
        <w:rPr>
          <w:rFonts w:ascii="Arial" w:cs="Arial" w:eastAsia="Arial" w:hAnsi="Arial"/>
          <w:sz w:val="18"/>
          <w:szCs w:val="18"/>
          <w:i w:val="1"/>
          <w:iCs w:val="1"/>
          <w:color w:val="auto"/>
        </w:rPr>
        <w:t xml:space="preserve"> </w:t>
      </w:r>
      <w:r>
        <w:rPr>
          <w:rFonts w:ascii="Arial" w:cs="Arial" w:eastAsia="Arial" w:hAnsi="Arial"/>
          <w:sz w:val="18"/>
          <w:szCs w:val="18"/>
          <w:color w:val="auto"/>
        </w:rPr>
        <w:t>broad set of functions. It features an integrated policy and charging engine, product catalog, subscriber authentication and management and diameter routing. The solution consists of eight pre-configured market offers that are available out-of-the-box to accelerate new service introduction and minimize customization.</w:t>
      </w:r>
    </w:p>
    <w:p>
      <w:pPr>
        <w:spacing w:after="0" w:line="62" w:lineRule="exact"/>
        <w:rPr>
          <w:rFonts w:ascii="Arial" w:cs="Arial" w:eastAsia="Arial" w:hAnsi="Arial"/>
          <w:sz w:val="18"/>
          <w:szCs w:val="18"/>
          <w:color w:val="auto"/>
        </w:rPr>
      </w:pPr>
    </w:p>
    <w:p>
      <w:pPr>
        <w:ind w:left="660" w:hanging="206"/>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Digital Services: </w:t>
      </w:r>
      <w:r>
        <w:rPr>
          <w:rFonts w:ascii="Arial" w:cs="Arial" w:eastAsia="Arial" w:hAnsi="Arial"/>
          <w:sz w:val="18"/>
          <w:szCs w:val="18"/>
          <w:color w:val="auto"/>
        </w:rPr>
        <w:t>Suite of packaged and ready-to-use digital services solutions. Amdocs’ Digital Services offerings include:</w:t>
      </w:r>
    </w:p>
    <w:p>
      <w:pPr>
        <w:spacing w:after="0" w:line="90" w:lineRule="exact"/>
        <w:rPr>
          <w:rFonts w:ascii="Arial" w:cs="Arial" w:eastAsia="Arial" w:hAnsi="Arial"/>
          <w:sz w:val="18"/>
          <w:szCs w:val="18"/>
          <w:color w:val="auto"/>
        </w:rPr>
      </w:pPr>
    </w:p>
    <w:p>
      <w:pPr>
        <w:ind w:left="900" w:right="20" w:hanging="217"/>
        <w:spacing w:after="0" w:line="256"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Connected Home Solution: </w:t>
      </w:r>
      <w:r>
        <w:rPr>
          <w:rFonts w:ascii="Arial" w:cs="Arial" w:eastAsia="Arial" w:hAnsi="Arial"/>
          <w:sz w:val="18"/>
          <w:szCs w:val="18"/>
          <w:color w:val="auto"/>
        </w:rPr>
        <w:t>offered as a software as a service (SaaS) model for cost-efficiency and fast time to market, it is a cloud-based solution</w:t>
      </w:r>
      <w:r>
        <w:rPr>
          <w:rFonts w:ascii="Arial" w:cs="Arial" w:eastAsia="Arial" w:hAnsi="Arial"/>
          <w:sz w:val="18"/>
          <w:szCs w:val="18"/>
          <w:i w:val="1"/>
          <w:iCs w:val="1"/>
          <w:color w:val="auto"/>
        </w:rPr>
        <w:t xml:space="preserve"> </w:t>
      </w:r>
      <w:r>
        <w:rPr>
          <w:rFonts w:ascii="Arial" w:cs="Arial" w:eastAsia="Arial" w:hAnsi="Arial"/>
          <w:sz w:val="18"/>
          <w:szCs w:val="18"/>
          <w:color w:val="auto"/>
        </w:rPr>
        <w:t>that can integrate with a service provider’s existing BSS, OSS and customer relationship management (CRM) systems. This offering is delivered as a packaged suite of services for home monitoring, automation and comfort, energy management, wellness and assisted living and entertainment and media.</w:t>
      </w:r>
    </w:p>
    <w:p>
      <w:pPr>
        <w:spacing w:after="0" w:line="62" w:lineRule="exact"/>
        <w:rPr>
          <w:rFonts w:ascii="Arial" w:cs="Arial" w:eastAsia="Arial" w:hAnsi="Arial"/>
          <w:sz w:val="18"/>
          <w:szCs w:val="18"/>
          <w:color w:val="auto"/>
        </w:rPr>
      </w:pPr>
    </w:p>
    <w:p>
      <w:pPr>
        <w:ind w:left="900" w:right="200" w:hanging="217"/>
        <w:spacing w:after="0" w:line="306" w:lineRule="auto"/>
        <w:tabs>
          <w:tab w:leader="none" w:pos="900" w:val="left"/>
        </w:tabs>
        <w:numPr>
          <w:ilvl w:val="1"/>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Mobile Payments: </w:t>
      </w:r>
      <w:r>
        <w:rPr>
          <w:rFonts w:ascii="Arial" w:cs="Arial" w:eastAsia="Arial" w:hAnsi="Arial"/>
          <w:sz w:val="16"/>
          <w:szCs w:val="16"/>
          <w:color w:val="auto"/>
        </w:rPr>
        <w:t>is a cloud-based gateway service that enables wireless service providers to offer mobile payments to customers and to settle</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any payment method, including postpaid, bill, prepaid balance, wallet or credit cards. It enables service providers to onboard and manage a large set of app stores, merchants and aggregators and to process transactions for any type of goods, such as digital, remote or physical.</w:t>
      </w:r>
    </w:p>
    <w:p>
      <w:pPr>
        <w:spacing w:after="0" w:line="25" w:lineRule="exact"/>
        <w:rPr>
          <w:rFonts w:ascii="Arial" w:cs="Arial" w:eastAsia="Arial" w:hAnsi="Arial"/>
          <w:sz w:val="16"/>
          <w:szCs w:val="16"/>
          <w:color w:val="auto"/>
        </w:rPr>
      </w:pPr>
    </w:p>
    <w:p>
      <w:pPr>
        <w:ind w:left="900" w:hanging="217"/>
        <w:spacing w:after="0" w:line="256"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Digital Commerce Solution: </w:t>
      </w:r>
      <w:r>
        <w:rPr>
          <w:rFonts w:ascii="Arial" w:cs="Arial" w:eastAsia="Arial" w:hAnsi="Arial"/>
          <w:sz w:val="18"/>
          <w:szCs w:val="18"/>
          <w:color w:val="auto"/>
        </w:rPr>
        <w:t>enables services providers to sell content through any channel in any business model. It supports the management of any</w:t>
      </w:r>
      <w:r>
        <w:rPr>
          <w:rFonts w:ascii="Arial" w:cs="Arial" w:eastAsia="Arial" w:hAnsi="Arial"/>
          <w:sz w:val="18"/>
          <w:szCs w:val="18"/>
          <w:i w:val="1"/>
          <w:iCs w:val="1"/>
          <w:color w:val="auto"/>
        </w:rPr>
        <w:t xml:space="preserve"> </w:t>
      </w:r>
      <w:r>
        <w:rPr>
          <w:rFonts w:ascii="Arial" w:cs="Arial" w:eastAsia="Arial" w:hAnsi="Arial"/>
          <w:sz w:val="18"/>
          <w:szCs w:val="18"/>
          <w:color w:val="auto"/>
        </w:rPr>
        <w:t>type of content, including apps, games, video and audio and the delivery to a wide-range of devices, such as mobile, tablet, PC and IPTV. This offering comes with multi-tenancy, multi-language and multi-currency functions to support multiple portals, storefronts or subsidiaries on a single instance of the solution.</w:t>
      </w:r>
    </w:p>
    <w:p>
      <w:pPr>
        <w:spacing w:after="0" w:line="62" w:lineRule="exact"/>
        <w:rPr>
          <w:rFonts w:ascii="Arial" w:cs="Arial" w:eastAsia="Arial" w:hAnsi="Arial"/>
          <w:sz w:val="18"/>
          <w:szCs w:val="18"/>
          <w:color w:val="auto"/>
        </w:rPr>
      </w:pPr>
    </w:p>
    <w:p>
      <w:pPr>
        <w:ind w:left="900" w:right="240" w:hanging="217"/>
        <w:spacing w:after="0" w:line="335" w:lineRule="auto"/>
        <w:tabs>
          <w:tab w:leader="none" w:pos="900" w:val="left"/>
        </w:tabs>
        <w:numPr>
          <w:ilvl w:val="1"/>
          <w:numId w:val="21"/>
        </w:numPr>
        <w:rPr>
          <w:rFonts w:ascii="Arial" w:cs="Arial" w:eastAsia="Arial" w:hAnsi="Arial"/>
          <w:sz w:val="15"/>
          <w:szCs w:val="15"/>
          <w:color w:val="auto"/>
        </w:rPr>
      </w:pPr>
      <w:r>
        <w:rPr>
          <w:rFonts w:ascii="Arial" w:cs="Arial" w:eastAsia="Arial" w:hAnsi="Arial"/>
          <w:sz w:val="15"/>
          <w:szCs w:val="15"/>
          <w:i w:val="1"/>
          <w:iCs w:val="1"/>
          <w:color w:val="auto"/>
        </w:rPr>
        <w:t xml:space="preserve">Personalization: </w:t>
      </w:r>
      <w:r>
        <w:rPr>
          <w:rFonts w:ascii="Arial" w:cs="Arial" w:eastAsia="Arial" w:hAnsi="Arial"/>
          <w:sz w:val="15"/>
          <w:szCs w:val="15"/>
          <w:color w:val="auto"/>
        </w:rPr>
        <w:t>consists of personalized portals, personalized recommendation and personalized offers products that are based on real-time</w:t>
      </w:r>
      <w:r>
        <w:rPr>
          <w:rFonts w:ascii="Arial" w:cs="Arial" w:eastAsia="Arial" w:hAnsi="Arial"/>
          <w:sz w:val="15"/>
          <w:szCs w:val="15"/>
          <w:i w:val="1"/>
          <w:iCs w:val="1"/>
          <w:color w:val="auto"/>
        </w:rPr>
        <w:t xml:space="preserve"> </w:t>
      </w:r>
      <w:r>
        <w:rPr>
          <w:rFonts w:ascii="Arial" w:cs="Arial" w:eastAsia="Arial" w:hAnsi="Arial"/>
          <w:sz w:val="15"/>
          <w:szCs w:val="15"/>
          <w:color w:val="auto"/>
        </w:rPr>
        <w:t>machine-learning and predictive analytics to enhance the multichannel customer experience and stimulate service provider revenue growth. These products automatically obtain behavioral intelligence from customer interactions to enhance service planning and increase targeted effectiveness.</w:t>
      </w:r>
    </w:p>
    <w:p>
      <w:pPr>
        <w:spacing w:after="0" w:line="7" w:lineRule="exact"/>
        <w:rPr>
          <w:rFonts w:ascii="Arial" w:cs="Arial" w:eastAsia="Arial" w:hAnsi="Arial"/>
          <w:sz w:val="15"/>
          <w:szCs w:val="15"/>
          <w:color w:val="auto"/>
        </w:rPr>
      </w:pPr>
    </w:p>
    <w:p>
      <w:pPr>
        <w:ind w:left="900" w:right="380" w:hanging="217"/>
        <w:spacing w:after="0" w:line="256" w:lineRule="auto"/>
        <w:tabs>
          <w:tab w:leader="none" w:pos="900" w:val="left"/>
        </w:tabs>
        <w:numPr>
          <w:ilvl w:val="1"/>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M2M Solution: </w:t>
      </w:r>
      <w:r>
        <w:rPr>
          <w:rFonts w:ascii="Arial" w:cs="Arial" w:eastAsia="Arial" w:hAnsi="Arial"/>
          <w:sz w:val="18"/>
          <w:szCs w:val="18"/>
          <w:color w:val="auto"/>
        </w:rPr>
        <w:t>Since the majority of new M2M devices are provided via a business-to-business model, service providers require an enablement</w:t>
      </w:r>
      <w:r>
        <w:rPr>
          <w:rFonts w:ascii="Arial" w:cs="Arial" w:eastAsia="Arial" w:hAnsi="Arial"/>
          <w:sz w:val="18"/>
          <w:szCs w:val="18"/>
          <w:i w:val="1"/>
          <w:iCs w:val="1"/>
          <w:color w:val="auto"/>
        </w:rPr>
        <w:t xml:space="preserve"> </w:t>
      </w:r>
      <w:r>
        <w:rPr>
          <w:rFonts w:ascii="Arial" w:cs="Arial" w:eastAsia="Arial" w:hAnsi="Arial"/>
          <w:sz w:val="18"/>
          <w:szCs w:val="18"/>
          <w:color w:val="auto"/>
        </w:rPr>
        <w:t>platform for M2M partners and resellers. We provide a cost-efficient, partner-driven solution that supports wired and wireless communications between machines across virtually any M2M vertical and business model, with the flexibility service providers need to support their business requirements.</w:t>
      </w:r>
    </w:p>
    <w:p>
      <w:pPr>
        <w:spacing w:after="0" w:line="62" w:lineRule="exact"/>
        <w:rPr>
          <w:rFonts w:ascii="Arial" w:cs="Arial" w:eastAsia="Arial" w:hAnsi="Arial"/>
          <w:sz w:val="18"/>
          <w:szCs w:val="18"/>
          <w:color w:val="auto"/>
        </w:rPr>
      </w:pPr>
    </w:p>
    <w:p>
      <w:pPr>
        <w:jc w:val="both"/>
        <w:ind w:left="660" w:right="220" w:hanging="206"/>
        <w:spacing w:after="0" w:line="306"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 xml:space="preserve">Unified Foundation: </w:t>
      </w:r>
      <w:r>
        <w:rPr>
          <w:rFonts w:ascii="Arial" w:cs="Arial" w:eastAsia="Arial" w:hAnsi="Arial"/>
          <w:sz w:val="16"/>
          <w:szCs w:val="16"/>
          <w:color w:val="auto"/>
        </w:rPr>
        <w:t>Products and tools that serve as the underlying drivers for technology innovation across the Amdocs CES portfolio of offerings.</w:t>
      </w:r>
      <w:r>
        <w:rPr>
          <w:rFonts w:ascii="Arial" w:cs="Arial" w:eastAsia="Arial" w:hAnsi="Arial"/>
          <w:sz w:val="16"/>
          <w:szCs w:val="16"/>
          <w:i w:val="1"/>
          <w:iCs w:val="1"/>
          <w:color w:val="auto"/>
        </w:rPr>
        <w:t xml:space="preserve"> </w:t>
      </w:r>
      <w:r>
        <w:rPr>
          <w:rFonts w:ascii="Arial" w:cs="Arial" w:eastAsia="Arial" w:hAnsi="Arial"/>
          <w:sz w:val="16"/>
          <w:szCs w:val="16"/>
          <w:color w:val="auto"/>
        </w:rPr>
        <w:t>These products provide the foundation, enablers and building blocks to quickly create and modify business processes, provide a single customer view and effectively manage products to deliver expected service levels and achieve time-to-market advantage.</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Advertising and Media Solutions</w:t>
      </w:r>
    </w:p>
    <w:p>
      <w:pPr>
        <w:spacing w:after="0" w:line="90" w:lineRule="exact"/>
        <w:rPr>
          <w:sz w:val="20"/>
          <w:szCs w:val="20"/>
          <w:color w:val="auto"/>
        </w:rPr>
      </w:pPr>
    </w:p>
    <w:p>
      <w:pPr>
        <w:ind w:right="660" w:firstLine="456"/>
        <w:spacing w:after="0" w:line="259" w:lineRule="auto"/>
        <w:rPr>
          <w:sz w:val="20"/>
          <w:szCs w:val="20"/>
          <w:color w:val="auto"/>
        </w:rPr>
      </w:pPr>
      <w:r>
        <w:rPr>
          <w:rFonts w:ascii="Arial" w:cs="Arial" w:eastAsia="Arial" w:hAnsi="Arial"/>
          <w:sz w:val="18"/>
          <w:szCs w:val="18"/>
          <w:color w:val="auto"/>
        </w:rPr>
        <w:t>Our advertising and media offerings for digital local marketing and search service providers, including directory publishers, are comprised of a comprehensive set of business and operational products and services designed to enable the management of digital media selling, fulfillment, operations, consumer experience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financial processes across online, print and mobile media. These offerings are sold as individual products or comprehensive packaged solutions. These advertising and media directory systems offerings include:</w:t>
      </w:r>
    </w:p>
    <w:p>
      <w:pPr>
        <w:spacing w:after="0" w:line="51" w:lineRule="exact"/>
        <w:rPr>
          <w:sz w:val="20"/>
          <w:szCs w:val="20"/>
          <w:color w:val="auto"/>
        </w:rPr>
      </w:pPr>
    </w:p>
    <w:p>
      <w:pPr>
        <w:ind w:left="660" w:right="14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Sales Force Automation: </w:t>
      </w:r>
      <w:r>
        <w:rPr>
          <w:rFonts w:ascii="Arial" w:cs="Arial" w:eastAsia="Arial" w:hAnsi="Arial"/>
          <w:sz w:val="18"/>
          <w:szCs w:val="18"/>
          <w:color w:val="auto"/>
        </w:rPr>
        <w:t>Offerings that combine a toolkit alongside best practices and processes to increase sales and reduce costs. These offerings are</w:t>
      </w:r>
      <w:r>
        <w:rPr>
          <w:rFonts w:ascii="Arial" w:cs="Arial" w:eastAsia="Arial" w:hAnsi="Arial"/>
          <w:sz w:val="18"/>
          <w:szCs w:val="18"/>
          <w:i w:val="1"/>
          <w:iCs w:val="1"/>
          <w:color w:val="auto"/>
        </w:rPr>
        <w:t xml:space="preserve"> </w:t>
      </w:r>
      <w:r>
        <w:rPr>
          <w:rFonts w:ascii="Arial" w:cs="Arial" w:eastAsia="Arial" w:hAnsi="Arial"/>
          <w:sz w:val="18"/>
          <w:szCs w:val="18"/>
          <w:color w:val="auto"/>
        </w:rPr>
        <w:t>uniquely tailored to serve the evolving needs of local media consultants.</w:t>
      </w:r>
    </w:p>
    <w:p>
      <w:pPr>
        <w:spacing w:after="0" w:line="5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 xml:space="preserve">Business Agility: </w:t>
      </w:r>
      <w:r>
        <w:rPr>
          <w:rFonts w:ascii="Arial" w:cs="Arial" w:eastAsia="Arial" w:hAnsi="Arial"/>
          <w:sz w:val="18"/>
          <w:szCs w:val="18"/>
          <w:color w:val="auto"/>
        </w:rPr>
        <w:t>Sales, CRM, ordering, product lifecycle management, fulfillment, content management, campaign management and billing offerings</w:t>
      </w:r>
      <w:r>
        <w:rPr>
          <w:rFonts w:ascii="Arial" w:cs="Arial" w:eastAsia="Arial" w:hAnsi="Arial"/>
          <w:sz w:val="18"/>
          <w:szCs w:val="18"/>
          <w:i w:val="1"/>
          <w:iCs w:val="1"/>
          <w:color w:val="auto"/>
        </w:rPr>
        <w:t xml:space="preserve"> </w:t>
      </w:r>
      <w:r>
        <w:rPr>
          <w:rFonts w:ascii="Arial" w:cs="Arial" w:eastAsia="Arial" w:hAnsi="Arial"/>
          <w:sz w:val="18"/>
          <w:szCs w:val="18"/>
          <w:color w:val="auto"/>
        </w:rPr>
        <w:t>that enhance the productivity and cost efficiency of digital and print local marketing service providers.</w:t>
      </w:r>
    </w:p>
    <w:p>
      <w:pPr>
        <w:spacing w:after="0" w:line="50" w:lineRule="exact"/>
        <w:rPr>
          <w:rFonts w:ascii="Arial" w:cs="Arial" w:eastAsia="Arial" w:hAnsi="Arial"/>
          <w:sz w:val="18"/>
          <w:szCs w:val="18"/>
          <w:color w:val="auto"/>
        </w:rPr>
      </w:pPr>
    </w:p>
    <w:p>
      <w:pPr>
        <w:jc w:val="both"/>
        <w:ind w:left="660" w:right="220" w:hanging="206"/>
        <w:spacing w:after="0" w:line="370" w:lineRule="auto"/>
        <w:tabs>
          <w:tab w:leader="none" w:pos="660" w:val="left"/>
        </w:tabs>
        <w:numPr>
          <w:ilvl w:val="0"/>
          <w:numId w:val="22"/>
        </w:numPr>
        <w:rPr>
          <w:rFonts w:ascii="Arial" w:cs="Arial" w:eastAsia="Arial" w:hAnsi="Arial"/>
          <w:sz w:val="15"/>
          <w:szCs w:val="15"/>
          <w:color w:val="auto"/>
        </w:rPr>
      </w:pPr>
      <w:r>
        <w:rPr>
          <w:rFonts w:ascii="Arial" w:cs="Arial" w:eastAsia="Arial" w:hAnsi="Arial"/>
          <w:sz w:val="15"/>
          <w:szCs w:val="15"/>
          <w:i w:val="1"/>
          <w:iCs w:val="1"/>
          <w:color w:val="auto"/>
        </w:rPr>
        <w:t xml:space="preserve">Consumer Engagement and Monetization: </w:t>
      </w:r>
      <w:r>
        <w:rPr>
          <w:rFonts w:ascii="Arial" w:cs="Arial" w:eastAsia="Arial" w:hAnsi="Arial"/>
          <w:sz w:val="15"/>
          <w:szCs w:val="15"/>
          <w:color w:val="auto"/>
        </w:rPr>
        <w:t>Offerings that enable local media publishers to add advanced search, ad network monetization, mobile and</w:t>
      </w:r>
      <w:r>
        <w:rPr>
          <w:rFonts w:ascii="Arial" w:cs="Arial" w:eastAsia="Arial" w:hAnsi="Arial"/>
          <w:sz w:val="15"/>
          <w:szCs w:val="15"/>
          <w:i w:val="1"/>
          <w:iCs w:val="1"/>
          <w:color w:val="auto"/>
        </w:rPr>
        <w:t xml:space="preserve"> </w:t>
      </w:r>
      <w:r>
        <w:rPr>
          <w:rFonts w:ascii="Arial" w:cs="Arial" w:eastAsia="Arial" w:hAnsi="Arial"/>
          <w:sz w:val="15"/>
          <w:szCs w:val="15"/>
          <w:color w:val="auto"/>
        </w:rPr>
        <w:t>social lead generation functionalities to the consumer’s local search experience, and to scale up partner content syndication and advertising networks.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Technology</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Our portfolio architecture is designed to increase our customers’ business agility and lower their overall total cost of ownership. Our technology platform allows our applications to work in multiple customer environments, including:</w:t>
      </w:r>
    </w:p>
    <w:p>
      <w:pPr>
        <w:spacing w:after="0" w:line="51" w:lineRule="exact"/>
        <w:rPr>
          <w:sz w:val="20"/>
          <w:szCs w:val="20"/>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Hardware: </w:t>
      </w:r>
      <w:r>
        <w:rPr>
          <w:rFonts w:ascii="Arial" w:cs="Arial" w:eastAsia="Arial" w:hAnsi="Arial"/>
          <w:sz w:val="18"/>
          <w:szCs w:val="18"/>
          <w:color w:val="auto"/>
        </w:rPr>
        <w:t>IBM, Hewlett-Packard, Oracle/Sun, Intel</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Operating Systems: </w:t>
      </w:r>
      <w:r>
        <w:rPr>
          <w:rFonts w:ascii="Arial" w:cs="Arial" w:eastAsia="Arial" w:hAnsi="Arial"/>
          <w:sz w:val="18"/>
          <w:szCs w:val="18"/>
          <w:color w:val="auto"/>
        </w:rPr>
        <w:t>Windows, Red Hat Linux</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Database Management Systems: </w:t>
      </w:r>
      <w:r>
        <w:rPr>
          <w:rFonts w:ascii="Arial" w:cs="Arial" w:eastAsia="Arial" w:hAnsi="Arial"/>
          <w:sz w:val="18"/>
          <w:szCs w:val="18"/>
          <w:color w:val="auto"/>
        </w:rPr>
        <w:t>Oracle, SQL Server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Middleware: </w:t>
      </w:r>
      <w:r>
        <w:rPr>
          <w:rFonts w:ascii="Arial" w:cs="Arial" w:eastAsia="Arial" w:hAnsi="Arial"/>
          <w:sz w:val="18"/>
          <w:szCs w:val="18"/>
          <w:color w:val="auto"/>
        </w:rPr>
        <w:t>Oracle WebLogic, IBM WebSphere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Storage: </w:t>
      </w:r>
      <w:r>
        <w:rPr>
          <w:rFonts w:ascii="Arial" w:cs="Arial" w:eastAsia="Arial" w:hAnsi="Arial"/>
          <w:sz w:val="18"/>
          <w:szCs w:val="18"/>
          <w:color w:val="auto"/>
        </w:rPr>
        <w:t>EMC, NetApp, IBM, Hewlett-Packard</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believe our technology platform’s flexibility affords our customers the freedom to choose a preferred operating environment and to maximize return on existing infrastructure investments. To help service providers respond more quickly to changes in their markets and lower their integration costs, we employ service-oriented architecture principles in our portfolio design. For example, Amdocs Integration Framework includes a central service repository for defining business services for both Amdocs and external applications, allowing our applications to integrate with each other and with third-party enterprise server bus or legacy applications.</w:t>
      </w:r>
    </w:p>
    <w:p>
      <w:pPr>
        <w:spacing w:after="0" w:line="62"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portfolio applications are based around consistent architectural guidelines and software infrastructure and they also leverage, where appropriate, consistent foundation tools and services for areas such as installation, integration, process management, monitoring and control, security and information management. Our platform-agnostic foundation layer spans our applications and helps us evolve our products towards robust service-oriented architecture integration and business process support. With these tools, we aim to provide our customers a sound framework upon which to implement, integrate and centralize their operating environments. This allows service providers to mitigate many costs associated with deploying and operating new applications, such as those related to installation, configuration, integration and monitoring.</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product portfolio also includes the following key characteristics:</w:t>
      </w:r>
    </w:p>
    <w:p>
      <w:pPr>
        <w:spacing w:after="0" w:line="90" w:lineRule="exact"/>
        <w:rPr>
          <w:sz w:val="20"/>
          <w:szCs w:val="20"/>
          <w:color w:val="auto"/>
        </w:rPr>
      </w:pPr>
    </w:p>
    <w:p>
      <w:pPr>
        <w:ind w:left="660" w:right="60" w:hanging="206"/>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Scalability. </w:t>
      </w:r>
      <w:r>
        <w:rPr>
          <w:rFonts w:ascii="Arial" w:cs="Arial" w:eastAsia="Arial" w:hAnsi="Arial"/>
          <w:sz w:val="18"/>
          <w:szCs w:val="18"/>
          <w:color w:val="auto"/>
        </w:rPr>
        <w:t>Our applications are designed to take full advantage of the scalability capabilities of the underlying platform, allowing progressive system</w:t>
      </w:r>
      <w:r>
        <w:rPr>
          <w:rFonts w:ascii="Arial" w:cs="Arial" w:eastAsia="Arial" w:hAnsi="Arial"/>
          <w:sz w:val="18"/>
          <w:szCs w:val="18"/>
          <w:i w:val="1"/>
          <w:iCs w:val="1"/>
          <w:color w:val="auto"/>
        </w:rPr>
        <w:t xml:space="preserve"> </w:t>
      </w:r>
      <w:r>
        <w:rPr>
          <w:rFonts w:ascii="Arial" w:cs="Arial" w:eastAsia="Arial" w:hAnsi="Arial"/>
          <w:sz w:val="18"/>
          <w:szCs w:val="18"/>
          <w:color w:val="auto"/>
        </w:rPr>
        <w:t>expansion, proportional with the customer’s growth in business volumes. Using the same software, our applications can support operations for small, as well as very large service providers.</w:t>
      </w:r>
    </w:p>
    <w:p>
      <w:pPr>
        <w:spacing w:after="0" w:line="59" w:lineRule="exact"/>
        <w:rPr>
          <w:rFonts w:ascii="Arial" w:cs="Arial" w:eastAsia="Arial" w:hAnsi="Arial"/>
          <w:sz w:val="18"/>
          <w:szCs w:val="18"/>
          <w:color w:val="auto"/>
        </w:rPr>
      </w:pPr>
    </w:p>
    <w:p>
      <w:pPr>
        <w:ind w:left="660" w:right="240" w:hanging="206"/>
        <w:spacing w:after="0" w:line="26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Reliability. </w:t>
      </w:r>
      <w:r>
        <w:rPr>
          <w:rFonts w:ascii="Arial" w:cs="Arial" w:eastAsia="Arial" w:hAnsi="Arial"/>
          <w:sz w:val="18"/>
          <w:szCs w:val="18"/>
          <w:color w:val="auto"/>
        </w:rPr>
        <w:t>Our system and component architecture supports high availability and redundancy to allow connected and uninterrupted operations at full</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speed and device load.</w:t>
      </w:r>
    </w:p>
    <w:p>
      <w:pPr>
        <w:spacing w:after="0" w:line="50" w:lineRule="exact"/>
        <w:rPr>
          <w:rFonts w:ascii="Arial" w:cs="Arial" w:eastAsia="Arial" w:hAnsi="Arial"/>
          <w:sz w:val="18"/>
          <w:szCs w:val="18"/>
          <w:color w:val="auto"/>
        </w:rPr>
      </w:pPr>
    </w:p>
    <w:p>
      <w:pPr>
        <w:ind w:left="660" w:right="100" w:hanging="206"/>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 xml:space="preserve">Modularity. </w:t>
      </w:r>
      <w:r>
        <w:rPr>
          <w:rFonts w:ascii="Arial" w:cs="Arial" w:eastAsia="Arial" w:hAnsi="Arial"/>
          <w:sz w:val="18"/>
          <w:szCs w:val="18"/>
          <w:color w:val="auto"/>
        </w:rPr>
        <w:t>Our product portfolio is comprised of sets of individual functional application products. Each of our applications can be installed on an</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stand-alone basis, interfacing with the customer’s existing systems, or as part of an integrated Amdocs system environment. This modularity provides our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80" w:right="20"/>
        <w:spacing w:after="0" w:line="259" w:lineRule="auto"/>
        <w:rPr>
          <w:sz w:val="20"/>
          <w:szCs w:val="20"/>
          <w:color w:val="auto"/>
        </w:rPr>
      </w:pPr>
      <w:r>
        <w:rPr>
          <w:rFonts w:ascii="Arial" w:cs="Arial" w:eastAsia="Arial" w:hAnsi="Arial"/>
          <w:sz w:val="18"/>
          <w:szCs w:val="18"/>
          <w:color w:val="auto"/>
        </w:rPr>
        <w:t>customers with a highly flexible and cost-effective solution that is able to incrementally expand with the customer’s growing needs and capabilities. The modular approach preserves the customer’s initial investment in products, while minimizing future disruptions and the overall cost of system implementation.</w:t>
      </w:r>
    </w:p>
    <w:p>
      <w:pPr>
        <w:spacing w:after="0" w:line="59" w:lineRule="exact"/>
        <w:rPr>
          <w:sz w:val="20"/>
          <w:szCs w:val="20"/>
          <w:color w:val="auto"/>
        </w:rPr>
      </w:pPr>
    </w:p>
    <w:p>
      <w:pPr>
        <w:ind w:left="660" w:hanging="206"/>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i w:val="1"/>
          <w:iCs w:val="1"/>
          <w:color w:val="auto"/>
        </w:rPr>
        <w:t xml:space="preserve">Portability. </w:t>
      </w:r>
      <w:r>
        <w:rPr>
          <w:rFonts w:ascii="Arial" w:cs="Arial" w:eastAsia="Arial" w:hAnsi="Arial"/>
          <w:sz w:val="16"/>
          <w:szCs w:val="16"/>
          <w:color w:val="auto"/>
        </w:rPr>
        <w:t>Our applications support diverse hardware and operating systems to ensure that our customers can choose from a variety of vendors.</w:t>
      </w:r>
    </w:p>
    <w:p>
      <w:pPr>
        <w:spacing w:after="0" w:line="113" w:lineRule="exact"/>
        <w:rPr>
          <w:rFonts w:ascii="Arial" w:cs="Arial" w:eastAsia="Arial" w:hAnsi="Arial"/>
          <w:sz w:val="16"/>
          <w:szCs w:val="16"/>
          <w:color w:val="auto"/>
        </w:rPr>
      </w:pPr>
    </w:p>
    <w:p>
      <w:pPr>
        <w:ind w:left="660" w:right="120" w:hanging="206"/>
        <w:spacing w:after="0" w:line="268"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 xml:space="preserve">Openness. </w:t>
      </w:r>
      <w:r>
        <w:rPr>
          <w:rFonts w:ascii="Arial" w:cs="Arial" w:eastAsia="Arial" w:hAnsi="Arial"/>
          <w:sz w:val="18"/>
          <w:szCs w:val="18"/>
          <w:color w:val="auto"/>
        </w:rPr>
        <w:t>Our product portfolio can integrate with other industry products to benefit customers that prefer a “best-of-breed” solution. Partner selection</w:t>
      </w:r>
      <w:r>
        <w:rPr>
          <w:rFonts w:ascii="Arial" w:cs="Arial" w:eastAsia="Arial" w:hAnsi="Arial"/>
          <w:sz w:val="18"/>
          <w:szCs w:val="18"/>
          <w:i w:val="1"/>
          <w:iCs w:val="1"/>
          <w:color w:val="auto"/>
        </w:rPr>
        <w:t xml:space="preserve"> </w:t>
      </w:r>
      <w:r>
        <w:rPr>
          <w:rFonts w:ascii="Arial" w:cs="Arial" w:eastAsia="Arial" w:hAnsi="Arial"/>
          <w:sz w:val="18"/>
          <w:szCs w:val="18"/>
          <w:color w:val="auto"/>
        </w:rPr>
        <w:t>is based on the preferences of our customers.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Services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offer a broad suite of services to advise, transform, support and optimize business and technology processes. We provide business consulting, systems integration, ITO and key BPO managed services as well as product support to assist our customers with their business strategy, system implementation, integration, modification, consolidation, modernization and ongoing support, enhancement and maintenance needs. In addition, we offer comprehensive learning services to help our customers develop competency in their Amdocs systems and applications. Our services methodology incorporates rigorous focus on the people, processes and technology of an organization, and we invite active customer participation at all stages to help prioritize and implement time-critical system solutions that address the customer’s individual needs.</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services portfolio includes:</w:t>
      </w:r>
    </w:p>
    <w:p>
      <w:pPr>
        <w:spacing w:after="0" w:line="90" w:lineRule="exact"/>
        <w:rPr>
          <w:sz w:val="20"/>
          <w:szCs w:val="20"/>
          <w:color w:val="auto"/>
        </w:rPr>
      </w:pPr>
    </w:p>
    <w:p>
      <w:pPr>
        <w:jc w:val="both"/>
        <w:ind w:left="660" w:hanging="206"/>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Business Consulting Services </w:t>
      </w:r>
      <w:r>
        <w:rPr>
          <w:rFonts w:ascii="Arial" w:cs="Arial" w:eastAsia="Arial" w:hAnsi="Arial"/>
          <w:sz w:val="18"/>
          <w:szCs w:val="18"/>
          <w:color w:val="auto"/>
        </w:rPr>
        <w:t>— These services cover the project lifecycle and range from assessment and advisory services to optimization services that</w:t>
      </w:r>
      <w:r>
        <w:rPr>
          <w:rFonts w:ascii="Arial" w:cs="Arial" w:eastAsia="Arial" w:hAnsi="Arial"/>
          <w:sz w:val="18"/>
          <w:szCs w:val="18"/>
          <w:i w:val="1"/>
          <w:iCs w:val="1"/>
          <w:color w:val="auto"/>
        </w:rPr>
        <w:t xml:space="preserve"> </w:t>
      </w:r>
      <w:r>
        <w:rPr>
          <w:rFonts w:ascii="Arial" w:cs="Arial" w:eastAsia="Arial" w:hAnsi="Arial"/>
          <w:sz w:val="18"/>
          <w:szCs w:val="18"/>
          <w:color w:val="auto"/>
        </w:rPr>
        <w:t>measure and improve business and operational performance, and help to define the project strategy, scope and implementation path of business solutions to deliver tangible business and operational value.</w:t>
      </w:r>
    </w:p>
    <w:p>
      <w:pPr>
        <w:spacing w:after="0" w:line="59" w:lineRule="exact"/>
        <w:rPr>
          <w:rFonts w:ascii="Arial" w:cs="Arial" w:eastAsia="Arial" w:hAnsi="Arial"/>
          <w:sz w:val="18"/>
          <w:szCs w:val="18"/>
          <w:color w:val="auto"/>
        </w:rPr>
      </w:pPr>
    </w:p>
    <w:p>
      <w:pPr>
        <w:ind w:left="660" w:right="300" w:hanging="206"/>
        <w:spacing w:after="0" w:line="25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Systems Integration and Delivery Services </w:t>
      </w:r>
      <w:r>
        <w:rPr>
          <w:rFonts w:ascii="Arial" w:cs="Arial" w:eastAsia="Arial" w:hAnsi="Arial"/>
          <w:sz w:val="18"/>
          <w:szCs w:val="18"/>
          <w:color w:val="auto"/>
        </w:rPr>
        <w:t>— This suite of services allows us to act as a prime integrator from program management and project</w:t>
      </w:r>
      <w:r>
        <w:rPr>
          <w:rFonts w:ascii="Arial" w:cs="Arial" w:eastAsia="Arial" w:hAnsi="Arial"/>
          <w:sz w:val="18"/>
          <w:szCs w:val="18"/>
          <w:i w:val="1"/>
          <w:iCs w:val="1"/>
          <w:color w:val="auto"/>
        </w:rPr>
        <w:t xml:space="preserve"> </w:t>
      </w:r>
      <w:r>
        <w:rPr>
          <w:rFonts w:ascii="Arial" w:cs="Arial" w:eastAsia="Arial" w:hAnsi="Arial"/>
          <w:sz w:val="18"/>
          <w:szCs w:val="18"/>
          <w:color w:val="auto"/>
        </w:rPr>
        <w:t>deployment to solution implementation and operations. These services span the entire business lifecycle, including vision and strategy, business transformation, delivery and optimization. We have developed advanced methodologies, industry best practices and pre-configured tools to deliver a cohesive implementation plan, including solution architecture, organizational change management, learning and development, benefits realization modeling and sales channels optimization. Our holistic approach ensures that people, processes and technology are fully aligned with our customer’s vision and goals.</w:t>
      </w:r>
    </w:p>
    <w:p>
      <w:pPr>
        <w:spacing w:after="0" w:line="63" w:lineRule="exact"/>
        <w:rPr>
          <w:rFonts w:ascii="Arial" w:cs="Arial" w:eastAsia="Arial" w:hAnsi="Arial"/>
          <w:sz w:val="18"/>
          <w:szCs w:val="18"/>
          <w:color w:val="auto"/>
        </w:rPr>
      </w:pPr>
    </w:p>
    <w:p>
      <w:pPr>
        <w:ind w:left="660" w:right="40" w:hanging="206"/>
        <w:spacing w:after="0" w:line="289"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i w:val="1"/>
          <w:iCs w:val="1"/>
          <w:color w:val="auto"/>
        </w:rPr>
        <w:t xml:space="preserve">Managed Services </w:t>
      </w:r>
      <w:r>
        <w:rPr>
          <w:rFonts w:ascii="Arial" w:cs="Arial" w:eastAsia="Arial" w:hAnsi="Arial"/>
          <w:sz w:val="16"/>
          <w:szCs w:val="16"/>
          <w:color w:val="auto"/>
        </w:rPr>
        <w:t>— Our portfolio of strategic sourcing services is tailored for service providers to gain competitive advantage through long-term ITO</w:t>
      </w:r>
      <w:r>
        <w:rPr>
          <w:rFonts w:ascii="Arial" w:cs="Arial" w:eastAsia="Arial" w:hAnsi="Arial"/>
          <w:sz w:val="16"/>
          <w:szCs w:val="16"/>
          <w:i w:val="1"/>
          <w:iCs w:val="1"/>
          <w:color w:val="auto"/>
        </w:rPr>
        <w:t xml:space="preserve"> </w:t>
      </w:r>
      <w:r>
        <w:rPr>
          <w:rFonts w:ascii="Arial" w:cs="Arial" w:eastAsia="Arial" w:hAnsi="Arial"/>
          <w:sz w:val="16"/>
          <w:szCs w:val="16"/>
          <w:color w:val="auto"/>
        </w:rPr>
        <w:t>and BPO services. Amdocs’ IT outsourcing services includes IT technology and infrastructure services, application development and maintenance services, application operations, system modernization and consolidation and IT management. Whether our customer’s IT environment includes Amdocs products, third-party software or in-house and legacy systems, our specialized services span the industry landscape across mobile, wireline, broadband, cable and satellite lines of business. Our value-based BPO, such as order management, billing operation and data warehousing management, combines innovative technology with business expertise to drive significant efficiencies in manual processes which may result in improved business key performance indicators and reduced costs. Our managed services models can be leveraged to support day-to-day operations and strategic business objectives.</w:t>
      </w:r>
    </w:p>
    <w:p>
      <w:pPr>
        <w:spacing w:after="0" w:line="37" w:lineRule="exact"/>
        <w:rPr>
          <w:rFonts w:ascii="Arial" w:cs="Arial" w:eastAsia="Arial" w:hAnsi="Arial"/>
          <w:sz w:val="16"/>
          <w:szCs w:val="16"/>
          <w:color w:val="auto"/>
        </w:rPr>
      </w:pPr>
    </w:p>
    <w:p>
      <w:pPr>
        <w:jc w:val="both"/>
        <w:ind w:left="660" w:hanging="206"/>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 xml:space="preserve">Product Support Services </w:t>
      </w:r>
      <w:r>
        <w:rPr>
          <w:rFonts w:ascii="Arial" w:cs="Arial" w:eastAsia="Arial" w:hAnsi="Arial"/>
          <w:sz w:val="18"/>
          <w:szCs w:val="18"/>
          <w:color w:val="auto"/>
        </w:rPr>
        <w:t>— These services are designed to help our customers solve key challenges and to protect and maximize their investment in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throughout the entire product life cycle. Our global product support organization uses industry-recognized methodologies and provides support options, including online services and personalized interactions.</w:t>
      </w:r>
    </w:p>
    <w:p>
      <w:pPr>
        <w:spacing w:after="0" w:line="59"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extent of services provided varies from customer to customer. Our services engagements can range in size and scope from deploying single point solutions to orchestrating large-scale transformation projects.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Depending on the customer’s needs, system implementation and integration activities are often conducted jointly by teams from Amdocs and the customer. Implementation and integration activities include program and project management, development of training methods and procedures, design of business processes and work flows, hardware planning and installation, network and system design and installation, system conversion and documentation. In some cases, Amdocs personnel provide support services to the customer’s own implementation and integration team, which has primary responsibility for the task. In other cases, we take a primary role in facilitating implementation and integration. In yet other instances, customers require turnkey solutions, in which case we provide full system implementation and integration services.</w:t>
      </w:r>
    </w:p>
    <w:p>
      <w:pPr>
        <w:spacing w:after="0" w:line="39"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Once the system becomes operational, we are generally retained by the customer to provide ongoing services, such as maintenance, enhancement design and development and operational support, or to act as a prime systems integrator for post-production activities that may include interfaces and third-party systems. For a substantial number of our customers, the implementation and integration of an initial system has been followed by the sale of additional systems and modules. We aim to establish long-term maintenance and support contracts with our customers. These contracts generally involve an expansion in the scope of support provided, while also providing us with recurring revenue.</w:t>
      </w:r>
    </w:p>
    <w:p>
      <w:pPr>
        <w:spacing w:after="0" w:line="62"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Our business is conducted on a global basis. We maintain development and support facilities worldwide, including Brazil, Canada, Cyprus, India, Ireland, Israel and the United States, and have operations in North America, Europe, Israel, Latin America and the Asia-Pacific region.</w:t>
      </w:r>
    </w:p>
    <w:p>
      <w:pPr>
        <w:spacing w:after="0" w:line="8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sales and marketing activities are primarily directed at major communications, media and entertainment companies.</w:t>
      </w:r>
    </w:p>
    <w:p>
      <w:pPr>
        <w:spacing w:after="0" w:line="9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a result of the strategic importance of our customer experience systems to the operations of service providers, a number of constituencies within a customer’s organization are typically involved in purchasing decisions, including senior management, information systems personnel and user groups, such as the finance, customer service and marketing departments. We maintain sales offices in the United States, Europe, Latin America and Asia Pacific.</w:t>
      </w:r>
    </w:p>
    <w:p>
      <w:pPr>
        <w:spacing w:after="0" w:line="2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Our sales activities are supported by marketing efforts and increasing cooperation with strategic partners. We interact with other third parties in our sales activities, including independent sales agents, information systems consultants engaged by our customers or prospective customers and systems integrators that provide complementary products and services to such customers. We also have value-added reseller agreements with certain hardware and database vendors. Our marketing activities also continue to support projects with partner companies, such as IBM, Alcatel-Lucent, Hewlett-Packard and others.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Customers</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target market is comprised of service providers in the communication, media and entertainment industry that require customer experience systems with advanced functionality and technology. The companies in our target segment are typically market leaders. By working with such companies, we help ensure that we remain at the forefront of developments in the communications, media and entertainment industry and that our product offerings continue to address the market’s most sophisticated needs. We have an international orientation. We have a broad base of customers in North America and Europe, however, due to our expansion in emerging markets, we also have customers in geographies as diverse as the Commonwealth of Independent States, India, Latin America and Southeast Asia.</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customers include global communications leaders and leading network operators and service providers, as well as directory publishers in the United States and around the world. Our customers include:</w:t>
      </w:r>
    </w:p>
    <w:p>
      <w:pPr>
        <w:sectPr>
          <w:pgSz w:w="11900" w:h="16838" w:orient="portrait"/>
          <w:cols w:equalWidth="0" w:num="1">
            <w:col w:w="11360"/>
          </w:cols>
          <w:pgMar w:left="240" w:top="459" w:right="299" w:bottom="1440" w:gutter="0" w:footer="0" w:header="0"/>
        </w:sectPr>
      </w:pP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America Movil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AT&amp;T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Bakcell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Bell 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Cablevision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Cellcom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Claro Brasil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Clearwire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Comcast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Telekom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DexOne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Globe Telecom</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Instituto Costarricense de Electricidad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Kazakhtelecom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KPN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Magyar Telekom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MetroPCS</w:t>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Mobilicity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Rogers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Sprint Nextel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Telefonica de Espana</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Telefonica 02 Germany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Telkom South Africa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Telstra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T-Mobile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 Brasil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UPC 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Cellular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Verizon Communications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VimpelCom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Virgin 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Vodafone Germany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Vodafone Netherlands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Vodafone Romania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Vodafone 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XL Axiata</w:t>
      </w:r>
    </w:p>
    <w:p>
      <w:pPr>
        <w:spacing w:after="0" w:line="300" w:lineRule="exact"/>
        <w:rPr>
          <w:sz w:val="20"/>
          <w:szCs w:val="20"/>
          <w:color w:val="auto"/>
        </w:rPr>
      </w:pPr>
    </w:p>
    <w:p>
      <w:pPr>
        <w:sectPr>
          <w:pgSz w:w="11900" w:h="16838" w:orient="portrait"/>
          <w:cols w:equalWidth="0" w:num="2">
            <w:col w:w="5340" w:space="720"/>
            <w:col w:w="5300"/>
          </w:cols>
          <w:pgMar w:left="240" w:top="459" w:right="299" w:bottom="1440" w:gutter="0" w:footer="0" w:header="0"/>
          <w:type w:val="continuous"/>
        </w:sectPr>
      </w:pPr>
    </w:p>
    <w:p>
      <w:pPr>
        <w:ind w:firstLine="456"/>
        <w:spacing w:after="0" w:line="290" w:lineRule="auto"/>
        <w:rPr>
          <w:sz w:val="20"/>
          <w:szCs w:val="20"/>
          <w:color w:val="auto"/>
        </w:rPr>
      </w:pPr>
      <w:r>
        <w:rPr>
          <w:rFonts w:ascii="Arial" w:cs="Arial" w:eastAsia="Arial" w:hAnsi="Arial"/>
          <w:sz w:val="16"/>
          <w:szCs w:val="16"/>
          <w:color w:val="auto"/>
        </w:rPr>
        <w:t>Our business is dependent on a limited number of significant customers, of which AT&amp;T has historically been our largest. AT&amp;T accounted for 26% of our revenue in fiscal 2012 and 29% in fiscal 2011. In fiscal 2012, our two next largest customers were Sprint Nextel and Bell Canada, and certain of their subsidiaries. Sprint Nextel accounted for 10% of our revenue in fiscal 2012 and 11% in fiscal 2011, and Bell Canada accounted for less than 10% of our revenue in fiscal 2012 and 10% in fiscal 2011. Aggregate revenue derived from the multiple business arrangements we have with our ten largest customers accounted for approximately 69% of our revenue in fiscal 2012 and 73% of our revenue in fiscal 2011. In May 2012, AT&amp;T sold a majority stake in its directory business. Revenue attributable to this business after the sale has been excluded from the total revenue attributable to AT&amp;T. If all of AT&amp;T’s directory business revenue is excluded for periods prior to the sale of its majority stake, AT&amp;T would have accounted for 24% of our revenue in fiscal 2012 and 26% in fiscal 2011.</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is a summary of revenue by geographic area. Revenue is attributed to geographic region based on the location of the customer:</w:t>
      </w:r>
    </w:p>
    <w:p>
      <w:pPr>
        <w:spacing w:after="0" w:line="10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0" w:type="dxa"/>
            <w:vAlign w:val="bottom"/>
            <w:tcBorders>
              <w:bottom w:val="single" w:sz="8" w:color="CCEEFF"/>
            </w:tcBorders>
          </w:tcPr>
          <w:p>
            <w:pPr>
              <w:spacing w:after="0"/>
              <w:rPr>
                <w:sz w:val="14"/>
                <w:szCs w:val="14"/>
                <w:color w:val="auto"/>
              </w:rPr>
            </w:pPr>
          </w:p>
        </w:tc>
        <w:tc>
          <w:tcPr>
            <w:tcW w:w="484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2012</w:t>
            </w:r>
          </w:p>
        </w:tc>
        <w:tc>
          <w:tcPr>
            <w:tcW w:w="58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6"/>
              </w:rPr>
              <w:t>2011</w:t>
            </w:r>
          </w:p>
        </w:tc>
        <w:tc>
          <w:tcPr>
            <w:tcW w:w="5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2010</w:t>
            </w:r>
          </w:p>
        </w:tc>
        <w:tc>
          <w:tcPr>
            <w:tcW w:w="200" w:type="dxa"/>
            <w:vAlign w:val="bottom"/>
            <w:tcBorders>
              <w:bottom w:val="single" w:sz="8" w:color="CCEEFF"/>
            </w:tcBorders>
          </w:tcPr>
          <w:p>
            <w:pPr>
              <w:spacing w:after="0"/>
              <w:rPr>
                <w:sz w:val="14"/>
                <w:szCs w:val="14"/>
                <w:color w:val="auto"/>
              </w:rPr>
            </w:pPr>
          </w:p>
        </w:tc>
      </w:tr>
      <w:tr>
        <w:trPr>
          <w:trHeight w:val="210"/>
        </w:trPr>
        <w:tc>
          <w:tcPr>
            <w:tcW w:w="3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North America</w:t>
            </w:r>
          </w:p>
        </w:tc>
        <w:tc>
          <w:tcPr>
            <w:tcW w:w="48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69.8%</w:t>
            </w:r>
          </w:p>
        </w:tc>
        <w:tc>
          <w:tcPr>
            <w:tcW w:w="9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73.4%</w:t>
            </w:r>
          </w:p>
        </w:tc>
        <w:tc>
          <w:tcPr>
            <w:tcW w:w="5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3"/>
              </w:rPr>
              <w:t>75.8%</w:t>
            </w: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Europe</w:t>
            </w:r>
          </w:p>
        </w:tc>
        <w:tc>
          <w:tcPr>
            <w:tcW w:w="5200" w:type="dxa"/>
            <w:vAlign w:val="bottom"/>
            <w:gridSpan w:val="2"/>
          </w:tcPr>
          <w:p>
            <w:pPr>
              <w:ind w:left="4900"/>
              <w:spacing w:after="0"/>
              <w:rPr>
                <w:sz w:val="20"/>
                <w:szCs w:val="20"/>
                <w:color w:val="auto"/>
              </w:rPr>
            </w:pPr>
            <w:r>
              <w:rPr>
                <w:rFonts w:ascii="Arial" w:cs="Arial" w:eastAsia="Arial" w:hAnsi="Arial"/>
                <w:sz w:val="18"/>
                <w:szCs w:val="18"/>
                <w:color w:val="auto"/>
                <w:w w:val="79"/>
              </w:rPr>
              <w:t>13.6</w:t>
            </w:r>
          </w:p>
        </w:tc>
        <w:tc>
          <w:tcPr>
            <w:tcW w:w="580" w:type="dxa"/>
            <w:vAlign w:val="bottom"/>
          </w:tcPr>
          <w:p>
            <w:pPr>
              <w:spacing w:after="0"/>
              <w:rPr>
                <w:sz w:val="18"/>
                <w:szCs w:val="18"/>
                <w:color w:val="auto"/>
              </w:rPr>
            </w:pPr>
          </w:p>
        </w:tc>
        <w:tc>
          <w:tcPr>
            <w:tcW w:w="380" w:type="dxa"/>
            <w:vAlign w:val="bottom"/>
          </w:tcPr>
          <w:p>
            <w:pPr>
              <w:ind w:left="60"/>
              <w:spacing w:after="0"/>
              <w:rPr>
                <w:sz w:val="20"/>
                <w:szCs w:val="20"/>
                <w:color w:val="auto"/>
              </w:rPr>
            </w:pPr>
            <w:r>
              <w:rPr>
                <w:rFonts w:ascii="Arial" w:cs="Arial" w:eastAsia="Arial" w:hAnsi="Arial"/>
                <w:sz w:val="18"/>
                <w:szCs w:val="18"/>
                <w:color w:val="auto"/>
                <w:w w:val="85"/>
              </w:rPr>
              <w:t>12.7</w:t>
            </w:r>
          </w:p>
        </w:tc>
        <w:tc>
          <w:tcPr>
            <w:tcW w:w="580" w:type="dxa"/>
            <w:vAlign w:val="bottom"/>
          </w:tcPr>
          <w:p>
            <w:pPr>
              <w:spacing w:after="0"/>
              <w:rPr>
                <w:sz w:val="18"/>
                <w:szCs w:val="18"/>
                <w:color w:val="auto"/>
              </w:rPr>
            </w:pPr>
          </w:p>
        </w:tc>
        <w:tc>
          <w:tcPr>
            <w:tcW w:w="360" w:type="dxa"/>
            <w:vAlign w:val="bottom"/>
          </w:tcPr>
          <w:p>
            <w:pPr>
              <w:ind w:left="60"/>
              <w:spacing w:after="0"/>
              <w:rPr>
                <w:sz w:val="20"/>
                <w:szCs w:val="20"/>
                <w:color w:val="auto"/>
              </w:rPr>
            </w:pPr>
            <w:r>
              <w:rPr>
                <w:rFonts w:ascii="Arial" w:cs="Arial" w:eastAsia="Arial" w:hAnsi="Arial"/>
                <w:sz w:val="18"/>
                <w:szCs w:val="18"/>
                <w:color w:val="auto"/>
                <w:w w:val="79"/>
              </w:rPr>
              <w:t>11.8</w:t>
            </w:r>
          </w:p>
        </w:tc>
        <w:tc>
          <w:tcPr>
            <w:tcW w:w="200" w:type="dxa"/>
            <w:vAlign w:val="bottom"/>
          </w:tcPr>
          <w:p>
            <w:pPr>
              <w:spacing w:after="0"/>
              <w:rPr>
                <w:sz w:val="18"/>
                <w:szCs w:val="18"/>
                <w:color w:val="auto"/>
              </w:rPr>
            </w:pP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5200" w:type="dxa"/>
            <w:vAlign w:val="bottom"/>
            <w:gridSpan w:val="2"/>
            <w:shd w:val="clear" w:color="auto" w:fill="CCEEFF"/>
          </w:tcPr>
          <w:p>
            <w:pPr>
              <w:ind w:left="4900"/>
              <w:spacing w:after="0"/>
              <w:rPr>
                <w:sz w:val="20"/>
                <w:szCs w:val="20"/>
                <w:color w:val="auto"/>
              </w:rPr>
            </w:pPr>
            <w:r>
              <w:rPr>
                <w:rFonts w:ascii="Arial" w:cs="Arial" w:eastAsia="Arial" w:hAnsi="Arial"/>
                <w:sz w:val="18"/>
                <w:szCs w:val="18"/>
                <w:color w:val="auto"/>
                <w:w w:val="79"/>
              </w:rPr>
              <w:t>16.6</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5"/>
              </w:rPr>
              <w:t>13.9</w:t>
            </w: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ind w:left="60"/>
              <w:spacing w:after="0"/>
              <w:rPr>
                <w:sz w:val="20"/>
                <w:szCs w:val="20"/>
                <w:color w:val="auto"/>
              </w:rPr>
            </w:pPr>
            <w:r>
              <w:rPr>
                <w:rFonts w:ascii="Arial" w:cs="Arial" w:eastAsia="Arial" w:hAnsi="Arial"/>
                <w:sz w:val="18"/>
                <w:szCs w:val="18"/>
                <w:color w:val="auto"/>
                <w:w w:val="79"/>
              </w:rPr>
              <w:t>12.4</w:t>
            </w:r>
          </w:p>
        </w:tc>
        <w:tc>
          <w:tcPr>
            <w:tcW w:w="200" w:type="dxa"/>
            <w:vAlign w:val="bottom"/>
            <w:shd w:val="clear" w:color="auto" w:fill="CCEEFF"/>
          </w:tcPr>
          <w:p>
            <w:pPr>
              <w:spacing w:after="0"/>
              <w:rPr>
                <w:sz w:val="18"/>
                <w:szCs w:val="18"/>
                <w:color w:val="auto"/>
              </w:rPr>
            </w:pPr>
          </w:p>
        </w:tc>
      </w:tr>
      <w:tr>
        <w:trPr>
          <w:trHeight w:val="363"/>
        </w:trPr>
        <w:tc>
          <w:tcPr>
            <w:tcW w:w="3200" w:type="dxa"/>
            <w:vAlign w:val="bottom"/>
          </w:tcPr>
          <w:p>
            <w:pPr>
              <w:spacing w:after="0"/>
              <w:rPr>
                <w:sz w:val="24"/>
                <w:szCs w:val="24"/>
                <w:color w:val="auto"/>
              </w:rPr>
            </w:pPr>
          </w:p>
        </w:tc>
        <w:tc>
          <w:tcPr>
            <w:tcW w:w="4840" w:type="dxa"/>
            <w:vAlign w:val="bottom"/>
          </w:tcPr>
          <w:p>
            <w:pPr>
              <w:jc w:val="right"/>
              <w:ind w:right="2612"/>
              <w:spacing w:after="0"/>
              <w:rPr>
                <w:sz w:val="20"/>
                <w:szCs w:val="20"/>
                <w:color w:val="auto"/>
              </w:rPr>
            </w:pPr>
            <w:r>
              <w:rPr>
                <w:rFonts w:ascii="Arial" w:cs="Arial" w:eastAsia="Arial" w:hAnsi="Arial"/>
                <w:sz w:val="18"/>
                <w:szCs w:val="18"/>
                <w:color w:val="auto"/>
              </w:rPr>
              <w:t>25</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Competition</w:t>
      </w:r>
    </w:p>
    <w:p>
      <w:pPr>
        <w:spacing w:after="0" w:line="90"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market for customer experience systems and services in the communications, media and entertainment industry continues to become increasingly more competitive. Amdocs’ competitive landscape is comprised of internal IT departments of large communication companies as well as independent competitors that can be categorized as follows:</w:t>
      </w:r>
    </w:p>
    <w:p>
      <w:pPr>
        <w:spacing w:after="0" w:line="59" w:lineRule="exact"/>
        <w:rPr>
          <w:sz w:val="20"/>
          <w:szCs w:val="20"/>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providers of BSS/OSS systems, including Comverse, CSG International, Oracle and SAP;</w:t>
      </w:r>
    </w:p>
    <w:p>
      <w:pPr>
        <w:spacing w:after="0" w:line="90" w:lineRule="exact"/>
        <w:rPr>
          <w:rFonts w:ascii="Arial" w:cs="Arial" w:eastAsia="Arial" w:hAnsi="Arial"/>
          <w:sz w:val="18"/>
          <w:szCs w:val="18"/>
          <w:color w:val="auto"/>
        </w:rPr>
      </w:pPr>
    </w:p>
    <w:p>
      <w:pPr>
        <w:ind w:left="660" w:right="520" w:hanging="206"/>
        <w:spacing w:after="0" w:line="33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system integrators and providers of IT services, such as Accenture, Cognizant, Hewlett-Packard, IBM Global Services, Infosys, Tata Consultancy Services, Tech Mahindra Ltd and Wipro (some of whom we also cooperate with in certain opportunities and projects); and</w:t>
      </w:r>
    </w:p>
    <w:p>
      <w:pPr>
        <w:spacing w:after="0" w:line="4" w:lineRule="exact"/>
        <w:rPr>
          <w:rFonts w:ascii="Arial" w:cs="Arial" w:eastAsia="Arial" w:hAnsi="Arial"/>
          <w:sz w:val="16"/>
          <w:szCs w:val="16"/>
          <w:color w:val="auto"/>
        </w:rPr>
      </w:pPr>
    </w:p>
    <w:p>
      <w:pPr>
        <w:ind w:left="660" w:right="460" w:hanging="206"/>
        <w:spacing w:after="0" w:line="26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network equipment providers such as Alcatel-Lucent, Ericsson, Huawei, Nokia Siemens, NEC and ZTE (some of whom we also cooperate with in certain opportunities and projects and some of whom have also moved into the BSS/OSS space).</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expect the competition in our industry to increase from such companies.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are able to differentiate ourselves from these competitors by, among other things:</w:t>
      </w:r>
    </w:p>
    <w:p>
      <w:pPr>
        <w:spacing w:after="0" w:line="90" w:lineRule="exact"/>
        <w:rPr>
          <w:sz w:val="20"/>
          <w:szCs w:val="20"/>
          <w:color w:val="auto"/>
        </w:rPr>
      </w:pPr>
    </w:p>
    <w:p>
      <w:pPr>
        <w:ind w:left="660" w:right="180" w:hanging="206"/>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applying our 30-year heritage to the development and delivery of products and professional services that enable our customers to overcome their challenges and achieve service differentiation by means of simplifying the customer experience, harnessing data, staying ahead of the competition and focusing on efficiencies,</w:t>
      </w:r>
    </w:p>
    <w:p>
      <w:pPr>
        <w:spacing w:after="0" w:line="59" w:lineRule="exact"/>
        <w:rPr>
          <w:rFonts w:ascii="Arial" w:cs="Arial" w:eastAsia="Arial" w:hAnsi="Arial"/>
          <w:sz w:val="18"/>
          <w:szCs w:val="18"/>
          <w:color w:val="auto"/>
        </w:rPr>
      </w:pPr>
    </w:p>
    <w:p>
      <w:pPr>
        <w:ind w:left="660" w:right="400" w:hanging="206"/>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focusing on service providers and continuing to design and develop solutions targeted specifically to the communications, media and entertainment industry,</w:t>
      </w:r>
    </w:p>
    <w:p>
      <w:pPr>
        <w:spacing w:after="0" w:line="50" w:lineRule="exact"/>
        <w:rPr>
          <w:rFonts w:ascii="Arial" w:cs="Arial" w:eastAsia="Arial" w:hAnsi="Arial"/>
          <w:sz w:val="18"/>
          <w:szCs w:val="18"/>
          <w:color w:val="auto"/>
        </w:rPr>
      </w:pPr>
    </w:p>
    <w:p>
      <w:pPr>
        <w:ind w:left="660" w:right="300" w:hanging="206"/>
        <w:spacing w:after="0" w:line="26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innovating and enabling our customers to adopt new business models that will improve their ability to drive new revenues, and compete and win in a changing market,</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providing high-quality, reliable, scalable, integrated, yet modular applications,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providing flexible and tailored IT and business process outsourcing solutions and delivery models, and</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offering customers end-to-end accountability from a single vendor.</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compete with a number of companies that have long operating histories, large customer bases, substantial financial, technical, sales, marketing and other resources, and strong name recognition. Some of these companies are continuing their attempts to expand their market penetration in the communications industry. Current and potential competitors have established, and may establish in the future, cooperative relationships among themselves or with third parties to increase their ability to address the needs of our existing or prospective customers. Accordingly, new competitors or alliances among competitors may emerge and rapidly acquire significant market share. There can be no assurance that we will be able to compete successfully with existing or new competitors. Our failure to adapt to changing market conditions and compete successfully with established or new competitors would have a material adverse effect on the results of our operations and financial condition.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Employees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invest significant resources in the training, retention and motivation of high quality personnel. Training programs cover areas such as technology, applications, development methodology, project methodology, programming standards, industry background, business, management development and leadership. Our management development efforts are reinforced by an organizational structure that provides opportunities for talented managers to gain experience in general management roles. We also invest considerable resources in personnel motivation, including providing various incentive plans for sales staff and high quality employees. Our future success depends in large part upon our continuing ability to attract and retain highly qualified managerial, technical, sales and marketing personnel and outstanding leaders.</w:t>
      </w:r>
    </w:p>
    <w:p>
      <w:pPr>
        <w:spacing w:after="0" w:line="63" w:lineRule="exact"/>
        <w:rPr>
          <w:sz w:val="20"/>
          <w:szCs w:val="20"/>
          <w:color w:val="auto"/>
        </w:rPr>
      </w:pPr>
    </w:p>
    <w:p>
      <w:pPr>
        <w:jc w:val="center"/>
        <w:ind w:left="600" w:right="100"/>
        <w:spacing w:after="0" w:line="440" w:lineRule="auto"/>
        <w:rPr>
          <w:sz w:val="20"/>
          <w:szCs w:val="20"/>
          <w:color w:val="auto"/>
        </w:rPr>
      </w:pPr>
      <w:r>
        <w:rPr>
          <w:rFonts w:ascii="Arial" w:cs="Arial" w:eastAsia="Arial" w:hAnsi="Arial"/>
          <w:sz w:val="18"/>
          <w:szCs w:val="18"/>
          <w:color w:val="auto"/>
        </w:rPr>
        <w:t>See “Directors, Senior Management and Employees — Workforce Personnel” for further details regarding our employees and our relationships with them. 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 Patents and Licenses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research and development activities involve the development of new software architecture, modules and product offerings in response to an identified market demand, either as part of our internal product development programs or in conjunction with a customer project. We also expend additional amounts on applied research and software development activities to keep abreast of new technologies in the communications markets and to provide new and enhanced functionality to our existing product offerings.</w:t>
      </w:r>
    </w:p>
    <w:p>
      <w:pPr>
        <w:spacing w:after="0" w:line="6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Throughout fiscal 2011 and fiscal 2012, we continued to release aspects of our CES 8 portfolio. We dedicated significant efforts and resources to the integration among the components of the CES 8 portfolio, including deeper integration between our charging and billing, customer relationship management, ordering and foundation applications. The CES 8 portfolio was designed to enable our customers to support new business models, devices and partnerships by centralizing common assets, such as customer, network and product data. Our portfolio of pre-integrated software products was built to span the entire customer lifecycle across BSS and OSS to align their business processes around the end customer. Our products are designed to allow modular expansion as a service provider evolves, ensuring rapid, low-cost, reduced-risk implementations. In addition, Amdocs focuses on offering business solutions that leverage functionality from across the CES portfolio combined with services and industry knowledge. These business solutions address larger business problems and provide greater value to our customers.</w:t>
      </w:r>
    </w:p>
    <w:p>
      <w:pPr>
        <w:spacing w:after="0" w:line="37"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During fiscal 2012, we also devoted research and development resources to Amdocs CES 9, our next major product portfolio release. CES 9 will address additional challenges and opportunities of the connected world by delivering enhanced functionality to enable our customers to implement more cost-effective innovative solutions relating to network monetization and enhanced customer experience in the assisted and unassisted channels. For software development, Amdocs uses Agile, a software development methodology based on iterative and incremental development where requirements and solutions evolve through collaboration between self-organizing, cross-functional teams.</w:t>
      </w:r>
    </w:p>
    <w:p>
      <w:pPr>
        <w:spacing w:after="0" w:line="35"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substantial majority of our research and development expenditures is directed at our customer experience systems, and the remainder is directed at advertising and media directory systems offerings.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6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Our products are largely comprised of software and systems that we have developed or acquired and that we regard as proprietary. Our software and software systems are the results of long and complex development processes, and although our technology is not significantly dependent on patents or licenses from third parties, certain aspects of our products make use of readily available software components licensed from third parties. As a developer of complex software systems, third parties may claim that portions of our systems infringe their intellectual property rights.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 We have taken, and intend to continue to take, several measures to establish and protect our proprietary rights in our products and technologies from third-party infringement. We rely upon a combination of trademarks, patents, contractual rights, trade secret law, copyrights and nondisclosure agreements. We enter into non-disclosure and confidentiality agreements with our customers, employees and marketing representatives and with certain contractors with access to sensitive information; and we also limit customer access to the source code of our software and software systems.</w:t>
      </w:r>
    </w:p>
    <w:p>
      <w:pPr>
        <w:spacing w:after="0" w:line="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the discussion under “Operating and Financial Review and Prospects — Research and Development, Patents and Licenses.”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Property, Plants and Equipment</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Facilities</w:t>
      </w:r>
    </w:p>
    <w:p>
      <w:pPr>
        <w:spacing w:after="0" w:line="90"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We lease land and buildings for our executive offices, sales, marketing, administrative, development and support centers. We lease an aggregate of approximately 2.9 million square feet worldwide, including significant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leases in the United States, Israel, Canada, Cyprus, India and the United Kingdom. Our aggregate annual lease costs with respect to our properties as of</w:t>
      </w:r>
    </w:p>
    <w:p>
      <w:pPr>
        <w:spacing w:after="0" w:line="38"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October 31, 2012, including maintenance and other related costs, were approximately $60.5 million. The following table summarizes information with respect to the principal facilities leased by us and our subsidiaries as of October 31, 2012:</w:t>
      </w:r>
    </w:p>
    <w:p>
      <w:pPr>
        <w:spacing w:after="0" w:line="4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9"/>
              </w:rPr>
              <w:t>Location</w:t>
            </w:r>
          </w:p>
        </w:tc>
        <w:tc>
          <w:tcPr>
            <w:tcW w:w="9000" w:type="dxa"/>
            <w:vAlign w:val="bottom"/>
            <w:vMerge w:val="restart"/>
          </w:tcPr>
          <w:p>
            <w:pPr>
              <w:spacing w:after="0"/>
              <w:rPr>
                <w:sz w:val="14"/>
                <w:szCs w:val="14"/>
                <w:color w:val="auto"/>
              </w:rPr>
            </w:pPr>
          </w:p>
        </w:tc>
        <w:tc>
          <w:tcPr>
            <w:tcW w:w="9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Area</w:t>
            </w:r>
          </w:p>
        </w:tc>
        <w:tc>
          <w:tcPr>
            <w:tcW w:w="0" w:type="dxa"/>
            <w:vAlign w:val="bottom"/>
          </w:tcPr>
          <w:p>
            <w:pPr>
              <w:spacing w:after="0"/>
              <w:rPr>
                <w:sz w:val="1"/>
                <w:szCs w:val="1"/>
                <w:color w:val="auto"/>
              </w:rPr>
            </w:pPr>
          </w:p>
        </w:tc>
      </w:tr>
      <w:tr>
        <w:trPr>
          <w:trHeight w:val="168"/>
        </w:trPr>
        <w:tc>
          <w:tcPr>
            <w:tcW w:w="540" w:type="dxa"/>
            <w:vAlign w:val="bottom"/>
            <w:tcBorders>
              <w:bottom w:val="single" w:sz="8" w:color="auto"/>
            </w:tcBorders>
            <w:vMerge w:val="continue"/>
          </w:tcPr>
          <w:p>
            <w:pPr>
              <w:spacing w:after="0"/>
              <w:rPr>
                <w:sz w:val="14"/>
                <w:szCs w:val="14"/>
                <w:color w:val="auto"/>
              </w:rPr>
            </w:pPr>
          </w:p>
        </w:tc>
        <w:tc>
          <w:tcPr>
            <w:tcW w:w="9000" w:type="dxa"/>
            <w:vAlign w:val="bottom"/>
            <w:vMerge w:val="continue"/>
          </w:tcPr>
          <w:p>
            <w:pPr>
              <w:spacing w:after="0"/>
              <w:rPr>
                <w:sz w:val="14"/>
                <w:szCs w:val="14"/>
                <w:color w:val="auto"/>
              </w:rPr>
            </w:pPr>
          </w:p>
        </w:tc>
        <w:tc>
          <w:tcPr>
            <w:tcW w:w="960" w:type="dxa"/>
            <w:vAlign w:val="bottom"/>
            <w:gridSpan w:val="2"/>
          </w:tcPr>
          <w:p>
            <w:pPr>
              <w:jc w:val="center"/>
              <w:ind w:right="120"/>
              <w:spacing w:after="0" w:line="148" w:lineRule="exact"/>
              <w:rPr>
                <w:sz w:val="20"/>
                <w:szCs w:val="20"/>
                <w:color w:val="auto"/>
              </w:rPr>
            </w:pPr>
            <w:r>
              <w:rPr>
                <w:rFonts w:ascii="Arial" w:cs="Arial" w:eastAsia="Arial" w:hAnsi="Arial"/>
                <w:sz w:val="14"/>
                <w:szCs w:val="14"/>
                <w:b w:val="1"/>
                <w:bCs w:val="1"/>
                <w:color w:val="auto"/>
                <w:w w:val="87"/>
              </w:rPr>
              <w:t>(Sq. Feet)</w:t>
            </w:r>
          </w:p>
        </w:tc>
        <w:tc>
          <w:tcPr>
            <w:tcW w:w="0" w:type="dxa"/>
            <w:vAlign w:val="bottom"/>
          </w:tcPr>
          <w:p>
            <w:pPr>
              <w:spacing w:after="0"/>
              <w:rPr>
                <w:sz w:val="1"/>
                <w:szCs w:val="1"/>
                <w:color w:val="auto"/>
              </w:rPr>
            </w:pPr>
          </w:p>
        </w:tc>
      </w:tr>
      <w:tr>
        <w:trPr>
          <w:trHeight w:val="190"/>
        </w:trPr>
        <w:tc>
          <w:tcPr>
            <w:tcW w:w="954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United States:</w:t>
            </w:r>
          </w:p>
        </w:tc>
        <w:tc>
          <w:tcPr>
            <w:tcW w:w="8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540" w:type="dxa"/>
            <w:vAlign w:val="bottom"/>
            <w:gridSpan w:val="2"/>
          </w:tcPr>
          <w:p>
            <w:pPr>
              <w:ind w:left="220"/>
              <w:spacing w:after="0"/>
              <w:rPr>
                <w:sz w:val="20"/>
                <w:szCs w:val="20"/>
                <w:color w:val="auto"/>
              </w:rPr>
            </w:pPr>
            <w:r>
              <w:rPr>
                <w:rFonts w:ascii="Arial" w:cs="Arial" w:eastAsia="Arial" w:hAnsi="Arial"/>
                <w:sz w:val="18"/>
                <w:szCs w:val="18"/>
                <w:color w:val="auto"/>
              </w:rPr>
              <w:t>St. Louis, MO</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81,238</w:t>
            </w: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San Jose, CA(*)</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112,120</w:t>
            </w:r>
          </w:p>
        </w:tc>
        <w:tc>
          <w:tcPr>
            <w:tcW w:w="0" w:type="dxa"/>
            <w:vAlign w:val="bottom"/>
          </w:tcPr>
          <w:p>
            <w:pPr>
              <w:spacing w:after="0"/>
              <w:rPr>
                <w:sz w:val="1"/>
                <w:szCs w:val="1"/>
                <w:color w:val="auto"/>
              </w:rPr>
            </w:pPr>
          </w:p>
        </w:tc>
      </w:tr>
      <w:tr>
        <w:trPr>
          <w:trHeight w:val="216"/>
        </w:trPr>
        <w:tc>
          <w:tcPr>
            <w:tcW w:w="9540" w:type="dxa"/>
            <w:vAlign w:val="bottom"/>
            <w:gridSpan w:val="2"/>
          </w:tcPr>
          <w:p>
            <w:pPr>
              <w:ind w:left="220"/>
              <w:spacing w:after="0"/>
              <w:rPr>
                <w:sz w:val="20"/>
                <w:szCs w:val="20"/>
                <w:color w:val="auto"/>
              </w:rPr>
            </w:pPr>
            <w:r>
              <w:rPr>
                <w:rFonts w:ascii="Arial" w:cs="Arial" w:eastAsia="Arial" w:hAnsi="Arial"/>
                <w:sz w:val="18"/>
                <w:szCs w:val="18"/>
                <w:color w:val="auto"/>
              </w:rPr>
              <w:t>Champaign, IL</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174,223</w:t>
            </w: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Eldorado Hills, CA(*)</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113,291</w:t>
            </w:r>
          </w:p>
        </w:tc>
        <w:tc>
          <w:tcPr>
            <w:tcW w:w="0" w:type="dxa"/>
            <w:vAlign w:val="bottom"/>
          </w:tcPr>
          <w:p>
            <w:pPr>
              <w:spacing w:after="0"/>
              <w:rPr>
                <w:sz w:val="1"/>
                <w:szCs w:val="1"/>
                <w:color w:val="auto"/>
              </w:rPr>
            </w:pPr>
          </w:p>
        </w:tc>
      </w:tr>
      <w:tr>
        <w:trPr>
          <w:trHeight w:val="223"/>
        </w:trPr>
        <w:tc>
          <w:tcPr>
            <w:tcW w:w="9540" w:type="dxa"/>
            <w:vAlign w:val="bottom"/>
            <w:gridSpan w:val="2"/>
          </w:tcPr>
          <w:p>
            <w:pPr>
              <w:ind w:left="220"/>
              <w:spacing w:after="0"/>
              <w:rPr>
                <w:sz w:val="20"/>
                <w:szCs w:val="20"/>
                <w:color w:val="auto"/>
              </w:rPr>
            </w:pPr>
            <w:r>
              <w:rPr>
                <w:rFonts w:ascii="Arial" w:cs="Arial" w:eastAsia="Arial" w:hAnsi="Arial"/>
                <w:sz w:val="18"/>
                <w:szCs w:val="18"/>
                <w:color w:val="auto"/>
              </w:rPr>
              <w:t>Others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198,909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679,781</w:t>
            </w:r>
          </w:p>
        </w:tc>
        <w:tc>
          <w:tcPr>
            <w:tcW w:w="0" w:type="dxa"/>
            <w:vAlign w:val="bottom"/>
          </w:tcPr>
          <w:p>
            <w:pPr>
              <w:spacing w:after="0"/>
              <w:rPr>
                <w:sz w:val="1"/>
                <w:szCs w:val="1"/>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Israel:</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Ra’anana</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674,179</w:t>
            </w:r>
          </w:p>
        </w:tc>
        <w:tc>
          <w:tcPr>
            <w:tcW w:w="0" w:type="dxa"/>
            <w:vAlign w:val="bottom"/>
          </w:tcPr>
          <w:p>
            <w:pPr>
              <w:spacing w:after="0"/>
              <w:rPr>
                <w:sz w:val="1"/>
                <w:szCs w:val="1"/>
                <w:color w:val="auto"/>
              </w:rPr>
            </w:pPr>
          </w:p>
        </w:tc>
      </w:tr>
      <w:tr>
        <w:trPr>
          <w:trHeight w:val="216"/>
        </w:trPr>
        <w:tc>
          <w:tcPr>
            <w:tcW w:w="9540" w:type="dxa"/>
            <w:vAlign w:val="bottom"/>
            <w:gridSpan w:val="2"/>
          </w:tcPr>
          <w:p>
            <w:pPr>
              <w:ind w:left="220"/>
              <w:spacing w:after="0"/>
              <w:rPr>
                <w:sz w:val="20"/>
                <w:szCs w:val="20"/>
                <w:color w:val="auto"/>
              </w:rPr>
            </w:pPr>
            <w:r>
              <w:rPr>
                <w:rFonts w:ascii="Arial" w:cs="Arial" w:eastAsia="Arial" w:hAnsi="Arial"/>
                <w:sz w:val="18"/>
                <w:szCs w:val="18"/>
                <w:color w:val="auto"/>
              </w:rPr>
              <w:t>Hod-Hasharon</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81,109</w:t>
            </w: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Haifa</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38,133</w:t>
            </w:r>
          </w:p>
        </w:tc>
        <w:tc>
          <w:tcPr>
            <w:tcW w:w="0" w:type="dxa"/>
            <w:vAlign w:val="bottom"/>
          </w:tcPr>
          <w:p>
            <w:pPr>
              <w:spacing w:after="0"/>
              <w:rPr>
                <w:sz w:val="1"/>
                <w:szCs w:val="1"/>
                <w:color w:val="auto"/>
              </w:rPr>
            </w:pPr>
          </w:p>
        </w:tc>
      </w:tr>
      <w:tr>
        <w:trPr>
          <w:trHeight w:val="223"/>
        </w:trPr>
        <w:tc>
          <w:tcPr>
            <w:tcW w:w="9540" w:type="dxa"/>
            <w:vAlign w:val="bottom"/>
            <w:gridSpan w:val="2"/>
          </w:tcPr>
          <w:p>
            <w:pPr>
              <w:ind w:left="220"/>
              <w:spacing w:after="0"/>
              <w:rPr>
                <w:sz w:val="20"/>
                <w:szCs w:val="20"/>
                <w:color w:val="auto"/>
              </w:rPr>
            </w:pPr>
            <w:r>
              <w:rPr>
                <w:rFonts w:ascii="Arial" w:cs="Arial" w:eastAsia="Arial" w:hAnsi="Arial"/>
                <w:sz w:val="18"/>
                <w:szCs w:val="18"/>
                <w:color w:val="auto"/>
              </w:rPr>
              <w:t>Others(*)</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986,496</w:t>
            </w:r>
          </w:p>
        </w:tc>
        <w:tc>
          <w:tcPr>
            <w:tcW w:w="0" w:type="dxa"/>
            <w:vAlign w:val="bottom"/>
          </w:tcPr>
          <w:p>
            <w:pPr>
              <w:spacing w:after="0"/>
              <w:rPr>
                <w:sz w:val="1"/>
                <w:szCs w:val="1"/>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Canada:</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Toronto(*)</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8,817</w:t>
            </w:r>
          </w:p>
        </w:tc>
        <w:tc>
          <w:tcPr>
            <w:tcW w:w="0" w:type="dxa"/>
            <w:vAlign w:val="bottom"/>
          </w:tcPr>
          <w:p>
            <w:pPr>
              <w:spacing w:after="0"/>
              <w:rPr>
                <w:sz w:val="1"/>
                <w:szCs w:val="1"/>
                <w:color w:val="auto"/>
              </w:rPr>
            </w:pPr>
          </w:p>
        </w:tc>
      </w:tr>
      <w:tr>
        <w:trPr>
          <w:trHeight w:val="216"/>
        </w:trPr>
        <w:tc>
          <w:tcPr>
            <w:tcW w:w="9540" w:type="dxa"/>
            <w:vAlign w:val="bottom"/>
            <w:gridSpan w:val="2"/>
          </w:tcPr>
          <w:p>
            <w:pPr>
              <w:ind w:left="220"/>
              <w:spacing w:after="0"/>
              <w:rPr>
                <w:sz w:val="20"/>
                <w:szCs w:val="20"/>
                <w:color w:val="auto"/>
              </w:rPr>
            </w:pPr>
            <w:r>
              <w:rPr>
                <w:rFonts w:ascii="Arial" w:cs="Arial" w:eastAsia="Arial" w:hAnsi="Arial"/>
                <w:sz w:val="18"/>
                <w:szCs w:val="18"/>
                <w:color w:val="auto"/>
              </w:rPr>
              <w:t>Montreal</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59,317</w:t>
            </w: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Ottawa</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40" w:type="dxa"/>
            <w:vAlign w:val="bottom"/>
            <w:gridSpan w:val="2"/>
          </w:tcPr>
          <w:p>
            <w:pPr>
              <w:ind w:left="440"/>
              <w:spacing w:after="0"/>
              <w:rPr>
                <w:sz w:val="20"/>
                <w:szCs w:val="20"/>
                <w:color w:val="auto"/>
              </w:rPr>
            </w:pPr>
            <w:r>
              <w:rPr>
                <w:rFonts w:ascii="Arial" w:cs="Arial" w:eastAsia="Arial" w:hAnsi="Arial"/>
                <w:sz w:val="18"/>
                <w:szCs w:val="18"/>
                <w:color w:val="auto"/>
              </w:rPr>
              <w:t>Total</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108,406</w:t>
            </w:r>
          </w:p>
        </w:tc>
        <w:tc>
          <w:tcPr>
            <w:tcW w:w="0" w:type="dxa"/>
            <w:vAlign w:val="bottom"/>
          </w:tcPr>
          <w:p>
            <w:pPr>
              <w:spacing w:after="0"/>
              <w:rPr>
                <w:sz w:val="1"/>
                <w:szCs w:val="1"/>
                <w:color w:val="auto"/>
              </w:rPr>
            </w:pPr>
          </w:p>
        </w:tc>
      </w:tr>
      <w:tr>
        <w:trPr>
          <w:trHeight w:val="218"/>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Cyprus (Limassol)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65,636</w:t>
            </w:r>
          </w:p>
        </w:tc>
        <w:tc>
          <w:tcPr>
            <w:tcW w:w="0" w:type="dxa"/>
            <w:vAlign w:val="bottom"/>
          </w:tcPr>
          <w:p>
            <w:pPr>
              <w:spacing w:after="0"/>
              <w:rPr>
                <w:sz w:val="1"/>
                <w:szCs w:val="1"/>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India:</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Pune</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570,770</w:t>
            </w:r>
          </w:p>
        </w:tc>
        <w:tc>
          <w:tcPr>
            <w:tcW w:w="0" w:type="dxa"/>
            <w:vAlign w:val="bottom"/>
          </w:tcPr>
          <w:p>
            <w:pPr>
              <w:spacing w:after="0"/>
              <w:rPr>
                <w:sz w:val="1"/>
                <w:szCs w:val="1"/>
                <w:color w:val="auto"/>
              </w:rPr>
            </w:pPr>
          </w:p>
        </w:tc>
      </w:tr>
      <w:tr>
        <w:trPr>
          <w:trHeight w:val="223"/>
        </w:trPr>
        <w:tc>
          <w:tcPr>
            <w:tcW w:w="9540" w:type="dxa"/>
            <w:vAlign w:val="bottom"/>
            <w:gridSpan w:val="2"/>
          </w:tcPr>
          <w:p>
            <w:pPr>
              <w:ind w:left="220"/>
              <w:spacing w:after="0"/>
              <w:rPr>
                <w:sz w:val="20"/>
                <w:szCs w:val="20"/>
                <w:color w:val="auto"/>
              </w:rPr>
            </w:pPr>
            <w:r>
              <w:rPr>
                <w:rFonts w:ascii="Arial" w:cs="Arial" w:eastAsia="Arial" w:hAnsi="Arial"/>
                <w:sz w:val="18"/>
                <w:szCs w:val="18"/>
                <w:color w:val="auto"/>
              </w:rPr>
              <w:t>Delhi</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706,435</w:t>
            </w:r>
          </w:p>
        </w:tc>
        <w:tc>
          <w:tcPr>
            <w:tcW w:w="0" w:type="dxa"/>
            <w:vAlign w:val="bottom"/>
          </w:tcPr>
          <w:p>
            <w:pPr>
              <w:spacing w:after="0"/>
              <w:rPr>
                <w:sz w:val="1"/>
                <w:szCs w:val="1"/>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79,626</w:t>
            </w: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2,861,353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121285</wp:posOffset>
            </wp:positionV>
            <wp:extent cx="94361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Includes space sublet to third parties.</w:t>
      </w:r>
    </w:p>
    <w:p>
      <w:pPr>
        <w:spacing w:after="0" w:line="15" w:lineRule="exact"/>
        <w:rPr>
          <w:sz w:val="20"/>
          <w:szCs w:val="20"/>
          <w:color w:val="auto"/>
        </w:rPr>
      </w:pPr>
    </w:p>
    <w:p>
      <w:pPr>
        <w:ind w:left="460" w:right="660" w:hanging="452"/>
        <w:spacing w:after="0" w:line="261"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Primarily includes Australia, Austria, Brazil, China, Costa Rica, Czech Republic, France, Germany, Indonesia, Japan, Ireland, Malaysia, Mexico, Netherlands, the Philippines, Russia, Singapore and South Africa.</w:t>
      </w:r>
    </w:p>
    <w:p>
      <w:pPr>
        <w:spacing w:after="0" w:line="5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6"/>
          <w:szCs w:val="16"/>
          <w:color w:val="auto"/>
        </w:rPr>
        <w:t>Our leases expire on various dates from calendar years 2012 through 2025, not including various options to terminate or extend lease terms.</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Equipment</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develop our customer experience systems over a system of UNIX, Linux and Windows servers owned or leased by us. We use a variety of software products in our development centers, including products by Microsoft, Oracle, Synscsort, RedHat, CA, IBM and Hewlett-Packard. Our data storage is based on equipment from EMC, SUN, NetApp, IBM, Hitachi and Hewlett-Packard. Our development servers are connected to more than 20,000 personal computers owned or leased by us.</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20"/>
          </w:cols>
          <w:pgMar w:left="24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Automatic tape libraries and virtual tape libraries provide full and incremental backups of the data used in and generated by our business. The backup tapes are kept on-site and off-site, as appropriate, to ensure security and integrity, and are used as part of our disaster recovery plan. The distributed development sites that we operate worldwide are connected by a high-speed redundant wide area network, using telecommunication equipment manufactured by, among others, Cisco and Avaya.</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4A. </w:t>
      </w:r>
      <w:r>
        <w:rPr>
          <w:rFonts w:ascii="Arial" w:cs="Arial" w:eastAsia="Arial" w:hAnsi="Arial"/>
          <w:sz w:val="18"/>
          <w:szCs w:val="18"/>
          <w:b w:val="1"/>
          <w:bCs w:val="1"/>
          <w:i w:val="1"/>
          <w:iCs w:val="1"/>
          <w:color w:val="auto"/>
        </w:rPr>
        <w:t>UNRESOLVED STAFF COMMENTS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OPERATING AND FINANCIAL REVIEW AND PROSPECTS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Business and Trend Information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Amdocs is a leading provider of software and services for communications, media and entertainment industry service providers. Although our market focus has traditionally been primarily on Tier-1 and Tier-2 service providers in developed markets, we have also focused in the last several years on Tier-3 and Tier-4 providers in developed markets, and on providers in emerging markets, such as the Commonwealth of Independent States, India, Latin America and Southeast Asia. Regardless of whether providers are bringing their first offerings to market, scaling for growth, consolidating systems or transforming the way they do business, we believe that providers seek to differentiate their offerings by delivering a customer experience that is simple, personal and valuable at every point of service.</w:t>
      </w:r>
    </w:p>
    <w:p>
      <w:pPr>
        <w:spacing w:after="0" w:line="6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We develop, implement and manage software and services associated with BSS, OSS and network control product offerings to enable service providers to introduce new products and services quickly, understand their customers more deeply, process orders more efficiently, monetize data and support new business models while controlling costs. We refer to these systems collectively as customer experience systems because of the crucial impact that these systems have on the service providers’ end-user experience.</w:t>
      </w:r>
    </w:p>
    <w:p>
      <w:pPr>
        <w:spacing w:after="0" w:line="62"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a global communications industry impacted by unprecedented growth in data demand, increasing number of connected devices, improvement in M2M technologies, the rising influence of device makers and over-the-top players that bypass traditional service providers, consumers expect immediate and constant connectivity to personalized services, information and applications. To capture new revenue streams in this connected world, service providers will need the ability to expand within existing and non-traditional business models as they simultaneously attempt to reduce their costs in providing current and new services. We seek to address these market forces through a strategy of innovation from the network and business support systems to the device and end user. Our goal is to supply cost-effective, scalable software products and services that provide functionality and flexibility to service providers as they — and their markets — grow and change.</w:t>
      </w:r>
    </w:p>
    <w:p>
      <w:pPr>
        <w:spacing w:after="0" w:line="3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In part, we have sought, through acquisitions, to expand our service offerings and customer base and to enhance our ability to provide managed services to our customers. Since 1999, we have completed numerous acquisitions, which, among other things, have expanded our business into customer care and billing solutions for cable and satellite companies and enhanced our offerings in the OSS, digital content and commerce markets and high growth emerging markets. As part of our strategy, we may continue to pursue acquisitions and other initiatives in order to offer new products or services, or otherwise enhance our market position or strategic strengths.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offerings of software and related services consist of:</w:t>
      </w:r>
    </w:p>
    <w:p>
      <w:pPr>
        <w:spacing w:after="0" w:line="90" w:lineRule="exact"/>
        <w:rPr>
          <w:sz w:val="20"/>
          <w:szCs w:val="20"/>
          <w:color w:val="auto"/>
        </w:rPr>
      </w:pPr>
    </w:p>
    <w:p>
      <w:pPr>
        <w:ind w:left="660" w:right="80" w:hanging="206"/>
        <w:spacing w:after="0" w:line="294"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 complete, modular yet integrated portfolio of customer experience systems, including revenue management (convergent charging and billing, mediation, partner management and service delivery), customer management (multichannel selling and assisted multichannel), OSS (network planning, service fulfillment, service assurance, inventory and discovery and OSS systems integration services), network control (service controller, home subscriber server, policy controller, intelligent routing controller and data experience solution) and digital services (connected home solution, mobile payments, digital commerce solution, personalization and M2M solutions), all employing a unified foundation of products and tools.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0" w:hanging="206"/>
        <w:spacing w:after="0" w:line="255"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comprehensive line of services. Because our customers’ projects are complex and require systems support expertise, we provide business process and IT services, including business consulting, systems integration and ITO and BPO services, managed services and product support to assist our customers with their business strategy, system implementation, integration, modification, consolidation, modernization, ongoing support, enhancement and maintenance needs. In addition, we offer comprehensive learning services to help our customers develop competency in their Amdocs systems and applications.</w:t>
      </w:r>
    </w:p>
    <w:p>
      <w:pPr>
        <w:spacing w:after="0" w:line="6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have designed our customer experience systems to meet the high-volume, complex needs of Tier-1 and Tier-2 service providers and to address the unique issues of service providers in high growth emerging markets. We support our customers’ various lines of business, including wireline, wireless, cable and satellite, and a wide range of communication services, including voice, video, data, broadband, content, electronic and mobile commerce applications. In addition, we support companies that offer bundled or convergent service packages.</w:t>
      </w:r>
    </w:p>
    <w:p>
      <w:pPr>
        <w:spacing w:after="0" w:line="62"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also offer advertising and media products and services for digital local marketing and local search service providers, including directory publishers, to facilitate a cost-effective digital media-centric operations from selling ads to the management of the fulfillment, operations, consumer experience and financial processes across online, print and mobile media.</w:t>
      </w:r>
    </w:p>
    <w:p>
      <w:pPr>
        <w:spacing w:after="0" w:line="59"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conduct our business globally, and as a result we are subject to the effects of global economic conditions and, in particular, market conditions in the communications, media and entertainment industry. In fiscal 2012, customers in North America accounted for 69.8% of our revenue, while customers in Europe and the rest of the world accounted for 13.6% and 16.6%, respectively. Customers in emerging markets accounted for 11.5% of our revenue in fiscal 2012. We maintain development facilities in Brazil, Canada, Cyprus, India, Ireland, Israel and the United States. Historically, AT&amp;T has been our largest customer, accounting for 26% of our revenue in fiscal 2012 and 29% in fiscal 2011. Aggregate revenue derived from the multiple business arrangements we have with our ten largest customers accounted for approximately 69% of our revenue in fiscal 2012 and 73% of our revenue in fiscal 2011. In May 2012, AT&amp;T sold a majority stake in its directory business. Revenue attributable to this business after the sale has been excluded from the total revenue attributable to AT&amp;T. If all of AT&amp;T’s directory business revenue is excluded for periods prior to the sale of its majority stake, AT&amp;T would have accounted for 24% of our revenue in fiscal 2012 and 26% in fiscal 2011.</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demand for our customer experience systems is primarily driven by the following key factors:</w:t>
      </w:r>
    </w:p>
    <w:p>
      <w:pPr>
        <w:spacing w:after="0" w:line="90" w:lineRule="exact"/>
        <w:rPr>
          <w:sz w:val="20"/>
          <w:szCs w:val="20"/>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Transformation within the communication industry, including:</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increasing use of communications and content services,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widespread access to content, information and applications,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continued rapid growth in emerging markets,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expansion into new lines of business,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consolidation among service providers in established markets, often including companies with multi-national operations,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increased competition, including from non-traditional players,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continued bundling and blending of communications and entertainment, and</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continued commoditization and pricing pressure.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Technology advances, such as:</w:t>
      </w:r>
    </w:p>
    <w:p>
      <w:pPr>
        <w:spacing w:after="0" w:line="90" w:lineRule="exact"/>
        <w:rPr>
          <w:rFonts w:ascii="Arial" w:cs="Arial" w:eastAsia="Arial" w:hAnsi="Arial"/>
          <w:sz w:val="18"/>
          <w:szCs w:val="18"/>
          <w:color w:val="auto"/>
        </w:rPr>
      </w:pPr>
    </w:p>
    <w:p>
      <w:pPr>
        <w:ind w:left="900" w:right="460" w:hanging="217"/>
        <w:spacing w:after="0" w:line="332" w:lineRule="auto"/>
        <w:tabs>
          <w:tab w:leader="none" w:pos="900" w:val="left"/>
        </w:tabs>
        <w:numPr>
          <w:ilvl w:val="1"/>
          <w:numId w:val="33"/>
        </w:numPr>
        <w:rPr>
          <w:rFonts w:ascii="Arial" w:cs="Arial" w:eastAsia="Arial" w:hAnsi="Arial"/>
          <w:sz w:val="16"/>
          <w:szCs w:val="16"/>
          <w:color w:val="auto"/>
        </w:rPr>
      </w:pPr>
      <w:r>
        <w:rPr>
          <w:rFonts w:ascii="Arial" w:cs="Arial" w:eastAsia="Arial" w:hAnsi="Arial"/>
          <w:sz w:val="16"/>
          <w:szCs w:val="16"/>
          <w:color w:val="auto"/>
        </w:rPr>
        <w:t>emergence and development of new communications products and services, such as Web services, video, broadband, data and content services, including IP-based services, such as Internet Protocol (IP), Internet Protocol Television (IPTV), M2M, Wi-Fi and Voice over IP,</w:t>
      </w:r>
    </w:p>
    <w:p>
      <w:pPr>
        <w:spacing w:after="0" w:line="4" w:lineRule="exact"/>
        <w:rPr>
          <w:rFonts w:ascii="Arial" w:cs="Arial" w:eastAsia="Arial" w:hAnsi="Arial"/>
          <w:sz w:val="16"/>
          <w:szCs w:val="16"/>
          <w:color w:val="auto"/>
        </w:rPr>
      </w:pPr>
    </w:p>
    <w:p>
      <w:pPr>
        <w:ind w:left="900" w:right="420" w:hanging="217"/>
        <w:spacing w:after="0" w:line="268" w:lineRule="auto"/>
        <w:tabs>
          <w:tab w:leader="none" w:pos="9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evolution to and expansion of more sophisticated and connected communication devices, such as smart devices, electronic book readers, energy meters and systems for global positioning, home security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home health monitoring, that enable communication across and between devices and widespread access to information,</w:t>
      </w:r>
    </w:p>
    <w:p>
      <w:pPr>
        <w:spacing w:after="0" w:line="90" w:lineRule="exact"/>
        <w:rPr>
          <w:sz w:val="20"/>
          <w:szCs w:val="20"/>
          <w:color w:val="auto"/>
        </w:rPr>
      </w:pPr>
    </w:p>
    <w:p>
      <w:pPr>
        <w:ind w:left="900" w:hanging="217"/>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evolution to next-generation networks that enable converged services offerings, such as fixed-mobile convergence, and</w:t>
      </w:r>
    </w:p>
    <w:p>
      <w:pPr>
        <w:spacing w:after="0" w:line="90" w:lineRule="exact"/>
        <w:rPr>
          <w:rFonts w:ascii="Arial" w:cs="Arial" w:eastAsia="Arial" w:hAnsi="Arial"/>
          <w:sz w:val="18"/>
          <w:szCs w:val="18"/>
          <w:color w:val="auto"/>
        </w:rPr>
      </w:pPr>
    </w:p>
    <w:p>
      <w:pPr>
        <w:ind w:left="900" w:hanging="217"/>
        <w:spacing w:after="0" w:line="268"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technological changes, such as the introduction of 3G and 4G wireless technology, next-generation content systems, fiber to the x (FTTx), Wi-Fi, and LTE-based access technologies such as voice over LTE (VoLTE).</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Customer focus, such as: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need for service providers to focus on their customers in order to build profitable customer relationships,</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need for service providers to have a unified view of the customer across multiple services, devices and channels,</w:t>
      </w:r>
    </w:p>
    <w:p>
      <w:pPr>
        <w:spacing w:after="0" w:line="90" w:lineRule="exact"/>
        <w:rPr>
          <w:rFonts w:ascii="Arial" w:cs="Arial" w:eastAsia="Arial" w:hAnsi="Arial"/>
          <w:sz w:val="18"/>
          <w:szCs w:val="18"/>
          <w:color w:val="auto"/>
        </w:rPr>
      </w:pPr>
    </w:p>
    <w:p>
      <w:pPr>
        <w:ind w:left="900" w:right="320" w:hanging="217"/>
        <w:spacing w:after="0" w:line="268"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“authority shift” toward the consumer, with increased customer expectations for new, innovative services and applications that are personally relevant and that can be accessed anytime, anywhere and from any device,</w:t>
      </w:r>
    </w:p>
    <w:p>
      <w:pPr>
        <w:spacing w:after="0" w:line="50" w:lineRule="exact"/>
        <w:rPr>
          <w:rFonts w:ascii="Arial" w:cs="Arial" w:eastAsia="Arial" w:hAnsi="Arial"/>
          <w:sz w:val="18"/>
          <w:szCs w:val="18"/>
          <w:color w:val="auto"/>
        </w:rPr>
      </w:pPr>
    </w:p>
    <w:p>
      <w:pPr>
        <w:ind w:left="900" w:right="60" w:hanging="217"/>
        <w:spacing w:after="0" w:line="268"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ever-increasing expectation of customer service and support, including access to self-service options that are convenient and consistent across all channels, and</w:t>
      </w:r>
    </w:p>
    <w:p>
      <w:pPr>
        <w:spacing w:after="0" w:line="50" w:lineRule="exact"/>
        <w:rPr>
          <w:rFonts w:ascii="Arial" w:cs="Arial" w:eastAsia="Arial" w:hAnsi="Arial"/>
          <w:sz w:val="18"/>
          <w:szCs w:val="18"/>
          <w:color w:val="auto"/>
        </w:rPr>
      </w:pPr>
    </w:p>
    <w:p>
      <w:pPr>
        <w:ind w:left="900" w:hanging="217"/>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need for service providers to differentiate themselves by creating a unique and mutually-valuable customer experience.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need for operational efficiency, including:</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shift from in-house management to vendor solutions,</w:t>
      </w:r>
    </w:p>
    <w:p>
      <w:pPr>
        <w:spacing w:after="0" w:line="90" w:lineRule="exact"/>
        <w:rPr>
          <w:rFonts w:ascii="Arial" w:cs="Arial" w:eastAsia="Arial" w:hAnsi="Arial"/>
          <w:sz w:val="18"/>
          <w:szCs w:val="18"/>
          <w:color w:val="auto"/>
        </w:rPr>
      </w:pPr>
    </w:p>
    <w:p>
      <w:pPr>
        <w:ind w:left="900" w:right="160" w:hanging="217"/>
        <w:spacing w:after="0" w:line="268"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business needs of service providers to reduce costs and lower total cost of ownership of software systems while retaining high-value customers in a highly competitive environment,</w:t>
      </w:r>
    </w:p>
    <w:p>
      <w:pPr>
        <w:spacing w:after="0" w:line="50" w:lineRule="exact"/>
        <w:rPr>
          <w:rFonts w:ascii="Arial" w:cs="Arial" w:eastAsia="Arial" w:hAnsi="Arial"/>
          <w:sz w:val="18"/>
          <w:szCs w:val="18"/>
          <w:color w:val="auto"/>
        </w:rPr>
      </w:pPr>
    </w:p>
    <w:p>
      <w:pPr>
        <w:ind w:left="900" w:right="540" w:hanging="217"/>
        <w:spacing w:after="0" w:line="268" w:lineRule="auto"/>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automating and integrating business processes that span service providers’ BSS, OSS and network control platforms and create a simple, one-company face to customers,</w:t>
      </w:r>
    </w:p>
    <w:p>
      <w:pPr>
        <w:spacing w:after="0" w:line="50" w:lineRule="exact"/>
        <w:rPr>
          <w:rFonts w:ascii="Arial" w:cs="Arial" w:eastAsia="Arial" w:hAnsi="Arial"/>
          <w:sz w:val="18"/>
          <w:szCs w:val="18"/>
          <w:color w:val="auto"/>
        </w:rPr>
      </w:pPr>
    </w:p>
    <w:p>
      <w:pPr>
        <w:ind w:left="900" w:hanging="217"/>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implementing and integrating new next-generation networks (and retiring legacy networks) to deploy new technologies, and</w:t>
      </w:r>
    </w:p>
    <w:p>
      <w:pPr>
        <w:spacing w:after="0" w:line="90" w:lineRule="exact"/>
        <w:rPr>
          <w:rFonts w:ascii="Arial" w:cs="Arial" w:eastAsia="Arial" w:hAnsi="Arial"/>
          <w:sz w:val="18"/>
          <w:szCs w:val="18"/>
          <w:color w:val="auto"/>
        </w:rPr>
      </w:pPr>
    </w:p>
    <w:p>
      <w:pPr>
        <w:ind w:left="900" w:hanging="217"/>
        <w:spacing w:after="0"/>
        <w:tabs>
          <w:tab w:leader="none" w:pos="9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transforming fragmented legacy OSS systems to introduce new services in a timely and cost-effective manner.</w:t>
      </w:r>
    </w:p>
    <w:p>
      <w:pPr>
        <w:spacing w:after="0" w:line="90"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In fiscal 2012, our total revenue was $3.25 billion, of which $3.07 billion, or 94.4%, was attributable to the sale of customer experience systems. Revenue from managed services arrangements (for customer experience systems and advertising and media directory systems) is included in both license and service revenue. Revenue generated in connection with managed services arrangements is a significant part of our business generating substantial, long-term recurring revenue streams and cash flow. Revenue from managed services arrangements accounted for approximately $1.68 billion and $1.52 billion of revenue in fiscal 2012 and 2011, respectively. In managed services contracts revenue from the operation of a customer’s system is recognized as services are performed based on time elapsed, output produced or volume of data processed. In the initial period of our managed services projects, we often invest in modernization and consolidation of the customer’s systems. Managed services engagements can be less profitable in their early stages; however, margins tend to improve over time, more rapidly in the initial period of an engagement, as we derive benefit from the operational efficiencies and from changes in the geographical mix of our resources.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Patents and Licenses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research and development activities involve the development of new software architecture, modules and product offerings in response to an identified market demand, either as part of our internal product development programs or in conjunction with a customer project. We also expend additional amounts on applied research and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software development activities to keep abreast of new technologies in the communications markets and to provide new and enhanced functionality to our existing product offerings.</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Throughout fiscal 2011 and fiscal 2012, we continued to release aspects of our Amdocs CES 8 portfolio. We dedicated significant efforts and resources to the integration among the components of the CES 8 portfolio, including deeper integration between our charging and billing, customer relationship management, ordering and foundation applications. The CES 8 portfolio was designed to enable our customers to support new business models, devices and partnerships by centralizing common assets, such as customer, network and product data. Our portfolio of pre-integrated software products was built to span the entire customer lifecycle across BSS and OSS to align their business processes around the end customer. Our products are designed to allow modular expansion as a service provider evolves, ensuring rapid, low-cost, reduced-risk implementations. In addition, Amdocs focuses on offering business solutions that leverage functionality from across the CES portfolio combined with services and industry knowledge. These business solutions address larger business problems and provide greater value to our customers.</w:t>
      </w:r>
    </w:p>
    <w:p>
      <w:pPr>
        <w:spacing w:after="0" w:line="3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During fiscal 2012, we also devoted research and development resources to Amdocs CES 9, our next major product portfolio release. CES 9 will address additional challenges and opportunities of the connected world by delivering enhanced functionality to enable our customers to implement more cost-effective and innovative solutions relating to network monetization and enhanced customer experience in the assisted and unassisted channels. For software development, Amdocs uses Agile, a software development methodology based on iterative and incremental development where requirements and solutions evolve through collaboration between self-organizing, cross-functional teams.</w:t>
      </w:r>
    </w:p>
    <w:p>
      <w:pPr>
        <w:spacing w:after="0" w:line="3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 substantial majority of our research and development expenditures is directed at our customer experience systems, and the remainder is directed at advertising and media directory systems offerings.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The following table sets forth for the fiscal years ended September 30, 2012, 2011 and 2010, certain items in our consolidated statements of income reflected as a percentage of total revenue:</w:t>
      </w:r>
    </w:p>
    <w:p>
      <w:pPr>
        <w:spacing w:after="0" w:line="4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w w:val="92"/>
              </w:rPr>
              <w:t>Year Ended September 30,</w:t>
            </w:r>
          </w:p>
        </w:tc>
        <w:tc>
          <w:tcPr>
            <w:tcW w:w="4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Borders>
              <w:bottom w:val="single" w:sz="8" w:color="CCEEFF"/>
            </w:tcBorders>
          </w:tcPr>
          <w:p>
            <w:pPr>
              <w:spacing w:after="0"/>
              <w:rPr>
                <w:sz w:val="12"/>
                <w:szCs w:val="12"/>
                <w:color w:val="auto"/>
              </w:rPr>
            </w:pPr>
          </w:p>
        </w:tc>
        <w:tc>
          <w:tcPr>
            <w:tcW w:w="302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6"/>
              <w:spacing w:after="0" w:line="142" w:lineRule="exact"/>
              <w:rPr>
                <w:sz w:val="20"/>
                <w:szCs w:val="20"/>
                <w:color w:val="auto"/>
              </w:rPr>
            </w:pPr>
            <w:r>
              <w:rPr>
                <w:rFonts w:ascii="Arial" w:cs="Arial" w:eastAsia="Arial" w:hAnsi="Arial"/>
                <w:sz w:val="14"/>
                <w:szCs w:val="14"/>
                <w:b w:val="1"/>
                <w:bCs w:val="1"/>
                <w:color w:val="auto"/>
              </w:rPr>
              <w:t>2012</w:t>
            </w:r>
          </w:p>
        </w:tc>
        <w:tc>
          <w:tcPr>
            <w:tcW w:w="6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30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License</w:t>
            </w:r>
          </w:p>
        </w:tc>
        <w:tc>
          <w:tcPr>
            <w:tcW w:w="4140" w:type="dxa"/>
            <w:vAlign w:val="bottom"/>
            <w:gridSpan w:val="3"/>
          </w:tcPr>
          <w:p>
            <w:pPr>
              <w:jc w:val="right"/>
              <w:ind w:right="452"/>
              <w:spacing w:after="0"/>
              <w:rPr>
                <w:sz w:val="20"/>
                <w:szCs w:val="20"/>
                <w:color w:val="auto"/>
              </w:rPr>
            </w:pPr>
            <w:r>
              <w:rPr>
                <w:rFonts w:ascii="Arial" w:cs="Arial" w:eastAsia="Arial" w:hAnsi="Arial"/>
                <w:sz w:val="18"/>
                <w:szCs w:val="18"/>
                <w:color w:val="auto"/>
              </w:rPr>
              <w:t>3.7%</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3.8%</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30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6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6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4140" w:type="dxa"/>
            <w:vAlign w:val="bottom"/>
            <w:gridSpan w:val="3"/>
          </w:tcPr>
          <w:p>
            <w:pPr>
              <w:jc w:val="right"/>
              <w:ind w:right="592"/>
              <w:spacing w:after="0"/>
              <w:rPr>
                <w:sz w:val="20"/>
                <w:szCs w:val="20"/>
                <w:color w:val="auto"/>
              </w:rPr>
            </w:pPr>
            <w:r>
              <w:rPr>
                <w:rFonts w:ascii="Arial" w:cs="Arial" w:eastAsia="Arial" w:hAnsi="Arial"/>
                <w:sz w:val="18"/>
                <w:szCs w:val="18"/>
                <w:color w:val="auto"/>
              </w:rPr>
              <w:t>100.0</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6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100.0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2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4140" w:type="dxa"/>
            <w:vAlign w:val="bottom"/>
            <w:gridSpan w:val="3"/>
          </w:tcPr>
          <w:p>
            <w:pPr>
              <w:jc w:val="right"/>
              <w:ind w:right="592"/>
              <w:spacing w:after="0"/>
              <w:rPr>
                <w:sz w:val="20"/>
                <w:szCs w:val="20"/>
                <w:color w:val="auto"/>
              </w:rPr>
            </w:pPr>
            <w:r>
              <w:rPr>
                <w:rFonts w:ascii="Arial" w:cs="Arial" w:eastAsia="Arial" w:hAnsi="Arial"/>
                <w:sz w:val="18"/>
                <w:szCs w:val="18"/>
                <w:color w:val="auto"/>
              </w:rPr>
              <w:t>0.1</w:t>
            </w: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414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64.1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4140" w:type="dxa"/>
            <w:vAlign w:val="bottom"/>
            <w:gridSpan w:val="3"/>
          </w:tcPr>
          <w:p>
            <w:pPr>
              <w:jc w:val="right"/>
              <w:ind w:right="592"/>
              <w:spacing w:after="0"/>
              <w:rPr>
                <w:sz w:val="20"/>
                <w:szCs w:val="20"/>
                <w:color w:val="auto"/>
              </w:rPr>
            </w:pPr>
            <w:r>
              <w:rPr>
                <w:rFonts w:ascii="Arial" w:cs="Arial" w:eastAsia="Arial" w:hAnsi="Arial"/>
                <w:sz w:val="18"/>
                <w:szCs w:val="18"/>
                <w:color w:val="auto"/>
              </w:rPr>
              <w:t>7.5</w:t>
            </w: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6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4140" w:type="dxa"/>
            <w:vAlign w:val="bottom"/>
            <w:gridSpan w:val="3"/>
            <w:shd w:val="clear" w:color="auto" w:fill="CCEEFF"/>
          </w:tcPr>
          <w:p>
            <w:pPr>
              <w:jc w:val="right"/>
              <w:ind w:right="592"/>
              <w:spacing w:after="0"/>
              <w:rPr>
                <w:sz w:val="20"/>
                <w:szCs w:val="20"/>
                <w:color w:val="auto"/>
              </w:rPr>
            </w:pPr>
            <w:r>
              <w:rPr>
                <w:rFonts w:ascii="Arial" w:cs="Arial" w:eastAsia="Arial" w:hAnsi="Arial"/>
                <w:sz w:val="18"/>
                <w:szCs w:val="18"/>
                <w:color w:val="auto"/>
              </w:rPr>
              <w:t>13.1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6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6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302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6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660" w:type="dxa"/>
            <w:vAlign w:val="bottom"/>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30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6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6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140" w:type="dxa"/>
            <w:vAlign w:val="bottom"/>
            <w:gridSpan w:val="3"/>
          </w:tcPr>
          <w:p>
            <w:pPr>
              <w:jc w:val="right"/>
              <w:ind w:right="592"/>
              <w:spacing w:after="0"/>
              <w:rPr>
                <w:sz w:val="20"/>
                <w:szCs w:val="20"/>
                <w:color w:val="auto"/>
              </w:rPr>
            </w:pPr>
            <w:r>
              <w:rPr>
                <w:rFonts w:ascii="Arial" w:cs="Arial" w:eastAsia="Arial" w:hAnsi="Arial"/>
                <w:sz w:val="18"/>
                <w:szCs w:val="18"/>
                <w:color w:val="auto"/>
              </w:rPr>
              <w:t>13.6</w:t>
            </w:r>
          </w:p>
        </w:tc>
        <w:tc>
          <w:tcPr>
            <w:tcW w:w="460" w:type="dxa"/>
            <w:vAlign w:val="bottom"/>
          </w:tcPr>
          <w:p>
            <w:pPr>
              <w:jc w:val="right"/>
              <w:spacing w:after="0"/>
              <w:rPr>
                <w:sz w:val="20"/>
                <w:szCs w:val="20"/>
                <w:color w:val="auto"/>
              </w:rPr>
            </w:pPr>
            <w:r>
              <w:rPr>
                <w:rFonts w:ascii="Arial" w:cs="Arial" w:eastAsia="Arial" w:hAnsi="Arial"/>
                <w:sz w:val="18"/>
                <w:szCs w:val="18"/>
                <w:color w:val="auto"/>
              </w:rPr>
              <w:t>12.7</w:t>
            </w:r>
          </w:p>
        </w:tc>
        <w:tc>
          <w:tcPr>
            <w:tcW w:w="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30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6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4140" w:type="dxa"/>
            <w:vAlign w:val="bottom"/>
            <w:gridSpan w:val="3"/>
          </w:tcPr>
          <w:p>
            <w:pPr>
              <w:jc w:val="right"/>
              <w:ind w:right="592"/>
              <w:spacing w:after="0"/>
              <w:rPr>
                <w:sz w:val="20"/>
                <w:szCs w:val="20"/>
                <w:color w:val="auto"/>
              </w:rPr>
            </w:pPr>
            <w:r>
              <w:rPr>
                <w:rFonts w:ascii="Arial" w:cs="Arial" w:eastAsia="Arial" w:hAnsi="Arial"/>
                <w:sz w:val="18"/>
                <w:szCs w:val="18"/>
                <w:color w:val="auto"/>
              </w:rPr>
              <w:t>13.6</w:t>
            </w:r>
          </w:p>
        </w:tc>
        <w:tc>
          <w:tcPr>
            <w:tcW w:w="460" w:type="dxa"/>
            <w:vAlign w:val="bottom"/>
          </w:tcPr>
          <w:p>
            <w:pPr>
              <w:jc w:val="right"/>
              <w:spacing w:after="0"/>
              <w:rPr>
                <w:sz w:val="20"/>
                <w:szCs w:val="20"/>
                <w:color w:val="auto"/>
              </w:rPr>
            </w:pPr>
            <w:r>
              <w:rPr>
                <w:rFonts w:ascii="Arial" w:cs="Arial" w:eastAsia="Arial" w:hAnsi="Arial"/>
                <w:sz w:val="18"/>
                <w:szCs w:val="18"/>
                <w:color w:val="auto"/>
              </w:rPr>
              <w:t>12.4</w:t>
            </w:r>
          </w:p>
        </w:tc>
        <w:tc>
          <w:tcPr>
            <w:tcW w:w="6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02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6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4140" w:type="dxa"/>
            <w:vAlign w:val="bottom"/>
            <w:gridSpan w:val="3"/>
          </w:tcPr>
          <w:p>
            <w:pPr>
              <w:jc w:val="right"/>
              <w:ind w:right="452"/>
              <w:spacing w:after="0"/>
              <w:rPr>
                <w:sz w:val="20"/>
                <w:szCs w:val="20"/>
                <w:color w:val="auto"/>
              </w:rPr>
            </w:pPr>
            <w:r>
              <w:rPr>
                <w:rFonts w:ascii="Arial" w:cs="Arial" w:eastAsia="Arial" w:hAnsi="Arial"/>
                <w:sz w:val="18"/>
                <w:szCs w:val="18"/>
                <w:color w:val="auto"/>
              </w:rPr>
              <w:t>12.1%</w:t>
            </w:r>
          </w:p>
        </w:tc>
        <w:tc>
          <w:tcPr>
            <w:tcW w:w="1120" w:type="dxa"/>
            <w:vAlign w:val="bottom"/>
            <w:gridSpan w:val="2"/>
          </w:tcPr>
          <w:p>
            <w:pPr>
              <w:jc w:val="right"/>
              <w:ind w:right="520"/>
              <w:spacing w:after="0"/>
              <w:rPr>
                <w:sz w:val="20"/>
                <w:szCs w:val="20"/>
                <w:color w:val="auto"/>
              </w:rPr>
            </w:pPr>
            <w:r>
              <w:rPr>
                <w:rFonts w:ascii="Arial" w:cs="Arial" w:eastAsia="Arial" w:hAnsi="Arial"/>
                <w:sz w:val="18"/>
                <w:szCs w:val="18"/>
                <w:color w:val="auto"/>
              </w:rPr>
              <w:t>10.9%</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020" w:type="dxa"/>
            <w:vAlign w:val="bottom"/>
            <w:vMerge w:val="restart"/>
          </w:tcPr>
          <w:p>
            <w:pPr>
              <w:jc w:val="right"/>
              <w:ind w:right="2172"/>
              <w:spacing w:after="0"/>
              <w:rPr>
                <w:sz w:val="20"/>
                <w:szCs w:val="20"/>
                <w:color w:val="auto"/>
              </w:rPr>
            </w:pPr>
            <w:r>
              <w:rPr>
                <w:rFonts w:ascii="Arial" w:cs="Arial" w:eastAsia="Arial" w:hAnsi="Arial"/>
                <w:sz w:val="18"/>
                <w:szCs w:val="18"/>
                <w:color w:val="auto"/>
              </w:rPr>
              <w:t>32</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Years Ended September 30, 2012 and 2011</w:t>
      </w:r>
    </w:p>
    <w:p>
      <w:pPr>
        <w:spacing w:after="0" w:line="90" w:lineRule="exact"/>
        <w:rPr>
          <w:sz w:val="20"/>
          <w:szCs w:val="20"/>
          <w:color w:val="auto"/>
        </w:rPr>
      </w:pPr>
    </w:p>
    <w:p>
      <w:pPr>
        <w:ind w:right="640" w:firstLine="456"/>
        <w:spacing w:after="0" w:line="331" w:lineRule="auto"/>
        <w:rPr>
          <w:sz w:val="20"/>
          <w:szCs w:val="20"/>
          <w:color w:val="auto"/>
        </w:rPr>
      </w:pPr>
      <w:r>
        <w:rPr>
          <w:rFonts w:ascii="Arial" w:cs="Arial" w:eastAsia="Arial" w:hAnsi="Arial"/>
          <w:sz w:val="16"/>
          <w:szCs w:val="16"/>
          <w:color w:val="auto"/>
        </w:rPr>
        <w:t>The following is a tabular presentation of our results of operations for the fiscal year ended September 30, 2012, compared to the fiscal year ended September 30, 2011. Following the table is a discussion and analysis of our business and results of operations for these fiscal years.</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ind w:left="260"/>
              <w:spacing w:after="0"/>
              <w:rPr>
                <w:sz w:val="20"/>
                <w:szCs w:val="20"/>
                <w:color w:val="auto"/>
              </w:rPr>
            </w:pPr>
            <w:r>
              <w:rPr>
                <w:rFonts w:ascii="Arial" w:cs="Arial" w:eastAsia="Arial" w:hAnsi="Arial"/>
                <w:sz w:val="14"/>
                <w:szCs w:val="14"/>
                <w:b w:val="1"/>
                <w:bCs w:val="1"/>
                <w:color w:val="auto"/>
              </w:rPr>
              <w:t>Year Ended September 30,</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6"/>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2012</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w w:val="86"/>
              </w:rPr>
              <w:t>Amount</w:t>
            </w:r>
          </w:p>
        </w:tc>
        <w:tc>
          <w:tcPr>
            <w:tcW w:w="44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500" w:type="dxa"/>
            <w:vAlign w:val="bottom"/>
            <w:tcBorders>
              <w:top w:val="single" w:sz="8" w:color="auto"/>
              <w:bottom w:val="single" w:sz="8" w:color="auto"/>
            </w:tcBorders>
            <w:gridSpan w:val="4"/>
          </w:tcPr>
          <w:p>
            <w:pPr>
              <w:ind w:left="280"/>
              <w:spacing w:after="0" w:line="142" w:lineRule="exact"/>
              <w:rPr>
                <w:sz w:val="20"/>
                <w:szCs w:val="20"/>
                <w:color w:val="auto"/>
              </w:rPr>
            </w:pPr>
            <w:r>
              <w:rPr>
                <w:rFonts w:ascii="Arial" w:cs="Arial" w:eastAsia="Arial" w:hAnsi="Arial"/>
                <w:sz w:val="14"/>
                <w:szCs w:val="14"/>
                <w:b w:val="1"/>
                <w:bCs w:val="1"/>
                <w:color w:val="auto"/>
              </w:rPr>
              <w:t>(In thousands)</w:t>
            </w:r>
          </w:p>
        </w:tc>
        <w:tc>
          <w:tcPr>
            <w:tcW w:w="3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License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120,443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119,237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1,206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Service</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3,126,460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3,058,491</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67,969</w:t>
            </w: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3,246,903</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3,177,728</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69,175</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7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license</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3,523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2,627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896</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Cost of service</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4"/>
              </w:rPr>
              <w:t>2,081,945</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7"/>
              </w:rPr>
              <w:t>2,066,740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15,205</w:t>
            </w:r>
          </w:p>
        </w:tc>
        <w:tc>
          <w:tcPr>
            <w:tcW w:w="44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242,063</w:t>
            </w: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221,886</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20,177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424,671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409,465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15,206</w:t>
            </w:r>
          </w:p>
        </w:tc>
        <w:tc>
          <w:tcPr>
            <w:tcW w:w="44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52,229</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72,646</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9"/>
              </w:rPr>
              <w:t>(20,417)</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2,804,431</w:t>
            </w: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2,773,364</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w w:val="98"/>
              </w:rPr>
              <w:t>31,067</w:t>
            </w:r>
          </w:p>
        </w:tc>
        <w:tc>
          <w:tcPr>
            <w:tcW w:w="4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442,472</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404,364</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38,108</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948</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8,657</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(7,709)</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441,524</w:t>
            </w:r>
          </w:p>
        </w:tc>
        <w:tc>
          <w:tcPr>
            <w:tcW w:w="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395,707</w:t>
            </w: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45,817</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Income taxes</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50,153</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49,042</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8"/>
                <w:szCs w:val="18"/>
                <w:color w:val="auto"/>
              </w:rPr>
              <w:t>1,111</w:t>
            </w: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391,371</w:t>
            </w:r>
          </w:p>
        </w:tc>
        <w:tc>
          <w:tcPr>
            <w:tcW w:w="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346,665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98"/>
              </w:rPr>
              <w:t>44,706</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Total revenue increased by $69.2 million, or 2.2%, to $3,246.9 million in fiscal 2012, from $3,177.7 million in fiscal 2011.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was primarily attributable to revenue related to our activities in emerging markets and in Europe, as well as to revenue related to our new network control offering, partially offset by slower spending by AT&amp;T and by lower revenue resulting from contractual price reductions with Bell Canada. Our fiscal 2012 revenue was also negatively impacted by foreign exchange fluctuations.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Total revenue attributable to the sale of customer experience systems increased by $87.9 million, or 3.0%, to $3,066.2 million in fiscal 2012, from</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$2,978.3 million in fiscal 2011. The increase in revenue was primarily attributable to revenue related to our activities in emerging markets and in Europe, as well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to revenue related to our new network control offering, partially offset by slower spending by AT&amp;T and by lower revenue resulting from contractual price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reductions with Bell Canada. License and service revenue resulting from the sale of customer experience systems represented 94.4% and 93.7% of our total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revenue in fiscal 2012 and 2011, respectively.</w:t>
      </w:r>
    </w:p>
    <w:p>
      <w:pPr>
        <w:spacing w:after="0" w:line="84"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Total revenue attributable to the sale of directory systems decreased by $18.7 million, or 9.4%, to $180.7 million in fiscal 2012, from $199.4 million in fiscal 2011. The decrease was primarily attributable to a decrease in revenue related to managed services arrangements associated with general slowness in the directory systems market. License and service revenue from the sale of directory systems represented 5.6% and 6.3% of our total revenue in fiscal 2012 and 2011, respectively.</w:t>
      </w:r>
    </w:p>
    <w:p>
      <w:pPr>
        <w:spacing w:after="0" w:line="62"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In fiscal 2012, revenue from customers in North America, Europe and the rest of the world accounted for 69.8%, 13.6% and 16.6%, respectively, of total revenue, compared to 73.4%, 12.7% and 13.9%, respectively, for fiscal 2011. Revenue from North American customers decreased during fiscal 2012, primarily from slower spending by AT&amp;T and from lower revenue resulting from contractual price reductions with Bell Canada,</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partially offset by an increase in revenue from other customers and in revenue related to our new network control offering. The increase in revenue from customers in Europe was primarily attributable to revenue related to transformation and implementation projects. The increase in revenue from customers in the rest of the world was primarily attributable to our activity in emerging markets.</w:t>
      </w:r>
    </w:p>
    <w:p>
      <w:pPr>
        <w:spacing w:after="0" w:line="5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Cost of License and Service. </w:t>
      </w:r>
      <w:r>
        <w:rPr>
          <w:rFonts w:ascii="Arial" w:cs="Arial" w:eastAsia="Arial" w:hAnsi="Arial"/>
          <w:sz w:val="16"/>
          <w:szCs w:val="16"/>
          <w:color w:val="auto"/>
        </w:rPr>
        <w:t>Cost of license includes fees and royalty payments to software suppliers. Cost of service consists primarily of costs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providing services to customers, including compensation expense and costs of third-party products. Cost of license and service increased by $16.1 million, or 0.8%, to $2,085.5 million in fiscal 2012, from $2,069.4 million in fiscal 2011. As a percentage of revenue, cost of license and service decreased to 64.2% in fiscal 2012 from 65.1% in fiscal 2011. The decrease in our cost of license and service as a percentage of revenue was primarily attributable to the benefits of efficiencies realized from prior investments in internal training and knowledge building programs for our employees, as well as from various process improvements. This decrease was also attributable to several key customer implementations that required incremental spending during fiscal 2011 and was partially offset by the increase in revenue from customers in emerging markets, as a percentage of total revenue, which is characterized by lower margins.</w:t>
      </w:r>
    </w:p>
    <w:p>
      <w:pPr>
        <w:spacing w:after="0" w:line="37" w:lineRule="exact"/>
        <w:rPr>
          <w:sz w:val="20"/>
          <w:szCs w:val="20"/>
          <w:color w:val="auto"/>
        </w:rPr>
      </w:pPr>
    </w:p>
    <w:p>
      <w:pPr>
        <w:ind w:right="140" w:firstLine="456"/>
        <w:spacing w:after="0" w:line="303" w:lineRule="auto"/>
        <w:rPr>
          <w:sz w:val="20"/>
          <w:szCs w:val="20"/>
          <w:color w:val="auto"/>
        </w:rPr>
      </w:pPr>
      <w:r>
        <w:rPr>
          <w:rFonts w:ascii="Arial" w:cs="Arial" w:eastAsia="Arial" w:hAnsi="Arial"/>
          <w:sz w:val="15"/>
          <w:szCs w:val="15"/>
          <w:i w:val="1"/>
          <w:iCs w:val="1"/>
          <w:color w:val="auto"/>
        </w:rPr>
        <w:t xml:space="preserve">Research and Development. </w:t>
      </w:r>
      <w:r>
        <w:rPr>
          <w:rFonts w:ascii="Arial" w:cs="Arial" w:eastAsia="Arial" w:hAnsi="Arial"/>
          <w:sz w:val="15"/>
          <w:szCs w:val="15"/>
          <w:color w:val="auto"/>
        </w:rPr>
        <w:t>Research and development expense is primarily comprised of compensation expense. Research and development expense</w:t>
      </w:r>
      <w:r>
        <w:rPr>
          <w:rFonts w:ascii="Arial" w:cs="Arial" w:eastAsia="Arial" w:hAnsi="Arial"/>
          <w:sz w:val="15"/>
          <w:szCs w:val="15"/>
          <w:i w:val="1"/>
          <w:iCs w:val="1"/>
          <w:color w:val="auto"/>
        </w:rPr>
        <w:t xml:space="preserve"> </w:t>
      </w:r>
      <w:r>
        <w:rPr>
          <w:rFonts w:ascii="Arial" w:cs="Arial" w:eastAsia="Arial" w:hAnsi="Arial"/>
          <w:sz w:val="15"/>
          <w:szCs w:val="15"/>
          <w:color w:val="auto"/>
        </w:rPr>
        <w:t>increased by $20.2 million, or 9.1%, to $242.1 million in fiscal 2012, from $221.9 million in fiscal 2011. The increase in research and development expense was primarily attributable to our network control research and development activity. Research and development expense increased as a percentage of revenue from</w:t>
      </w:r>
    </w:p>
    <w:p>
      <w:pPr>
        <w:spacing w:after="0" w:line="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7.0% in fiscal 2011 to 7.5% in fiscal 2012. Our research and development efforts are a key element of our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 Please see “Research and Development, Patents and Licenses.”</w:t>
      </w:r>
    </w:p>
    <w:p>
      <w:pPr>
        <w:spacing w:after="0" w:line="6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increased by $15.2 million, or 3.7%, to $424.7 million in fiscal 2012,</w:t>
      </w:r>
      <w:r>
        <w:rPr>
          <w:rFonts w:ascii="Arial" w:cs="Arial" w:eastAsia="Arial" w:hAnsi="Arial"/>
          <w:sz w:val="18"/>
          <w:szCs w:val="18"/>
          <w:i w:val="1"/>
          <w:iCs w:val="1"/>
          <w:color w:val="auto"/>
        </w:rPr>
        <w:t xml:space="preserve"> </w:t>
      </w:r>
      <w:r>
        <w:rPr>
          <w:rFonts w:ascii="Arial" w:cs="Arial" w:eastAsia="Arial" w:hAnsi="Arial"/>
          <w:sz w:val="18"/>
          <w:szCs w:val="18"/>
          <w:color w:val="auto"/>
        </w:rPr>
        <w:t>from $409.5 million in fiscal 2011. Selling, general and administrative expense is primarily comprised of compensation expense. The increase in selling, general and administrative expense was primarily attributable to increased selling efforts.</w:t>
      </w:r>
    </w:p>
    <w:p>
      <w:pPr>
        <w:spacing w:after="0" w:line="59"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Amortization of Purchased Intangible Assets and Other. </w:t>
      </w:r>
      <w:r>
        <w:rPr>
          <w:rFonts w:ascii="Arial" w:cs="Arial" w:eastAsia="Arial" w:hAnsi="Arial"/>
          <w:sz w:val="18"/>
          <w:szCs w:val="18"/>
          <w:color w:val="auto"/>
        </w:rPr>
        <w:t>Amortization of purchased intangible assets and other decreased by $20.4 million, or 28.1%, to</w:t>
      </w:r>
      <w:r>
        <w:rPr>
          <w:rFonts w:ascii="Arial" w:cs="Arial" w:eastAsia="Arial" w:hAnsi="Arial"/>
          <w:sz w:val="18"/>
          <w:szCs w:val="18"/>
          <w:i w:val="1"/>
          <w:iCs w:val="1"/>
          <w:color w:val="auto"/>
        </w:rPr>
        <w:t xml:space="preserve"> </w:t>
      </w:r>
      <w:r>
        <w:rPr>
          <w:rFonts w:ascii="Arial" w:cs="Arial" w:eastAsia="Arial" w:hAnsi="Arial"/>
          <w:sz w:val="18"/>
          <w:szCs w:val="18"/>
          <w:color w:val="auto"/>
        </w:rPr>
        <w:t>$52.2 million in fiscal 2012, from $72.6 million in fiscal 2011. The decrease in amortization of purchased intangible assets and other was primarily due to purchased intangible assets that were fully amortized in prior periods, partially offset by amortization of intangible assets related to the fiscal 2011 acquisition of Bridgewater Systems.</w:t>
      </w:r>
    </w:p>
    <w:p>
      <w:pPr>
        <w:spacing w:after="0" w:line="6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 xml:space="preserve">Operating Income. </w:t>
      </w:r>
      <w:r>
        <w:rPr>
          <w:rFonts w:ascii="Arial" w:cs="Arial" w:eastAsia="Arial" w:hAnsi="Arial"/>
          <w:sz w:val="18"/>
          <w:szCs w:val="18"/>
          <w:color w:val="auto"/>
        </w:rPr>
        <w:t>Operating income increased by $38.1 million, or 9.4%, to $442.5 million in fiscal 2012, from $404.4 million in fiscal 2011.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income increased as a percentage of revenue, from 12.7% in fiscal 2011 to 13.6% in fiscal 2012. The increase in operating income as a percentage of revenue was primarily attributable to the increase of cost of service being lower than the increase in revenue, as well as to the decrease in amortization of purchased intangible assets and other. The negative foreign exchange impacts on our revenue were partially offset by positive impacts on our operating expense, resulting in a minor impact on our operating income.</w:t>
      </w:r>
    </w:p>
    <w:p>
      <w:pPr>
        <w:spacing w:after="0" w:line="62"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Interest and Other Expense, Net. </w:t>
      </w:r>
      <w:r>
        <w:rPr>
          <w:rFonts w:ascii="Arial" w:cs="Arial" w:eastAsia="Arial" w:hAnsi="Arial"/>
          <w:sz w:val="18"/>
          <w:szCs w:val="18"/>
          <w:color w:val="auto"/>
        </w:rPr>
        <w:t>Interest and other expense, net, decreased by $7.7 million to $0.9 million in fiscal 2012, from $8.7 million in fiscal 2011.</w:t>
      </w:r>
      <w:r>
        <w:rPr>
          <w:rFonts w:ascii="Arial" w:cs="Arial" w:eastAsia="Arial" w:hAnsi="Arial"/>
          <w:sz w:val="18"/>
          <w:szCs w:val="18"/>
          <w:i w:val="1"/>
          <w:iCs w:val="1"/>
          <w:color w:val="auto"/>
        </w:rPr>
        <w:t xml:space="preserve"> </w:t>
      </w:r>
      <w:r>
        <w:rPr>
          <w:rFonts w:ascii="Arial" w:cs="Arial" w:eastAsia="Arial" w:hAnsi="Arial"/>
          <w:sz w:val="18"/>
          <w:szCs w:val="18"/>
          <w:color w:val="auto"/>
        </w:rPr>
        <w:t>The decrease in interest and other expense, net, was primarily attributable to a $6.3 million gain resulting from the sale of our minority interest in Longshine Information Technology Company Ltd., our former Chinese subsidiary, recorded in the three months ended March 31, 2012. Please see Note 16 to our consolidated financial statements.</w:t>
      </w:r>
    </w:p>
    <w:p>
      <w:pPr>
        <w:spacing w:after="0" w:line="6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taxes for fiscal 2012 were $50.2 million on pre-tax income of $441.5 million, resulting in an effective tax rate of 11.4%,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12.4% in fiscal 2011. Our effective tax rate may fluctuate between quarters as a result of discrete items that may affect a specific quarter. Please see Note 11 to our consolidated financial statements.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20" w:firstLine="456"/>
        <w:spacing w:after="0" w:line="259"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by $44.7 million, or 12.9%, to $391.4 million in fiscal 2012, from $346.7 million in fiscal 2011. The increase in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was attributable to the increase in operating income and to the decrease in interest and other expense, net, partially offset by an increase in income tax expense.</w:t>
      </w:r>
    </w:p>
    <w:p>
      <w:pPr>
        <w:spacing w:after="0" w:line="59"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i w:val="1"/>
          <w:iCs w:val="1"/>
          <w:color w:val="auto"/>
        </w:rPr>
        <w:t xml:space="preserve">Diluted Earnings Per Share. </w:t>
      </w:r>
      <w:r>
        <w:rPr>
          <w:rFonts w:ascii="Arial" w:cs="Arial" w:eastAsia="Arial" w:hAnsi="Arial"/>
          <w:sz w:val="16"/>
          <w:szCs w:val="16"/>
          <w:color w:val="auto"/>
        </w:rPr>
        <w:t>Diluted earnings per share increased by $0.45, or 24.2%, to $2.31 in fiscal 2012, from $1.86 in fiscal 2011. The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diluted earnings per share resulted from the increase in net income and from the change in the diluted weighted average number of shares outstanding resulting primarily from our repurchase of ordinary shares in fiscal 2012 and 2011. Please see Note 20 to our consolidated financial statements.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Fiscal Years Ended September 30, 2011 and 2010</w:t>
      </w:r>
    </w:p>
    <w:p>
      <w:pPr>
        <w:spacing w:after="0" w:line="90" w:lineRule="exact"/>
        <w:rPr>
          <w:sz w:val="20"/>
          <w:szCs w:val="20"/>
          <w:color w:val="auto"/>
        </w:rPr>
      </w:pPr>
    </w:p>
    <w:p>
      <w:pPr>
        <w:ind w:right="660" w:firstLine="456"/>
        <w:spacing w:after="0" w:line="331" w:lineRule="auto"/>
        <w:rPr>
          <w:sz w:val="20"/>
          <w:szCs w:val="20"/>
          <w:color w:val="auto"/>
        </w:rPr>
      </w:pPr>
      <w:r>
        <w:rPr>
          <w:rFonts w:ascii="Arial" w:cs="Arial" w:eastAsia="Arial" w:hAnsi="Arial"/>
          <w:sz w:val="16"/>
          <w:szCs w:val="16"/>
          <w:color w:val="auto"/>
        </w:rPr>
        <w:t>The following is a tabular presentation of our results of operations for the fiscal year ended September 30, 2011, compared to the fiscal year ended September 30, 2010. Following the table is a discussion and analysis of our business and results of operations for these fiscal years.</w:t>
      </w:r>
    </w:p>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Year Ended September 30,</w:t>
            </w:r>
          </w:p>
        </w:tc>
        <w:tc>
          <w:tcPr>
            <w:tcW w:w="100" w:type="dxa"/>
            <w:vAlign w:val="bottom"/>
          </w:tcPr>
          <w:p>
            <w:pPr>
              <w:spacing w:after="0"/>
              <w:rPr>
                <w:sz w:val="14"/>
                <w:szCs w:val="14"/>
                <w:color w:val="auto"/>
              </w:rPr>
            </w:pPr>
          </w:p>
        </w:tc>
        <w:tc>
          <w:tcPr>
            <w:tcW w:w="178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96"/>
              </w:rPr>
              <w:t>Increase (Decrease)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2010</w:t>
            </w:r>
          </w:p>
        </w:tc>
        <w:tc>
          <w:tcPr>
            <w:tcW w:w="6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660"/>
              <w:spacing w:after="0" w:line="142" w:lineRule="exact"/>
              <w:rPr>
                <w:sz w:val="20"/>
                <w:szCs w:val="20"/>
                <w:color w:val="auto"/>
              </w:rPr>
            </w:pPr>
            <w:r>
              <w:rPr>
                <w:rFonts w:ascii="Arial" w:cs="Arial" w:eastAsia="Arial" w:hAnsi="Arial"/>
                <w:sz w:val="14"/>
                <w:szCs w:val="14"/>
                <w:b w:val="1"/>
                <w:bCs w:val="1"/>
                <w:color w:val="auto"/>
                <w:w w:val="86"/>
              </w:rPr>
              <w:t>Amount</w:t>
            </w:r>
          </w:p>
        </w:tc>
        <w:tc>
          <w:tcPr>
            <w:tcW w:w="44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120" w:type="dxa"/>
            <w:vAlign w:val="bottom"/>
            <w:tcBorders>
              <w:top w:val="single" w:sz="8" w:color="auto"/>
              <w:bottom w:val="single" w:sz="8" w:color="auto"/>
            </w:tcBorders>
            <w:gridSpan w:val="4"/>
          </w:tcPr>
          <w:p>
            <w:pPr>
              <w:jc w:val="right"/>
              <w:ind w:right="70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486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License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119,237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100,967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18,270</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Service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3,058,491</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w w:val="84"/>
              </w:rPr>
              <w:t>2,883,256</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175,235</w:t>
            </w:r>
          </w:p>
        </w:tc>
        <w:tc>
          <w:tcPr>
            <w:tcW w:w="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3,177,728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4"/>
              </w:rPr>
              <w:t>2,984,223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193,505</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license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Cost of service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2,066,740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w w:val="84"/>
              </w:rPr>
              <w:t>1,903,645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163,095</w:t>
            </w:r>
          </w:p>
        </w:tc>
        <w:tc>
          <w:tcPr>
            <w:tcW w:w="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221,886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207,836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14,050</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409,465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373,585</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35,880</w:t>
            </w:r>
          </w:p>
        </w:tc>
        <w:tc>
          <w:tcPr>
            <w:tcW w:w="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9.6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72,646</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86,703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(14,057)</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vMerge w:val="restart"/>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2,773,364</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w w:val="84"/>
              </w:rPr>
              <w:t>2,573,790</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199,574</w:t>
            </w:r>
          </w:p>
        </w:tc>
        <w:tc>
          <w:tcPr>
            <w:tcW w:w="560" w:type="dxa"/>
            <w:vAlign w:val="bottom"/>
          </w:tcPr>
          <w:p>
            <w:pPr>
              <w:spacing w:after="0"/>
              <w:rPr>
                <w:sz w:val="19"/>
                <w:szCs w:val="19"/>
                <w:color w:val="auto"/>
              </w:rPr>
            </w:pPr>
          </w:p>
        </w:tc>
        <w:tc>
          <w:tcPr>
            <w:tcW w:w="4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404,364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410,433</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(6,069)</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Interest and other expense, net</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8,657</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25,135</w:t>
            </w:r>
          </w:p>
        </w:tc>
        <w:tc>
          <w:tcPr>
            <w:tcW w:w="100" w:type="dxa"/>
            <w:vAlign w:val="bottom"/>
          </w:tcPr>
          <w:p>
            <w:pPr>
              <w:spacing w:after="0"/>
              <w:rPr>
                <w:sz w:val="18"/>
                <w:szCs w:val="18"/>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w w:val="92"/>
              </w:rPr>
              <w:t>(16,478)</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395,707</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385,298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10,409</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Income taxes</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49,042</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41,392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7,650</w:t>
            </w:r>
          </w:p>
        </w:tc>
        <w:tc>
          <w:tcPr>
            <w:tcW w:w="5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346,665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343,906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2,759</w:t>
            </w:r>
          </w:p>
        </w:tc>
        <w:tc>
          <w:tcPr>
            <w:tcW w:w="5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440" w:firstLine="456"/>
        <w:spacing w:after="0" w:line="306"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increased by $193.5 million, or 6.5%, to $3,177.7 million in fiscal 2011, from $2,984.2 million in fiscal 2010. The increase in</w:t>
      </w:r>
      <w:r>
        <w:rPr>
          <w:rFonts w:ascii="Arial" w:cs="Arial" w:eastAsia="Arial" w:hAnsi="Arial"/>
          <w:sz w:val="16"/>
          <w:szCs w:val="16"/>
          <w:i w:val="1"/>
          <w:iCs w:val="1"/>
          <w:color w:val="auto"/>
        </w:rPr>
        <w:t xml:space="preserve"> </w:t>
      </w:r>
      <w:r>
        <w:rPr>
          <w:rFonts w:ascii="Arial" w:cs="Arial" w:eastAsia="Arial" w:hAnsi="Arial"/>
          <w:sz w:val="16"/>
          <w:szCs w:val="16"/>
          <w:color w:val="auto"/>
        </w:rPr>
        <w:t>revenue was primarily attributable to revenue related to existing and new managed services arrangements and to a lesser extent to revenue related to implementation and integration projects. Our fiscal 2011 revenue was also positively impacted by foreign exchange fluctuations.</w:t>
      </w:r>
    </w:p>
    <w:p>
      <w:pPr>
        <w:spacing w:after="0" w:line="2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License revenue in fiscal 2011 increased by $18.2 million, or 18.1%, to $119.2 million, from $101.0 million in fiscal 2010. The increase in license revenue was primarily attributable to new implementation and integration projects.</w:t>
      </w:r>
    </w:p>
    <w:p>
      <w:pPr>
        <w:spacing w:after="0" w:line="51"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License and service revenue attributable to the sale of customer experience systems increased by $203.0 million, or 7.3%, to $2,978.3 million in fiscal 2011, from $2,775.3 million in fiscal 2010. The increase in revenue was primarily attributable to revenue related to existing and new managed services arrangements, and to a lesser extent to revenue related to implementation and integration projects. License and service revenue resulting from the sale of customer experience systems represented 93.7% and 93.0% of our total revenue in fiscal 2011 and 2010, respectively.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License and service revenue attributable to the sale of directory systems decreased by $9.5 million, or 4.6%, to $199.4 million in fiscal 2011, from</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$208.9 million in fiscal 2010. The decrease was primarily attributable to a decrease in revenue from existing customers. License and service revenue from the sale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 directory systems represented 6.3% and 7.0% of our total revenue in fiscal 2011 and 2010, respectively.</w:t>
      </w:r>
    </w:p>
    <w:p>
      <w:pPr>
        <w:spacing w:after="0" w:line="84"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color w:val="auto"/>
        </w:rPr>
        <w:t>In fiscal 2011, revenue from customers in North America, Europe and the rest of the world accounted for 73.4%, 12.7% and 13.9%, respectively, of total revenue, compared to 75.8%, 11.8% and 12.4%, respectively, for fiscal 2010. The increase in revenue as a percentage of total revenue from customers in Europe and the rest of the world, of which a significant portion was from emerging markets, was primarily attributable to revenue related to new implementation and integration projects as well as to new managed services arrangements. Revenue from North American customers, in absolute amounts, increased during fiscal 2011, primarily from existing and new implementation and integration projects and managed services arrangements. However, our revenue growth rate in Europe and the rest of the world was greater than the growth rate we experienced in North America which resulted in a decrease in revenue from customers in North America as a percentage of total revenue.</w:t>
      </w:r>
    </w:p>
    <w:p>
      <w:pPr>
        <w:spacing w:after="0" w:line="3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i w:val="1"/>
          <w:iCs w:val="1"/>
          <w:color w:val="auto"/>
        </w:rPr>
        <w:t xml:space="preserve">Cost of License and Service. </w:t>
      </w:r>
      <w:r>
        <w:rPr>
          <w:rFonts w:ascii="Arial" w:cs="Arial" w:eastAsia="Arial" w:hAnsi="Arial"/>
          <w:sz w:val="16"/>
          <w:szCs w:val="16"/>
          <w:color w:val="auto"/>
        </w:rPr>
        <w:t>Cost of license includes fees and royalty payments to software suppliers. Cost of service consists primarily of costs associated</w:t>
      </w:r>
      <w:r>
        <w:rPr>
          <w:rFonts w:ascii="Arial" w:cs="Arial" w:eastAsia="Arial" w:hAnsi="Arial"/>
          <w:sz w:val="16"/>
          <w:szCs w:val="16"/>
          <w:i w:val="1"/>
          <w:iCs w:val="1"/>
          <w:color w:val="auto"/>
        </w:rPr>
        <w:t xml:space="preserve"> </w:t>
      </w:r>
      <w:r>
        <w:rPr>
          <w:rFonts w:ascii="Arial" w:cs="Arial" w:eastAsia="Arial" w:hAnsi="Arial"/>
          <w:sz w:val="16"/>
          <w:szCs w:val="16"/>
          <w:color w:val="auto"/>
        </w:rPr>
        <w:t>with providing services to customers, including compensation expense and costs of third-party products. Cost of license and service increased by $163.7 million, or 8.6%, to $2,069.4 million in fiscal 2011, from $1,905.7 million in fiscal 2010. As a percentage of revenue, cost of license and service increased to 65.1% in fiscal 2011 from 63.9% in fiscal 2010. The increase in our cost of license and services as a percentage of revenue was primarily attributable to several key customer implementations that required incremental spending as well as to investment in internal training and knowledge building programs for our employees. Our cost of license and service was also negatively impacted by foreign exchange fluctuations.</w:t>
      </w:r>
    </w:p>
    <w:p>
      <w:pPr>
        <w:spacing w:after="0" w:line="39"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i w:val="1"/>
          <w:iCs w:val="1"/>
          <w:color w:val="auto"/>
        </w:rPr>
        <w:t xml:space="preserve">Research and Development. </w:t>
      </w:r>
      <w:r>
        <w:rPr>
          <w:rFonts w:ascii="Arial" w:cs="Arial" w:eastAsia="Arial" w:hAnsi="Arial"/>
          <w:sz w:val="16"/>
          <w:szCs w:val="16"/>
          <w:color w:val="auto"/>
        </w:rPr>
        <w:t>Research and development expense is primarily comprised of compensation expense. Research and development expense</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by $14.1 million, or 6.8%, to $221.9 million in fiscal 2011, from $207.8 million in fiscal 2010. The increase in research and development expense is primarily attributable to investments in our next release of the Amdocs CES portfolio, as well as to foreign exchange impacts. Research and development expense as a percentage of revenue was 7.0% in fiscal years 2011 and 2010. Our research and development efforts are a key element of our strategy and are essential to our success, and we intend to maintain our commitment to research and development. An increase or a decrease in our total revenue would not necessarily result in a proportional increase or decrease in the levels of our research and development expenditures, which could affect our operating margin. Please see “Research and Development, Patents and Licenses.”</w:t>
      </w:r>
    </w:p>
    <w:p>
      <w:pPr>
        <w:spacing w:after="0" w:line="3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 increased by $35.9 million, or 9.6%, to $409.5 million in fiscal 2011,</w:t>
      </w:r>
      <w:r>
        <w:rPr>
          <w:rFonts w:ascii="Arial" w:cs="Arial" w:eastAsia="Arial" w:hAnsi="Arial"/>
          <w:sz w:val="18"/>
          <w:szCs w:val="18"/>
          <w:i w:val="1"/>
          <w:iCs w:val="1"/>
          <w:color w:val="auto"/>
        </w:rPr>
        <w:t xml:space="preserve"> </w:t>
      </w:r>
      <w:r>
        <w:rPr>
          <w:rFonts w:ascii="Arial" w:cs="Arial" w:eastAsia="Arial" w:hAnsi="Arial"/>
          <w:sz w:val="18"/>
          <w:szCs w:val="18"/>
          <w:color w:val="auto"/>
        </w:rPr>
        <w:t>from $373.6 million in fiscal 2010. Selling, general and administrative expense is primarily comprised of compensation expense. The increase in selling, general and administrative expense as a percentage of revenue was primarily attributable to increased selling efforts, a significant portion of which were in emerging markets and in Europe, as well as to an increase in accounts receivable allowances.</w:t>
      </w:r>
    </w:p>
    <w:p>
      <w:pPr>
        <w:spacing w:after="0" w:line="62"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i w:val="1"/>
          <w:iCs w:val="1"/>
          <w:color w:val="auto"/>
        </w:rPr>
        <w:t xml:space="preserve">Amortization of Purchased Intangible Assets and Other. </w:t>
      </w:r>
      <w:r>
        <w:rPr>
          <w:rFonts w:ascii="Arial" w:cs="Arial" w:eastAsia="Arial" w:hAnsi="Arial"/>
          <w:sz w:val="18"/>
          <w:szCs w:val="18"/>
          <w:color w:val="auto"/>
        </w:rPr>
        <w:t>Amortization of purchased intangible assets and other decreased by $14.1 million, or 16.2%, to</w:t>
      </w:r>
      <w:r>
        <w:rPr>
          <w:rFonts w:ascii="Arial" w:cs="Arial" w:eastAsia="Arial" w:hAnsi="Arial"/>
          <w:sz w:val="18"/>
          <w:szCs w:val="18"/>
          <w:i w:val="1"/>
          <w:iCs w:val="1"/>
          <w:color w:val="auto"/>
        </w:rPr>
        <w:t xml:space="preserve"> </w:t>
      </w:r>
      <w:r>
        <w:rPr>
          <w:rFonts w:ascii="Arial" w:cs="Arial" w:eastAsia="Arial" w:hAnsi="Arial"/>
          <w:sz w:val="18"/>
          <w:szCs w:val="18"/>
          <w:color w:val="auto"/>
        </w:rPr>
        <w:t>$72.6 million in fiscal 2011, from $86.7 million in fiscal 2010. The decrease in amortization of purchased intangible assets and other was primarily due to purchased intangible assets that were fully amortized in prior periods, as well as to the timing of amortization charges resulting from the use of accelerated amortization methods for certain intangible assets purchased in prior periods, partially offset by amortization of intangible assets and other acquisition costs related to several small acquisitions in fiscal 2011 and 2010.</w:t>
      </w:r>
    </w:p>
    <w:p>
      <w:pPr>
        <w:spacing w:after="0" w:line="62"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i w:val="1"/>
          <w:iCs w:val="1"/>
          <w:color w:val="auto"/>
        </w:rPr>
        <w:t xml:space="preserve">Operating Income. </w:t>
      </w:r>
      <w:r>
        <w:rPr>
          <w:rFonts w:ascii="Arial" w:cs="Arial" w:eastAsia="Arial" w:hAnsi="Arial"/>
          <w:sz w:val="16"/>
          <w:szCs w:val="16"/>
          <w:color w:val="auto"/>
        </w:rPr>
        <w:t>Operating income decreased by $6.0 million, or 1.5%, to $404.4 million in fiscal 2011, from $410.4 million in fiscal 2010. Operating</w:t>
      </w:r>
      <w:r>
        <w:rPr>
          <w:rFonts w:ascii="Arial" w:cs="Arial" w:eastAsia="Arial" w:hAnsi="Arial"/>
          <w:sz w:val="16"/>
          <w:szCs w:val="16"/>
          <w:i w:val="1"/>
          <w:iCs w:val="1"/>
          <w:color w:val="auto"/>
        </w:rPr>
        <w:t xml:space="preserve"> </w:t>
      </w:r>
      <w:r>
        <w:rPr>
          <w:rFonts w:ascii="Arial" w:cs="Arial" w:eastAsia="Arial" w:hAnsi="Arial"/>
          <w:sz w:val="16"/>
          <w:szCs w:val="16"/>
          <w:color w:val="auto"/>
        </w:rPr>
        <w:t>income decreased as a percentage of revenue, from 13.7% in fiscal 2010 to 12.7% in fiscal 2011. The decrease in operating income as a percentage of revenue was primarily attributable to the increase of cost of service and selling, general and administrative expense being higher than the increase in revenue, partially offset by the decrease in amortization of purchased intangible assets and other. The positive foreign exchange fluctuations on our revenue were offset by similar negative fluctuations on our operating expense resulting in an immaterial impact on our operating income.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i w:val="1"/>
          <w:iCs w:val="1"/>
          <w:color w:val="auto"/>
        </w:rPr>
        <w:t xml:space="preserve">Interest and Other Expense, Net. </w:t>
      </w:r>
      <w:r>
        <w:rPr>
          <w:rFonts w:ascii="Arial" w:cs="Arial" w:eastAsia="Arial" w:hAnsi="Arial"/>
          <w:sz w:val="18"/>
          <w:szCs w:val="18"/>
          <w:color w:val="auto"/>
        </w:rPr>
        <w:t>Interest and other expense, net decreased by $16.4 million to $8.7 million in fiscal 2011, from $25.1 million in fiscal</w:t>
      </w:r>
      <w:r>
        <w:rPr>
          <w:rFonts w:ascii="Arial" w:cs="Arial" w:eastAsia="Arial" w:hAnsi="Arial"/>
          <w:sz w:val="18"/>
          <w:szCs w:val="18"/>
          <w:i w:val="1"/>
          <w:iCs w:val="1"/>
          <w:color w:val="auto"/>
        </w:rPr>
        <w:t xml:space="preserve"> </w:t>
      </w:r>
      <w:r>
        <w:rPr>
          <w:rFonts w:ascii="Arial" w:cs="Arial" w:eastAsia="Arial" w:hAnsi="Arial"/>
          <w:sz w:val="18"/>
          <w:szCs w:val="18"/>
          <w:color w:val="auto"/>
        </w:rPr>
        <w:t>2010. The decrease in interest and other expense, net, was primarily attributable to the effect of a loss in fiscal 2010 from divestiture of a Chinese subsidiary in which a majority interest was sold in April 2010, partially offset by foreign exchange loss in fiscal 2011.</w:t>
      </w:r>
    </w:p>
    <w:p>
      <w:pPr>
        <w:spacing w:after="0" w:line="5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Income taxes for fiscal 2011 were $49.0 million on pre-tax income of $395.7 million, resulting in an effective tax rate of 12.4%, compared</w:t>
      </w:r>
      <w:r>
        <w:rPr>
          <w:rFonts w:ascii="Arial" w:cs="Arial" w:eastAsia="Arial" w:hAnsi="Arial"/>
          <w:sz w:val="18"/>
          <w:szCs w:val="18"/>
          <w:i w:val="1"/>
          <w:iCs w:val="1"/>
          <w:color w:val="auto"/>
        </w:rPr>
        <w:t xml:space="preserve"> </w:t>
      </w:r>
      <w:r>
        <w:rPr>
          <w:rFonts w:ascii="Arial" w:cs="Arial" w:eastAsia="Arial" w:hAnsi="Arial"/>
          <w:sz w:val="18"/>
          <w:szCs w:val="18"/>
          <w:color w:val="auto"/>
        </w:rPr>
        <w:t>to 10.7% in fiscal 2010. Our effective tax rate may fluctuate between quarters as a result of discrete items that may affect a specific quarter. Please see Note 11 to our consolidated financial statements.</w:t>
      </w:r>
    </w:p>
    <w:p>
      <w:pPr>
        <w:spacing w:after="0" w:line="59"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Net Income. </w:t>
      </w:r>
      <w:r>
        <w:rPr>
          <w:rFonts w:ascii="Arial" w:cs="Arial" w:eastAsia="Arial" w:hAnsi="Arial"/>
          <w:sz w:val="18"/>
          <w:szCs w:val="18"/>
          <w:color w:val="auto"/>
        </w:rPr>
        <w:t>Net income increased by $2.8 million, or 0.8%, to $346.7 million in fiscal 2011, from $343.9 million in fiscal 2010. The increase in net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was attributable primarily to the decrease in interest and other expense, net, partially offset by a decrease in operating income and an increase in income tax expense.</w:t>
      </w:r>
    </w:p>
    <w:p>
      <w:pPr>
        <w:spacing w:after="0" w:line="59"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i w:val="1"/>
          <w:iCs w:val="1"/>
          <w:color w:val="auto"/>
        </w:rPr>
        <w:t xml:space="preserve">Diluted Earnings Per Share. </w:t>
      </w:r>
      <w:r>
        <w:rPr>
          <w:rFonts w:ascii="Arial" w:cs="Arial" w:eastAsia="Arial" w:hAnsi="Arial"/>
          <w:sz w:val="18"/>
          <w:szCs w:val="18"/>
          <w:color w:val="auto"/>
        </w:rPr>
        <w:t>Diluted earnings per share increased by $0.17, or 10.1%, to $1.86 in fiscal 2011, from $1.69 in fiscal 2010. The increase in</w:t>
      </w:r>
      <w:r>
        <w:rPr>
          <w:rFonts w:ascii="Arial" w:cs="Arial" w:eastAsia="Arial" w:hAnsi="Arial"/>
          <w:sz w:val="18"/>
          <w:szCs w:val="18"/>
          <w:i w:val="1"/>
          <w:iCs w:val="1"/>
          <w:color w:val="auto"/>
        </w:rPr>
        <w:t xml:space="preserve"> </w:t>
      </w:r>
      <w:r>
        <w:rPr>
          <w:rFonts w:ascii="Arial" w:cs="Arial" w:eastAsia="Arial" w:hAnsi="Arial"/>
          <w:sz w:val="18"/>
          <w:szCs w:val="18"/>
          <w:color w:val="auto"/>
        </w:rPr>
        <w:t>diluted earnings per share resulted primarily from the decrease in the diluted weighted average number of shares outstanding as a result of our repurchase of ordinary shares. Please see Note 20 to our consolidated financial statements.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Cash, cash equivalents and short-term interest-bearing investments, net of short-term debt, totaled $918.2 million as of September 30, 2012, compared to $923.5 million as of September 30, 2011. The decrease during fiscal 2012 was mainly attributable to $484.6 million used to repurchase our ordinary shares pursuant to our share repurchase program and $122.1 million for capital expenditures, net, partially offset by $514.1 million in cash flow from operations and $86.7 million of proceeds from employee stock options exercised. Net cash provided by operating activities amounted to $514.1 million and $535.5 million for fiscal 2012 and 2011, respectively.</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policy is to retain sufficient cash balances in order to support our growth. We believe that our current cash balances, cash generated from operations and our current lines of credit will provide sufficient resources to meet our operational needs and to fund share repurchases and the payment of cash dividends for at least the next fiscal year.</w:t>
      </w:r>
    </w:p>
    <w:p>
      <w:pPr>
        <w:spacing w:after="0" w:line="5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Our interest-bearing investments are classified as available-for-sale securities. Such short-term interest-bearing investments consist primarily of money market funds, U.S. government treasuries, corporate bonds, government guaranteed debt and U.S. agency securities. We believe we have conservative investment policy guidelines. Our interest-bearing investments are stated at fair value with the unrealized gains or losses reported as a separate component of accumulated other comprehensive (loss) income, net of tax. Our interest-bearing investments are priced by pricing vendors and are classified as Level 1 or Level 2 investments, since these vendors either provide a quoted market price in an active market or use other observable inputs to price these securities. During fiscal 2012 and 2011, we recognized immaterial credit losses. As of September 30, 2012, temporary unrealized losses of $0.6 million included in accumulated other comprehensive (loss) income, were related to securities for which credit losses were previously recognized and considered other-than-temporarily impaired securities. Please see Notes 4 and 5 to our consolidated financial statements.</w:t>
      </w:r>
    </w:p>
    <w:p>
      <w:pPr>
        <w:spacing w:after="0" w:line="37" w:lineRule="exact"/>
        <w:rPr>
          <w:sz w:val="20"/>
          <w:szCs w:val="20"/>
          <w:color w:val="auto"/>
        </w:rPr>
      </w:pPr>
    </w:p>
    <w:p>
      <w:pPr>
        <w:jc w:val="both"/>
        <w:ind w:firstLine="456"/>
        <w:spacing w:after="0" w:line="294" w:lineRule="auto"/>
        <w:rPr>
          <w:sz w:val="20"/>
          <w:szCs w:val="20"/>
          <w:color w:val="auto"/>
        </w:rPr>
      </w:pPr>
      <w:r>
        <w:rPr>
          <w:rFonts w:ascii="Arial" w:cs="Arial" w:eastAsia="Arial" w:hAnsi="Arial"/>
          <w:sz w:val="16"/>
          <w:szCs w:val="16"/>
          <w:color w:val="auto"/>
        </w:rPr>
        <w:t>In December 2011, we entered into an unsecured $500.0 million five-year revolving credit facility with a syndicate of banks. The credit facility is available for general corporate purposes, including acquisitions and repurchases of ordinary shares that we may consider from time to time. The interest rate for borrowings under the revolving credit facility is chosen at our option from several pre-defined alternatives, depends on the circumstances of any advance and is based on our credit rating. As of September 30, 2012, we were in compliance with the financial covenants under the revolving credit facility. In September 2012, we borrowed an aggregate of $200.0 million under the facility and repaid it in October 2012.</w:t>
      </w:r>
    </w:p>
    <w:p>
      <w:pPr>
        <w:spacing w:after="0" w:line="3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As of September 30, 2012, we had outstanding letters of credit and bank guarantees from various banks totaling $67.2 million. As of September 30, 2012, we had outstanding obligations of $0.6 million in connection with leasing arrangements, most of which was included in other current liabilities on our balance sheet.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Our capital expenditures, net, were approximately $122.1 million in fiscal 2012. Approximately 90% of these expenditures consisted of purchases of computer equipment, with the remainder attributable mainly to leasehold improvements. Our fiscal 2012 capital expenditures were mainly attributable to investments in our operating facilities and our development centers around the world. Our policy is to fund our capital expenditures from operating cash flows, and we do not anticipate any changes to this policy in the foreseeable future.</w:t>
      </w:r>
    </w:p>
    <w:p>
      <w:pPr>
        <w:spacing w:after="0" w:line="62"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color w:val="auto"/>
        </w:rPr>
        <w:t>In April 2010, our board of directors authorized a share repurchase plan allowing the repurchase of up to $700.0 million of our outstanding ordinary shares over the following 12 months. In February 2011, our board of directors adopted a share repurchase plan authorizing the repurchase of up to $1.0 billion of our outstanding ordinary shares over the following 24 months. In April 2011, we completed the repurchase of the remaining authorized amount under the April</w:t>
      </w:r>
    </w:p>
    <w:p>
      <w:pPr>
        <w:spacing w:after="0" w:line="1" w:lineRule="exact"/>
        <w:rPr>
          <w:sz w:val="20"/>
          <w:szCs w:val="20"/>
          <w:color w:val="auto"/>
        </w:rPr>
      </w:pPr>
    </w:p>
    <w:p>
      <w:pPr>
        <w:ind w:right="340"/>
        <w:spacing w:after="0" w:line="281" w:lineRule="auto"/>
        <w:rPr>
          <w:sz w:val="20"/>
          <w:szCs w:val="20"/>
          <w:color w:val="auto"/>
        </w:rPr>
      </w:pPr>
      <w:r>
        <w:rPr>
          <w:rFonts w:ascii="Arial" w:cs="Arial" w:eastAsia="Arial" w:hAnsi="Arial"/>
          <w:sz w:val="16"/>
          <w:szCs w:val="16"/>
          <w:color w:val="auto"/>
        </w:rPr>
        <w:t>2010 share repurchase plan and started executing repurchases under the February 2011 plan. In fiscal 2012, we repurchased 16.3 million ordinary shares at an average price of $29.74 per share (excluding broker and transaction fees). As of September 30, 2012, we had remaining authority to repurchase up to</w:t>
      </w:r>
    </w:p>
    <w:p>
      <w:pPr>
        <w:spacing w:after="0" w:line="1" w:lineRule="exact"/>
        <w:rPr>
          <w:sz w:val="20"/>
          <w:szCs w:val="20"/>
          <w:color w:val="auto"/>
        </w:rPr>
      </w:pPr>
    </w:p>
    <w:p>
      <w:pPr>
        <w:jc w:val="both"/>
        <w:ind w:right="40"/>
        <w:spacing w:after="0" w:line="302" w:lineRule="auto"/>
        <w:rPr>
          <w:sz w:val="20"/>
          <w:szCs w:val="20"/>
          <w:color w:val="auto"/>
        </w:rPr>
      </w:pPr>
      <w:r>
        <w:rPr>
          <w:rFonts w:ascii="Arial" w:cs="Arial" w:eastAsia="Arial" w:hAnsi="Arial"/>
          <w:sz w:val="16"/>
          <w:szCs w:val="16"/>
          <w:color w:val="auto"/>
        </w:rPr>
        <w:t>$202.8 million of our outstanding ordinary shares under the February 2011 plan. In November 2012, our board of directors adopted another share repurchase plan authorizing the repurchase of up to $500.0 million of our outstanding ordinary shares. The November 2012 plan has no expiration date. The authorizations permit us to purchase our ordinary shares in open market or privately negotiated transactions at times and prices we consider appropriate.</w:t>
      </w:r>
    </w:p>
    <w:p>
      <w:pPr>
        <w:spacing w:after="0" w:line="28"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have historically not paid dividends to shareholders and we did not pay dividends during fiscal 2012. On July 31, 2012, our shareholders approved the institution of a quarterly cash dividend program at the rate of $0.13 per share. On August 1, 2012, our board of directors authorized the first quarterly cash dividend payment, in the aggregate amount of $21.1 million, which was paid on October 19, 2012. On November 6, 2012, our board of directors approved another dividend payment, at the rate of $0.13 per share, and set December 31, 2012, as the record date for determining the shareholders entitled to receive the dividend, which is payable on January 18, 2013.</w:t>
      </w:r>
    </w:p>
    <w:p>
      <w:pPr>
        <w:spacing w:after="0" w:line="6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a general long-term guideline, we expect to allocate roughly half of our free cash flow (calculated as cash flow from operations less net capital expenditures and other) towards growth investments, including mergers and acquisitions, and return the other half to our shareholders through a combination of the dividend program and share repurchases. Our actual share repurchases activity and payment of future dividends, if any, will be based on several factors including our financial performance, outlook and liquidity.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have any off-balance sheet arrangements.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summarizes our contractual obligations as of September 30, 2012, and the effect such obligations are expected to have on our liquidity and cash flows in future periods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6"/>
              </w:rPr>
              <w:t>Payments Due by Period</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6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5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3"/>
          </w:tcPr>
          <w:p>
            <w:pPr>
              <w:jc w:val="center"/>
              <w:ind w:right="20"/>
              <w:spacing w:after="0" w:line="129" w:lineRule="exact"/>
              <w:rPr>
                <w:sz w:val="20"/>
                <w:szCs w:val="20"/>
                <w:color w:val="auto"/>
              </w:rPr>
            </w:pPr>
            <w:r>
              <w:rPr>
                <w:rFonts w:ascii="Arial" w:cs="Arial" w:eastAsia="Arial" w:hAnsi="Arial"/>
                <w:sz w:val="14"/>
                <w:szCs w:val="14"/>
                <w:b w:val="1"/>
                <w:bCs w:val="1"/>
                <w:color w:val="auto"/>
                <w:w w:val="86"/>
              </w:rPr>
              <w:t>Less Than</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1-3</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jc w:val="right"/>
              <w:ind w:right="16"/>
              <w:spacing w:after="0" w:line="129" w:lineRule="exact"/>
              <w:rPr>
                <w:sz w:val="20"/>
                <w:szCs w:val="20"/>
                <w:color w:val="auto"/>
              </w:rPr>
            </w:pPr>
            <w:r>
              <w:rPr>
                <w:rFonts w:ascii="Arial" w:cs="Arial" w:eastAsia="Arial" w:hAnsi="Arial"/>
                <w:sz w:val="14"/>
                <w:szCs w:val="14"/>
                <w:b w:val="1"/>
                <w:bCs w:val="1"/>
                <w:color w:val="auto"/>
                <w:w w:val="88"/>
              </w:rPr>
              <w:t>4-5</w:t>
            </w: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90"/>
              </w:rPr>
              <w:t>More Than</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6660" w:type="dxa"/>
            <w:vAlign w:val="bottom"/>
            <w:gridSpan w:val="4"/>
            <w:vMerge w:val="continue"/>
          </w:tcPr>
          <w:p>
            <w:pPr>
              <w:spacing w:after="0"/>
              <w:rPr>
                <w:sz w:val="14"/>
                <w:szCs w:val="14"/>
                <w:color w:val="auto"/>
              </w:rPr>
            </w:pPr>
          </w:p>
        </w:tc>
        <w:tc>
          <w:tcPr>
            <w:tcW w:w="500" w:type="dxa"/>
            <w:vAlign w:val="bottom"/>
          </w:tcPr>
          <w:p>
            <w:pPr>
              <w:jc w:val="right"/>
              <w:ind w:right="16"/>
              <w:spacing w:after="0" w:line="148" w:lineRule="exact"/>
              <w:rPr>
                <w:sz w:val="20"/>
                <w:szCs w:val="20"/>
                <w:color w:val="auto"/>
              </w:rPr>
            </w:pPr>
            <w:r>
              <w:rPr>
                <w:rFonts w:ascii="Arial" w:cs="Arial" w:eastAsia="Arial" w:hAnsi="Arial"/>
                <w:sz w:val="14"/>
                <w:szCs w:val="14"/>
                <w:b w:val="1"/>
                <w:bCs w:val="1"/>
                <w:color w:val="auto"/>
              </w:rPr>
              <w:t>Total</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95"/>
              </w:rPr>
              <w:t>1 Year</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9"/>
              </w:rPr>
              <w:t>Years</w:t>
            </w:r>
          </w:p>
        </w:tc>
        <w:tc>
          <w:tcPr>
            <w:tcW w:w="20" w:type="dxa"/>
            <w:vAlign w:val="bottom"/>
          </w:tcPr>
          <w:p>
            <w:pPr>
              <w:spacing w:after="0"/>
              <w:rPr>
                <w:sz w:val="14"/>
                <w:szCs w:val="14"/>
                <w:color w:val="auto"/>
              </w:rPr>
            </w:pPr>
          </w:p>
        </w:tc>
        <w:tc>
          <w:tcPr>
            <w:tcW w:w="660" w:type="dxa"/>
            <w:vAlign w:val="bottom"/>
            <w:gridSpan w:val="3"/>
          </w:tcPr>
          <w:p>
            <w:pPr>
              <w:jc w:val="right"/>
              <w:ind w:right="300"/>
              <w:spacing w:after="0" w:line="148" w:lineRule="exact"/>
              <w:rPr>
                <w:sz w:val="20"/>
                <w:szCs w:val="20"/>
                <w:color w:val="auto"/>
              </w:rPr>
            </w:pPr>
            <w:r>
              <w:rPr>
                <w:rFonts w:ascii="Arial" w:cs="Arial" w:eastAsia="Arial" w:hAnsi="Arial"/>
                <w:sz w:val="14"/>
                <w:szCs w:val="14"/>
                <w:b w:val="1"/>
                <w:bCs w:val="1"/>
                <w:color w:val="auto"/>
                <w:w w:val="89"/>
              </w:rPr>
              <w:t>Years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line="148" w:lineRule="exact"/>
              <w:rPr>
                <w:sz w:val="20"/>
                <w:szCs w:val="20"/>
                <w:color w:val="auto"/>
              </w:rPr>
            </w:pPr>
            <w:r>
              <w:rPr>
                <w:rFonts w:ascii="Arial" w:cs="Arial" w:eastAsia="Arial" w:hAnsi="Arial"/>
                <w:sz w:val="14"/>
                <w:szCs w:val="14"/>
                <w:b w:val="1"/>
                <w:bCs w:val="1"/>
                <w:color w:val="auto"/>
                <w:w w:val="84"/>
              </w:rPr>
              <w:t>5 Years</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46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9"/>
              </w:rPr>
              <w:t>Long-term debt(1)</w:t>
            </w:r>
          </w:p>
        </w:tc>
        <w:tc>
          <w:tcPr>
            <w:tcW w:w="5180" w:type="dxa"/>
            <w:vAlign w:val="bottom"/>
            <w:tcBorders>
              <w:top w:val="single" w:sz="8" w:color="CCEEFF"/>
            </w:tcBorders>
            <w:gridSpan w:val="2"/>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$201.1</w:t>
            </w:r>
          </w:p>
        </w:tc>
        <w:tc>
          <w:tcPr>
            <w:tcW w:w="5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200.0</w:t>
            </w:r>
          </w:p>
        </w:tc>
        <w:tc>
          <w:tcPr>
            <w:tcW w:w="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Pension funding</w:t>
            </w:r>
          </w:p>
        </w:tc>
        <w:tc>
          <w:tcPr>
            <w:tcW w:w="500" w:type="dxa"/>
            <w:vAlign w:val="bottom"/>
          </w:tcPr>
          <w:p>
            <w:pPr>
              <w:jc w:val="right"/>
              <w:spacing w:after="0"/>
              <w:rPr>
                <w:sz w:val="20"/>
                <w:szCs w:val="20"/>
                <w:color w:val="auto"/>
              </w:rPr>
            </w:pPr>
            <w:r>
              <w:rPr>
                <w:rFonts w:ascii="Arial" w:cs="Arial" w:eastAsia="Arial" w:hAnsi="Arial"/>
                <w:sz w:val="18"/>
                <w:szCs w:val="18"/>
                <w:color w:val="auto"/>
              </w:rPr>
              <w:t>15.3</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40" w:type="dxa"/>
            <w:vAlign w:val="bottom"/>
            <w:gridSpan w:val="3"/>
          </w:tcPr>
          <w:p>
            <w:pPr>
              <w:spacing w:after="0"/>
              <w:rPr>
                <w:sz w:val="20"/>
                <w:szCs w:val="20"/>
                <w:color w:val="auto"/>
              </w:rPr>
            </w:pPr>
            <w:r>
              <w:rPr>
                <w:rFonts w:ascii="Arial" w:cs="Arial" w:eastAsia="Arial" w:hAnsi="Arial"/>
                <w:sz w:val="18"/>
                <w:szCs w:val="18"/>
                <w:color w:val="auto"/>
              </w:rPr>
              <w:t>Non-cancelable operating leases</w:t>
            </w:r>
          </w:p>
        </w:tc>
        <w:tc>
          <w:tcPr>
            <w:tcW w:w="500" w:type="dxa"/>
            <w:vAlign w:val="bottom"/>
          </w:tcPr>
          <w:p>
            <w:pPr>
              <w:jc w:val="right"/>
              <w:spacing w:after="0"/>
              <w:rPr>
                <w:sz w:val="20"/>
                <w:szCs w:val="20"/>
                <w:color w:val="auto"/>
              </w:rPr>
            </w:pPr>
            <w:r>
              <w:rPr>
                <w:rFonts w:ascii="Arial" w:cs="Arial" w:eastAsia="Arial" w:hAnsi="Arial"/>
                <w:sz w:val="18"/>
                <w:szCs w:val="18"/>
                <w:color w:val="auto"/>
              </w:rPr>
              <w:t>236.7</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58.5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107.0</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60"/>
              <w:spacing w:after="0"/>
              <w:rPr>
                <w:sz w:val="20"/>
                <w:szCs w:val="20"/>
                <w:color w:val="auto"/>
              </w:rPr>
            </w:pPr>
            <w:r>
              <w:rPr>
                <w:rFonts w:ascii="Arial" w:cs="Arial" w:eastAsia="Arial" w:hAnsi="Arial"/>
                <w:sz w:val="18"/>
                <w:szCs w:val="18"/>
                <w:color w:val="auto"/>
                <w:w w:val="79"/>
              </w:rPr>
              <w:t>41.1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460" w:type="dxa"/>
            <w:vAlign w:val="bottom"/>
          </w:tcPr>
          <w:p>
            <w:pPr>
              <w:spacing w:after="0"/>
              <w:rPr>
                <w:sz w:val="2"/>
                <w:szCs w:val="2"/>
                <w:color w:val="auto"/>
              </w:rPr>
            </w:pPr>
          </w:p>
        </w:tc>
        <w:tc>
          <w:tcPr>
            <w:tcW w:w="20" w:type="dxa"/>
            <w:vAlign w:val="bottom"/>
          </w:tcPr>
          <w:p>
            <w:pPr>
              <w:spacing w:after="0"/>
              <w:rPr>
                <w:sz w:val="2"/>
                <w:szCs w:val="2"/>
                <w:color w:val="auto"/>
              </w:rPr>
            </w:pPr>
          </w:p>
        </w:tc>
        <w:tc>
          <w:tcPr>
            <w:tcW w:w="5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487.8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285.0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123.0</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79"/>
              </w:rPr>
              <w:t>44.0</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r>
              <w:rPr>
                <w:rFonts w:ascii="Arial" w:cs="Arial" w:eastAsia="Arial" w:hAnsi="Arial"/>
                <w:sz w:val="18"/>
                <w:szCs w:val="18"/>
                <w:u w:val="single" w:color="auto"/>
                <w:color w:val="auto"/>
              </w:rPr>
              <w:t>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14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September 2012, we borrowed an aggregate of $200.0 million under our revolving credit facility and repaid it in October 2012.</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total amount of unrecognized tax benefits for uncertain tax positions was $133.9 million as of September 30, 2012. Payment of these obligations would result from settlements with taxing authorities. Due to the difficulty in determining the timing of resolution of audits, these obligations are not included in the above table.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Tax Asset Valuation Allowance</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As of September 30, 2012, we had deferred tax assets of $117.0 million, derived primarily from tax credits, net capital and operating loss carryforwards related to some of our subsidiaries, which were offset by valuation allowances due to the uncertainty of realizing any tax benefit for such credits and losses. Releases of the valuation allowances, if any, will be recognized through earnings.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discussion and analysis of our consolidated financial condition and results of operations are based upon our consolidated financial statements, which have been prepared in accordance with U.S. generally accepted accounting principles, or U.S. GAAP. The preparation of these financial statements requires us to make estimates, assumptions and judgments that affect the reported amounts of assets, liabilities, revenue and expenses and related disclosure of contingent liabilities. On a regular basis, we evaluate and may revise our estimates. We base our estimates on historical experience and various other assumptions that we believe to be reasonable under the circumstances, the results of which form the basis for making judgments about the carrying values of assets and liabilities that are not readily apparent. Actual results could differ materially from the estimates under different assumptions or conditions.</w:t>
      </w:r>
    </w:p>
    <w:p>
      <w:pPr>
        <w:spacing w:after="0" w:line="3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believe that the estimates, assumptions and judgments involved in the accounting policies described below have the greatest potential impact on our financial statements, so we consider these to be our critical accounting policies. These policies require that we make estimates in the preparation of our financial statements as of a given date. Our critical accounting policies are as follows:</w:t>
      </w:r>
    </w:p>
    <w:p>
      <w:pPr>
        <w:spacing w:after="0" w:line="59" w:lineRule="exact"/>
        <w:rPr>
          <w:sz w:val="20"/>
          <w:szCs w:val="20"/>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Revenue recognition and contract accounting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Tax accounting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Share-based compensation expense</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Goodwill, intangible assets and long-lived assets-impairment assessment</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Derivative and hedge accounting</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Fair value measurement of short-term interest-bearing investments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Accounts receivable reserves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Below, we discuss these policies further, as well as the estimates and judgments involved. We also have other key accounting policies. We believe that, compared to the critical accounting policies listed above, the other policies either do not generally require us to make estimates and judgments that are as difficult or as subjective, or it is less likely that they would have a material impact on our reported consolidated results of operations for a given period.</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 and Contract Accounting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derive our revenue principally from:</w:t>
      </w:r>
    </w:p>
    <w:p>
      <w:pPr>
        <w:spacing w:after="0" w:line="90" w:lineRule="exact"/>
        <w:rPr>
          <w:sz w:val="20"/>
          <w:szCs w:val="20"/>
          <w:color w:val="auto"/>
        </w:rPr>
      </w:pPr>
    </w:p>
    <w:p>
      <w:pPr>
        <w:ind w:left="660" w:hanging="206"/>
        <w:spacing w:after="0"/>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initial sales of licenses to use our products and related services, including modification, implementation, integration and customization services,</w:t>
      </w:r>
    </w:p>
    <w:p>
      <w:pPr>
        <w:spacing w:after="0" w:line="113" w:lineRule="exact"/>
        <w:rPr>
          <w:rFonts w:ascii="Arial" w:cs="Arial" w:eastAsia="Arial" w:hAnsi="Arial"/>
          <w:sz w:val="16"/>
          <w:szCs w:val="16"/>
          <w:color w:val="auto"/>
        </w:rPr>
      </w:pPr>
    </w:p>
    <w:p>
      <w:pPr>
        <w:ind w:left="660" w:hanging="20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providing managed services in our domain expertise and other related services, and</w:t>
      </w:r>
    </w:p>
    <w:p>
      <w:pPr>
        <w:spacing w:after="0" w:line="90" w:lineRule="exact"/>
        <w:rPr>
          <w:rFonts w:ascii="Arial" w:cs="Arial" w:eastAsia="Arial" w:hAnsi="Arial"/>
          <w:sz w:val="18"/>
          <w:szCs w:val="18"/>
          <w:color w:val="auto"/>
        </w:rPr>
      </w:pPr>
    </w:p>
    <w:p>
      <w:pPr>
        <w:ind w:left="660" w:right="180" w:hanging="206"/>
        <w:spacing w:after="0" w:line="268"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recurring revenue from ongoing support, maintenance and enhancements provided to our customers, and from incremental license fees resulting from increases in a customer’s business volume.</w:t>
      </w:r>
    </w:p>
    <w:p>
      <w:pPr>
        <w:spacing w:after="0" w:line="51"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Revenue is recognized only when all of the following conditions have been met: (i) there is persuasive evidence of an arrangement; (ii) delivery has occurred; (iii) the fee is fixed or determinable; and (iv) collectibility of the fee is reasonably assured. We usually sell our software licenses as part of an overall solution offered to a</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customer that combines the sale of software licenses with a broad range of services, which normally include significant customization, modification, implementation and integration. Those services are deemed essential to the software. As a result, we generally recognize initial license fee and related service revenue over the course of these long-term projects, using the percentage of completion method of accounting. Subsequent license fee revenue is recognized upon completion of specified conditions in each contract, based on a customer’s subscriber or transaction volume or other measurements when greater than the level specified in the contract for the initial license fee. Revenue from software solutions that do not require significant customization, implementation and modification is recognized upon delivery. Revenue from services that do not involve significant ongoing obligations is recognized as services are rendered. In managed services contracts, we typically recognize revenue from the operation of a customer’s system as services are performed based on time elapsed, output produced or volume of data processed, such as subscribers count, depending on the specific contract terms of the managed services arrangement. Typically, managed services contracts are long-term in duration and are not subject to seasonality. Revenue from ongoing support services is recognized as work is performed. Revenue from third-party hardware sales is recognized upon delivery and installation and revenue from third-party software sales is recognized upon delivery. Maintenance revenue is recognized ratably over the term of the maintenance agreement.</w:t>
      </w:r>
    </w:p>
    <w:p>
      <w:pPr>
        <w:spacing w:after="0" w:line="4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significant portion of our revenue is recognized over the course of long-term implementation and integration projects under the percentage of completion method of accounting. When total cost estimates exceed revenues in a fixed-price arrangement, the estimated losses are recognized immediately based upon the cost applicable to the project. The percentage of completion method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62"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We follow very specific and detailed guidelines, several of which are discussed above, in measuring revenue; however, certain judgments affect the application of our revenue recognition policy.</w:t>
      </w:r>
    </w:p>
    <w:p>
      <w:pPr>
        <w:spacing w:after="0" w:line="51"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Our revenue recognition policy takes into consideration the creditworthiness and past transaction history of each customer in determining the probability of collection as a criterion of revenue recognition. This determination requires the exercise of judgment, which affects our revenue recognition. If we determine that collection of a fee is not reasonably assured, we defer the revenue recognition until the time collection becomes reasonably assured.</w:t>
      </w:r>
    </w:p>
    <w:p>
      <w:pPr>
        <w:spacing w:after="0" w:line="2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For arrangements with multiple deliverables within the scope of software revenue recognition guidance, we allocate revenue to each component based upon its relative fair value, which is determined based on the Vendor Specific Objective Evidence (“VSOE”) of fair value for that element. Such determination is judgmental and for most contracts is based on normal pricing and discounting practices for those elements when sold separately in similar arrangements. In the absence of fair value for a delivered element, we use the residual method. The residual method requires that we first allocate revenue based on fair value to the undelivered elements and then the residual revenue is allocated to the delivered elements. If VSOE of any undelivered items does not exist, revenue from the entire arrangement is deferred and recognized at the earlier of (i) delivery of those elements for which VSOE does not exist or (ii) when VSOE can be established. However, in limited cases where maintenance is the only undelivered element without VSOE, the entire arrangement fee is recognized ratably upon commencement of the maintenance services. The residual method is used mainly in multiple element arrangements that include license for the sale of software solutions that do not require significant customization, modification and implementation and maintenance to determine the appropriate value for the license component. Beginning October 1, 2009, we adopted the new authoritative guidance for revenue arrangements with multiple deliverables that are outside the scope of the software revenue recognition guidance. Under this guidance, we allocate revenue to each element based upon the relative fair value. Fair value would be allocated by using a hierarchy of (1) VSOE, (2) third-party evidence of selling price for that element, or (3) estimated selling price, or ESP, for individual elements of an arrangement when VSOE or third-party evidence of selling price is unavailable. This results in the elimination of the residual method of allocating revenue consideration for non-software arrangements. We determine ESP for the purposes of allocating the consideration to individual elements of an arrangement by considering several external and internal factors including, but not limited to, pricing practices, margin objectives, geographies in which we offer our services and internal costs. The determination of ESP is judgmental and is made through consultation with and approval by management.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Revenue from third-party hardware and software sales is recorded at a gross or net amount according to certain indicators. In certain arrangements, we may earn revenue from other third-party services which is recorded at a gross amount as we are the primary obligor under the arrangement. The application of these indicators for gross and net reporting of revenue depends on the relative facts and circumstances of each sale and requires significant judgment.</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 Accounting</w:t>
      </w:r>
    </w:p>
    <w:p>
      <w:pPr>
        <w:spacing w:after="0" w:line="90"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income tax expense in each of the jurisdictions in which we operate. In the ordinary course of a global business, there are many transactions and calculations where the ultimate tax outcome is uncertain. Some of these uncertainties arise as a consequence of revenue sharing and reimbursement arrangements among related entities, the process of identifying items of revenue and expenses that qualify for preferential tax treatment and segregation of foreign and domestic income and expense to avoid double taxation. We also assess temporary differences resulting from differing treatment of items, such as deferred revenue, for tax and accounting differences. These differences result in deferred tax assets and liabilities, which are included within our consolidated balance sheet. We may record a valuation allowance to reduce our deferred tax assets to the amount of future tax benefit that is more likely than not to be realized.</w:t>
      </w:r>
    </w:p>
    <w:p>
      <w:pPr>
        <w:spacing w:after="0" w:line="3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Although we believe that our estimates are reasonable and that we have considered future taxable income and ongoing prudent and feasible tax strategies in estimating our tax outcome and in assessing the need for the valuation allowance, there is no assurance that the final tax outcome and the valuation allowance will not be different than those that are reflected in our historical income tax provisions and accruals. Such differences could have a material effect on our income tax provision, net income and cash balances in the period in which such determination is made.</w:t>
      </w:r>
    </w:p>
    <w:p>
      <w:pPr>
        <w:spacing w:after="0" w:line="32"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recognize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should be measured based on the largest benefit that has a greater than 50% likelihood of being realized upon ultimate settlement.</w:t>
      </w:r>
    </w:p>
    <w:p>
      <w:pPr>
        <w:spacing w:after="0" w:line="2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the refinement of an estimate. To the extent that the final tax outcome of these matters is different than the amounts recorded, such differences will affect the provision for income taxes in the period in which such determination is made. The provision for income taxes includes the effect of reserve provisions and changes to reserves that are considered appropriate, as well as the related net interest.</w:t>
      </w:r>
    </w:p>
    <w:p>
      <w:pPr>
        <w:spacing w:after="0" w:line="39"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filed or are in the process of filing tax returns that are subject to audit by the respective tax authorities. Although the ultimate outcome is unknown, we believe that any adjustments that may result from tax return audits are not likely to have a material, adverse effect on our consolidated results of operations, financial condition or cash flows.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In accordance with business combination accounting, we allocate the purchase price of acquired companies to the tangible and intangible assets acquired and liabilities assumed, as well as to in-process research and development based on their estimated fair values. Such valuations require management to make significant estimates and assumptions, especially with respect to intangible assets.</w:t>
      </w:r>
    </w:p>
    <w:p>
      <w:pPr>
        <w:spacing w:after="0" w:line="59"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Although we believe the assumptions and estimates of fair value we have made in the past have been reasonable and appropriate, they are based in part on historical experience and information obtained from the management of the acquired companies and are inherently uncertain. Critical estimates in valuing certain assets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acquired and liabilities assumed include, but are not limited to: future expected cash flows from license and service sales, maintenance, customer contracts and acquired developed technologies, 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 assumptions, estimates or actual results.</w:t>
      </w:r>
    </w:p>
    <w:p>
      <w:pPr>
        <w:spacing w:after="0" w:line="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discussed above under “Tax Accounting,” we may establish a valuation allowance for certain deferred tax assets and estimate the value of uncertain tax positions of a newly acquired entity. This process requires significant judgment and analysis.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Share-based compensation cost is measured at the grant date based on the value of the award and is recognized as expense over the requisite service periods. We estimate the fair value of employee stock options using a Black-Scholes valuation model and value restricted stock based on the market value of the underlying shares at the date of grant. We recognize compensation costs using the graded vesting attribution method that results in an accelerated recognition of compensation costs in comparison to the straight line method.</w:t>
      </w:r>
    </w:p>
    <w:p>
      <w:pPr>
        <w:spacing w:after="0" w:line="6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fair value of an award is affected by our stock price on the date of grant and other assumptions, including the estimated volatility of our stock price over the term of the awards and the estimated period of time that we expect employees to hold their stock options. We use a combination of implied volatility of our traded options and historical stock price volatility (“blended volatility”) as the expected volatility assumption required in the Black-Scholes option valuation model. Share-based compensation expense recognized in our consolidated statements of income was reduced for estimated forfeitures.</w:t>
      </w:r>
    </w:p>
    <w:p>
      <w:pPr>
        <w:spacing w:after="0" w:line="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Determining the fair value of share-based awards at the grant date requires the exercise of judgment, including estimating expected dividends. In addition, the exercise of judgment is also required in estimating the amount of share-based awards that are expected to be forfeited. If actual results differ significantly from these estimates, share-based compensation expense and our results of operations could be materially affected. Please see Note 19 to our consolidated financial statements.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Intangible Assets and Long-Lived Assets — Impairment Assessment</w:t>
      </w:r>
    </w:p>
    <w:p>
      <w:pPr>
        <w:spacing w:after="0" w:line="9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Goodwill is measured as the excess of the cost of a business acquisition over the sum of the amounts assigned to tangible and identifiable intangible assets acquired less liabilities assumed. Goodwill is subject to periodic impairment tests. Goodwill impairment is deemed to exist if the net book value of a reporting unit exceeds its estimated fair value. The goodwill impairment test involves a two-step process.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w:t>
      </w:r>
    </w:p>
    <w:p>
      <w:pPr>
        <w:spacing w:after="0" w:line="3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perform an annual goodwill impairment test during the fourth quarter of each fiscal year, or more frequently if impairment indicators are present. We operate in one operating segment, and this segment comprises our only reporting unit. In calculating the fair value of the reporting unit, we used our market capitalization and a discounted cash flow methodology. There was no impairment of goodwill in fiscal 2012, 2011 and 2010.</w:t>
      </w:r>
    </w:p>
    <w:p>
      <w:pPr>
        <w:spacing w:after="0" w:line="2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test long-lived assets, including definite life intangible assets, for impairment in the event an indication of impairment exists. Impairment indicators include any significant changes in the manner of our use of the assets or the strategy of our overall business, significant negative industry or economic trends and significant decline in our share price for a sustained period.</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40"/>
          </w:cols>
          <w:pgMar w:left="240" w:top="459" w:right="3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the sum of expected future cash flows (undiscounted and without interest charges) of the long-lived assets is less than the carrying amount of such assets, an impairment would be recognized and the assets would be written down to their estimated fair values, based on expected future discounted cash flows. There was no impairment of long-lived assets in fiscal 2012, 2011 and 2010.</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 and Hedge Accounting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fiscal 2012, 2011 and 2010, approximately 70% to 80% of our revenue and 50% to 60% of our operating expenses were denominated in</w:t>
      </w:r>
    </w:p>
    <w:p>
      <w:pPr>
        <w:spacing w:after="0" w:line="38"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U.S. dollars or linked to the U.S. dollar. We enter into foreign exchange forward contracts and options to hedge a significant portion of our foreign currency net exposure resulting from revenue and expense in major foreign currencies in which we operate, in order to reduce the impact of foreign currency on our results. We also enter into foreign exchange forward contracts and options to reduce the impact of foreign currency on balance sheet items. The effective portion of changes in the fair value of forward exchange contracts and options that are classified as cash flow hedges are recorded in other comprehensive (loss) income. We estimate the fair value of such derivative contracts by reference to forward and spot rates quoted in active markets.</w:t>
      </w:r>
    </w:p>
    <w:p>
      <w:pPr>
        <w:spacing w:after="0" w:line="3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Establishing and accounting for foreign exchange contracts involve judgments, such as determining the fair value of the contracts, determining the nature of the exposure, assessing its amount and timing, and evaluating the effectiveness of the hedging arrangement.</w:t>
      </w:r>
    </w:p>
    <w:p>
      <w:pPr>
        <w:spacing w:after="0" w:line="51"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Although we believe that our estimates are accurate and meet the requirement of hedge accounting, if actual results differ from these estimates, such difference could cause fluctuation of our recorded revenue and expenses.</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Measurement of Short-Term Interest-Bearing Investments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short-term interest-bearing investments are classified as available-for-sale securities and are stated at fair value in our consolidated balance sheets. Unrealized gains or losses are reported as a separate component of accumulated other comprehensive (loss) income, net of tax. Such short-term interest-bearing investments consist primarily of money market funds, U.S. government treasuries, corporate bonds, government guaranteed debt and U.S. agency securities. We believe we have conservative investment policy guidelines. Our interest-bearing investments are priced by pricing vendors and are classified as Level 1 or Level 2 investments, since these vendors either provide a quoted market price in an active market or use observable inputs such as quoted market prices for similar instruments, market dealer quotes, market spreads, non-binding market prices that are corroborated by observable market data and other observable market information and discounted cash flow techniques using observable market inputs. For securities with unrealized losses that we intend to sell or it is more likely than not that we will be required to sell the securities before recovery, the entire difference between amortized cost and fair value is recognized in earnings. For securities that we do not intend to sell and it is not more likely than not that we will be required to sell, we used a discounted cash flow analysis to determine the portion of the impairment that relates to credit losses. To the extent that the net present value of the projected cash flows was less than the amortized cost of the security, the difference is considered a credit loss and is recorded through earnings. The inputs on the future performance of the underlying assets used in the cash flow models include prepayments, defaults and loss severity assumptions. The other-than-temporary impairment on our short-term interest-bearing investments was immaterial during fiscal 2012, 2011 and 2010.</w:t>
      </w:r>
    </w:p>
    <w:p>
      <w:pPr>
        <w:spacing w:after="0" w:line="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Given the relative reliability of the inputs we use to value our investment portfolio, and because substantially all of our valuation inputs are obtained using quoted market price in an active market or observable inputs, we do not believe that the nature of estimates and assumptions affected by levels of subjectivity and judgment was material to the valuation of the investment portfolio as of September 30, 2012.</w:t>
      </w:r>
    </w:p>
    <w:p>
      <w:pPr>
        <w:spacing w:after="0" w:line="59" w:lineRule="exact"/>
        <w:rPr>
          <w:sz w:val="20"/>
          <w:szCs w:val="20"/>
          <w:color w:val="auto"/>
        </w:rPr>
      </w:pPr>
    </w:p>
    <w:p>
      <w:pPr>
        <w:jc w:val="both"/>
        <w:ind w:right="60" w:firstLine="456"/>
        <w:spacing w:after="0" w:line="268" w:lineRule="auto"/>
        <w:rPr>
          <w:sz w:val="20"/>
          <w:szCs w:val="20"/>
          <w:color w:val="auto"/>
        </w:rPr>
      </w:pPr>
      <w:r>
        <w:rPr>
          <w:rFonts w:ascii="Arial" w:cs="Arial" w:eastAsia="Arial" w:hAnsi="Arial"/>
          <w:sz w:val="18"/>
          <w:szCs w:val="18"/>
          <w:color w:val="auto"/>
        </w:rPr>
        <w:t>It is possible that the valuation of the securities will further fluctuate, and as market conditions change, we may determine that unrealized losses, which are currently considered temporary in nature, may become “other than temporary” resulting in additional impairment charges.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Accounts Receivable Reserves</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allowance for doubtful accounts is for estimated losses resulting from accounts receivable for which their collection is not reasonably assured. We evaluate accounts receivable to determine if they will ultimately be collected. Significant judgments and estimates are involved in performing this evaluation, which we base on factors that may affect a customer’s ability and intent to pay, such as past experience, credit quality of the customer, age of the receivable balance and current economic conditions. If collection is not reasonably assured at the time the transaction is consummated, we do not recognize revenue until collection becomes reasonably assured. If we estimate that our customers’ ability and intent to make payments have been impaired, additional allowances may be required. We regularly review the allowance for doubtful accounts by considering factors that may affect a customer’s ability to pay, such as historical experience, credit quality, age of the accounts receivable balances, and current economic conditions.</w:t>
      </w:r>
    </w:p>
    <w:p>
      <w:pPr>
        <w:spacing w:after="0" w:line="37"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Within the context of these critical accounting policies, we are not currently aware of any reasonably likely events or circumstances that would result in materially different amounts being reported.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jc w:val="both"/>
        <w:ind w:right="140" w:firstLine="456"/>
        <w:spacing w:after="0" w:line="294" w:lineRule="auto"/>
        <w:rPr>
          <w:sz w:val="20"/>
          <w:szCs w:val="20"/>
          <w:color w:val="auto"/>
        </w:rPr>
      </w:pPr>
      <w:r>
        <w:rPr>
          <w:rFonts w:ascii="Arial" w:cs="Arial" w:eastAsia="Arial" w:hAnsi="Arial"/>
          <w:sz w:val="16"/>
          <w:szCs w:val="16"/>
          <w:color w:val="auto"/>
        </w:rPr>
        <w:t>In September 2011, the Financial Accounting Standards Board, or FASB, issued a revised accounting standard update intended to simplify how an entity tests goodwill for impairment. The amendment will allow an entity to first assess qualitative factors to determine whether it is necessary to perform the two-step quantitative goodwill impairment test. An entity no longer will be required to calculate the fair value of a reporting unit unless the entity determines, based on a qualitative assessment, that it is more likely than not that its fair value is less than its carrying amount. This accounting standard update became effective for us beginning October 1, 2012. We do not expect that the adoption of this new guidance will have a material impact on our financial statements.</w:t>
      </w:r>
    </w:p>
    <w:p>
      <w:pPr>
        <w:spacing w:after="0" w:line="3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In June 2011, the FASB issued guidance to require an entity to present the total of comprehensive income, the components of net income, and the components of other comprehensive income either in a single continuous statement of comprehensive income or in two separate but consecutive statements, thus eliminating the option to present the components of other comprehensive income as part of the statement of equity. In addition, the guidance requires that the reclassification adjustments for items that are reclassified from other comprehensive income to net income be presented on the face of the financial statements, however, in December 2011, the FASB indefinitely deferred the requirements related to the presentation of reclassification adjustments. The guidance became effective for us beginning October 1, 2012, and will only result in changes in our financial statements presentation.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May 2011, the FASB issued guidance to provide a consistent definition of fair value and ensure that the fair value measurement and disclosure requirements under U.S. GAAP and International Financial Reporting Standards are similar. This guidance was effective for us beginning January 1, 2012. The guidance changes certain fair value measurement principles and enhances the disclosure requirements particularly for Level 3 fair value measurements. The adoption of this new guidance did not have a material impact on our financial statements.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DIRECTORS, SENIOR MANAGEMENT AND EMPLOYEES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Senior Management</w:t>
      </w:r>
    </w:p>
    <w:p>
      <w:pPr>
        <w:spacing w:after="0" w:line="96"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We rely on the executive officers of our principal operating subsidiaries to manage our business. In addition, Amdocs Management Limited, our management subsidiary, performs certain executive coordination functions for all of our operating subsidiaries. Bruce K. Anderson, who was Chairman of our board of directors from September 1997 to September 2011 and a director since 1997, resigned from our board of directors effective November 6, 2012. In addition, Thomas G. O’Brien, our Treasurer and Secretary, resigned effective August 1, 2012 and Elizabeth W. McDermon has succeeded Mr. O’Brien as Secretary of Amdocs Limited. As of November 30, 2012, our directors and senior managers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528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Arial" w:cs="Arial" w:eastAsia="Arial" w:hAnsi="Arial"/>
                <w:sz w:val="14"/>
                <w:szCs w:val="14"/>
                <w:b w:val="1"/>
                <w:bCs w:val="1"/>
                <w:color w:val="auto"/>
                <w:w w:val="75"/>
              </w:rPr>
              <w:t>Age</w:t>
            </w:r>
          </w:p>
        </w:tc>
        <w:tc>
          <w:tcPr>
            <w:tcW w:w="5540" w:type="dxa"/>
            <w:vAlign w:val="bottom"/>
            <w:gridSpan w:val="3"/>
          </w:tcPr>
          <w:p>
            <w:pPr>
              <w:ind w:left="320"/>
              <w:spacing w:after="0"/>
              <w:rPr>
                <w:sz w:val="20"/>
                <w:szCs w:val="20"/>
                <w:color w:val="auto"/>
              </w:rPr>
            </w:pPr>
            <w:r>
              <w:rPr>
                <w:rFonts w:ascii="Arial" w:cs="Arial" w:eastAsia="Arial" w:hAnsi="Arial"/>
                <w:sz w:val="14"/>
                <w:szCs w:val="14"/>
                <w:b w:val="1"/>
                <w:bCs w:val="1"/>
                <w:color w:val="auto"/>
              </w:rPr>
              <w:t>Position</w:t>
            </w:r>
          </w:p>
        </w:tc>
      </w:tr>
      <w:tr>
        <w:trPr>
          <w:trHeight w:val="20"/>
        </w:trPr>
        <w:tc>
          <w:tcPr>
            <w:tcW w:w="380" w:type="dxa"/>
            <w:vAlign w:val="bottom"/>
            <w:tcBorders>
              <w:bottom w:val="single" w:sz="8" w:color="CCEEFF"/>
            </w:tcBorders>
            <w:shd w:val="clear" w:color="auto" w:fill="000000"/>
          </w:tcPr>
          <w:p>
            <w:pPr>
              <w:spacing w:after="0" w:line="20" w:lineRule="exact"/>
              <w:rPr>
                <w:sz w:val="1"/>
                <w:szCs w:val="1"/>
                <w:color w:val="auto"/>
              </w:rPr>
            </w:pPr>
          </w:p>
        </w:tc>
        <w:tc>
          <w:tcPr>
            <w:tcW w:w="5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4740" w:type="dxa"/>
            <w:vAlign w:val="bottom"/>
            <w:tcBorders>
              <w:bottom w:val="single" w:sz="8" w:color="CCEEFF"/>
            </w:tcBorders>
          </w:tcPr>
          <w:p>
            <w:pPr>
              <w:spacing w:after="0" w:line="20" w:lineRule="exact"/>
              <w:rPr>
                <w:sz w:val="1"/>
                <w:szCs w:val="1"/>
                <w:color w:val="auto"/>
              </w:rPr>
            </w:pPr>
          </w:p>
        </w:tc>
      </w:tr>
      <w:tr>
        <w:trPr>
          <w:trHeight w:val="203"/>
        </w:trPr>
        <w:tc>
          <w:tcPr>
            <w:tcW w:w="56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Robert A. Minicucci</w:t>
            </w:r>
          </w:p>
        </w:tc>
        <w:tc>
          <w:tcPr>
            <w:tcW w:w="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60</w:t>
            </w:r>
          </w:p>
        </w:tc>
        <w:tc>
          <w:tcPr>
            <w:tcW w:w="5540" w:type="dxa"/>
            <w:vAlign w:val="bottom"/>
            <w:gridSpan w:val="3"/>
            <w:shd w:val="clear" w:color="auto" w:fill="CCEEFF"/>
          </w:tcPr>
          <w:p>
            <w:pPr>
              <w:ind w:left="320"/>
              <w:spacing w:after="0" w:line="202" w:lineRule="exact"/>
              <w:rPr>
                <w:sz w:val="20"/>
                <w:szCs w:val="20"/>
                <w:color w:val="auto"/>
              </w:rPr>
            </w:pPr>
            <w:r>
              <w:rPr>
                <w:rFonts w:ascii="Arial" w:cs="Arial" w:eastAsia="Arial" w:hAnsi="Arial"/>
                <w:sz w:val="18"/>
                <w:szCs w:val="18"/>
                <w:color w:val="auto"/>
              </w:rPr>
              <w:t>Chairman of the Board, Amdocs Limited</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Adrian Gardner(1)</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50</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Director and Chairman of the Audit Committee, Amdocs Limited</w:t>
            </w:r>
          </w:p>
        </w:tc>
      </w:tr>
      <w:tr>
        <w:trPr>
          <w:trHeight w:val="208"/>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T. McLennan(2)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67</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88"/>
              </w:rPr>
              <w:t>Director and Chairman of the Management Resources and Compensation</w:t>
            </w:r>
          </w:p>
        </w:tc>
      </w:tr>
      <w:tr>
        <w:trPr>
          <w:trHeight w:val="224"/>
        </w:trPr>
        <w:tc>
          <w:tcPr>
            <w:tcW w:w="380" w:type="dxa"/>
            <w:vAlign w:val="bottom"/>
            <w:shd w:val="clear" w:color="auto" w:fill="CCEEFF"/>
          </w:tcPr>
          <w:p>
            <w:pPr>
              <w:spacing w:after="0"/>
              <w:rPr>
                <w:sz w:val="19"/>
                <w:szCs w:val="19"/>
                <w:color w:val="auto"/>
              </w:rPr>
            </w:pPr>
          </w:p>
        </w:tc>
        <w:tc>
          <w:tcPr>
            <w:tcW w:w="5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Committee, Amdocs Limited</w:t>
            </w:r>
          </w:p>
        </w:tc>
      </w:tr>
      <w:tr>
        <w:trPr>
          <w:trHeight w:val="208"/>
        </w:trPr>
        <w:tc>
          <w:tcPr>
            <w:tcW w:w="5660" w:type="dxa"/>
            <w:vAlign w:val="bottom"/>
            <w:gridSpan w:val="2"/>
          </w:tcPr>
          <w:p>
            <w:pPr>
              <w:spacing w:after="0"/>
              <w:rPr>
                <w:sz w:val="20"/>
                <w:szCs w:val="20"/>
                <w:color w:val="auto"/>
              </w:rPr>
            </w:pPr>
            <w:r>
              <w:rPr>
                <w:rFonts w:ascii="Arial" w:cs="Arial" w:eastAsia="Arial" w:hAnsi="Arial"/>
                <w:sz w:val="18"/>
                <w:szCs w:val="18"/>
                <w:color w:val="auto"/>
              </w:rPr>
              <w:t>Simon Olswang(1)(3)</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68</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w w:val="94"/>
              </w:rPr>
              <w:t>Director and Chairman of the Nominating and Corporate Governance</w:t>
            </w:r>
          </w:p>
        </w:tc>
      </w:tr>
      <w:tr>
        <w:trPr>
          <w:trHeight w:val="222"/>
        </w:trPr>
        <w:tc>
          <w:tcPr>
            <w:tcW w:w="3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Committee, Amdocs Limited</w:t>
            </w:r>
          </w:p>
        </w:tc>
      </w:tr>
      <w:tr>
        <w:trPr>
          <w:trHeight w:val="210"/>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Zohar Zisapel(2)(4)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63</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4"/>
              </w:rPr>
              <w:t>Director and Chairman of the Technology and Innovation Committee,</w:t>
            </w:r>
          </w:p>
        </w:tc>
      </w:tr>
      <w:tr>
        <w:trPr>
          <w:trHeight w:val="224"/>
        </w:trPr>
        <w:tc>
          <w:tcPr>
            <w:tcW w:w="380" w:type="dxa"/>
            <w:vAlign w:val="bottom"/>
            <w:shd w:val="clear" w:color="auto" w:fill="CCEEFF"/>
          </w:tcPr>
          <w:p>
            <w:pPr>
              <w:spacing w:after="0"/>
              <w:rPr>
                <w:sz w:val="19"/>
                <w:szCs w:val="19"/>
                <w:color w:val="auto"/>
              </w:rPr>
            </w:pPr>
          </w:p>
        </w:tc>
        <w:tc>
          <w:tcPr>
            <w:tcW w:w="5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Amdocs Limited</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Julian A. Brodsky(1)(3)</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79</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Director, Amdocs Limited</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S. Kahan(3)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65</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 Amdocs Limited</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Richard T.C. LeFave(2)</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60</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Director, Amdocs Limited</w:t>
            </w:r>
          </w:p>
        </w:tc>
      </w:tr>
      <w:tr>
        <w:trPr>
          <w:trHeight w:val="216"/>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Nehemia Lemelbaum(1)(4)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70</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 Amdocs Limited</w:t>
            </w:r>
          </w:p>
        </w:tc>
      </w:tr>
      <w:tr>
        <w:trPr>
          <w:trHeight w:val="216"/>
        </w:trPr>
        <w:tc>
          <w:tcPr>
            <w:tcW w:w="5660" w:type="dxa"/>
            <w:vAlign w:val="bottom"/>
            <w:gridSpan w:val="2"/>
          </w:tcPr>
          <w:p>
            <w:pPr>
              <w:spacing w:after="0"/>
              <w:rPr>
                <w:sz w:val="20"/>
                <w:szCs w:val="20"/>
                <w:color w:val="auto"/>
              </w:rPr>
            </w:pPr>
            <w:r>
              <w:rPr>
                <w:rFonts w:ascii="Arial" w:cs="Arial" w:eastAsia="Arial" w:hAnsi="Arial"/>
                <w:sz w:val="18"/>
                <w:szCs w:val="18"/>
                <w:color w:val="auto"/>
              </w:rPr>
              <w:t>Giora Yaron(4)</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64</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Director, Amdocs Limited</w:t>
            </w:r>
          </w:p>
        </w:tc>
      </w:tr>
      <w:tr>
        <w:trPr>
          <w:trHeight w:val="208"/>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Eli Gelman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54</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Director, Amdocs Limited; President and Chief Executive Officer,</w:t>
            </w:r>
          </w:p>
        </w:tc>
      </w:tr>
      <w:tr>
        <w:trPr>
          <w:trHeight w:val="224"/>
        </w:trPr>
        <w:tc>
          <w:tcPr>
            <w:tcW w:w="380" w:type="dxa"/>
            <w:vAlign w:val="bottom"/>
            <w:shd w:val="clear" w:color="auto" w:fill="CCEEFF"/>
          </w:tcPr>
          <w:p>
            <w:pPr>
              <w:spacing w:after="0"/>
              <w:rPr>
                <w:sz w:val="19"/>
                <w:szCs w:val="19"/>
                <w:color w:val="auto"/>
              </w:rPr>
            </w:pPr>
          </w:p>
        </w:tc>
        <w:tc>
          <w:tcPr>
            <w:tcW w:w="5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Amdocs Management Limited</w:t>
            </w:r>
          </w:p>
        </w:tc>
      </w:tr>
      <w:tr>
        <w:trPr>
          <w:trHeight w:val="208"/>
        </w:trPr>
        <w:tc>
          <w:tcPr>
            <w:tcW w:w="5660" w:type="dxa"/>
            <w:vAlign w:val="bottom"/>
            <w:gridSpan w:val="2"/>
          </w:tcPr>
          <w:p>
            <w:pPr>
              <w:spacing w:after="0"/>
              <w:rPr>
                <w:sz w:val="20"/>
                <w:szCs w:val="20"/>
                <w:color w:val="auto"/>
              </w:rPr>
            </w:pPr>
            <w:r>
              <w:rPr>
                <w:rFonts w:ascii="Arial" w:cs="Arial" w:eastAsia="Arial" w:hAnsi="Arial"/>
                <w:sz w:val="18"/>
                <w:szCs w:val="18"/>
                <w:color w:val="auto"/>
              </w:rPr>
              <w:t>Tamar Rapaport-Dagim</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41</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w w:val="90"/>
              </w:rPr>
              <w:t>Senior Vice President and Chief Financial Officer, Amdocs Management</w:t>
            </w:r>
          </w:p>
        </w:tc>
      </w:tr>
      <w:tr>
        <w:trPr>
          <w:trHeight w:val="222"/>
        </w:trPr>
        <w:tc>
          <w:tcPr>
            <w:tcW w:w="3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Limited</w:t>
            </w:r>
          </w:p>
        </w:tc>
      </w:tr>
      <w:tr>
        <w:trPr>
          <w:trHeight w:val="210"/>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Ayal Shiran</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47</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w w:val="91"/>
              </w:rPr>
              <w:t>Senior Vice President and Head of Customer Business Group, Amdocs</w:t>
            </w:r>
          </w:p>
        </w:tc>
      </w:tr>
      <w:tr>
        <w:trPr>
          <w:trHeight w:val="224"/>
        </w:trPr>
        <w:tc>
          <w:tcPr>
            <w:tcW w:w="380" w:type="dxa"/>
            <w:vAlign w:val="bottom"/>
            <w:shd w:val="clear" w:color="auto" w:fill="CCEEFF"/>
          </w:tcPr>
          <w:p>
            <w:pPr>
              <w:spacing w:after="0"/>
              <w:rPr>
                <w:sz w:val="19"/>
                <w:szCs w:val="19"/>
                <w:color w:val="auto"/>
              </w:rPr>
            </w:pPr>
          </w:p>
        </w:tc>
        <w:tc>
          <w:tcPr>
            <w:tcW w:w="52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Management Limited</w:t>
            </w:r>
          </w:p>
        </w:tc>
      </w:tr>
      <w:tr>
        <w:trPr>
          <w:trHeight w:val="208"/>
        </w:trPr>
        <w:tc>
          <w:tcPr>
            <w:tcW w:w="5660" w:type="dxa"/>
            <w:vAlign w:val="bottom"/>
            <w:gridSpan w:val="2"/>
          </w:tcPr>
          <w:p>
            <w:pPr>
              <w:spacing w:after="0"/>
              <w:rPr>
                <w:sz w:val="20"/>
                <w:szCs w:val="20"/>
                <w:color w:val="auto"/>
              </w:rPr>
            </w:pPr>
            <w:r>
              <w:rPr>
                <w:rFonts w:ascii="Arial" w:cs="Arial" w:eastAsia="Arial" w:hAnsi="Arial"/>
                <w:sz w:val="18"/>
                <w:szCs w:val="18"/>
                <w:color w:val="auto"/>
              </w:rPr>
              <w:t>Brian Shepherd</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45</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w w:val="90"/>
              </w:rPr>
              <w:t>Executive Vice President and Group President, Amdocs Strategy Group,</w:t>
            </w:r>
          </w:p>
        </w:tc>
      </w:tr>
      <w:tr>
        <w:trPr>
          <w:trHeight w:val="222"/>
        </w:trPr>
        <w:tc>
          <w:tcPr>
            <w:tcW w:w="3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Amdocs, Inc.</w:t>
            </w:r>
          </w:p>
        </w:tc>
      </w:tr>
      <w:tr>
        <w:trPr>
          <w:trHeight w:val="218"/>
        </w:trPr>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Anshoo Gaur</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44</w:t>
            </w:r>
          </w:p>
        </w:tc>
        <w:tc>
          <w:tcPr>
            <w:tcW w:w="554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Division President, Amdocs Development Center India Pvt. Ltd.</w:t>
            </w:r>
          </w:p>
        </w:tc>
      </w:tr>
      <w:tr>
        <w:trPr>
          <w:trHeight w:val="208"/>
        </w:trPr>
        <w:tc>
          <w:tcPr>
            <w:tcW w:w="5660" w:type="dxa"/>
            <w:vAlign w:val="bottom"/>
            <w:gridSpan w:val="2"/>
          </w:tcPr>
          <w:p>
            <w:pPr>
              <w:spacing w:after="0"/>
              <w:rPr>
                <w:sz w:val="20"/>
                <w:szCs w:val="20"/>
                <w:color w:val="auto"/>
              </w:rPr>
            </w:pPr>
            <w:r>
              <w:rPr>
                <w:rFonts w:ascii="Arial" w:cs="Arial" w:eastAsia="Arial" w:hAnsi="Arial"/>
                <w:sz w:val="18"/>
                <w:szCs w:val="18"/>
                <w:color w:val="auto"/>
              </w:rPr>
              <w:t>Elizabeth W. McDermon</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35</w:t>
            </w: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w w:val="93"/>
              </w:rPr>
              <w:t>Secretary, Amdocs Limited; Vice President of Corporate Strategy and</w:t>
            </w:r>
          </w:p>
        </w:tc>
      </w:tr>
      <w:tr>
        <w:trPr>
          <w:trHeight w:val="222"/>
        </w:trPr>
        <w:tc>
          <w:tcPr>
            <w:tcW w:w="380" w:type="dxa"/>
            <w:vAlign w:val="bottom"/>
          </w:tcPr>
          <w:p>
            <w:pPr>
              <w:spacing w:after="0"/>
              <w:rPr>
                <w:sz w:val="19"/>
                <w:szCs w:val="19"/>
                <w:color w:val="auto"/>
              </w:rPr>
            </w:pPr>
          </w:p>
        </w:tc>
        <w:tc>
          <w:tcPr>
            <w:tcW w:w="5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40" w:type="dxa"/>
            <w:vAlign w:val="bottom"/>
            <w:gridSpan w:val="3"/>
          </w:tcPr>
          <w:p>
            <w:pPr>
              <w:ind w:left="320"/>
              <w:spacing w:after="0"/>
              <w:rPr>
                <w:sz w:val="20"/>
                <w:szCs w:val="20"/>
                <w:color w:val="auto"/>
              </w:rPr>
            </w:pPr>
            <w:r>
              <w:rPr>
                <w:rFonts w:ascii="Arial" w:cs="Arial" w:eastAsia="Arial" w:hAnsi="Arial"/>
                <w:sz w:val="18"/>
                <w:szCs w:val="18"/>
                <w:color w:val="auto"/>
              </w:rPr>
              <w:t>Investor Relations, Amdocs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4361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Member of the Management Resources and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Member of the Technology and Innovation Committee</w:t>
      </w:r>
    </w:p>
    <w:p>
      <w:pPr>
        <w:spacing w:after="0" w:line="84"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Robert A. Minicucci has been Chairman of the Board of Directors of Amdocs since October 2011 and a director since September 1997. He has been a general partner of Welsh, Carson, Anderson &amp; Stowe, or WCAS, an investment firm that specializes in the acquisition of companies in the information and business services and health care industries, since 1993. Until September 2003, investment partnerships affiliated with WCAS had been among our largest shareholders. From 1992 to 1993, Mr. Minicucci served as Senior Vice President and Chief</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Financial Officer of First Data Corporation, a provider of information processing and related services for credit card and other payment transactions. From 1991 to 1992, he served as Senior Vice President and Treasurer of the American Express Company. He served for 12 years with Lehman Brothers (and its predecessors) until his resignation as a Managing Director in 1991. Mr. Minicucci is also a director of two other publicly-held companies: Alliance Data Systems, Inc. and Retalix Ltd., and several private companies. Mr. Minicucci’s career in information technology investing, including as a director of more than twenty different public and private companies, and his experience as chief financial officer to a public company and treasurer of another public company, have provided him with strong business acumen and strategic and financial expertise.</w:t>
      </w:r>
    </w:p>
    <w:p>
      <w:pPr>
        <w:spacing w:after="0" w:line="3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Adrian Gardner has been a director of Amdocs since April 1998 and is Chairman of the Audit Committee. Since October 2011, Mr. Gardner has been Chief Financial Officer and a director of RSM Tenon Group PLC, a London-based accounting and advisory firm listed on the London Stock Exchange. From March 2011 to October 2011, Mr. Gardner was a private investor. Mr. Gardner was Chief Financial Officer of PA Consulting Group, a London-based business consulting firm from November 2007 to March 2011. From April until November 2007, Mr. Gardner was a private investor. Mr. Gardner was Chief Financial Officer of ProStrakan Group plc, a pharmaceuticals company based in the United Kingdom and listed on the London Stock Exchange, from 2002 until April 2007 and a director from April 2002 until June 2007.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 Mr. Gardner is a member of the Institute of Chartered Accountants in England &amp; Wales. Mr. Gardner’s extensive experience as an accountant, technology investment banker and chief financial officer enables him to make valuable contributions to our strategic and financial affairs.</w:t>
      </w:r>
    </w:p>
    <w:p>
      <w:pPr>
        <w:spacing w:after="0" w:line="39" w:lineRule="exact"/>
        <w:rPr>
          <w:sz w:val="20"/>
          <w:szCs w:val="20"/>
          <w:color w:val="auto"/>
        </w:rPr>
      </w:pPr>
    </w:p>
    <w:p>
      <w:pPr>
        <w:jc w:val="both"/>
        <w:ind w:right="180" w:firstLine="456"/>
        <w:spacing w:after="0" w:line="302" w:lineRule="auto"/>
        <w:rPr>
          <w:sz w:val="20"/>
          <w:szCs w:val="20"/>
          <w:color w:val="auto"/>
        </w:rPr>
      </w:pPr>
      <w:r>
        <w:rPr>
          <w:rFonts w:ascii="Arial" w:cs="Arial" w:eastAsia="Arial" w:hAnsi="Arial"/>
          <w:sz w:val="15"/>
          <w:szCs w:val="15"/>
          <w:color w:val="auto"/>
        </w:rPr>
        <w:t>John T. McLennan has been a director of Amdocs since November 1999 and is Chairman of the Management Resources and Compensation Committee. From May 2000 until June 2004, he served as Vice-Chair and Chief Executive Officer of Allstream (formerly AT&amp;T Canada). Mr. McLennan founded and was the President of Jenmark Consulting Inc. from 1997 until May 2000. From 1993 to 1997, Mr. McLennan served as the President and Chief Executive Officer of Bell Canada. Prior to that, he held various positions at several telecommunications companies, including BCE Mobile Communications and Cantel Inc.</w:t>
      </w:r>
    </w:p>
    <w:p>
      <w:pPr>
        <w:spacing w:after="0" w:line="3" w:lineRule="exact"/>
        <w:rPr>
          <w:sz w:val="20"/>
          <w:szCs w:val="20"/>
          <w:color w:val="auto"/>
        </w:rPr>
      </w:pPr>
    </w:p>
    <w:p>
      <w:pPr>
        <w:ind w:right="20"/>
        <w:spacing w:after="0" w:line="292" w:lineRule="auto"/>
        <w:rPr>
          <w:sz w:val="20"/>
          <w:szCs w:val="20"/>
          <w:color w:val="auto"/>
        </w:rPr>
      </w:pPr>
      <w:r>
        <w:rPr>
          <w:rFonts w:ascii="Arial" w:cs="Arial" w:eastAsia="Arial" w:hAnsi="Arial"/>
          <w:sz w:val="16"/>
          <w:szCs w:val="16"/>
          <w:color w:val="auto"/>
        </w:rPr>
        <w:t>Mr. McLennan is also a director of Air Canada Jazz, a publicly-held regional airline company, Chairman of Emera Inc., a Canadian publicly-held energy services company, and director of Nova Scotia Power Inc., a wholly-owned subsidiary of Emera Inc. From 2005 to 2008, Mr. McLennan also served as a director of Medisys Inc., a healthcare management company. We believe Mr. McLennan’s qualifications to sit on our board of directors include his years of experience in the telecommunications industry, including as chief executive officer of a leading Canadian telecommunications provider, and his experience providing strategic advice to complex organizations across a variety of industries, including as a public company director.</w:t>
      </w:r>
    </w:p>
    <w:p>
      <w:pPr>
        <w:spacing w:after="0" w:line="3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Simon Olswang has been a director of Amdocs since November 2004 and is Chairman of the Nominating and Corporate Governance Committee. In 2002, Mr. Olswang retired as Chairman of Olswang, a media and communications law firm in the United Kingdom that he founded in 1981. He is a member of the Advisory Board of Palamon Capital Partners LLP and of the board of directors of Amiad Filtration Systems Limited, an Israeli company listed on the London AIM market, which is active in the clean water industry. In May 2012, Mr. Olswang was appointed a Trustee of Tel Hai Academic College. Mr. Olswang was a member of the board of directors of The British Library until March 2008 and has served as a non-executive director of a number of companies and organizations, including Aegis Group plc, The Press Association and the British Film Institute. Mr. Olswang previously served as Trustee of Langdon College of Further (Special) Education in Salford, of which he is a co-founder. We believe Mr. Olswang’s qualifications to sit on our board of directors include his extensive experience providing strategic and legal advisory services to complex organizations, as well as startups, and his membership of the boards of directors of companies and other bodies active in the media and communications industry.</w:t>
      </w:r>
    </w:p>
    <w:p>
      <w:pPr>
        <w:spacing w:after="0" w:line="39"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Zohar Zisapel has been a director of Amdocs since July 2008 and is the Chairman of the Technology and Innovation Committee. Mr. Zisapel co-founded and was chairman of RAD Data Communications Ltd. from 1982 until August 2012, a privately-held voice and data communications company and part of the RAD Group, a family of independent networking and telecommunications companies. Mr. Zisapel also serves as chairman of</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Ceragon Networks Ltd. and RADCOM Ltd., each of which is a publicly-traded member of the RAD Group, as a director of Silicom Ltd., a public company, as well as on the boards of directors of several privately-held companies. Mr. Zisapel previously served as chairman of the Israel Association of Electronic Industries from 1998 until 2001. Mr. Zisapel’s experience as founder, chairman and director of several public and private high technology companies, and his leadership in several government organizations, demonstrate his leadership capability and provide him with valuable insights into the voice and data communications industries.</w:t>
      </w:r>
    </w:p>
    <w:p>
      <w:pPr>
        <w:spacing w:after="0" w:line="62"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Julian A. Brodsky has been a director of Amdocs since July 2003. Since 2011, Mr. Brodsky has served as a senior advisor to Comcast Corporation. Mr. Brodsky served as a director and as Vice Chairman of Comcast Corporation from 1989 to 2011. From 1969 to May 2004, Mr. Brodsky was Chairman of Comcast Interactive Capital, LP, a venture fund affiliated with Comcast. He is a director of RBB Fund, Inc. Mr. Brodsky brings to our board of directors deep and extensive knowledge of the cable industry gained through his longstanding executive leadership roles at Comcast, as well as financial expertise in capital markets, accounting and tax matters gained through his experience as Chief Financial Officer of Comcast and as a practicing CPA.</w:t>
      </w:r>
    </w:p>
    <w:p>
      <w:pPr>
        <w:spacing w:after="0" w:line="3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James S. Kahan has been a director of Amdocs since April 1998. From 1983 until his June 2007 retirement, he worked at SBC, which is now AT&amp;T, and served as a Senior Executive Vice President from 1992 until June 2007. AT&amp;T is our most significant customer. Prior to joining AT&amp;T, Mr. Kahan held various positions at several telecommunications companies, including Western Electric, Bell Laboratories, South Central Bell and AT&amp;T Corp. Mr. Kahan also serves on the board of directors of Live Nation Entertainment, Inc., the world’s largest live music and ticketing entity, and Frontier Communication Corporation, the largest U.S. provider of rural communication services. Mr. Kahan’s long service at SBC and AT&amp;T, as well as his management and financial experience at several public and private companies, have provided him with extensive knowledge of the telecommunications industry, particularly with respect to corporate development, mergers and acquisitions and business integration.</w:t>
      </w:r>
    </w:p>
    <w:p>
      <w:pPr>
        <w:spacing w:after="0" w:line="37"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Richard T.C. LeFave has been a director of Amdocs since November 2011. Since May 2008, Mr. LeFave has been a Principal at D&amp;L Partners, LLC, an information technology consulting firm. Mr. LeFave served as Chief Information Officer for Nextel Communications, a telecommunications company, from 1999 until its merger with Sprint Corporation in September 2005, after which he served as Chief Information Officer for Sprint Nextel Corporation until May 2008. From 1995 to 1999, Mr. LeFave served as Chief Information Officer for Southern New England Telephone Company, a provider of communications products and services. We believe Mr. LeFave’s qualifications to sit on our board include his extensive experience and leadership in the information technology and telecommunications industry.</w:t>
      </w:r>
    </w:p>
    <w:p>
      <w:pPr>
        <w:spacing w:after="0" w:line="63" w:lineRule="exact"/>
        <w:rPr>
          <w:sz w:val="20"/>
          <w:szCs w:val="20"/>
          <w:color w:val="auto"/>
        </w:rPr>
      </w:pPr>
    </w:p>
    <w:p>
      <w:pPr>
        <w:ind w:right="40" w:firstLine="456"/>
        <w:spacing w:after="0" w:line="283" w:lineRule="auto"/>
        <w:rPr>
          <w:sz w:val="20"/>
          <w:szCs w:val="20"/>
          <w:color w:val="auto"/>
        </w:rPr>
      </w:pPr>
      <w:r>
        <w:rPr>
          <w:rFonts w:ascii="Arial" w:cs="Arial" w:eastAsia="Arial" w:hAnsi="Arial"/>
          <w:sz w:val="16"/>
          <w:szCs w:val="16"/>
          <w:color w:val="auto"/>
        </w:rPr>
        <w:t>Nehemia Lemelbaum has been a director of Amdocs since December 2001 and was a Senior Vice President of Amdocs Management Limited from 1985 until January 2005. Since 2005, Mr. Lemelbaum has been a private investor and since November 2009, he has been a director of Retalix, a publicly-held global software company. Since December 2006, Mr. Lemelbaum has also been a director and the Chief Executive Officer of EHYN, a privately-held investment company. He joined Amdocs in 1985, with initial responsibility for U.S. operations. Mr. Lemelbaum led our development of graphic products for the Yellow Pages industry and later led our development of customer care and billing systems, as well as our penetration into that market. Prior to joining Amdocs, he served for nine years with Contahal Ltd., a leading Israeli software company, first as a senior consultant, and later as Chief Executive Officer. From 1967 to 1976,</w:t>
      </w:r>
    </w:p>
    <w:p>
      <w:pPr>
        <w:spacing w:after="0" w:line="1" w:lineRule="exact"/>
        <w:rPr>
          <w:sz w:val="20"/>
          <w:szCs w:val="20"/>
          <w:color w:val="auto"/>
        </w:rPr>
      </w:pPr>
    </w:p>
    <w:p>
      <w:pPr>
        <w:ind w:right="180"/>
        <w:spacing w:after="0" w:line="295" w:lineRule="auto"/>
        <w:rPr>
          <w:sz w:val="20"/>
          <w:szCs w:val="20"/>
          <w:color w:val="auto"/>
        </w:rPr>
      </w:pPr>
      <w:r>
        <w:rPr>
          <w:rFonts w:ascii="Arial" w:cs="Arial" w:eastAsia="Arial" w:hAnsi="Arial"/>
          <w:sz w:val="16"/>
          <w:szCs w:val="16"/>
          <w:color w:val="auto"/>
        </w:rPr>
        <w:t>Mr. Lemelbaum was employed by the Ministry of Communications of Israel (the organization that predated Bezeq, the Israel Telecommunication Corp. Ltd.), with responsibility for computer technology in the area of business data processing. With more than two decades in our leadership ranks, including representing us with analysts and investors for five years during and after our initial public offering, Mr. Lemelbaum has extensive communication software industry experience, and deep institutional knowledge and understanding of our business and strategy.</w:t>
      </w:r>
    </w:p>
    <w:p>
      <w:pPr>
        <w:spacing w:after="0" w:line="34"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Dr. Giora Yaron has been a director of Amdocs since July 2009. Dr. Yaron co-founded Itamar Medical Ltd., a publicly-traded medical technology company, and has been its co-chairman since 1997. Dr. Yaron provides consulting services to Itamar Medical and to various other technology companies. He co-founded P-cube, Pentacom, Qumranet, Exanet and Comsys, privately-held companies sold to multinational corporations. In 2009, Dr. Yaron also co-founded Qwilt, Inc., a privately-held video technology company and serves as one of its directors. Since 2010, Dr. Yaron has been the chairman of The Executive Council of Tel Aviv University, an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institution of higher education and the chairman of Ramot (the Tel Aviv University’s technology transfer company). Dr. Yaron also has served on the advisory board of Rafael Advanced Defense Systems, Ltd., a developer of high-tech defense systems, since 2008 and on the advisory board of the Israeli Ministry of Defense since 2011. Dr. Yaron served from 1996 to 2006 as a member of the board of directors of Mercury Interactive, a publicly-traded IT optimization software company acquired by Hewlett-Packard, including as chairman from 2004 to 2006. We believe that Dr. Yaron’s qualifications to sit on our board of directors include his experience as an entrepreneur and the various leadership positions he has held on the boards of directors of software and technology companies.</w:t>
      </w:r>
    </w:p>
    <w:p>
      <w:pPr>
        <w:spacing w:after="0" w:line="35"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color w:val="auto"/>
        </w:rPr>
        <w:t>Eli Gelman has been a director of Amdocs since 2002. On November 15, 2010, Mr. Gelman became the President and Chief Executive Officer of Amdocs Management Limited, our wholly-owned subsidiary. Since January 2010, Mr. Gelman has served as a director of Retalix, a publicly-held global software company, and from January 2010 to December 2010, he also served as the Chairman of Retalix. From April 2008 to December 2010, Mr. Gelman devoted his time to charitable matters focused on youth education. He served as Executive Vice President of Amdocs Management Limited from October 2002 until April 2008 and as our Chief Operating Officer from October 2006 until April 2008. Prior to October 2002, he was a Senior Vice President, where he headed our U.S. sales and marketing operations and helped spearhead our entry into the customer care and billing systems market. Before that, Mr. Gelman was an account manager for our major European and North American installations, and has led several major software development projects. Before joining Amdocs,</w:t>
      </w:r>
    </w:p>
    <w:p>
      <w:pPr>
        <w:ind w:right="140"/>
        <w:spacing w:after="0" w:line="302" w:lineRule="auto"/>
        <w:rPr>
          <w:sz w:val="20"/>
          <w:szCs w:val="20"/>
          <w:color w:val="auto"/>
        </w:rPr>
      </w:pPr>
      <w:r>
        <w:rPr>
          <w:rFonts w:ascii="Arial" w:cs="Arial" w:eastAsia="Arial" w:hAnsi="Arial"/>
          <w:sz w:val="16"/>
          <w:szCs w:val="16"/>
          <w:color w:val="auto"/>
        </w:rPr>
        <w:t>Mr. Gelman was involved in the development of real-time software systems for communications networks. Mr. Gelman’s qualifications to serve on our board of directors include his more than two decades of service to Amdocs and its customers, including as our Chief Operating Officer. With more than 29 years of experience in the software industry, he possesses a vast institutional knowledge and strategic understanding of our organization and industry.</w:t>
      </w:r>
    </w:p>
    <w:p>
      <w:pPr>
        <w:spacing w:after="0" w:line="2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Tamar Rapaport-Dagim has been Senior Vice President and Chief Financial Officer of Amdocs Management Limited since November 2007. Ms. Rapaport-Dagim joined Amdocs in 2004 and served as Vice President of Finance from 2004 until 2007. Prior to joining Amdocs, from 2000 to 2004, Ms. Rapaport-Dagim was the Chief Financial Officer of Emblaze, a provider of multimedia solutions over wireless and IP networks. She has also served as controller of Teledata Networks (formerly a subsidiary of ADC Telecommunications) and has held various finance management positions in public accounting.</w:t>
      </w:r>
    </w:p>
    <w:p>
      <w:pPr>
        <w:spacing w:after="0" w:line="32"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Ayal Shiran has been Senior Vice President and Head of the Customer Business Group since August 2008. Mr. Shiran joined Amdocs in 2004, with initial responsibility as President of our Customer Business Unit responsible for Amdocs business with Cingular Wireless and later as Division President, responsible for Amdocs business with the AT&amp;T group of companies, including SBC, Bellsouth and Cingular. Prior to joining Amdocs, Mr. Shiran served as Acting Vice President at TTI Team Telecom International, a telecommunications company. He also served in the Israeli Air Force, where he was responsible for various projects concerning the development of computer systems for the F-15 jet airplane, and software development laboratories for the F-15 at Boeing.</w:t>
      </w:r>
    </w:p>
    <w:p>
      <w:pPr>
        <w:spacing w:after="0" w:line="35"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Brian A. Shepherd has been our Executive Vice President and Group President, Amdocs Strategy Group since October 2012 and was our Senior Vice President and Head of Broadband Cable and Satellite Group, Diversification and Global Marketing from November 2010 to September 2012. He joined Amdocs as Business Unit President of Cable and Satellite in 2005 as part of our acquisition of DST Innovis, where he had been Senior Vice President of Customer Business Operations since 2002. From October 2006 to October 2008, he served as our Division President — North America Communications and Cable, from November 2008 to April 2010, he served as President of Amdocs Interactive, leading our digital commerce and content business, and from May 2010 to October 2010, he was Group President — Digital Services, Global Marketing, and Broadband Cable and Satellite. Prior to his experience with DST Innovis and Amdocs, Mr. Shepherd was an executive with SoDeog Technologies, a wireless software company, and as a strategy consultant with McKinsey &amp; Company.</w:t>
      </w:r>
    </w:p>
    <w:p>
      <w:pPr>
        <w:spacing w:after="0" w:line="3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Anshoo Gaur has been our Division President for India operations since August 2007. From 2006 to 2007, Mr. Gaur was the President of IT Infrastructure Management of EDS/MphasiS, a technology services company. From 2005 to 2006, Mr. Gaur served as the Managing Director of EDS India Enterprise (“EDS”), where he was responsible for India strategy and operations. From 2003 to 2005, Mr. Gaur was the Global Transformation Director for Desktop Services of EDS.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Elizabeth W. McDermon has been Secretary of Amdocs Limited since August 2012. Ms. McDermon joined Amdocs in November 2008 and has been Vice President of Investor Relations since November 2009 and Vice President of Investor Relations and Corporate Strategy since January 2011. From 2000 to 2008, Ms. McDermon was an equity research analyst at Goldman Sachs &amp; Co. covering the telecommunications software, data processing and IT services sectors.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During fiscal 2012, each of our directors who was not our employee, or Non-Employee Directors, received compensation for their services as directors in the form of cash and restricted shares. Each Non-Employee Director received an annual cash payment of $60,000. Each member of our Audit Committee who is a Non-Employee Director and who is not the chairman of such committees received an annual cash payment of $12,500. Each member of our Compensation, Nominating and Corporate Governance and Technology and Innovation Committees who is a Non-Employee Director and who is not the chairman of such committees received an annual cash payment of $7,500. The Chairman of our Audit Committee received an annual cash payment of $25,000 and the Chairmen of our Management Resources and Compensation, Nominating and Corporate Governance and Technology and Innovation Committees each received an annual cash payment of $15,000. Each Non-Employee Director received an annual grant of restricted shares at a total value of $150,000. The Chairman of the Board of Directors received an additional annual amount equal to $150,000, of which $25,000 was paid in cash and $125,000 was awarded in the form of restricted shares. All restricted share awards to our Non-Employee Directors are immediately vested with respect to 25%, with the remainder vesting annually in three equal installments. The price per share for the purpose of determining the value of the grants to our Non-Employee Directors was the NYSE closing price of our shares on the last trading day preceding the grant date. We also reimburse all of our Non-Employee Directors for their reasonable travel expenses incurred in connection with attending Board or committee meetings. Cash compensation paid to our Non-Employee Directors is prorated for partial year service.</w:t>
      </w:r>
    </w:p>
    <w:p>
      <w:pPr>
        <w:spacing w:after="0" w:line="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 total of 18 persons who served either as directors of Amdocs or members of its senior management during all or part of fiscal 2012 received remuneration from Amdocs. The aggregate remuneration paid by us to such persons in fiscal 2012 was approximately $7.6 million, compared to $13.3 million in fiscal 2011 and $7.8 million in fiscal 2010, which includes amounts set aside or accrued to provide cash bonuses, pension, retirement or similar benefits, but does not include amounts expended by us for automobiles made available to such persons, expenses (including business travel, professional and business association dues) or other fringe benefits. During fiscal 2012, we granted to such persons options to purchase an aggregate of 681,069 ordinary shares at a weighted average price of $28.66 per share with vesting generally over four-year terms and expiring ten years from the date of grant, and an aggregate of 224,373 restricted shares subject to three to four-year vesting. All options and restricted share awards were granted pursuant to our 1998 Stock Option and Incentive Plan, as amended. See discussion below — “Share Ownership — Employee Stock Option and Incentive Plan.”</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Practices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size of our Board of Directors is 13; 12 directors were elected to our Board of Directors at our annual meeting of shareholders on February 2, 2012, and one director resigned from of Board of Directors effective November 6, 2012, leaving two vacancies. All directors hold office until the next annual meeting of our shareholders, which generally is in January or February of each calendar year, or until their respective successors are duly elected and qualified or their positions are earlier vacated by resignation or otherwise.</w:t>
      </w:r>
    </w:p>
    <w:p>
      <w:pPr>
        <w:spacing w:after="0" w:line="62"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executive officers of Amdocs Limited and each of its subsidiaries are elected by the board of directors of the relevant company on an annual basis and serve until the next annual meeting of such board of directors or until their respective successors have been duly elected and qualified or their positions are earlier vacated by resignation or otherwise.</w:t>
      </w:r>
    </w:p>
    <w:p>
      <w:pPr>
        <w:spacing w:after="0" w:line="59"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Other than the employment agreement between us and our President and Chief Executive Officer, which provides for immediate cash severance upon termination of employment, there are currently no service contracts in effect between us and any of our directors providing for immediate cash severance upon termination of their employment.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Board Committees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maintains three committees as set forth below. Members of each committee are appointed by the Board of Directors.</w:t>
      </w:r>
    </w:p>
    <w:p>
      <w:pPr>
        <w:spacing w:after="0" w:line="11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The Audit Committee reviews, acts on and reports to the Board of Directors with respect to various auditing and accounting 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The current members of our Audit Committee are Messrs. Gardner (Chair), Brodsky, Lemelbaum and Olswang, all of whom are independent directors, as defined by the rules of the NYSE, and pursuant to the categorical director independence standards adopted by our Board of Directors. The Board of Directors has determined that Mr. Gardner is an “audit committee financial expert” as defined by rules promulgated by the SEC, and that each member of the Audit Committee is financially literate as required by the rules of the NYSE. The Audit Committee written charter is available on our website at </w:t>
      </w:r>
      <w:r>
        <w:rPr>
          <w:rFonts w:ascii="Arial" w:cs="Arial" w:eastAsia="Arial" w:hAnsi="Arial"/>
          <w:sz w:val="16"/>
          <w:szCs w:val="16"/>
          <w:i w:val="1"/>
          <w:iCs w:val="1"/>
          <w:color w:val="auto"/>
        </w:rPr>
        <w:t>www.amdocs.com.</w:t>
      </w:r>
    </w:p>
    <w:p>
      <w:pPr>
        <w:spacing w:after="0" w:line="37"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 xml:space="preserve">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 The current members of the Nominating and Corporate Governance Committee are Messrs. Olswang (Chair), Brodsky and Kahan, all of whom are independent directors, as required by the NYSE listing standards, and pursuant to the categorical director independence standards adopted by our Board of Directors. The Nominating and Corporate Governance Committee written charter is available on our website at </w:t>
      </w:r>
      <w:r>
        <w:rPr>
          <w:rFonts w:ascii="Arial" w:cs="Arial" w:eastAsia="Arial" w:hAnsi="Arial"/>
          <w:sz w:val="16"/>
          <w:szCs w:val="16"/>
          <w:i w:val="1"/>
          <w:iCs w:val="1"/>
          <w:color w:val="auto"/>
        </w:rPr>
        <w:t>www.amdocs.com.</w:t>
      </w:r>
      <w:r>
        <w:rPr>
          <w:rFonts w:ascii="Arial" w:cs="Arial" w:eastAsia="Arial" w:hAnsi="Arial"/>
          <w:sz w:val="16"/>
          <w:szCs w:val="16"/>
          <w:color w:val="auto"/>
        </w:rPr>
        <w:t xml:space="preserve"> The Nominating and Corporate Governance Committee has approved corporate governance guidelines that are also available on our website at </w:t>
      </w:r>
      <w:r>
        <w:rPr>
          <w:rFonts w:ascii="Arial" w:cs="Arial" w:eastAsia="Arial" w:hAnsi="Arial"/>
          <w:sz w:val="16"/>
          <w:szCs w:val="16"/>
          <w:i w:val="1"/>
          <w:iCs w:val="1"/>
          <w:color w:val="auto"/>
        </w:rPr>
        <w:t>www.amdocs.com.</w:t>
      </w:r>
    </w:p>
    <w:p>
      <w:pPr>
        <w:spacing w:after="0" w:line="3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The Management Resources and Compensation Committee discharges the responsibilities of our 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The current members of our Management Resources and Compensation Committee are Messrs. McLennan (Chair), LeFave and Zisapel, all of whom are independent directors, as defined by the rules of the NYSE, and pursuant to the categorical director independence standards adopted by our Board of Directors. The Management Resources and Compensation Committee written charter is available on our website at </w:t>
      </w:r>
      <w:r>
        <w:rPr>
          <w:rFonts w:ascii="Arial" w:cs="Arial" w:eastAsia="Arial" w:hAnsi="Arial"/>
          <w:sz w:val="16"/>
          <w:szCs w:val="16"/>
          <w:i w:val="1"/>
          <w:iCs w:val="1"/>
          <w:color w:val="auto"/>
        </w:rPr>
        <w:t>www.amdocs.com.</w:t>
      </w:r>
    </w:p>
    <w:p>
      <w:pPr>
        <w:spacing w:after="0" w:line="3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Technology and Innovation Committee was established to assist the Board of Directors in reviewing our technological development, opportunities and innovation, in connection with the current and future business and markets. The current members of our Technology and Innovation Committee are Messrs. Zisapel (Chair), Lemelbaum and Dr. Yaron.</w:t>
      </w:r>
    </w:p>
    <w:p>
      <w:pPr>
        <w:spacing w:after="0" w:line="59"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independent directors receive no compensation from us, except in connection with their membership on the Board of Directors and its committees as described above regarding Non-Employee Directors under “— Compensation.”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Workforce Personnel</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presents the approximate number of our workforce as of each date indicated, by function and by geographical location (in each of which we operate at multiple sites):</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w w:val="91"/>
              </w:rPr>
              <w:t>As of 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980" w:type="dxa"/>
            <w:vAlign w:val="bottom"/>
          </w:tcPr>
          <w:p>
            <w:pPr>
              <w:spacing w:after="0"/>
              <w:rPr>
                <w:sz w:val="12"/>
                <w:szCs w:val="12"/>
                <w:color w:val="auto"/>
              </w:rPr>
            </w:pPr>
          </w:p>
        </w:tc>
        <w:tc>
          <w:tcPr>
            <w:tcW w:w="54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2012</w:t>
            </w:r>
          </w:p>
        </w:tc>
        <w:tc>
          <w:tcPr>
            <w:tcW w:w="940" w:type="dxa"/>
            <w:vAlign w:val="bottom"/>
            <w:gridSpan w:val="2"/>
          </w:tcPr>
          <w:p>
            <w:pPr>
              <w:jc w:val="right"/>
              <w:ind w:right="52"/>
              <w:spacing w:after="0" w:line="142" w:lineRule="exact"/>
              <w:rPr>
                <w:sz w:val="20"/>
                <w:szCs w:val="20"/>
                <w:color w:val="auto"/>
              </w:rPr>
            </w:pPr>
            <w:r>
              <w:rPr>
                <w:rFonts w:ascii="Arial" w:cs="Arial" w:eastAsia="Arial" w:hAnsi="Arial"/>
                <w:sz w:val="14"/>
                <w:szCs w:val="14"/>
                <w:b w:val="1"/>
                <w:bCs w:val="1"/>
                <w:color w:val="auto"/>
              </w:rPr>
              <w:t>2011</w:t>
            </w:r>
          </w:p>
        </w:tc>
        <w:tc>
          <w:tcPr>
            <w:tcW w:w="400" w:type="dxa"/>
            <w:vAlign w:val="bottom"/>
          </w:tcPr>
          <w:p>
            <w:pPr>
              <w:spacing w:after="0"/>
              <w:rPr>
                <w:sz w:val="12"/>
                <w:szCs w:val="12"/>
                <w:color w:val="auto"/>
              </w:rPr>
            </w:pPr>
          </w:p>
        </w:tc>
        <w:tc>
          <w:tcPr>
            <w:tcW w:w="540" w:type="dxa"/>
            <w:vAlign w:val="bottom"/>
          </w:tcPr>
          <w:p>
            <w:pPr>
              <w:jc w:val="right"/>
              <w:ind w:right="3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96"/>
        </w:trPr>
        <w:tc>
          <w:tcPr>
            <w:tcW w:w="7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Software and Information Technology, Sales and Marketing</w:t>
            </w: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North America</w:t>
            </w:r>
          </w:p>
        </w:tc>
        <w:tc>
          <w:tcPr>
            <w:tcW w:w="540" w:type="dxa"/>
            <w:vAlign w:val="bottom"/>
          </w:tcPr>
          <w:p>
            <w:pPr>
              <w:jc w:val="right"/>
              <w:spacing w:after="0"/>
              <w:rPr>
                <w:sz w:val="20"/>
                <w:szCs w:val="20"/>
                <w:color w:val="auto"/>
              </w:rPr>
            </w:pPr>
            <w:r>
              <w:rPr>
                <w:rFonts w:ascii="Arial" w:cs="Arial" w:eastAsia="Arial" w:hAnsi="Arial"/>
                <w:sz w:val="18"/>
                <w:szCs w:val="18"/>
                <w:color w:val="auto"/>
              </w:rPr>
              <w:t>4,755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4,836</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4,725</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Israel</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4,334</w:t>
            </w:r>
          </w:p>
        </w:tc>
        <w:tc>
          <w:tcPr>
            <w:tcW w:w="4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4,306</w:t>
            </w:r>
          </w:p>
        </w:tc>
        <w:tc>
          <w:tcPr>
            <w:tcW w:w="100" w:type="dxa"/>
            <w:vAlign w:val="bottom"/>
            <w:shd w:val="clear" w:color="auto" w:fill="CCEEFF"/>
          </w:tcPr>
          <w:p>
            <w:pPr>
              <w:spacing w:after="0"/>
              <w:rPr>
                <w:sz w:val="18"/>
                <w:szCs w:val="18"/>
                <w:color w:val="auto"/>
              </w:rPr>
            </w:pPr>
          </w:p>
        </w:tc>
      </w:tr>
      <w:tr>
        <w:trPr>
          <w:trHeight w:val="216"/>
        </w:trPr>
        <w:tc>
          <w:tcPr>
            <w:tcW w:w="7980" w:type="dxa"/>
            <w:vAlign w:val="bottom"/>
          </w:tcPr>
          <w:p>
            <w:pPr>
              <w:ind w:left="220"/>
              <w:spacing w:after="0"/>
              <w:rPr>
                <w:sz w:val="20"/>
                <w:szCs w:val="20"/>
                <w:color w:val="auto"/>
              </w:rPr>
            </w:pPr>
            <w:r>
              <w:rPr>
                <w:rFonts w:ascii="Arial" w:cs="Arial" w:eastAsia="Arial" w:hAnsi="Arial"/>
                <w:sz w:val="18"/>
                <w:szCs w:val="18"/>
                <w:color w:val="auto"/>
              </w:rPr>
              <w:t>India</w:t>
            </w:r>
          </w:p>
        </w:tc>
        <w:tc>
          <w:tcPr>
            <w:tcW w:w="540" w:type="dxa"/>
            <w:vAlign w:val="bottom"/>
          </w:tcPr>
          <w:p>
            <w:pPr>
              <w:jc w:val="right"/>
              <w:spacing w:after="0"/>
              <w:rPr>
                <w:sz w:val="20"/>
                <w:szCs w:val="20"/>
                <w:color w:val="auto"/>
              </w:rPr>
            </w:pPr>
            <w:r>
              <w:rPr>
                <w:rFonts w:ascii="Arial" w:cs="Arial" w:eastAsia="Arial" w:hAnsi="Arial"/>
                <w:sz w:val="18"/>
                <w:szCs w:val="18"/>
                <w:color w:val="auto"/>
              </w:rPr>
              <w:t>6,681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6,582</w:t>
            </w:r>
          </w:p>
        </w:tc>
        <w:tc>
          <w:tcPr>
            <w:tcW w:w="4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6,588</w:t>
            </w:r>
          </w:p>
        </w:tc>
        <w:tc>
          <w:tcPr>
            <w:tcW w:w="100" w:type="dxa"/>
            <w:vAlign w:val="bottom"/>
          </w:tcPr>
          <w:p>
            <w:pPr>
              <w:spacing w:after="0"/>
              <w:rPr>
                <w:sz w:val="18"/>
                <w:szCs w:val="18"/>
                <w:color w:val="auto"/>
              </w:rPr>
            </w:pPr>
          </w:p>
        </w:tc>
      </w:tr>
      <w:tr>
        <w:trPr>
          <w:trHeight w:val="21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 of the World</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2,432</w:t>
            </w:r>
          </w:p>
        </w:tc>
        <w:tc>
          <w:tcPr>
            <w:tcW w:w="100" w:type="dxa"/>
            <w:vAlign w:val="bottom"/>
            <w:shd w:val="clear" w:color="auto" w:fill="CCEEFF"/>
          </w:tcPr>
          <w:p>
            <w:pPr>
              <w:spacing w:after="0"/>
              <w:rPr>
                <w:sz w:val="18"/>
                <w:szCs w:val="18"/>
                <w:color w:val="auto"/>
              </w:rPr>
            </w:pPr>
          </w:p>
        </w:tc>
      </w:tr>
      <w:tr>
        <w:trPr>
          <w:trHeight w:val="221"/>
        </w:trPr>
        <w:tc>
          <w:tcPr>
            <w:tcW w:w="79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18,623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18,361</w:t>
            </w: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18,051</w:t>
            </w:r>
          </w:p>
        </w:tc>
        <w:tc>
          <w:tcPr>
            <w:tcW w:w="100" w:type="dxa"/>
            <w:vAlign w:val="bottom"/>
          </w:tcPr>
          <w:p>
            <w:pPr>
              <w:spacing w:after="0"/>
              <w:rPr>
                <w:sz w:val="19"/>
                <w:szCs w:val="19"/>
                <w:color w:val="auto"/>
              </w:rPr>
            </w:pPr>
          </w:p>
        </w:tc>
      </w:tr>
      <w:tr>
        <w:trPr>
          <w:trHeight w:val="218"/>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Management and Administration</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1,482</w:t>
            </w: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w:t>
            </w:r>
          </w:p>
        </w:tc>
        <w:tc>
          <w:tcPr>
            <w:tcW w:w="4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00" w:type="dxa"/>
            <w:vAlign w:val="bottom"/>
            <w:shd w:val="clear" w:color="auto" w:fill="CCEEFF"/>
          </w:tcPr>
          <w:p>
            <w:pPr>
              <w:spacing w:after="0"/>
              <w:rPr>
                <w:sz w:val="18"/>
                <w:szCs w:val="18"/>
                <w:color w:val="auto"/>
              </w:rPr>
            </w:pPr>
          </w:p>
        </w:tc>
      </w:tr>
      <w:tr>
        <w:trPr>
          <w:trHeight w:val="222"/>
        </w:trPr>
        <w:tc>
          <w:tcPr>
            <w:tcW w:w="7980" w:type="dxa"/>
            <w:vAlign w:val="bottom"/>
          </w:tcPr>
          <w:p>
            <w:pPr>
              <w:spacing w:after="0"/>
              <w:rPr>
                <w:sz w:val="20"/>
                <w:szCs w:val="20"/>
                <w:color w:val="auto"/>
              </w:rPr>
            </w:pPr>
            <w:r>
              <w:rPr>
                <w:rFonts w:ascii="Arial" w:cs="Arial" w:eastAsia="Arial" w:hAnsi="Arial"/>
                <w:sz w:val="18"/>
                <w:szCs w:val="18"/>
                <w:color w:val="auto"/>
              </w:rPr>
              <w:t>Total Workforce</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20,105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19,826</w:t>
            </w:r>
          </w:p>
        </w:tc>
        <w:tc>
          <w:tcPr>
            <w:tcW w:w="4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19,455</w:t>
            </w:r>
          </w:p>
        </w:tc>
        <w:tc>
          <w:tcPr>
            <w:tcW w:w="100" w:type="dxa"/>
            <w:vAlign w:val="bottom"/>
          </w:tcPr>
          <w:p>
            <w:pPr>
              <w:spacing w:after="0"/>
              <w:rPr>
                <w:sz w:val="19"/>
                <w:szCs w:val="19"/>
                <w:color w:val="auto"/>
              </w:rPr>
            </w:pPr>
          </w:p>
        </w:tc>
      </w:tr>
      <w:tr>
        <w:trPr>
          <w:trHeight w:val="20"/>
        </w:trPr>
        <w:tc>
          <w:tcPr>
            <w:tcW w:w="7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As a company with global operations, we are required to comply with various labor and immigration laws throughout the world, including laws and regulations in Australia, Brazil, Canada, Cyprus, France, Germany, India, Israel, Japan, Mexico, the Philippines, South Africa, the United Kingdom and the United States. Our employees in certain countries of Europe, and to a limited extent in Canada and Brazil, are protected by mandatory collective bargaining agreements. To date, compliance with such laws has not been a material burden for us. As the number of our employees increases over time in specific countries, our compliance with such regulations could become more burdensome.</w:t>
      </w:r>
    </w:p>
    <w:p>
      <w:pPr>
        <w:spacing w:after="0" w:line="6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principal operating subsidiaries are not party to any collective bargaining agreements. However, our Israeli subsidiaries are subject to certain provisions of general extension orders issued by the Israeli Ministry of Labor and Welfare which derive from various labor related statutes. The most significant of these provisions provide for mandatory pension benefits and wage adjustments in relation to increases in the consumer price index, or CPI. The amount and frequency of these adjustments are modified from time to time.</w:t>
      </w:r>
    </w:p>
    <w:p>
      <w:pPr>
        <w:spacing w:after="0" w:line="62"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 small number of employees in Canada have union representation. In addition, all employees in Brazil, including local senior employees, are represented by unions. Collective bargaining between employers and unions is mandatory in those countries, negotiated annually, and covers work conditions, including cost of living increases, minimum wages that exceed government thresholds and overtime pay. We have a works council body in the Netherlands and France which represents the employees and with which we work closely to ensure compliance with the applicable local law. We also have an employee representative body in France.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consider our relationship with our employees to be good and have never experienced an organized labor dispute, strike or work stoppage.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Ownership</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Security Ownership of Directors and Senior Management and Certain Key Employees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December 3, 2012, the aggregate number of our ordinary shares beneficially owned by our directors and senior management was 3,379,472 shares.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 2012, none of our directors or members of senior management beneficially owned 1% or more of our outstanding ordinary shares.</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Beneficial ownership by a person, as of a particular date, assumes the exercise of all options and warrants held by such person that are currently exercisable or are exercisable within 60 days of such date.</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Option and Incentive Plan</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Board of Directors has adopted, and our shareholders have approved, our 1998 Stock Option and Incentive Plan, as amended, which we refer to as the 1998 Plan, pursuant to which up to 62,300,000 of our ordinary shares may be issued.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1998 Plan provides for the grant of restricted shares, stock options and other stock-based awards to our directors, officers, employees and consultants. The purpose of the 1998 Plan is to enable us to attract and retain qualified personnel and to motivate such persons by providing them with an equity participation in Amdocs. As of September 30, 2012, of the 62,300,000 ordinary shares available for issuance under the 1998 Plan, 30,257,917 ordinary shares had been issued as a result of option exercises and restricted share issuances under the provisions of the 1998 Plan, and 14,541,559 ordinary shares remained available for future grants, subject to a sublimit applicable to the award of restricted shares or awards dominated in stock units. As of November 30, 2012, there were outstanding options to purchase an aggregate of 16,777,214 ordinary shares at exercise prices ranging from $13.28 to $39.60 per share.</w:t>
      </w:r>
    </w:p>
    <w:p>
      <w:pPr>
        <w:spacing w:after="0" w:line="3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1998 Plan is administered by a committee that determines all the terms of the awards (subject to the above), including which employees, directors or consultants are granted awards. The Board of Directors may amend or terminate the 1998 Plan, provided that shareholder approval is required to increase the number of ordinary shares available under the 1998 Plan, to materially increase the benefits accruing to participants, to change the class of employees eligible for participation, to decrease the basis upon which the minimum exercise price of options is determined or to extend the period in which awards may be granted or to grant an option that is exercisable for more than ten years. Ordinary shares subject to restricted stock awards are subject to certain restrictions on sale, transfer or hypothecation. No awards may be granted after January 2016.</w:t>
      </w:r>
    </w:p>
    <w:p>
      <w:pPr>
        <w:spacing w:after="0" w:line="39"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As a result of acquisitions, as of September 30, 2012, we were obligated to issue (and have reserved for issuance) an additional 153,872 ordinary shares upon exercise of options that had previously been granted under the option plans of the acquired companies and were exchanged for options to purchase our ordinary shares. These options have exercise prices ranging from $0.38 to $37.66 per share. No additional options have been or will be granted under these predecessor plans.</w:t>
      </w:r>
    </w:p>
    <w:p>
      <w:pPr>
        <w:spacing w:after="0" w:line="137" w:lineRule="exact"/>
        <w:rPr>
          <w:sz w:val="20"/>
          <w:szCs w:val="20"/>
          <w:color w:val="auto"/>
        </w:rPr>
      </w:pPr>
    </w:p>
    <w:p>
      <w:pPr>
        <w:ind w:right="5380"/>
        <w:spacing w:after="0" w:line="347" w:lineRule="auto"/>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MAJOR SHAREHOLDERS AND RELATED PARTY TRANSACTIONS</w:t>
      </w:r>
      <w:r>
        <w:rPr>
          <w:rFonts w:ascii="Arial" w:cs="Arial" w:eastAsia="Arial" w:hAnsi="Arial"/>
          <w:sz w:val="18"/>
          <w:szCs w:val="18"/>
          <w:b w:val="1"/>
          <w:bCs w:val="1"/>
          <w:color w:val="auto"/>
        </w:rPr>
        <w:t xml:space="preserve"> Major Shareholders</w:t>
      </w:r>
    </w:p>
    <w:p>
      <w:pPr>
        <w:spacing w:after="0" w:line="2"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following table sets forth specified information with respect to the beneficial ownership of the ordinary shares as of December 3, 2012 of (i) any person known by us to be the beneficial owner of more than 5% of our ordinary shares, and (ii) all of our directors and executives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162,543,165 ordinary shares outstanding as of December 3, 2012. Information concerning shareholders is based on periodic public filings made by such shareholders and may not necessarily be accurate as of December 3, 2012. None of our major shareholders have voting rights that are different from those of any other shareholder.</w:t>
      </w:r>
    </w:p>
    <w:p>
      <w:pPr>
        <w:spacing w:after="0" w:line="1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5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1"/>
              </w:rPr>
              <w:t>Shares</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740" w:type="dxa"/>
            <w:vAlign w:val="bottom"/>
            <w:vMerge w:val="restart"/>
          </w:tcPr>
          <w:p>
            <w:pPr>
              <w:spacing w:after="0"/>
              <w:rPr>
                <w:sz w:val="12"/>
                <w:szCs w:val="12"/>
                <w:color w:val="auto"/>
              </w:rPr>
            </w:pPr>
          </w:p>
        </w:tc>
        <w:tc>
          <w:tcPr>
            <w:tcW w:w="152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53"/>
        </w:trPr>
        <w:tc>
          <w:tcPr>
            <w:tcW w:w="380" w:type="dxa"/>
            <w:vAlign w:val="bottom"/>
            <w:tcBorders>
              <w:bottom w:val="single" w:sz="8" w:color="auto"/>
            </w:tcBorders>
            <w:vMerge w:val="continue"/>
          </w:tcPr>
          <w:p>
            <w:pPr>
              <w:spacing w:after="0"/>
              <w:rPr>
                <w:sz w:val="12"/>
                <w:szCs w:val="12"/>
                <w:color w:val="auto"/>
              </w:rPr>
            </w:pPr>
          </w:p>
        </w:tc>
        <w:tc>
          <w:tcPr>
            <w:tcW w:w="7740" w:type="dxa"/>
            <w:vAlign w:val="bottom"/>
            <w:vMerge w:val="continue"/>
          </w:tcPr>
          <w:p>
            <w:pPr>
              <w:spacing w:after="0"/>
              <w:rPr>
                <w:sz w:val="12"/>
                <w:szCs w:val="12"/>
                <w:color w:val="auto"/>
              </w:rPr>
            </w:pPr>
          </w:p>
        </w:tc>
        <w:tc>
          <w:tcPr>
            <w:tcW w:w="152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9"/>
              </w:rPr>
              <w:t>Owned</w:t>
            </w:r>
          </w:p>
        </w:tc>
        <w:tc>
          <w:tcPr>
            <w:tcW w:w="860" w:type="dxa"/>
            <w:vAlign w:val="bottom"/>
            <w:gridSpan w:val="2"/>
          </w:tcPr>
          <w:p>
            <w:pPr>
              <w:jc w:val="right"/>
              <w:ind w:right="200"/>
              <w:spacing w:after="0" w:line="148" w:lineRule="exact"/>
              <w:rPr>
                <w:sz w:val="20"/>
                <w:szCs w:val="20"/>
                <w:color w:val="auto"/>
              </w:rPr>
            </w:pPr>
            <w:r>
              <w:rPr>
                <w:rFonts w:ascii="Arial" w:cs="Arial" w:eastAsia="Arial" w:hAnsi="Arial"/>
                <w:sz w:val="14"/>
                <w:szCs w:val="14"/>
                <w:b w:val="1"/>
                <w:bCs w:val="1"/>
                <w:color w:val="auto"/>
                <w:w w:val="88"/>
              </w:rPr>
              <w:t>Ownership</w:t>
            </w:r>
          </w:p>
        </w:tc>
        <w:tc>
          <w:tcPr>
            <w:tcW w:w="0" w:type="dxa"/>
            <w:vAlign w:val="bottom"/>
          </w:tcPr>
          <w:p>
            <w:pPr>
              <w:spacing w:after="0"/>
              <w:rPr>
                <w:sz w:val="1"/>
                <w:szCs w:val="1"/>
                <w:color w:val="auto"/>
              </w:rPr>
            </w:pPr>
          </w:p>
        </w:tc>
      </w:tr>
      <w:tr>
        <w:trPr>
          <w:trHeight w:val="20"/>
        </w:trPr>
        <w:tc>
          <w:tcPr>
            <w:tcW w:w="81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T. Rowe Price Associates, Inc. (1)</w:t>
            </w:r>
          </w:p>
        </w:tc>
        <w:tc>
          <w:tcPr>
            <w:tcW w:w="840" w:type="dxa"/>
            <w:vAlign w:val="bottom"/>
            <w:shd w:val="clear" w:color="auto" w:fill="000000"/>
          </w:tcPr>
          <w:p>
            <w:pPr>
              <w:spacing w:after="0" w:line="20" w:lineRule="exact"/>
              <w:rPr>
                <w:sz w:val="1"/>
                <w:szCs w:val="1"/>
                <w:color w:val="auto"/>
              </w:rPr>
            </w:pPr>
          </w:p>
        </w:tc>
        <w:tc>
          <w:tcPr>
            <w:tcW w:w="680" w:type="dxa"/>
            <w:vAlign w:val="bottom"/>
            <w:vMerge w:val="restart"/>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gridSpan w:val="2"/>
            <w:vMerge w:val="continue"/>
            <w:shd w:val="clear" w:color="auto" w:fill="CCEEFF"/>
          </w:tcPr>
          <w:p>
            <w:pPr>
              <w:spacing w:after="0"/>
              <w:rPr>
                <w:sz w:val="17"/>
                <w:szCs w:val="17"/>
                <w:color w:val="auto"/>
              </w:rPr>
            </w:pPr>
          </w:p>
        </w:tc>
        <w:tc>
          <w:tcPr>
            <w:tcW w:w="8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0"/>
              </w:rPr>
              <w:t>17,596,758</w:t>
            </w:r>
          </w:p>
        </w:tc>
        <w:tc>
          <w:tcPr>
            <w:tcW w:w="680" w:type="dxa"/>
            <w:vAlign w:val="bottom"/>
            <w:vMerge w:val="continue"/>
            <w:shd w:val="clear" w:color="auto" w:fill="CCEEFF"/>
          </w:tcPr>
          <w:p>
            <w:pPr>
              <w:spacing w:after="0"/>
              <w:rPr>
                <w:sz w:val="17"/>
                <w:szCs w:val="17"/>
                <w:color w:val="auto"/>
              </w:rPr>
            </w:pPr>
          </w:p>
        </w:tc>
        <w:tc>
          <w:tcPr>
            <w:tcW w:w="8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Manning &amp; Napier Advisors, Inc. (2)</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16,730,588</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Janus Capital Management LLC (3)</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13,421,044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8.26%</w:t>
            </w: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color w:val="auto"/>
              </w:rPr>
              <w:t>FMR LLC (4)</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w w:val="90"/>
              </w:rPr>
              <w:t>10,726,903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8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Ameriprise Financial, Inc. (5)</w:t>
            </w:r>
          </w:p>
        </w:tc>
        <w:tc>
          <w:tcPr>
            <w:tcW w:w="15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0"/>
              </w:rPr>
              <w:t>10,489,135</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22"/>
        </w:trPr>
        <w:tc>
          <w:tcPr>
            <w:tcW w:w="812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(16 persons) (6)</w:t>
            </w:r>
          </w:p>
        </w:tc>
        <w:tc>
          <w:tcPr>
            <w:tcW w:w="1520" w:type="dxa"/>
            <w:vAlign w:val="bottom"/>
            <w:gridSpan w:val="2"/>
          </w:tcPr>
          <w:p>
            <w:pPr>
              <w:jc w:val="right"/>
              <w:ind w:right="680"/>
              <w:spacing w:after="0"/>
              <w:rPr>
                <w:sz w:val="20"/>
                <w:szCs w:val="20"/>
                <w:color w:val="auto"/>
              </w:rPr>
            </w:pPr>
            <w:r>
              <w:rPr>
                <w:rFonts w:ascii="Arial" w:cs="Arial" w:eastAsia="Arial" w:hAnsi="Arial"/>
                <w:sz w:val="18"/>
                <w:szCs w:val="18"/>
                <w:color w:val="auto"/>
              </w:rPr>
              <w:t>3,379,472</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9436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14" w:lineRule="exact"/>
        <w:rPr>
          <w:sz w:val="20"/>
          <w:szCs w:val="20"/>
          <w:color w:val="auto"/>
        </w:rPr>
      </w:pPr>
    </w:p>
    <w:p>
      <w:pPr>
        <w:ind w:left="460" w:right="20" w:hanging="452"/>
        <w:spacing w:after="0" w:line="259"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a Schedule 13G/A filed by T. Rowe Price Associates, Inc., or T. Rowe Price, with the SEC on May 10, 2012, as of April 30, 2012, T. Rowe Price had sole voting power over 3,459,360 of our ordinary shares and sole dispositive power over 17,596,758 of our ordinary shares. The address of T. Rowe Price is 100 E. Pratt Street, Baltimore, Maryland 21202.</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60"/>
          </w:cols>
          <w:pgMar w:left="240" w:top="459" w:right="2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line="253"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a Schedule 13G/A filed by Manning &amp; Napier Advisors, Inc., or Manning &amp; Napier, with the SEC on January 27, 2012, as of December 31, 2011, Manning &amp; Napier had sole voting power over 14,809,642 of our ordinary shares and sole dispositive power over 16,730,588 of our ordinary shares. The address of Manning &amp; Napier is 290 Woodcliff Drive, Fairport, New York 14450.</w:t>
      </w:r>
    </w:p>
    <w:p>
      <w:pPr>
        <w:ind w:left="460" w:right="120" w:hanging="452"/>
        <w:spacing w:after="0" w:line="281"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a Schedule 13G filed by Janus Capital Management LLC, or Janus, with the SEC on February 14, 2012, as of December 31, 2011, Janus has a direct 94.8% ownership stake in INTECH Investment Management, or INTECH, and a direct 77.8% ownership stake in Perkins Investment Management LLC, or Perkins. Due to this ownership structure, holdings for Janus, Perkins and INTECH are aggregated. Janus, Perkins and INTECH are registered investment advisers, each furnishing investment advice to various investment companies registered under Section 8 of the Investment Company Act of 1940 and to individual and institutional clients (collectively, the “Managed Portfolios”). As a result of its role as investment adviser or sub-adviser to the Managed Portfolios, Janus may be deemed to be the beneficial owner of 13,421,044 ordinary shares held by the Managed Portfolios. However, Janus does not have the right to receive any dividends from, or the proceeds from the sale of, the securities held in the Managed Portfolios and disclaims any ownership associated with such rights. The address of Janus Capital is 51 Detroit Street, Denver, Colorado 80206.</w:t>
      </w:r>
    </w:p>
    <w:p>
      <w:pPr>
        <w:spacing w:after="0" w:line="5" w:lineRule="exact"/>
        <w:rPr>
          <w:rFonts w:ascii="Arial" w:cs="Arial" w:eastAsia="Arial" w:hAnsi="Arial"/>
          <w:sz w:val="16"/>
          <w:szCs w:val="16"/>
          <w:color w:val="auto"/>
        </w:rPr>
      </w:pPr>
    </w:p>
    <w:p>
      <w:pPr>
        <w:ind w:left="460" w:right="40" w:hanging="452"/>
        <w:spacing w:after="0" w:line="281"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a Schedule 13G filed by FMR LLC with the SEC on February 14, 2012, as of December 31, 2011, FMR LLC had sole power to vote or direct the vote over 92,353 shares and sole power to dispose or direct the disposition of 10,726,903 shares. This includes 10,626,150 shares beneficially owned by Fidelity Management &amp; Research Company (“Fidelity”) in its capacity as an investment advisor; 106 shares beneficially owned by Strategic Advisers, Inc. (“SAI”) in its capacity as an investment advisor; 147 shares beneficially owned by Pyramis Global Advisors Trust Company (“PGATC”) as a result of its serving as an investment manager of institutional accounts owning such shares; and 100,500 shares over which FIL Limited (“FIL”) has sole dispositive power through its investment advisory and management services to a number of non-U.S. investment companies and institutional investors. Fidelity and SAI are wholly owned subsidiaries of FMR LLC. PGATC is an indirect wholly owned subsidiary of FMR LLC. Partnerships controlled predominantly by members of the family of Edward C. Johnson 3d, Chairman of FMR LLC and FIL or trusts for their benefit, own shares of FIL voting stock. Edward C. Johnson 3d, and members of his family, directly or through trusts, own approximately 49% of the voting power of FMR LLC. The address of Fidelity, FMTC and SAI is 82 Devonshire Street, Boston, Massachusetts 02109. The address of PGATC is 900 Salem Street, Smithfield, Rhode Island 02917. The address of FIL is Pembroke Hall, 42 Crow Lane, Hamilton, Bermuda.</w:t>
      </w:r>
    </w:p>
    <w:p>
      <w:pPr>
        <w:spacing w:after="0" w:line="7" w:lineRule="exact"/>
        <w:rPr>
          <w:rFonts w:ascii="Arial" w:cs="Arial" w:eastAsia="Arial" w:hAnsi="Arial"/>
          <w:sz w:val="16"/>
          <w:szCs w:val="16"/>
          <w:color w:val="auto"/>
        </w:rPr>
      </w:pPr>
    </w:p>
    <w:p>
      <w:pPr>
        <w:ind w:left="460" w:right="120" w:hanging="452"/>
        <w:spacing w:after="0" w:line="281" w:lineRule="auto"/>
        <w:tabs>
          <w:tab w:leader="none" w:pos="4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on a Schedule 13G/A filed by Ameriprise Financial, Inc., or Ameriprise, and Columbia Management Investment Advisers, LLC, or Columbia, with the SEC on February 14, 2012, as of December 31, 2011, Ameriprise and Columbia had shared voting power over 2,917,468 of our ordinary shares and shared dispositive power over 10,489,135 of our ordinary shares. Ameriprise is the parent company of Columbia. Ameriprise and Columbia disclaim beneficial ownership of these shares. The address of Ameriprise and RiverSource is 145 Ameriprise Financial Center, Minneapolis, Minnesota 55474.</w:t>
      </w:r>
    </w:p>
    <w:p>
      <w:pPr>
        <w:spacing w:after="0" w:line="2" w:lineRule="exact"/>
        <w:rPr>
          <w:rFonts w:ascii="Arial" w:cs="Arial" w:eastAsia="Arial" w:hAnsi="Arial"/>
          <w:sz w:val="16"/>
          <w:szCs w:val="16"/>
          <w:color w:val="auto"/>
        </w:rPr>
      </w:pPr>
    </w:p>
    <w:p>
      <w:pPr>
        <w:ind w:left="460" w:right="380" w:hanging="452"/>
        <w:spacing w:after="0" w:line="261"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options held by such directors and executive officers that are exercisable within 60 days after December 3, 2012. As of such date, none of our directors, senior managers or key employees beneficially own 1% or more of our outstanding ordinary shares.</w:t>
      </w:r>
    </w:p>
    <w:p>
      <w:pPr>
        <w:spacing w:after="0" w:line="5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Thornburg Investment Management Inc.’s share ownership decreased below 5% during fiscal 2012 from 9.15% in fiscal 2011. Manning’s share ownership has increased from 6.32% at the end of fiscal 2010 to 10.29% at the end of fiscal 2012.</w:t>
      </w:r>
    </w:p>
    <w:p>
      <w:pPr>
        <w:spacing w:after="0" w:line="51"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As of December 3, 2012, our ordinary shares were held by 1,000 record holders. Based on a review of the information provided to us by our transfer agent, 662 record holders, holding approximately 99.9% of our outstanding ordinary shares held of record, were residents of the United States.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See “Financial Statements” for our audited Consolidated Financial Statements and Financial Statement Schedule filed as part of this Annual Report.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96"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We are involved in various legal proceedings arising in the normal course of our business. Based upon the advice of counsel, we do not believe that the ultimate resolution of these matters will have a material adverse effect on our consolidated financial position, results of operations or cash flows.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6" w:lineRule="exact"/>
        <w:rPr>
          <w:sz w:val="20"/>
          <w:szCs w:val="20"/>
          <w:color w:val="auto"/>
        </w:rPr>
      </w:pPr>
    </w:p>
    <w:p>
      <w:pPr>
        <w:ind w:right="360" w:firstLine="456"/>
        <w:spacing w:after="0" w:line="298" w:lineRule="auto"/>
        <w:rPr>
          <w:sz w:val="20"/>
          <w:szCs w:val="20"/>
          <w:color w:val="auto"/>
        </w:rPr>
      </w:pPr>
      <w:r>
        <w:rPr>
          <w:rFonts w:ascii="Arial" w:cs="Arial" w:eastAsia="Arial" w:hAnsi="Arial"/>
          <w:sz w:val="16"/>
          <w:szCs w:val="16"/>
          <w:color w:val="auto"/>
        </w:rPr>
        <w:t>On July 31, 2012, at a special shareholders meeting, the Company’s shareholders approved the institution of a quarterly cash dividend program at the quarterly rate of $0.13 per share. On August 1, 2012, the board of directors declared the first dividend payment, which was paid on October 19, 2012. On November 6, 2012, the Board declared the second quarterly cash dividend payment and set December 31, 2012 as the record date for determining the shareholders entitled to receive the dividend, which is payable on January 18, 2013.</w:t>
      </w:r>
    </w:p>
    <w:p>
      <w:pPr>
        <w:spacing w:after="0" w:line="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Going forward, our Board of Directors will consider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further shareholder approval.</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THE OFFER AND LISTING</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Our ordinary shares have been quoted on the NYSE since June 19, 1998, under the symbol “DOX.” The following table sets forth the high and low reported sale prices for our ordinary shares for the periods indicated:</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High</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r>
      <w:tr>
        <w:trPr>
          <w:trHeight w:val="196"/>
        </w:trPr>
        <w:tc>
          <w:tcPr>
            <w:tcW w:w="3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Ended September 30</w:t>
            </w:r>
          </w:p>
        </w:tc>
        <w:tc>
          <w:tcPr>
            <w:tcW w:w="51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2008</w:t>
            </w:r>
          </w:p>
        </w:tc>
        <w:tc>
          <w:tcPr>
            <w:tcW w:w="6100" w:type="dxa"/>
            <w:vAlign w:val="bottom"/>
            <w:gridSpan w:val="3"/>
          </w:tcPr>
          <w:p>
            <w:pPr>
              <w:jc w:val="center"/>
              <w:ind w:left="4512"/>
              <w:spacing w:after="0"/>
              <w:rPr>
                <w:sz w:val="20"/>
                <w:szCs w:val="20"/>
                <w:color w:val="auto"/>
              </w:rPr>
            </w:pPr>
            <w:r>
              <w:rPr>
                <w:rFonts w:ascii="Arial" w:cs="Arial" w:eastAsia="Arial" w:hAnsi="Arial"/>
                <w:sz w:val="18"/>
                <w:szCs w:val="18"/>
                <w:color w:val="auto"/>
                <w:w w:val="90"/>
              </w:rPr>
              <w:t>$38.03</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$24.65</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6100" w:type="dxa"/>
            <w:vAlign w:val="bottom"/>
            <w:gridSpan w:val="3"/>
            <w:shd w:val="clear" w:color="auto" w:fill="CCEEFF"/>
          </w:tcPr>
          <w:p>
            <w:pPr>
              <w:jc w:val="center"/>
              <w:ind w:left="4512"/>
              <w:spacing w:after="0"/>
              <w:rPr>
                <w:sz w:val="20"/>
                <w:szCs w:val="20"/>
                <w:color w:val="auto"/>
              </w:rPr>
            </w:pPr>
            <w:r>
              <w:rPr>
                <w:rFonts w:ascii="Arial" w:cs="Arial" w:eastAsia="Arial" w:hAnsi="Arial"/>
                <w:sz w:val="18"/>
                <w:szCs w:val="18"/>
                <w:color w:val="auto"/>
                <w:w w:val="90"/>
              </w:rPr>
              <w:t>$27.71</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$14.61</w:t>
            </w: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2010</w:t>
            </w:r>
          </w:p>
        </w:tc>
        <w:tc>
          <w:tcPr>
            <w:tcW w:w="6100" w:type="dxa"/>
            <w:vAlign w:val="bottom"/>
            <w:gridSpan w:val="3"/>
          </w:tcPr>
          <w:p>
            <w:pPr>
              <w:jc w:val="center"/>
              <w:ind w:left="4512"/>
              <w:spacing w:after="0"/>
              <w:rPr>
                <w:sz w:val="20"/>
                <w:szCs w:val="20"/>
                <w:color w:val="auto"/>
              </w:rPr>
            </w:pPr>
            <w:r>
              <w:rPr>
                <w:rFonts w:ascii="Arial" w:cs="Arial" w:eastAsia="Arial" w:hAnsi="Arial"/>
                <w:sz w:val="18"/>
                <w:szCs w:val="18"/>
                <w:color w:val="auto"/>
                <w:w w:val="90"/>
              </w:rPr>
              <w:t>$32.44</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$24.10</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6100" w:type="dxa"/>
            <w:vAlign w:val="bottom"/>
            <w:gridSpan w:val="3"/>
            <w:shd w:val="clear" w:color="auto" w:fill="CCEEFF"/>
          </w:tcPr>
          <w:p>
            <w:pPr>
              <w:jc w:val="center"/>
              <w:ind w:left="4512"/>
              <w:spacing w:after="0"/>
              <w:rPr>
                <w:sz w:val="20"/>
                <w:szCs w:val="20"/>
                <w:color w:val="auto"/>
              </w:rPr>
            </w:pPr>
            <w:r>
              <w:rPr>
                <w:rFonts w:ascii="Arial" w:cs="Arial" w:eastAsia="Arial" w:hAnsi="Arial"/>
                <w:sz w:val="18"/>
                <w:szCs w:val="18"/>
                <w:color w:val="auto"/>
                <w:w w:val="90"/>
              </w:rPr>
              <w:t>$32.00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$25.41</w:t>
            </w: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2012</w:t>
            </w:r>
          </w:p>
        </w:tc>
        <w:tc>
          <w:tcPr>
            <w:tcW w:w="6100" w:type="dxa"/>
            <w:vAlign w:val="bottom"/>
            <w:gridSpan w:val="3"/>
          </w:tcPr>
          <w:p>
            <w:pPr>
              <w:jc w:val="center"/>
              <w:ind w:left="4512"/>
              <w:spacing w:after="0"/>
              <w:rPr>
                <w:sz w:val="20"/>
                <w:szCs w:val="20"/>
                <w:color w:val="auto"/>
              </w:rPr>
            </w:pPr>
            <w:r>
              <w:rPr>
                <w:rFonts w:ascii="Arial" w:cs="Arial" w:eastAsia="Arial" w:hAnsi="Arial"/>
                <w:sz w:val="18"/>
                <w:szCs w:val="18"/>
                <w:color w:val="auto"/>
                <w:w w:val="90"/>
              </w:rPr>
              <w:t>$33.79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$25.67</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Quarter</w:t>
            </w:r>
          </w:p>
        </w:tc>
        <w:tc>
          <w:tcPr>
            <w:tcW w:w="5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i w:val="1"/>
                <w:iCs w:val="1"/>
                <w:color w:val="auto"/>
              </w:rPr>
              <w:t>Fiscal 2011:</w:t>
            </w:r>
          </w:p>
        </w:tc>
        <w:tc>
          <w:tcPr>
            <w:tcW w:w="5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First Quarter</w:t>
            </w:r>
          </w:p>
        </w:tc>
        <w:tc>
          <w:tcPr>
            <w:tcW w:w="6100" w:type="dxa"/>
            <w:vAlign w:val="bottom"/>
            <w:gridSpan w:val="3"/>
            <w:shd w:val="clear" w:color="auto" w:fill="CCEEFF"/>
          </w:tcPr>
          <w:p>
            <w:pPr>
              <w:jc w:val="center"/>
              <w:ind w:left="4512"/>
              <w:spacing w:after="0"/>
              <w:rPr>
                <w:sz w:val="20"/>
                <w:szCs w:val="20"/>
                <w:color w:val="auto"/>
              </w:rPr>
            </w:pPr>
            <w:r>
              <w:rPr>
                <w:rFonts w:ascii="Arial" w:cs="Arial" w:eastAsia="Arial" w:hAnsi="Arial"/>
                <w:sz w:val="18"/>
                <w:szCs w:val="18"/>
                <w:color w:val="auto"/>
                <w:w w:val="90"/>
              </w:rPr>
              <w:t>$30.96</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$25.75</w:t>
            </w: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ind w:left="220"/>
              <w:spacing w:after="0"/>
              <w:rPr>
                <w:sz w:val="20"/>
                <w:szCs w:val="20"/>
                <w:color w:val="auto"/>
              </w:rPr>
            </w:pPr>
            <w:r>
              <w:rPr>
                <w:rFonts w:ascii="Arial" w:cs="Arial" w:eastAsia="Arial" w:hAnsi="Arial"/>
                <w:sz w:val="18"/>
                <w:szCs w:val="18"/>
                <w:color w:val="auto"/>
              </w:rPr>
              <w:t>Second Quarter</w:t>
            </w:r>
          </w:p>
        </w:tc>
        <w:tc>
          <w:tcPr>
            <w:tcW w:w="6100" w:type="dxa"/>
            <w:vAlign w:val="bottom"/>
            <w:gridSpan w:val="3"/>
          </w:tcPr>
          <w:p>
            <w:pPr>
              <w:jc w:val="center"/>
              <w:ind w:left="4512"/>
              <w:spacing w:after="0"/>
              <w:rPr>
                <w:sz w:val="20"/>
                <w:szCs w:val="20"/>
                <w:color w:val="auto"/>
              </w:rPr>
            </w:pPr>
            <w:r>
              <w:rPr>
                <w:rFonts w:ascii="Arial" w:cs="Arial" w:eastAsia="Arial" w:hAnsi="Arial"/>
                <w:sz w:val="18"/>
                <w:szCs w:val="18"/>
                <w:color w:val="auto"/>
                <w:w w:val="90"/>
              </w:rPr>
              <w:t>$30.65</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$26.83</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Third Quarter</w:t>
            </w:r>
          </w:p>
        </w:tc>
        <w:tc>
          <w:tcPr>
            <w:tcW w:w="6100" w:type="dxa"/>
            <w:vAlign w:val="bottom"/>
            <w:gridSpan w:val="3"/>
            <w:shd w:val="clear" w:color="auto" w:fill="CCEEFF"/>
          </w:tcPr>
          <w:p>
            <w:pPr>
              <w:jc w:val="center"/>
              <w:ind w:left="4512"/>
              <w:spacing w:after="0"/>
              <w:rPr>
                <w:sz w:val="20"/>
                <w:szCs w:val="20"/>
                <w:color w:val="auto"/>
              </w:rPr>
            </w:pPr>
            <w:r>
              <w:rPr>
                <w:rFonts w:ascii="Arial" w:cs="Arial" w:eastAsia="Arial" w:hAnsi="Arial"/>
                <w:sz w:val="18"/>
                <w:szCs w:val="18"/>
                <w:color w:val="auto"/>
                <w:w w:val="90"/>
              </w:rPr>
              <w:t>$31.00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$28.34</w:t>
            </w: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ind w:left="220"/>
              <w:spacing w:after="0"/>
              <w:rPr>
                <w:sz w:val="20"/>
                <w:szCs w:val="20"/>
                <w:color w:val="auto"/>
              </w:rPr>
            </w:pPr>
            <w:r>
              <w:rPr>
                <w:rFonts w:ascii="Arial" w:cs="Arial" w:eastAsia="Arial" w:hAnsi="Arial"/>
                <w:sz w:val="18"/>
                <w:szCs w:val="18"/>
                <w:color w:val="auto"/>
              </w:rPr>
              <w:t>Fourth Quarter</w:t>
            </w:r>
          </w:p>
        </w:tc>
        <w:tc>
          <w:tcPr>
            <w:tcW w:w="6100" w:type="dxa"/>
            <w:vAlign w:val="bottom"/>
            <w:gridSpan w:val="3"/>
          </w:tcPr>
          <w:p>
            <w:pPr>
              <w:jc w:val="center"/>
              <w:ind w:left="4512"/>
              <w:spacing w:after="0"/>
              <w:rPr>
                <w:sz w:val="20"/>
                <w:szCs w:val="20"/>
                <w:color w:val="auto"/>
              </w:rPr>
            </w:pPr>
            <w:r>
              <w:rPr>
                <w:rFonts w:ascii="Arial" w:cs="Arial" w:eastAsia="Arial" w:hAnsi="Arial"/>
                <w:sz w:val="18"/>
                <w:szCs w:val="18"/>
                <w:color w:val="auto"/>
                <w:w w:val="90"/>
              </w:rPr>
              <w:t>$32.00</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$25.41</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Fiscal 2012:</w:t>
            </w:r>
          </w:p>
        </w:tc>
        <w:tc>
          <w:tcPr>
            <w:tcW w:w="5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ind w:left="220"/>
              <w:spacing w:after="0"/>
              <w:rPr>
                <w:sz w:val="20"/>
                <w:szCs w:val="20"/>
                <w:color w:val="auto"/>
              </w:rPr>
            </w:pPr>
            <w:r>
              <w:rPr>
                <w:rFonts w:ascii="Arial" w:cs="Arial" w:eastAsia="Arial" w:hAnsi="Arial"/>
                <w:sz w:val="18"/>
                <w:szCs w:val="18"/>
                <w:color w:val="auto"/>
              </w:rPr>
              <w:t>First Quarter</w:t>
            </w:r>
          </w:p>
        </w:tc>
        <w:tc>
          <w:tcPr>
            <w:tcW w:w="6100" w:type="dxa"/>
            <w:vAlign w:val="bottom"/>
            <w:gridSpan w:val="3"/>
          </w:tcPr>
          <w:p>
            <w:pPr>
              <w:jc w:val="center"/>
              <w:ind w:left="4512"/>
              <w:spacing w:after="0"/>
              <w:rPr>
                <w:sz w:val="20"/>
                <w:szCs w:val="20"/>
                <w:color w:val="auto"/>
              </w:rPr>
            </w:pPr>
            <w:r>
              <w:rPr>
                <w:rFonts w:ascii="Arial" w:cs="Arial" w:eastAsia="Arial" w:hAnsi="Arial"/>
                <w:sz w:val="18"/>
                <w:szCs w:val="18"/>
                <w:color w:val="auto"/>
                <w:w w:val="90"/>
              </w:rPr>
              <w:t>$31.06</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$25.67</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Second Quarter</w:t>
            </w:r>
          </w:p>
        </w:tc>
        <w:tc>
          <w:tcPr>
            <w:tcW w:w="6100" w:type="dxa"/>
            <w:vAlign w:val="bottom"/>
            <w:gridSpan w:val="3"/>
            <w:shd w:val="clear" w:color="auto" w:fill="CCEEFF"/>
          </w:tcPr>
          <w:p>
            <w:pPr>
              <w:jc w:val="center"/>
              <w:ind w:left="4512"/>
              <w:spacing w:after="0"/>
              <w:rPr>
                <w:sz w:val="20"/>
                <w:szCs w:val="20"/>
                <w:color w:val="auto"/>
              </w:rPr>
            </w:pPr>
            <w:r>
              <w:rPr>
                <w:rFonts w:ascii="Arial" w:cs="Arial" w:eastAsia="Arial" w:hAnsi="Arial"/>
                <w:sz w:val="18"/>
                <w:szCs w:val="18"/>
                <w:color w:val="auto"/>
                <w:w w:val="90"/>
              </w:rPr>
              <w:t>$31.90</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$28.22</w:t>
            </w:r>
          </w:p>
        </w:tc>
        <w:tc>
          <w:tcPr>
            <w:tcW w:w="100" w:type="dxa"/>
            <w:vAlign w:val="bottom"/>
            <w:shd w:val="clear" w:color="auto" w:fill="CCEEFF"/>
          </w:tcPr>
          <w:p>
            <w:pPr>
              <w:spacing w:after="0"/>
              <w:rPr>
                <w:sz w:val="18"/>
                <w:szCs w:val="18"/>
                <w:color w:val="auto"/>
              </w:rPr>
            </w:pPr>
          </w:p>
        </w:tc>
      </w:tr>
      <w:tr>
        <w:trPr>
          <w:trHeight w:val="216"/>
        </w:trPr>
        <w:tc>
          <w:tcPr>
            <w:tcW w:w="3800" w:type="dxa"/>
            <w:vAlign w:val="bottom"/>
          </w:tcPr>
          <w:p>
            <w:pPr>
              <w:ind w:left="220"/>
              <w:spacing w:after="0"/>
              <w:rPr>
                <w:sz w:val="20"/>
                <w:szCs w:val="20"/>
                <w:color w:val="auto"/>
              </w:rPr>
            </w:pPr>
            <w:r>
              <w:rPr>
                <w:rFonts w:ascii="Arial" w:cs="Arial" w:eastAsia="Arial" w:hAnsi="Arial"/>
                <w:sz w:val="18"/>
                <w:szCs w:val="18"/>
                <w:color w:val="auto"/>
              </w:rPr>
              <w:t>Third Quarter</w:t>
            </w:r>
          </w:p>
        </w:tc>
        <w:tc>
          <w:tcPr>
            <w:tcW w:w="6100" w:type="dxa"/>
            <w:vAlign w:val="bottom"/>
            <w:gridSpan w:val="3"/>
          </w:tcPr>
          <w:p>
            <w:pPr>
              <w:jc w:val="center"/>
              <w:ind w:left="4512"/>
              <w:spacing w:after="0"/>
              <w:rPr>
                <w:sz w:val="20"/>
                <w:szCs w:val="20"/>
                <w:color w:val="auto"/>
              </w:rPr>
            </w:pPr>
            <w:r>
              <w:rPr>
                <w:rFonts w:ascii="Arial" w:cs="Arial" w:eastAsia="Arial" w:hAnsi="Arial"/>
                <w:sz w:val="18"/>
                <w:szCs w:val="18"/>
                <w:color w:val="auto"/>
                <w:w w:val="90"/>
              </w:rPr>
              <w:t>$32.39</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$28.16</w:t>
            </w:r>
          </w:p>
        </w:tc>
        <w:tc>
          <w:tcPr>
            <w:tcW w:w="100" w:type="dxa"/>
            <w:vAlign w:val="bottom"/>
          </w:tcPr>
          <w:p>
            <w:pPr>
              <w:spacing w:after="0"/>
              <w:rPr>
                <w:sz w:val="18"/>
                <w:szCs w:val="18"/>
                <w:color w:val="auto"/>
              </w:rPr>
            </w:pPr>
          </w:p>
        </w:tc>
      </w:tr>
      <w:tr>
        <w:trPr>
          <w:trHeight w:val="216"/>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Fourth Quarter</w:t>
            </w:r>
          </w:p>
        </w:tc>
        <w:tc>
          <w:tcPr>
            <w:tcW w:w="6100" w:type="dxa"/>
            <w:vAlign w:val="bottom"/>
            <w:gridSpan w:val="3"/>
            <w:shd w:val="clear" w:color="auto" w:fill="CCEEFF"/>
          </w:tcPr>
          <w:p>
            <w:pPr>
              <w:jc w:val="center"/>
              <w:ind w:left="4512"/>
              <w:spacing w:after="0"/>
              <w:rPr>
                <w:sz w:val="20"/>
                <w:szCs w:val="20"/>
                <w:color w:val="auto"/>
              </w:rPr>
            </w:pPr>
            <w:r>
              <w:rPr>
                <w:rFonts w:ascii="Arial" w:cs="Arial" w:eastAsia="Arial" w:hAnsi="Arial"/>
                <w:sz w:val="18"/>
                <w:szCs w:val="18"/>
                <w:color w:val="auto"/>
                <w:w w:val="90"/>
              </w:rPr>
              <w:t>$33.79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$28.41</w:t>
            </w:r>
          </w:p>
        </w:tc>
        <w:tc>
          <w:tcPr>
            <w:tcW w:w="100" w:type="dxa"/>
            <w:vAlign w:val="bottom"/>
            <w:shd w:val="clear" w:color="auto" w:fill="CCEEFF"/>
          </w:tcPr>
          <w:p>
            <w:pPr>
              <w:spacing w:after="0"/>
              <w:rPr>
                <w:sz w:val="18"/>
                <w:szCs w:val="18"/>
                <w:color w:val="auto"/>
              </w:rPr>
            </w:pPr>
          </w:p>
        </w:tc>
      </w:tr>
      <w:tr>
        <w:trPr>
          <w:trHeight w:val="363"/>
        </w:trPr>
        <w:tc>
          <w:tcPr>
            <w:tcW w:w="3800" w:type="dxa"/>
            <w:vAlign w:val="bottom"/>
          </w:tcPr>
          <w:p>
            <w:pPr>
              <w:spacing w:after="0"/>
              <w:rPr>
                <w:sz w:val="24"/>
                <w:szCs w:val="24"/>
                <w:color w:val="auto"/>
              </w:rPr>
            </w:pPr>
          </w:p>
        </w:tc>
        <w:tc>
          <w:tcPr>
            <w:tcW w:w="5100" w:type="dxa"/>
            <w:vAlign w:val="bottom"/>
          </w:tcPr>
          <w:p>
            <w:pPr>
              <w:jc w:val="right"/>
              <w:ind w:right="3472"/>
              <w:spacing w:after="0"/>
              <w:rPr>
                <w:sz w:val="20"/>
                <w:szCs w:val="20"/>
                <w:color w:val="auto"/>
              </w:rPr>
            </w:pPr>
            <w:r>
              <w:rPr>
                <w:rFonts w:ascii="Arial" w:cs="Arial" w:eastAsia="Arial" w:hAnsi="Arial"/>
                <w:sz w:val="18"/>
                <w:szCs w:val="18"/>
                <w:color w:val="auto"/>
              </w:rPr>
              <w:t>54</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00"/>
          </w:cols>
          <w:pgMar w:left="240" w:top="459"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0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High</w:t>
            </w: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Low</w:t>
            </w:r>
          </w:p>
        </w:tc>
      </w:tr>
      <w:tr>
        <w:trPr>
          <w:trHeight w:val="196"/>
        </w:trPr>
        <w:tc>
          <w:tcPr>
            <w:tcW w:w="60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Fiscal 2013:</w:t>
            </w:r>
          </w:p>
        </w:tc>
        <w:tc>
          <w:tcPr>
            <w:tcW w:w="28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First Quarter (through November 30, 2012)</w:t>
            </w:r>
          </w:p>
        </w:tc>
        <w:tc>
          <w:tcPr>
            <w:tcW w:w="3820" w:type="dxa"/>
            <w:vAlign w:val="bottom"/>
            <w:gridSpan w:val="3"/>
          </w:tcPr>
          <w:p>
            <w:pPr>
              <w:jc w:val="center"/>
              <w:ind w:left="2232"/>
              <w:spacing w:after="0"/>
              <w:rPr>
                <w:sz w:val="20"/>
                <w:szCs w:val="20"/>
                <w:color w:val="auto"/>
              </w:rPr>
            </w:pPr>
            <w:r>
              <w:rPr>
                <w:rFonts w:ascii="Arial" w:cs="Arial" w:eastAsia="Arial" w:hAnsi="Arial"/>
                <w:sz w:val="18"/>
                <w:szCs w:val="18"/>
                <w:color w:val="auto"/>
                <w:w w:val="90"/>
              </w:rPr>
              <w:t>$33.85</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$31.41</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Most Recent Six Months</w:t>
            </w:r>
          </w:p>
        </w:tc>
        <w:tc>
          <w:tcPr>
            <w:tcW w:w="2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June 2012</w:t>
            </w:r>
          </w:p>
        </w:tc>
        <w:tc>
          <w:tcPr>
            <w:tcW w:w="3820" w:type="dxa"/>
            <w:vAlign w:val="bottom"/>
            <w:gridSpan w:val="3"/>
          </w:tcPr>
          <w:p>
            <w:pPr>
              <w:jc w:val="center"/>
              <w:ind w:left="2232"/>
              <w:spacing w:after="0"/>
              <w:rPr>
                <w:sz w:val="20"/>
                <w:szCs w:val="20"/>
                <w:color w:val="auto"/>
              </w:rPr>
            </w:pPr>
            <w:r>
              <w:rPr>
                <w:rFonts w:ascii="Arial" w:cs="Arial" w:eastAsia="Arial" w:hAnsi="Arial"/>
                <w:sz w:val="18"/>
                <w:szCs w:val="18"/>
                <w:color w:val="auto"/>
                <w:w w:val="90"/>
              </w:rPr>
              <w:t>$29.95</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$28.16</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July 2012</w:t>
            </w:r>
          </w:p>
        </w:tc>
        <w:tc>
          <w:tcPr>
            <w:tcW w:w="3820" w:type="dxa"/>
            <w:vAlign w:val="bottom"/>
            <w:gridSpan w:val="3"/>
            <w:shd w:val="clear" w:color="auto" w:fill="CCEEFF"/>
          </w:tcPr>
          <w:p>
            <w:pPr>
              <w:jc w:val="center"/>
              <w:ind w:left="2232"/>
              <w:spacing w:after="0"/>
              <w:rPr>
                <w:sz w:val="20"/>
                <w:szCs w:val="20"/>
                <w:color w:val="auto"/>
              </w:rPr>
            </w:pPr>
            <w:r>
              <w:rPr>
                <w:rFonts w:ascii="Arial" w:cs="Arial" w:eastAsia="Arial" w:hAnsi="Arial"/>
                <w:sz w:val="18"/>
                <w:szCs w:val="18"/>
                <w:color w:val="auto"/>
                <w:w w:val="90"/>
              </w:rPr>
              <w:t>$30.42</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$28.69</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August 2012</w:t>
            </w:r>
          </w:p>
        </w:tc>
        <w:tc>
          <w:tcPr>
            <w:tcW w:w="3820" w:type="dxa"/>
            <w:vAlign w:val="bottom"/>
            <w:gridSpan w:val="3"/>
          </w:tcPr>
          <w:p>
            <w:pPr>
              <w:jc w:val="center"/>
              <w:ind w:left="2232"/>
              <w:spacing w:after="0"/>
              <w:rPr>
                <w:sz w:val="20"/>
                <w:szCs w:val="20"/>
                <w:color w:val="auto"/>
              </w:rPr>
            </w:pPr>
            <w:r>
              <w:rPr>
                <w:rFonts w:ascii="Arial" w:cs="Arial" w:eastAsia="Arial" w:hAnsi="Arial"/>
                <w:sz w:val="18"/>
                <w:szCs w:val="18"/>
                <w:color w:val="auto"/>
                <w:w w:val="90"/>
              </w:rPr>
              <w:t>$32.58</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$28.41</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September 2012</w:t>
            </w:r>
          </w:p>
        </w:tc>
        <w:tc>
          <w:tcPr>
            <w:tcW w:w="3820" w:type="dxa"/>
            <w:vAlign w:val="bottom"/>
            <w:gridSpan w:val="3"/>
            <w:shd w:val="clear" w:color="auto" w:fill="CCEEFF"/>
          </w:tcPr>
          <w:p>
            <w:pPr>
              <w:jc w:val="center"/>
              <w:ind w:left="2232"/>
              <w:spacing w:after="0"/>
              <w:rPr>
                <w:sz w:val="20"/>
                <w:szCs w:val="20"/>
                <w:color w:val="auto"/>
              </w:rPr>
            </w:pPr>
            <w:r>
              <w:rPr>
                <w:rFonts w:ascii="Arial" w:cs="Arial" w:eastAsia="Arial" w:hAnsi="Arial"/>
                <w:sz w:val="18"/>
                <w:szCs w:val="18"/>
                <w:color w:val="auto"/>
                <w:w w:val="90"/>
              </w:rPr>
              <w:t>$33.79</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$31.98</w:t>
            </w: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October 2012</w:t>
            </w:r>
          </w:p>
        </w:tc>
        <w:tc>
          <w:tcPr>
            <w:tcW w:w="3820" w:type="dxa"/>
            <w:vAlign w:val="bottom"/>
            <w:gridSpan w:val="3"/>
          </w:tcPr>
          <w:p>
            <w:pPr>
              <w:jc w:val="center"/>
              <w:ind w:left="2232"/>
              <w:spacing w:after="0"/>
              <w:rPr>
                <w:sz w:val="20"/>
                <w:szCs w:val="20"/>
                <w:color w:val="auto"/>
              </w:rPr>
            </w:pPr>
            <w:r>
              <w:rPr>
                <w:rFonts w:ascii="Arial" w:cs="Arial" w:eastAsia="Arial" w:hAnsi="Arial"/>
                <w:sz w:val="18"/>
                <w:szCs w:val="18"/>
                <w:color w:val="auto"/>
                <w:w w:val="90"/>
              </w:rPr>
              <w:t>$33.32</w:t>
            </w:r>
          </w:p>
        </w:tc>
        <w:tc>
          <w:tcPr>
            <w:tcW w:w="500" w:type="dxa"/>
            <w:vAlign w:val="bottom"/>
          </w:tcPr>
          <w:p>
            <w:pPr>
              <w:jc w:val="center"/>
              <w:spacing w:after="0"/>
              <w:rPr>
                <w:sz w:val="20"/>
                <w:szCs w:val="20"/>
                <w:color w:val="auto"/>
              </w:rPr>
            </w:pPr>
            <w:r>
              <w:rPr>
                <w:rFonts w:ascii="Arial" w:cs="Arial" w:eastAsia="Arial" w:hAnsi="Arial"/>
                <w:sz w:val="18"/>
                <w:szCs w:val="18"/>
                <w:color w:val="auto"/>
                <w:w w:val="90"/>
              </w:rPr>
              <w:t>$32.06</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November 2012</w:t>
            </w:r>
          </w:p>
        </w:tc>
        <w:tc>
          <w:tcPr>
            <w:tcW w:w="3820" w:type="dxa"/>
            <w:vAlign w:val="bottom"/>
            <w:gridSpan w:val="3"/>
            <w:shd w:val="clear" w:color="auto" w:fill="CCEEFF"/>
          </w:tcPr>
          <w:p>
            <w:pPr>
              <w:jc w:val="center"/>
              <w:ind w:left="2232"/>
              <w:spacing w:after="0"/>
              <w:rPr>
                <w:sz w:val="20"/>
                <w:szCs w:val="20"/>
                <w:color w:val="auto"/>
              </w:rPr>
            </w:pPr>
            <w:r>
              <w:rPr>
                <w:rFonts w:ascii="Arial" w:cs="Arial" w:eastAsia="Arial" w:hAnsi="Arial"/>
                <w:sz w:val="18"/>
                <w:szCs w:val="18"/>
                <w:color w:val="auto"/>
                <w:w w:val="90"/>
              </w:rPr>
              <w:t>$33.85</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$31.41</w:t>
            </w:r>
          </w:p>
        </w:tc>
        <w:tc>
          <w:tcPr>
            <w:tcW w:w="100" w:type="dxa"/>
            <w:vAlign w:val="bottom"/>
            <w:shd w:val="clear" w:color="auto" w:fill="CCEEFF"/>
          </w:tcPr>
          <w:p>
            <w:pPr>
              <w:spacing w:after="0"/>
              <w:rPr>
                <w:sz w:val="18"/>
                <w:szCs w:val="18"/>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10. </w:t>
      </w:r>
      <w:r>
        <w:rPr>
          <w:rFonts w:ascii="Arial" w:cs="Arial" w:eastAsia="Arial" w:hAnsi="Arial"/>
          <w:sz w:val="18"/>
          <w:szCs w:val="18"/>
          <w:b w:val="1"/>
          <w:bCs w:val="1"/>
          <w:i w:val="1"/>
          <w:iCs w:val="1"/>
          <w:color w:val="auto"/>
        </w:rPr>
        <w:t>ADDITIONAL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Memorandum and Articles of Incorporation</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Amdocs Limited is registered as a company with limited liability pursuant to the laws of the Island of Guernsey with company number 19528 and whose registered office situated at Suite 5, Tower Hill House, Le Bordage, St Peter Port, Guernsey, GY1 3QT. The telephone number at that location is +44-1481-728444.</w:t>
      </w:r>
    </w:p>
    <w:p>
      <w:pPr>
        <w:spacing w:after="0" w:line="59"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Our Memorandum of Incorporation, or the Memorandum, provides that the objects and powers of Amdocs Limited are not restricted and our Articles of Incorporation, or the Articles, provide that our business is to engage in any lawful act or activity for which companies may be organized under the Companies (Guernsey) Law, 2008, as amended, or the Companies Law.</w:t>
      </w:r>
    </w:p>
    <w:p>
      <w:pPr>
        <w:spacing w:after="0" w:line="59"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Articles grant the Board of Directors all the powers necessary for managing, directing and supervising the management of the business and affairs of Amdocs Limited.</w:t>
      </w:r>
    </w:p>
    <w:p>
      <w:pPr>
        <w:spacing w:after="0" w:line="51"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Article 70(1) of the Articles provides that a director may vote in respect of any contract or arrangement in which such director has an interest notwithstanding such director’s interest and an interested director will not be liable to us for any profit realized through any such contract or arrangement by reason of such director holding the office of director. Article 71(1) of the Articles provides that the directors shall be paid out of the funds of Amdocs Limited by way of fees such sums as the Board shall reasonably determine. Article 73 of the Articles provides that directors may exercise all the powers of Amdocs Limited to borrow money, and to mortgage or charge its undertaking, property and uncalled capital or any part thereof, and to issue securities whether outright or as security for any debt, liability or obligation of Amdocs Limited for any third party. Such borrowing powers can only be altered through an amendment to the Articles by special resolution. Our Memorandum and Articles do not impose a requirement on the directors to own shares of Amdocs Limited in order to serve as directors, however, the Board of Directors has adopted guidelines for minimum share ownership by the directors, who have until the end of 2013 to be in compliance with the guidelines.</w:t>
      </w:r>
    </w:p>
    <w:p>
      <w:pPr>
        <w:spacing w:after="0" w:line="39"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On January 22, 2009 the Board of Directors was granted a five-year standing authority by the shareholders to issue a maximum of (i) 25,000,000 preferred shares and (ii) 700,000,000 ordinary shares, consisting of voting and non-voting ordinary shares. As of September 30, 2012, 162,454,100 ordinary shares were outstanding (net of treasury shares) and no non-voting ordinary shares or preferred shares were outstanding. The rights, preferences and restrictions attaching to each class of the shares were not changed by the amendment to our charter documents and are set out in the Memorandum and Articles and are as follows:</w:t>
      </w:r>
    </w:p>
    <w:p>
      <w:pPr>
        <w:spacing w:after="0" w:line="9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90" w:lineRule="exact"/>
        <w:rPr>
          <w:sz w:val="20"/>
          <w:szCs w:val="20"/>
          <w:color w:val="auto"/>
        </w:rPr>
      </w:pPr>
    </w:p>
    <w:p>
      <w:pPr>
        <w:ind w:left="660" w:hanging="206"/>
        <w:spacing w:after="0"/>
        <w:tabs>
          <w:tab w:leader="none" w:pos="660" w:val="left"/>
        </w:tabs>
        <w:numPr>
          <w:ilvl w:val="0"/>
          <w:numId w:val="41"/>
        </w:numPr>
        <w:rPr>
          <w:rFonts w:ascii="Arial" w:cs="Arial" w:eastAsia="Arial" w:hAnsi="Arial"/>
          <w:sz w:val="16"/>
          <w:szCs w:val="16"/>
          <w:color w:val="auto"/>
        </w:rPr>
      </w:pPr>
      <w:r>
        <w:rPr>
          <w:rFonts w:ascii="Arial" w:cs="Arial" w:eastAsia="Arial" w:hAnsi="Arial"/>
          <w:sz w:val="16"/>
          <w:szCs w:val="16"/>
          <w:i w:val="1"/>
          <w:iCs w:val="1"/>
          <w:color w:val="auto"/>
        </w:rPr>
        <w:t xml:space="preserve">Issue </w:t>
      </w:r>
      <w:r>
        <w:rPr>
          <w:rFonts w:ascii="Arial" w:cs="Arial" w:eastAsia="Arial" w:hAnsi="Arial"/>
          <w:sz w:val="16"/>
          <w:szCs w:val="16"/>
          <w:color w:val="auto"/>
        </w:rPr>
        <w:t>— the preferred shares may be issued from time to time in one or more series of any number of shares up to the amount authorized.</w:t>
      </w:r>
    </w:p>
    <w:p>
      <w:pPr>
        <w:spacing w:after="0" w:line="113" w:lineRule="exact"/>
        <w:rPr>
          <w:rFonts w:ascii="Arial" w:cs="Arial" w:eastAsia="Arial" w:hAnsi="Arial"/>
          <w:sz w:val="16"/>
          <w:szCs w:val="16"/>
          <w:color w:val="auto"/>
        </w:rPr>
      </w:pPr>
    </w:p>
    <w:p>
      <w:pPr>
        <w:jc w:val="both"/>
        <w:ind w:left="660" w:right="60" w:hanging="206"/>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Authorization to Issue Preferred Shares </w:t>
      </w:r>
      <w:r>
        <w:rPr>
          <w:rFonts w:ascii="Arial" w:cs="Arial" w:eastAsia="Arial" w:hAnsi="Arial"/>
          <w:sz w:val="18"/>
          <w:szCs w:val="18"/>
          <w:color w:val="auto"/>
        </w:rPr>
        <w:t>— authority is vested in the directors from time to time to authorize the issue of one or more series of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and to provide for the designations, powers, preferences and relative participating, optional or other special rights and qualifications, limitations or restrictions thereon.</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459" w:right="2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220" w:hanging="206"/>
        <w:spacing w:after="0" w:line="268"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Relative Rights </w:t>
      </w:r>
      <w:r>
        <w:rPr>
          <w:rFonts w:ascii="Arial" w:cs="Arial" w:eastAsia="Arial" w:hAnsi="Arial"/>
          <w:sz w:val="18"/>
          <w:szCs w:val="18"/>
          <w:color w:val="auto"/>
        </w:rPr>
        <w:t>— all shares of any one series of preferred shares must be identical with each other in all respects, except that shares of any one series</w:t>
      </w:r>
      <w:r>
        <w:rPr>
          <w:rFonts w:ascii="Arial" w:cs="Arial" w:eastAsia="Arial" w:hAnsi="Arial"/>
          <w:sz w:val="18"/>
          <w:szCs w:val="18"/>
          <w:i w:val="1"/>
          <w:iCs w:val="1"/>
          <w:color w:val="auto"/>
        </w:rPr>
        <w:t xml:space="preserve"> </w:t>
      </w:r>
      <w:r>
        <w:rPr>
          <w:rFonts w:ascii="Arial" w:cs="Arial" w:eastAsia="Arial" w:hAnsi="Arial"/>
          <w:sz w:val="18"/>
          <w:szCs w:val="18"/>
          <w:color w:val="auto"/>
        </w:rPr>
        <w:t>issued at different times may differ as to the dates from which dividends shall accrue.</w:t>
      </w:r>
    </w:p>
    <w:p>
      <w:pPr>
        <w:spacing w:after="0" w:line="50" w:lineRule="exact"/>
        <w:rPr>
          <w:rFonts w:ascii="Arial" w:cs="Arial" w:eastAsia="Arial" w:hAnsi="Arial"/>
          <w:sz w:val="18"/>
          <w:szCs w:val="18"/>
          <w:color w:val="auto"/>
        </w:rPr>
      </w:pPr>
    </w:p>
    <w:p>
      <w:pPr>
        <w:ind w:left="660" w:hanging="206"/>
        <w:spacing w:after="0" w:line="254"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 in the event of any liquidation, dissolution or winding-up of Amdocs Limited, the holders of preferred shares are entitled to a preference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respect to payment and to receive payment (at the rate fixed in any resolution or resolutions adopted by the directors in such case) plus an amount equal to all dividends accumulated to the date of final distribution to such holders. The holders of preferred shares are entitled to no further payment other than that stated above. If upon any liquidation our assets are insufficient to pay in full the amount stated above, then such assets shall be distributed among the holders of preferred shares ratably in accordance with the respective amount such holder would have received if all amounts had been paid in full.</w:t>
      </w:r>
    </w:p>
    <w:p>
      <w:pPr>
        <w:spacing w:after="0" w:line="63" w:lineRule="exact"/>
        <w:rPr>
          <w:rFonts w:ascii="Arial" w:cs="Arial" w:eastAsia="Arial" w:hAnsi="Arial"/>
          <w:sz w:val="18"/>
          <w:szCs w:val="18"/>
          <w:color w:val="auto"/>
        </w:rPr>
      </w:pPr>
    </w:p>
    <w:p>
      <w:pPr>
        <w:ind w:left="660" w:right="220" w:hanging="206"/>
        <w:spacing w:after="0" w:line="370" w:lineRule="auto"/>
        <w:tabs>
          <w:tab w:leader="none" w:pos="660" w:val="left"/>
        </w:tabs>
        <w:numPr>
          <w:ilvl w:val="0"/>
          <w:numId w:val="42"/>
        </w:numPr>
        <w:rPr>
          <w:rFonts w:ascii="Arial" w:cs="Arial" w:eastAsia="Arial" w:hAnsi="Arial"/>
          <w:sz w:val="15"/>
          <w:szCs w:val="15"/>
          <w:color w:val="auto"/>
        </w:rPr>
      </w:pPr>
      <w:r>
        <w:rPr>
          <w:rFonts w:ascii="Arial" w:cs="Arial" w:eastAsia="Arial" w:hAnsi="Arial"/>
          <w:sz w:val="15"/>
          <w:szCs w:val="15"/>
          <w:i w:val="1"/>
          <w:iCs w:val="1"/>
          <w:color w:val="auto"/>
        </w:rPr>
        <w:t xml:space="preserve">Voting Rights </w:t>
      </w:r>
      <w:r>
        <w:rPr>
          <w:rFonts w:ascii="Arial" w:cs="Arial" w:eastAsia="Arial" w:hAnsi="Arial"/>
          <w:sz w:val="15"/>
          <w:szCs w:val="15"/>
          <w:color w:val="auto"/>
        </w:rPr>
        <w:t>— except as otherwise provided for by the directors upon the issue of any new series of preferred shares, the holders of preferred shares</w:t>
      </w:r>
      <w:r>
        <w:rPr>
          <w:rFonts w:ascii="Arial" w:cs="Arial" w:eastAsia="Arial" w:hAnsi="Arial"/>
          <w:sz w:val="15"/>
          <w:szCs w:val="15"/>
          <w:i w:val="1"/>
          <w:iCs w:val="1"/>
          <w:color w:val="auto"/>
        </w:rPr>
        <w:t xml:space="preserve"> </w:t>
      </w:r>
      <w:r>
        <w:rPr>
          <w:rFonts w:ascii="Arial" w:cs="Arial" w:eastAsia="Arial" w:hAnsi="Arial"/>
          <w:sz w:val="15"/>
          <w:szCs w:val="15"/>
          <w:color w:val="auto"/>
        </w:rPr>
        <w:t>have no right or power to vote on any question or in any proceeding or to be represented at, or to receive notice of, any meeting of shareholders.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Ordinary Shares and Non-Voting Ordinary Shares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Except as otherwise provided by the Memorandum and Articles, the ordinary shares and non-voting ordinary shares are identical and entitle holders thereof to the same rights and privileges.</w:t>
      </w:r>
    </w:p>
    <w:p>
      <w:pPr>
        <w:spacing w:after="0" w:line="51" w:lineRule="exact"/>
        <w:rPr>
          <w:sz w:val="20"/>
          <w:szCs w:val="20"/>
          <w:color w:val="auto"/>
        </w:rPr>
      </w:pPr>
    </w:p>
    <w:p>
      <w:pPr>
        <w:ind w:left="660" w:right="20" w:hanging="206"/>
        <w:spacing w:after="0" w:line="25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 when and as dividends are declared on our shares, the holders of voting ordinary shares and non-voting shares are entitled to share equally,</w:t>
      </w:r>
      <w:r>
        <w:rPr>
          <w:rFonts w:ascii="Arial" w:cs="Arial" w:eastAsia="Arial" w:hAnsi="Arial"/>
          <w:sz w:val="18"/>
          <w:szCs w:val="18"/>
          <w:i w:val="1"/>
          <w:iCs w:val="1"/>
          <w:color w:val="auto"/>
        </w:rPr>
        <w:t xml:space="preserve"> </w:t>
      </w:r>
      <w:r>
        <w:rPr>
          <w:rFonts w:ascii="Arial" w:cs="Arial" w:eastAsia="Arial" w:hAnsi="Arial"/>
          <w:sz w:val="18"/>
          <w:szCs w:val="18"/>
          <w:color w:val="auto"/>
        </w:rPr>
        <w:t>share for share, in such dividends except that if dividends are declared that are payable in voting ordinary shares or non-voting ordinary shares, dividends must be declared that are payable at the same rate in both classes of shares.</w:t>
      </w:r>
    </w:p>
    <w:p>
      <w:pPr>
        <w:spacing w:after="0" w:line="59" w:lineRule="exact"/>
        <w:rPr>
          <w:rFonts w:ascii="Arial" w:cs="Arial" w:eastAsia="Arial" w:hAnsi="Arial"/>
          <w:sz w:val="18"/>
          <w:szCs w:val="18"/>
          <w:color w:val="auto"/>
        </w:rPr>
      </w:pPr>
    </w:p>
    <w:p>
      <w:pPr>
        <w:ind w:left="660" w:right="60" w:hanging="206"/>
        <w:spacing w:after="0" w:line="259"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Conversion of Non-Voting Ordinary Shares into Voting Ordinary Shares </w:t>
      </w:r>
      <w:r>
        <w:rPr>
          <w:rFonts w:ascii="Arial" w:cs="Arial" w:eastAsia="Arial" w:hAnsi="Arial"/>
          <w:sz w:val="18"/>
          <w:szCs w:val="18"/>
          <w:color w:val="auto"/>
        </w:rPr>
        <w:t>— upon the transfer of non-voting ordinary shares from the original holder</w:t>
      </w:r>
      <w:r>
        <w:rPr>
          <w:rFonts w:ascii="Arial" w:cs="Arial" w:eastAsia="Arial" w:hAnsi="Arial"/>
          <w:sz w:val="18"/>
          <w:szCs w:val="18"/>
          <w:i w:val="1"/>
          <w:iCs w:val="1"/>
          <w:color w:val="auto"/>
        </w:rPr>
        <w:t xml:space="preserve"> </w:t>
      </w:r>
      <w:r>
        <w:rPr>
          <w:rFonts w:ascii="Arial" w:cs="Arial" w:eastAsia="Arial" w:hAnsi="Arial"/>
          <w:sz w:val="18"/>
          <w:szCs w:val="18"/>
          <w:color w:val="auto"/>
        </w:rPr>
        <w:t>thereof to any third party not affiliated with such original holder, non-voting ordinary shares are redesignated in our books as voting ordinary shares and automatically convert into the same number of voting ordinary shares.</w:t>
      </w:r>
    </w:p>
    <w:p>
      <w:pPr>
        <w:spacing w:after="0" w:line="59" w:lineRule="exact"/>
        <w:rPr>
          <w:rFonts w:ascii="Arial" w:cs="Arial" w:eastAsia="Arial" w:hAnsi="Arial"/>
          <w:sz w:val="18"/>
          <w:szCs w:val="18"/>
          <w:color w:val="auto"/>
        </w:rPr>
      </w:pPr>
    </w:p>
    <w:p>
      <w:pPr>
        <w:ind w:left="660" w:right="220" w:hanging="206"/>
        <w:spacing w:after="0" w:line="332" w:lineRule="auto"/>
        <w:tabs>
          <w:tab w:leader="none" w:pos="660" w:val="left"/>
        </w:tabs>
        <w:numPr>
          <w:ilvl w:val="0"/>
          <w:numId w:val="43"/>
        </w:numPr>
        <w:rPr>
          <w:rFonts w:ascii="Arial" w:cs="Arial" w:eastAsia="Arial" w:hAnsi="Arial"/>
          <w:sz w:val="16"/>
          <w:szCs w:val="16"/>
          <w:color w:val="auto"/>
        </w:rPr>
      </w:pPr>
      <w:r>
        <w:rPr>
          <w:rFonts w:ascii="Arial" w:cs="Arial" w:eastAsia="Arial" w:hAnsi="Arial"/>
          <w:sz w:val="16"/>
          <w:szCs w:val="16"/>
          <w:i w:val="1"/>
          <w:iCs w:val="1"/>
          <w:color w:val="auto"/>
        </w:rPr>
        <w:t xml:space="preserve">Liquidation </w:t>
      </w:r>
      <w:r>
        <w:rPr>
          <w:rFonts w:ascii="Arial" w:cs="Arial" w:eastAsia="Arial" w:hAnsi="Arial"/>
          <w:sz w:val="16"/>
          <w:szCs w:val="16"/>
          <w:color w:val="auto"/>
        </w:rPr>
        <w:t>— upon any liquidation, dissolution or winding-up, any assets remaining after creditors and the holders of any preferred shares have been</w:t>
      </w:r>
      <w:r>
        <w:rPr>
          <w:rFonts w:ascii="Arial" w:cs="Arial" w:eastAsia="Arial" w:hAnsi="Arial"/>
          <w:sz w:val="16"/>
          <w:szCs w:val="16"/>
          <w:i w:val="1"/>
          <w:iCs w:val="1"/>
          <w:color w:val="auto"/>
        </w:rPr>
        <w:t xml:space="preserve"> </w:t>
      </w:r>
      <w:r>
        <w:rPr>
          <w:rFonts w:ascii="Arial" w:cs="Arial" w:eastAsia="Arial" w:hAnsi="Arial"/>
          <w:sz w:val="16"/>
          <w:szCs w:val="16"/>
          <w:color w:val="auto"/>
        </w:rPr>
        <w:t>paid in full shall be distributed to the holders of voting ordinary shares and non-voting ordinary shares equally share for share.</w:t>
      </w:r>
    </w:p>
    <w:p>
      <w:pPr>
        <w:spacing w:after="0" w:line="4" w:lineRule="exact"/>
        <w:rPr>
          <w:rFonts w:ascii="Arial" w:cs="Arial" w:eastAsia="Arial" w:hAnsi="Arial"/>
          <w:sz w:val="16"/>
          <w:szCs w:val="16"/>
          <w:color w:val="auto"/>
        </w:rPr>
      </w:pPr>
    </w:p>
    <w:p>
      <w:pPr>
        <w:ind w:left="660" w:right="440" w:hanging="206"/>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the holders of voting ordinary shares are entitled to vote on all matters to be voted on by the shareholders, and the holders of non-voting ordinary shares are not entitled to any voting rights.</w:t>
      </w:r>
    </w:p>
    <w:p>
      <w:pPr>
        <w:spacing w:after="0" w:line="50"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i w:val="1"/>
          <w:iCs w:val="1"/>
          <w:color w:val="auto"/>
        </w:rPr>
        <w:t xml:space="preserve">Preferences </w:t>
      </w:r>
      <w:r>
        <w:rPr>
          <w:rFonts w:ascii="Arial" w:cs="Arial" w:eastAsia="Arial" w:hAnsi="Arial"/>
          <w:sz w:val="18"/>
          <w:szCs w:val="18"/>
          <w:color w:val="auto"/>
        </w:rPr>
        <w:t>— the voting ordinary shares and non-voting ordinary shares are subject to all the powers, rights, privileges, preferences and priorities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shares as are set out in the Articles.</w:t>
      </w:r>
    </w:p>
    <w:p>
      <w:pPr>
        <w:spacing w:after="0" w:line="51"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As regards both preferred shares and voting and non-voting ordinary shares, we have the power to purchase any of our own shares, whether or not they are redeemable and may make a payment out of capital for such purchase. If we repurchase shares off market, the repurchase must be approved by special resolution of our shareholders. If we are making a market acquisition of our own shares, the acquisition must be approved by an ordinary resolution of our shareholders. In practice, we expect that we would continue to effect any future repurchases of our ordinary shares through our subsidiaries.</w:t>
      </w:r>
    </w:p>
    <w:p>
      <w:pPr>
        <w:spacing w:after="0" w:line="32"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Articles now provide that our directors, officers and other agents will be indemnified by us from and against all liabilities to Amdocs Limited or third parties (including our shareholders) sustained in connection with their performance of their duties, except to the extent prohibited by the Companies Law. Under the Companies Law, Amdocs Limited may not indemnify a director for certain excluded liabilities, which are:</w:t>
      </w:r>
    </w:p>
    <w:p>
      <w:pPr>
        <w:spacing w:after="0" w:line="26" w:lineRule="exact"/>
        <w:rPr>
          <w:sz w:val="20"/>
          <w:szCs w:val="20"/>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fines imposed in criminal proceedings;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fines;</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expenses incurred in defending criminal proceedings resulting in a conviction;</w:t>
      </w: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right="520" w:hanging="206"/>
        <w:spacing w:after="0" w:line="268"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expenses incurred in defending civil proceedings brought by Amdocs Limited or an affiliated company in which judgment is rendered against the director; and</w:t>
      </w:r>
    </w:p>
    <w:p>
      <w:pPr>
        <w:spacing w:after="0" w:line="50" w:lineRule="exact"/>
        <w:rPr>
          <w:rFonts w:ascii="Arial" w:cs="Arial" w:eastAsia="Arial" w:hAnsi="Arial"/>
          <w:sz w:val="18"/>
          <w:szCs w:val="18"/>
          <w:color w:val="auto"/>
        </w:rPr>
      </w:pPr>
    </w:p>
    <w:p>
      <w:pPr>
        <w:ind w:left="660" w:hanging="20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expenses incurred in unsuccessfully seeking judicial relief from claims of a breach of duty.</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addition to the excluded liabilities listed above, directors may also not be indemnified by us for liabilities to us or any of our subsidiaries arising out of negligence, default, breach of duty or breach of trust of a director in relation to us or any of our subsidiaries. The Companies Law authorizes Guernsey companies to purchase insurance against such liabilities to companies or to third parties for the benefit of directors. We currently maintain such insurance. Judicial relief is available for an officer charged with a neglect of duty if the court determines that such person acted honestly and reasonably, having regard to all the circumstances of the case.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There are no provisions in the Memorandum or Articles that provide for a classified board of directors or for cumulative voting for directors.</w:t>
      </w:r>
    </w:p>
    <w:p>
      <w:pPr>
        <w:spacing w:after="0" w:line="113"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If the share capital is divided into different classes of shares, Article 11 of the Articles provides that the rights attached to any class of shares (unless otherwise provided by the terms of issue) may be varied with the consent in writing of the holders of three-fourths of the issued shares of that class or with the sanction of a special resolution of the holders of the shares of that class.</w:t>
      </w:r>
    </w:p>
    <w:p>
      <w:pPr>
        <w:spacing w:after="0" w:line="5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 special resolution is defined by the Companies Law as being a resolution passed by a majority of shareholders representing not less than 75% of the total voting rights of the shareholders present in person or by proxy.</w:t>
      </w:r>
    </w:p>
    <w:p>
      <w:pPr>
        <w:spacing w:after="0" w:line="5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Rather than attend general or special meetings of our shareholders, shareholders may confer voting authority by proxy to be represented at such meetings. Generally speaking, proxies will not be counted as voting in respect of any matter as to which abstention is indicated, but abstentions will be counted as ordinary shares that are present for purposes of determining whether a quorum is present at a general or special meeting. Nominees who are members of the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we will not count those votes in favor of such matter, however, such “broker non-votes” will be counted as ordinary shares that are present for purposes of determining whether a quorum is present.</w:t>
      </w:r>
    </w:p>
    <w:p>
      <w:pPr>
        <w:spacing w:after="0" w:line="37"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Provisions in respect of the holding of general meetings and extraordinary general meetings are set out at Articles 22-41 of the Articles. The Articles provide that an annual general meeting must be held once in every calendar year (provided that not more than 15 months have elapsed since the last such meeting) at such time and place as the directors appoint. The shareholders of the Company may waive the requirement to hold an annual general meeting in accordance with the Companies Law. The directors may, whenever they deem fit, convene an extraordinary general meeting. General meetings may be convened by any shareholders holding more than 10% in the aggregate of Amdocs Limited’s share capital. Shareholders may participate in general meetings by video link, telephone conference call or other electronic or telephonic means of communication.</w:t>
      </w:r>
    </w:p>
    <w:p>
      <w:pPr>
        <w:spacing w:after="0" w:line="3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 minimum of ten days’ written notice is required in connection with an annual general meeting and a minimum of 14 days’ written notice is required for an extraordinary general meeting, although a general meeting may be called by shorter notice if all shareholders entitled to attend and vote agree. The notice shall specify the place, the day and the hour of the meeting, and in the case of any special business, the general nature of that business and details of any special resolutions, waiver resolutions or unanimous resolutions being proposed at the meeting. The notice must be sent to every shareholder and every director and may be published on a website.</w:t>
      </w:r>
    </w:p>
    <w:p>
      <w:pPr>
        <w:spacing w:after="0" w:line="62"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At general meetings, the Chairman of the Board may choose whether a resolution put to a vote shall be decided by a show of hands or by a poll. However, a poll may be demanded by not less than five shareholders having the right to vote on the resolution or by shareholders representing not less than 10% of the total voting rights of all shareholders having the right to vote on the resolution.</w:t>
      </w:r>
    </w:p>
    <w:p>
      <w:pPr>
        <w:spacing w:after="0" w:line="59"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 shareholder is entitled to appoint another person as his proxy to exercise all or any of his rights to attend and to speak and vote at a meeting of Amdocs Limited.</w:t>
      </w:r>
    </w:p>
    <w:p>
      <w:pPr>
        <w:spacing w:after="0" w:line="2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Limited may pass resolutions by way of written resolution.</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There are no limitations on the rights to own securities, including the rights of non-resident or foreign shareholders to hold or exercise voting rights on the securities.</w:t>
      </w:r>
    </w:p>
    <w:p>
      <w:pPr>
        <w:spacing w:after="0" w:line="51"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There are no provisions in the Memorandum or Articles that would have the effect of delaying, deferring or preventing a change in control of Amdocs Limited and that would operate only with respect to a merger, acquisition or corporate restructuring involving us (or any of our subsidiaries).</w:t>
      </w:r>
    </w:p>
    <w:p>
      <w:pPr>
        <w:spacing w:after="0" w:line="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There are no provisions in the Memorandum or Articles governing the ownership threshold above which our shareholder ownership must be disclosed. U.S. federal law, however, requires that all directors, executive officers and holders of 10% or more of the stock of a company that has a class of stock registered under the Securities Exchange Act of 1934, as amended (other than a foreign private issuer, such as Amdocs Limited), disclose such ownership. In addition, holders of more than 5% of a registered equity security of a company (including a foreign private issuer) must disclose such ownership.</w:t>
      </w:r>
    </w:p>
    <w:p>
      <w:pPr>
        <w:spacing w:after="0" w:line="32" w:lineRule="exact"/>
        <w:rPr>
          <w:sz w:val="20"/>
          <w:szCs w:val="20"/>
          <w:color w:val="auto"/>
        </w:rPr>
      </w:pPr>
    </w:p>
    <w:p>
      <w:pPr>
        <w:ind w:right="860" w:firstLine="456"/>
        <w:spacing w:after="0" w:line="391" w:lineRule="auto"/>
        <w:rPr>
          <w:sz w:val="20"/>
          <w:szCs w:val="20"/>
          <w:color w:val="auto"/>
        </w:rPr>
      </w:pPr>
      <w:r>
        <w:rPr>
          <w:rFonts w:ascii="Arial" w:cs="Arial" w:eastAsia="Arial" w:hAnsi="Arial"/>
          <w:sz w:val="18"/>
          <w:szCs w:val="18"/>
          <w:color w:val="auto"/>
        </w:rPr>
        <w:t xml:space="preserve">The directors may reduce our share capital or any other capital subject to us satisfying the solvency requirements set out in the Companies Law. </w:t>
      </w:r>
      <w:r>
        <w:rPr>
          <w:rFonts w:ascii="Arial" w:cs="Arial" w:eastAsia="Arial" w:hAnsi="Arial"/>
          <w:sz w:val="18"/>
          <w:szCs w:val="18"/>
          <w:b w:val="1"/>
          <w:bCs w:val="1"/>
          <w:color w:val="auto"/>
        </w:rPr>
        <w:t>Material Contracts</w:t>
      </w:r>
    </w:p>
    <w:p>
      <w:pPr>
        <w:spacing w:after="0" w:line="1" w:lineRule="exact"/>
        <w:rPr>
          <w:sz w:val="20"/>
          <w:szCs w:val="20"/>
          <w:color w:val="auto"/>
        </w:rPr>
      </w:pPr>
    </w:p>
    <w:p>
      <w:pPr>
        <w:jc w:val="both"/>
        <w:ind w:right="160" w:firstLine="456"/>
        <w:spacing w:after="0" w:line="298" w:lineRule="auto"/>
        <w:rPr>
          <w:sz w:val="20"/>
          <w:szCs w:val="20"/>
          <w:color w:val="auto"/>
        </w:rPr>
      </w:pPr>
      <w:r>
        <w:rPr>
          <w:rFonts w:ascii="Arial" w:cs="Arial" w:eastAsia="Arial" w:hAnsi="Arial"/>
          <w:sz w:val="16"/>
          <w:szCs w:val="16"/>
          <w:color w:val="auto"/>
        </w:rPr>
        <w:t>On December 20, 2011, we entered into a Credit Agreement among us, certain of our subsidiaries, the lenders from time to time party thereto, JPMorgan Chase Bank, N.A., as administrative agent, J.P. Morgan Europe Limited, as London agent, and JPMorgan Chase Bank, N.A., Toronto branch, as Canadian agent providing for an unsecured $500 million five-year revolving credit facility with a syndicate of banks, which facility is available for general corporate purposes, including acquisitions and repurchases of our ordinary shares that we may consider from time to time.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past two years, we have not entered into any other material contracts other than contracts entered into in the ordinary course of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of the Company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following is a summary of certain material tax considerations relating to Amdocs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effective tax rate was 11.4% for fiscal 2012, compared to 12.4% for fiscal 2011 and 10.7% for fiscal 2010.</w:t>
      </w:r>
    </w:p>
    <w:p>
      <w:pPr>
        <w:spacing w:after="0" w:line="90"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There can be no assurance that our effective tax rate will not change over time as a result of a change in corporate income tax rates or other changes in the tax laws of Guernsey, the jurisdiction in which our holding company is organized, or of the various countries in which we operate. Moreover, our effective tax rate in future years may be adversely affected in the event that a tax authority challenged the manner in which items of income and expense are allocated among us and our subsidiaries. In addition, we and certain of our subsidiaries benefit from certain special tax benefits. The loss of any such tax benefits could have an adverse effect on our effective tax rate.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Guernsey Tax Considerations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Tax legislation in Guernsey subjects us to the standard rate of corporate income tax for a Guernsey resident company of zero percent.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Indian Tax Considerations</w:t>
      </w:r>
    </w:p>
    <w:p>
      <w:pPr>
        <w:spacing w:after="0" w:line="9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Through subsidiaries, we operate a development center and a business processing operations center in Pune, India, and another development center in Delhi, India. In 2012, the corporate tax rate applicable in India on trading activities was 32.4%. Our subsidiaries in India operate under specific favorable tax entitlements that are based upon pre-approved information technology related services activity. As a result, our subsidiary in Delhi and a business unit we established in Pune are entitled to considerable corporate income tax exemptions on all income derived from such pre-approved information technology activity, provided they continue to meet the conditions required for such tax benefits. However, as of March 31, 2011, the Minimum Alternative Tax, or MAT, became applicable to all our Indian subsidiaries. The MAT is levied on book profits at the effective rate of 20% (during the Indian fiscal year commencing on April 1, 2011) and can be carried forward for 10 years to be credited against corporate income taxes. Our-Delhi based subsidiary and the unit established in Pune are subject to a separate tax entitlement under which each is exempt from tax on its tax incentive-eligible activity for its first five years of operation and each will enjoy a 50% reduction on its corporate income tax for such activity for the following five years. After 10 years of operations, such 50% reduction may be available for an additional five years, subject to further investment-related undertakings that we would be required to make. Under Indian laws, any dividend distribution by our Indian subsidiaries would be subject to a dividend distribution tax at the rate of 16.2% to be paid by such subsidiaries. The Indian government has published a draft for the replacement of the country’s tax code. This draft, if enacted, would substantially change Indian tax laws, and might reduce or eliminate the availability of these beneficial tax rates for our Indian subsidiaries.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Israeli Tax Considerations</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Our Israeli subsidiary, Amdocs (Israel) Limited, operates one of our largest development centers. Discussed below are certain Israeli tax considerations relating to this subsidiary.</w:t>
      </w:r>
    </w:p>
    <w:p>
      <w:pPr>
        <w:spacing w:after="0" w:line="51"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i w:val="1"/>
          <w:iCs w:val="1"/>
          <w:color w:val="auto"/>
        </w:rPr>
        <w:t xml:space="preserve">General Corporate Taxation in Israel. </w:t>
      </w:r>
      <w:r>
        <w:rPr>
          <w:rFonts w:ascii="Arial" w:cs="Arial" w:eastAsia="Arial" w:hAnsi="Arial"/>
          <w:sz w:val="16"/>
          <w:szCs w:val="16"/>
          <w:color w:val="auto"/>
        </w:rPr>
        <w:t>In 2005, the Israeli parliament enacted legislation that has gradually reduced the “Companies Tax” rates of taxable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apply to Israeli companies. According to this legislation, the Companies Tax rate on taxable income will be 25% for 2010 and thereafter. However, the effective tax rate payable by an Israeli company that derives income from an Approved Enterprise may be considerably less.</w:t>
      </w:r>
    </w:p>
    <w:p>
      <w:pPr>
        <w:spacing w:after="0" w:line="2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i w:val="1"/>
          <w:iCs w:val="1"/>
          <w:color w:val="auto"/>
        </w:rPr>
        <w:t xml:space="preserve">Law for the Encouragement of Capital Investments, 1959. </w:t>
      </w:r>
      <w:r>
        <w:rPr>
          <w:rFonts w:ascii="Arial" w:cs="Arial" w:eastAsia="Arial" w:hAnsi="Arial"/>
          <w:sz w:val="18"/>
          <w:szCs w:val="18"/>
          <w:color w:val="auto"/>
        </w:rPr>
        <w:t>Certain production and development facilities of our Israeli subsidiary have been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Enterprise” status pursuant to the Law for the Encouragement of Capital Investments, 1959, or the Investment Law, which provides certain tax and financial benefits to investment programs that have been granted such status.</w:t>
      </w:r>
    </w:p>
    <w:p>
      <w:pPr>
        <w:spacing w:after="0" w:line="5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general, investment programs of our Israeli subsidiary that have already obtained instruments of approval for an Approved Enterprise by the Israeli Investment Center prior to the change in legislation in 2005 continue to be subject to the old provisions of the Investment Law as described below. The revisions that were introduced into the Investment Law in 2005 did not affect our effective tax rate for year ended September 30, 2012 and we do not expect them to have a significant impact on our effective tax rate in fiscal 2013.</w:t>
      </w:r>
    </w:p>
    <w:p>
      <w:pPr>
        <w:spacing w:after="0" w:line="6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The provisions of the Investment Law applicable to investment programs approved prior to the effective date of the amendments to the Investment Law provide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 xml:space="preserve">Tax Benefits. </w:t>
      </w:r>
      <w:r>
        <w:rPr>
          <w:rFonts w:ascii="Arial" w:cs="Arial" w:eastAsia="Arial" w:hAnsi="Arial"/>
          <w:sz w:val="18"/>
          <w:szCs w:val="18"/>
          <w:color w:val="auto"/>
        </w:rPr>
        <w:t>Taxable income derived from an Approved Enterprise is subject to a reduced corporate tax rate of 25% until the earliest of:</w:t>
      </w:r>
    </w:p>
    <w:p>
      <w:pPr>
        <w:spacing w:after="0" w:line="90" w:lineRule="exact"/>
        <w:rPr>
          <w:sz w:val="20"/>
          <w:szCs w:val="20"/>
          <w:color w:val="auto"/>
        </w:rPr>
      </w:pPr>
    </w:p>
    <w:p>
      <w:pPr>
        <w:ind w:left="660" w:right="460" w:hanging="206"/>
        <w:spacing w:after="0" w:line="268"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seven consecutive years (or ten in the case of an FIC (as defined below)) commencing in the year in which the Approved Enterprise first generates taxable income,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12 years from the year of commencement of production, or</w:t>
      </w:r>
    </w:p>
    <w:p>
      <w:pPr>
        <w:spacing w:after="0" w:line="90"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14 years from the year of the approval of the Approved Enterprise status.</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Such income is eligible for further reductions in tax rates if we qualify as a Foreign Investors’ Company, or FIC, depending on the percentage of the foreign ownership. Subject to certain conditions, an FIC is a company more than 25% of whose share capital (in terms of shares, rights of profits, voting and appointment of directors) and more than 25% of whose combined share and loan capital is owned by non-Israeli residents. The tax rate is 20% if the foreign investment is 49% or more but less than 74%; 15% if the foreign investment is 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 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4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Our primary Israeli subsidiary has elected the alternative benefits with respect to its current Approved Enterprise and its enlargements, pursuant to which the Israeli subsidiary enjoys, in relation to its Approved Enterprise operations, certain tax holidays, based on the location of activities within Israel, for a period of two to ten years and, in the case of a two year tax holiday, reduced tax rates for an additional period of up to eight years. In case this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Specific investment programs of our Israeli subsidiary and the income derived therefrom, are entitled to reduced tax rates for 13 years (instead of the eight-year period referred to above). The tax benefits, available with respect to an Approved Enterprise only to taxable 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differences and interest. We believe that the Approved Enterprise of our Israeli subsidiary substantially complies with all such conditions currently, but there can be no assurance that it will continue to do so.</w:t>
      </w:r>
    </w:p>
    <w:p>
      <w:pPr>
        <w:spacing w:after="0" w:line="4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In recent years changes were introduced to the Encouragements of Capital Investment Act. Among other things, these changes include a prospective cancellation of all tax incentives under existing law. However, under the transition rules, incentive programs commenced prior to 2011 would continue to apply until expired, unless the company elects to apply the regimes provided by the new law. Additionally, the amendments include a tax incentive package that consists of flat tax rates of 10% through 15%, depending on size and location of the taxable entity, for calendar years 2011 through 2012; 7% through 12.5%, depending on size and location of the taxable entity from 2013 through 2014, and 6% through 12% for calendar years 2015 forward. These incentives would apply to industrial companies that meet certain criteria.</w:t>
      </w:r>
    </w:p>
    <w:p>
      <w:pPr>
        <w:spacing w:after="0" w:line="14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Dividends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Dividends paid out of income derived by an Approved Enterprise during the benefit periods (or out of dividends received from a company whose income is derived by an Approved Enterprise) are subject to withholding tax at a reduced rate of 15% (deductible at source). As of January 1, 2012, dividends paid out of non-Approved Enterprise income are subject to a 30% withholding tax. This withholding tax is in addition to the corporate tax that a company is subject to in the event it pays a dividend out of exempt income earned during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tax holiday period related to its Approved Enterprise status. In addition, legislation was recently enacted in Israel to reduce the corporate tax rates on distributions of retained earnings derived from an Approved Enterprise, provided that a portion of such retained earnings are reinvested in Israel in specified manners.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Taxation Of Holders Of Ordinary Shares</w:t>
      </w:r>
    </w:p>
    <w:p>
      <w:pPr>
        <w:spacing w:after="0" w:line="9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United States Federal Income Tax Considerations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discussion describes the material U.S. federal income tax consequences to the ownership or disposition of our ordinary shares to a</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U.S. holder. A U.S. holder is:</w:t>
      </w:r>
    </w:p>
    <w:p>
      <w:pPr>
        <w:spacing w:after="0" w:line="84" w:lineRule="exact"/>
        <w:rPr>
          <w:sz w:val="20"/>
          <w:szCs w:val="20"/>
          <w:color w:val="auto"/>
        </w:rPr>
      </w:pPr>
    </w:p>
    <w:p>
      <w:pPr>
        <w:ind w:left="1120" w:hanging="217"/>
        <w:spacing w:after="0"/>
        <w:tabs>
          <w:tab w:leader="none" w:pos="11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or of any state thereof;</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 estate, the income of which is includable in gross income for U.S. federal income tax purposes regardless of its source; or</w:t>
      </w:r>
    </w:p>
    <w:p>
      <w:pPr>
        <w:spacing w:after="0" w:line="90" w:lineRule="exact"/>
        <w:rPr>
          <w:rFonts w:ascii="Arial" w:cs="Arial" w:eastAsia="Arial" w:hAnsi="Arial"/>
          <w:sz w:val="18"/>
          <w:szCs w:val="18"/>
          <w:color w:val="auto"/>
        </w:rPr>
      </w:pPr>
    </w:p>
    <w:p>
      <w:pPr>
        <w:ind w:left="460" w:right="880" w:firstLine="443"/>
        <w:spacing w:after="0" w:line="268" w:lineRule="auto"/>
        <w:tabs>
          <w:tab w:leader="none" w:pos="1196" w:val="left"/>
        </w:tabs>
        <w:numPr>
          <w:ilvl w:val="0"/>
          <w:numId w:val="48"/>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the trust and one or more U.S. persons has the authority to control all substantial decisions of the trust.</w:t>
      </w:r>
    </w:p>
    <w:p>
      <w:pPr>
        <w:spacing w:after="0" w:line="5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This summary generally considers only U.S. holders that own ordinary shares as capital assets. This summary does not discuss the U.S. federal income tax consequences to a holder of ordinary shares that is not a U.S. holder.</w:t>
      </w:r>
    </w:p>
    <w:p>
      <w:pPr>
        <w:spacing w:after="0" w:line="51"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This discussion is based on current provisions of the Internal Revenue Code of 1986, as amended, or the Code, current and proposed Treasury regulations promulgated thereunder, and administrative and judicial decisions as of the date hereof, all of which are subject to change, possibly on a retroactive basis. This discussion does not address all aspects of U.S. federal income taxation that may be relevant to a holder of ordinary shares based on such holder’s particular circumstances (including potential application of the alternative minimum tax), U.S.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non-U.S. tax laws. Additionally, this discussion does not consider the tax treatment of persons who hold ordinary shares through a partnership or other pass-through entity or the possible application of U.S. federal gift or estate taxes.</w:t>
      </w:r>
    </w:p>
    <w:p>
      <w:pPr>
        <w:spacing w:after="0" w:line="3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This summary is for general information only and is not binding on the Internal Revenue Service, or the IRS. There can be no assurance that the IRS will not challenge one or more of the statements made herein. U.S. holders are urged to consult their own tax advisers as to the particular tax consequences to them of owning and disposing of our ordinary shares.</w:t>
      </w:r>
    </w:p>
    <w:p>
      <w:pPr>
        <w:spacing w:after="0" w:line="5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In general, a U.S. holder receiving a distribution with respect to the ordinary shares will be required to include such distribution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foreign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In general, U.S. corporate shareholders will not be entitled to any deduction for distributions received as dividends on the ordinary shares.</w:t>
      </w:r>
    </w:p>
    <w:p>
      <w:pPr>
        <w:spacing w:after="0" w:line="39"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Dividend income is generally taxed as ordinary income. However, a maximum U.S. federal income tax rate of 15% currently applies to “qualified dividend income” received by individuals (as well as certain trusts and estates), provided that certain holding period requirements are met. “Qualified dividend income” includes dividends paid on shares of U.S. corporations as well as dividends paid on shares of “qualified foreign corporations,” including shares of a foreign corporation that are readily tradable on an established securities market in the United States. Since our ordinary shares are readily tradable on the NYSE, we believe that</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dividends paid by us with respect to our ordinary shares should constitute “qualified dividend income” for U.S. federal income tax purposes, provided that the holding period requirements are satisfied and none of the other special exceptions applies. The reduced tax rate for “qualified dividend income” is scheduled to expire on December 31, 2012, unless further extended by Congress. In addition, dividends paid by us will not qualify for the 15% U.S. federal income tax rate if we are treated, for the tax year in which the dividends are paid or the preceding tax year, as a “passive foreign investment company” for U.S. federal income tax purposes, which we would be if (i) at least 75% of our gross income is “passive income” (i.e., dividends, interest, royalties, rents and gains from commodities and securities transactions), or (ii) on average at least 50% of the gross value of our assets is attributable to assets that produce “passive income” or are held for the production of “passive income.” We do not believe that we will be classified as such in the current taxable year and do not expect to become one in the foreseeable future.</w:t>
      </w:r>
    </w:p>
    <w:p>
      <w:pPr>
        <w:spacing w:after="0" w:line="64"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amount of foreign income taxes that may be claimed as a credit against U.S. federal income tax in any year is subject to certain complex limitations and restrictions, which must be determined on an individual basis by each U.S. holder. The limitations set out in the U.S. Internal Revenue Code of 1986, as amended, include, among others, rules that may limit foreign tax credits allowable with respect to specific classes of income to the U.S. federal income taxes otherwise payable with respect to each such class of income. Dividends paid by us generally will be foreign source “passive income” or “financial services income” for U.S. foreign tax credit purposes.</w:t>
      </w:r>
    </w:p>
    <w:p>
      <w:pPr>
        <w:spacing w:after="0" w:line="62"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addition, U.S. holders generally will be subject to information reporting requirements with respect to dividends that are paid within the United States or through U.S.-related financial intermediaries, unless the U.S. holder is an “exempt recipient.” U.S. holders may also be subject to backup withholding (currently at 28%, but scheduled to increase to 31% for payments made after December 31, 2012 absent Congressional action) on such payments, 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39"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Disposition of Ordinary Shares. </w:t>
      </w:r>
      <w:r>
        <w:rPr>
          <w:rFonts w:ascii="Arial" w:cs="Arial" w:eastAsia="Arial" w:hAnsi="Arial"/>
          <w:sz w:val="16"/>
          <w:szCs w:val="16"/>
          <w:color w:val="auto"/>
        </w:rPr>
        <w:t>Upon the sale, exchange or other disposition of our ordinary shares, a U.S. holder generally will recognize capital gain or</w:t>
      </w:r>
      <w:r>
        <w:rPr>
          <w:rFonts w:ascii="Arial" w:cs="Arial" w:eastAsia="Arial" w:hAnsi="Arial"/>
          <w:sz w:val="16"/>
          <w:szCs w:val="16"/>
          <w:i w:val="1"/>
          <w:iCs w:val="1"/>
          <w:color w:val="auto"/>
        </w:rPr>
        <w:t xml:space="preserve"> </w:t>
      </w:r>
      <w:r>
        <w:rPr>
          <w:rFonts w:ascii="Arial" w:cs="Arial" w:eastAsia="Arial" w:hAnsi="Arial"/>
          <w:sz w:val="16"/>
          <w:szCs w:val="16"/>
          <w:color w:val="auto"/>
        </w:rPr>
        <w:t>loss in an amount 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during taxable years beginning before January 1, 2011 generally will be subject to a maximum U.S. federal tax income rate of 15%. For taxable years beginning on or after January 1, 2013, such rate is scheduled to increase to 20% absent Congressional action. Gains realized by a U.S. holder on a sale, exchange or other disposition of ordinary shares generally will be treated as U.S. source income for U.S. foreign tax credit purposes.</w:t>
      </w:r>
    </w:p>
    <w:p>
      <w:pPr>
        <w:spacing w:after="0" w:line="3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color w:val="auto"/>
        </w:rPr>
        <w:t>Medicare Contribution Tax</w:t>
      </w:r>
      <w:r>
        <w:rPr>
          <w:rFonts w:ascii="Arial" w:cs="Arial" w:eastAsia="Arial" w:hAnsi="Arial"/>
          <w:sz w:val="18"/>
          <w:szCs w:val="18"/>
          <w:color w:val="auto"/>
        </w:rPr>
        <w:t>. For taxable years beginning after December 31, 2012, U.S. holders who are individuals, estates and certain trusts will generally</w:t>
      </w:r>
      <w:r>
        <w:rPr>
          <w:rFonts w:ascii="Arial" w:cs="Arial" w:eastAsia="Arial" w:hAnsi="Arial"/>
          <w:sz w:val="18"/>
          <w:szCs w:val="18"/>
          <w:i w:val="1"/>
          <w:iCs w:val="1"/>
          <w:color w:val="auto"/>
        </w:rPr>
        <w:t xml:space="preserve"> </w:t>
      </w:r>
      <w:r>
        <w:rPr>
          <w:rFonts w:ascii="Arial" w:cs="Arial" w:eastAsia="Arial" w:hAnsi="Arial"/>
          <w:sz w:val="18"/>
          <w:szCs w:val="18"/>
          <w:color w:val="auto"/>
        </w:rPr>
        <w:t>be required to pay a new 3.8% Medicare tax on their net investment income (including dividends on and gains from the sale or other disposition of our ordinary shares) or, in the case of trusts and estates, on their net investment income that is not distributed. In each case, the 3.8% Medicare tax applies only to the extent that the U.S. Holder’s total modified adjusted income exceeds certain thresholds.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90"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Certain U.S. holders are required to report information with respect to their investment in our ordinary shares not held through a custodial account with a U.S. financial institution to the IRS. In general, U.S. taxpayers holding specified “foreign financial assets” (which generally would include our ordinary shares) with an aggregate value exceeding certain threshold amounts should report information about those assets on IRS Form 8938, which must be attached to the taxpayer’s annual income tax return. Investors who fail to report required information could become subject to substantial penalties.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Dividend payments with respect to the ordinary shares and proceeds from the sale, exchange or redemption of ordinary shares may be subject to information reporting to the IRS and possible U.S. backup withholding. Backup withholding will not apply, however, to a U.S. holder who furnishes a correct taxpayer identification number and makes any other required certification or who is otherwise exempt from backup withholding. Generally a U.S. holder will provide such certification on IRS Form W-9 (Request for Taxpayer Identification Number and Certification).</w:t>
      </w:r>
    </w:p>
    <w:p>
      <w:pPr>
        <w:spacing w:after="0" w:line="32"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Amounts withheld under the backup withholding rules may be credited against a U.S. holder’s tax liability or refunded if the holder timely provides the required information to the IRS.</w:t>
      </w:r>
    </w:p>
    <w:p>
      <w:pPr>
        <w:spacing w:after="0" w:line="5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i w:val="1"/>
          <w:iCs w:val="1"/>
          <w:color w:val="auto"/>
        </w:rPr>
        <w:t xml:space="preserve">Passive Foreign Investment Company Considerations. </w:t>
      </w:r>
      <w:r>
        <w:rPr>
          <w:rFonts w:ascii="Arial" w:cs="Arial" w:eastAsia="Arial" w:hAnsi="Arial"/>
          <w:sz w:val="16"/>
          <w:szCs w:val="16"/>
          <w:color w:val="auto"/>
        </w:rPr>
        <w:t>If, during any taxable year, 75% or more of our gross income consists of certain types of passive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or the average value during a taxable year of passive assets (generally assets that generate passive income) is 50% or more of the average value of all of our assets, we will be treated as a “passive foreign investment company” under U.S. federal income tax law for such year and succeeding years. If we are treated as a passive foreign investment company, we do not intend to take steps necessary to qualify as a qualified electing fund. However, if we are treated as a passive foreign investment company, a U.S. holder may be subject to increased tax liability upon the sale of our ordinary shares or upon the receipt of certain distributions, unless such U.S. holder makes an election to mark our ordinary shares to market annually.</w:t>
      </w:r>
    </w:p>
    <w:p>
      <w:pPr>
        <w:spacing w:after="0" w:line="39" w:lineRule="exact"/>
        <w:rPr>
          <w:sz w:val="20"/>
          <w:szCs w:val="20"/>
          <w:color w:val="auto"/>
        </w:rPr>
      </w:pPr>
    </w:p>
    <w:p>
      <w:pPr>
        <w:ind w:right="40" w:firstLine="456"/>
        <w:spacing w:after="0" w:line="314" w:lineRule="auto"/>
        <w:rPr>
          <w:sz w:val="20"/>
          <w:szCs w:val="20"/>
          <w:color w:val="auto"/>
        </w:rPr>
      </w:pPr>
      <w:r>
        <w:rPr>
          <w:rFonts w:ascii="Arial" w:cs="Arial" w:eastAsia="Arial" w:hAnsi="Arial"/>
          <w:sz w:val="15"/>
          <w:szCs w:val="15"/>
          <w:color w:val="auto"/>
        </w:rPr>
        <w:t>Based on an analysis of our financial position, we believe that we have not been a passive foreign investment company for U.S. federal income tax purposes for any preceding taxable year and expect that we will not become a passive foreign investment company during the current taxable year. However, because the tests for determining passive foreign investment company status are applied as of the end of each taxable year and are dependent upon a number of factors, some of which are beyond our control, including the value of our assets, based on the market price of our ordinary shares, and the amount and type of our gross income, we cannot guarantee that we will not become a passive foreign investment company in the future or that the IRS will agree with our conclusion regarding our current passive foreign investment company status. We intend to use reasonable efforts to avoid becoming a passive foreign investment company.</w:t>
      </w:r>
    </w:p>
    <w:p>
      <w:pPr>
        <w:spacing w:after="0" w:line="24"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Rules relating to a passive foreign investment company are very complex. U.S. holders should consult their own tax advisors regarding the U.S. federal income tax considerations discussed above and the applicability of passive foreign investment company rules to their investments in our ordinary shares.</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Certain Guernsey Tax Considerations</w:t>
      </w:r>
    </w:p>
    <w:p>
      <w:pPr>
        <w:spacing w:after="0" w:line="90"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Under the laws of Guernsey as currently in effect, a holder of our ordinary shares who is not a resident of Guernsey and who does not carry on business in Guernsey through a permanent establishment situated there is exempt from Guernsey income tax on dividends paid with respect to the ordinary shares and is not liable for Guernsey income tax on gains realized on sale or disposition of such ordinary shares. In addition, Guernsey does not impose a withholding tax on dividends paid by us to the holders of our ordinary shares. Tax legislation was enacted in Guernsey, effective as of January 1, 2008, to tax Guernsey resident shareholders on actual or deemed distribution of certain profits of a Guernsey company. We do not believe this legislation will affect the taxation of a holder of ordinary shares who is not a resident of Guernsey and who does not carry on business in Guernsey through a permanent establishment situated there.</w:t>
      </w:r>
    </w:p>
    <w:p>
      <w:pPr>
        <w:spacing w:after="0" w:line="2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There are no capital gains, gift or inheritance taxes levied by Guernsey, and the ordinary shares generally are not subject to any transfer taxes, stamp duties or similar charges on issuance or transfer.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Documents On Display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subject to the reporting requirements of foreign private issuers under the U.S. Securities Exchange Act of 1934. Pursuant to the Exchange Act, we file reports with the SEC, including this Annual Report on Form 20-F. We also submit reports to the SEC, including Form 6-K Reports of Foreign Private Issuers. You may read and copy such reports at the SEC’s public Reference Room at 100 F Street, N.E., Room 1580, Washington, D.C. 20549. You may call the SEC at 1-800-SEC-0330 for further information about the Public</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Reference Room. Such reports are also available to the public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Some of this information may also be found on our website at </w:t>
      </w:r>
      <w:r>
        <w:rPr>
          <w:rFonts w:ascii="Arial" w:cs="Arial" w:eastAsia="Arial" w:hAnsi="Arial"/>
          <w:sz w:val="18"/>
          <w:szCs w:val="18"/>
          <w:i w:val="1"/>
          <w:iCs w:val="1"/>
          <w:color w:val="auto"/>
        </w:rPr>
        <w:t>www.amdocs.com.</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color w:val="auto"/>
        </w:rPr>
        <w:t>You may request copies of our reports, at no cost, by writing to or telephoning us as follows: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Elizabeth W. McDermon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314-212-8328</w:t>
      </w:r>
    </w:p>
    <w:p>
      <w:pPr>
        <w:spacing w:after="0" w:line="159" w:lineRule="exact"/>
        <w:rPr>
          <w:sz w:val="20"/>
          <w:szCs w:val="20"/>
          <w:color w:val="auto"/>
        </w:rPr>
      </w:pPr>
    </w:p>
    <w:p>
      <w:pPr>
        <w:ind w:right="4620"/>
        <w:spacing w:after="0" w:line="347" w:lineRule="auto"/>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QUANTITATIVE AND QUALITATIVE DISCLOSURES ABOUT MARKET RISK</w:t>
      </w:r>
      <w:r>
        <w:rPr>
          <w:rFonts w:ascii="Arial" w:cs="Arial" w:eastAsia="Arial" w:hAnsi="Arial"/>
          <w:sz w:val="18"/>
          <w:szCs w:val="18"/>
          <w:b w:val="1"/>
          <w:bCs w:val="1"/>
          <w:color w:val="auto"/>
        </w:rPr>
        <w:t xml:space="preserve"> Foreign Currency Risk</w:t>
      </w:r>
    </w:p>
    <w:p>
      <w:pPr>
        <w:spacing w:after="0" w:line="2"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expenditures throughout the Amdocs group. We have determined that the U.S. dollar is our functional currency. We periodically assess the applicability of the U.S. dollar as our functional currency by reviewing the salient indicators as indicated in the authoritative guidance for foreign currency matters.</w:t>
      </w:r>
    </w:p>
    <w:p>
      <w:pPr>
        <w:spacing w:after="0" w:line="62"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During fiscal 2012, our revenue and operating expenses in the U.S. dollar or linked to the U.S. dollar were approximately 70% to 80% and 50% to 60%, respectively. If more customers will seek contracts in currencies other than the U.S. dollar, the percentage of our revenue and operating expenses in the U.S. dollar or linked to the U.S. dollar may decrease over time and our exposure to fluctuations in currency exchange rates could increase.</w:t>
      </w:r>
    </w:p>
    <w:p>
      <w:pPr>
        <w:spacing w:after="0" w:line="2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In managing our foreign exchange risk, we enter into various foreign exchange contracts. We do not hedge all of our exposure in currencies other than the U.S. dollar, but rather our policy is to hedge significant net exposures in the major foreign currencies in which we operate. We use such contracts to hedge net exposure to changes in foreign currency exchange rates associated with revenue denominated in a foreign currency, primarily Canadian dollars, euros and Australian dollars, and anticipated costs to be incurred in a foreign currency, primarily Israeli shekels, Indian rupees and British pounds. We also use such contracts to hedge the net impact of the variability in exchange rates on certain balance sheet items such as accounts receivable and employee related accruals denominated primarily in Israeli shekels, Canadian dollars, euros and Australian dollars. We seek to minimize the net exposure that the anticipated cash flow from sales of our products and services, cash flow required for our expenses and the net exposure related to our balance sheet items, denominated in a currency other than our functional currency will be affected by changes in exchange rates. Please see Note 6 to our consolidated financial statements.</w:t>
      </w:r>
    </w:p>
    <w:p>
      <w:pPr>
        <w:spacing w:after="0" w:line="3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table below (all dollar amounts in millions) presents the total volume or notional amounts and fair value of our derivative instruments as of September 30, 2012. Notional values are U.S. dollar translated and calculated based on forward rates as of September 30, 2012, for forward contracts, and based on spot rates as of September 30, 2012 for options.</w:t>
      </w:r>
    </w:p>
    <w:p>
      <w:pPr>
        <w:spacing w:after="0" w:line="42"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r>
      <w:tr>
        <w:trPr>
          <w:trHeight w:val="149"/>
        </w:trPr>
        <w:tc>
          <w:tcPr>
            <w:tcW w:w="76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6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of</w:t>
            </w:r>
          </w:p>
        </w:tc>
      </w:tr>
      <w:tr>
        <w:trPr>
          <w:trHeight w:val="161"/>
        </w:trPr>
        <w:tc>
          <w:tcPr>
            <w:tcW w:w="7680" w:type="dxa"/>
            <w:vAlign w:val="bottom"/>
          </w:tcPr>
          <w:p>
            <w:pPr>
              <w:spacing w:after="0"/>
              <w:rPr>
                <w:sz w:val="14"/>
                <w:szCs w:val="14"/>
                <w:color w:val="auto"/>
              </w:rPr>
            </w:pPr>
          </w:p>
        </w:tc>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Notional Value*</w:t>
            </w: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w w:val="98"/>
              </w:rPr>
              <w:t>Derivatives</w:t>
            </w:r>
          </w:p>
        </w:tc>
      </w:tr>
      <w:tr>
        <w:trPr>
          <w:trHeight w:val="210"/>
        </w:trPr>
        <w:tc>
          <w:tcPr>
            <w:tcW w:w="76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Foreign exchange contracts</w:t>
            </w: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1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(23.9)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9436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0" w:lineRule="exact"/>
        <w:rPr>
          <w:sz w:val="20"/>
          <w:szCs w:val="20"/>
          <w:color w:val="auto"/>
        </w:rPr>
      </w:pPr>
    </w:p>
    <w:p>
      <w:pPr>
        <w:ind w:left="340" w:right="660" w:hanging="332"/>
        <w:spacing w:after="0" w:line="268"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interest expenses and income are sensitive to changes in interest rates, as all of our cash reserves and some of our borrowings, are subject to interest rate changes. Our short-term interest-bearing investments are invested in short term conservative debt instruments, primarily U.S. dollar-denominated, and consist mainly of money market funds, U.S. government treasuries, corporate bonds, government guaranteed debt and U.S. agency securities. As of September 30, 2012, there was $200.0 million of short-term outstanding borrowing under our revolving lines of credit, which we repaid in October 2012.</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DESCRIPTION OF SECURITIES OTHER THAN EQUITY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27"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DEFAULTS, DIVIDEND ARREARAGES AND DELINQUENCIES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14. </w:t>
      </w:r>
      <w:r>
        <w:rPr>
          <w:rFonts w:ascii="Arial" w:cs="Arial" w:eastAsia="Arial" w:hAnsi="Arial"/>
          <w:sz w:val="18"/>
          <w:szCs w:val="18"/>
          <w:b w:val="1"/>
          <w:bCs w:val="1"/>
          <w:i w:val="1"/>
          <w:iCs w:val="1"/>
          <w:color w:val="auto"/>
        </w:rPr>
        <w:t>MATERIAL MODIFICATIONS TO THE RIGHTS OF SECURITY HOLDERS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15. </w:t>
      </w:r>
      <w:r>
        <w:rPr>
          <w:rFonts w:ascii="Arial" w:cs="Arial" w:eastAsia="Arial" w:hAnsi="Arial"/>
          <w:sz w:val="18"/>
          <w:szCs w:val="18"/>
          <w:b w:val="1"/>
          <w:bCs w:val="1"/>
          <w:i w:val="1"/>
          <w:iCs w:val="1"/>
          <w:color w:val="auto"/>
        </w:rPr>
        <w:t>CONTROLS AND PROCEDURES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With the participation of the Chief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Executive Officer and Chief Financial Officer of Amdocs Management Limited, our management evaluated the effectiveness of our disclosure controls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procedures as of September 30, 2012. The term “disclosure controls and procedures,” as defined in Rules 13a-15(e) and 15d-15(e) under the Exchange Act,</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means controls and other procedures of a company that are designed to ensure that information required to be disclosed by a company in the reports that it files 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submits under the Exchange Act is recorded, processed, summarized and reported, within the time period specified in the SEC’s rules and forms. Disclosure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controls and procedures include, without limitation, controls and procedures designed to ensure that information required to be disclosed by a company in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reports that it files or submits under the Exchange Act is accumulated and communicated to the company’s management, including its principal executive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officers, as appropriate to allow timely decisions regarding required disclosure. Management recognizes that any controls and procedures, no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matter how well designed and operated, can provide only reasonable assurance of achieving their objectives and management necessarily applies its judgment in</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evaluating the cost-benefit relationship of possible controls and procedures. Based on the evaluation of our disclosure controls and procedures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2012, the Chief Executive Officer and the Chief Financial Officer of Amdocs Management Limited concluded that, as of such date, our disclosure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controls and procedures were effective at the reasonable assurance level. Ernst and Young LLP, the independent registered public accounting firm that audited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financial statements included in this Annual Report on Form 20-F, has issued an attestation report on our internal control over financial reporting as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 which is included herein.</w:t>
      </w:r>
    </w:p>
    <w:p>
      <w:pPr>
        <w:spacing w:after="0" w:line="8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year ended September 30, 2012 that has materially affected, or is reasonably likely to materially affect, our internal control over financial reporting.</w:t>
      </w:r>
    </w:p>
    <w:p>
      <w:pPr>
        <w:spacing w:after="0" w:line="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Management’s report on our internal control over financial reporting (as such defined in Rules 13a-15(f) and 15d-15(f) under the Exchange Act), and the related reports of our independent public accounting firm, are included on pages F-2, F-3 and F-4 of this Annual Report on Form 20-F, and are incorporated herein by reference.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16A. </w:t>
      </w:r>
      <w:r>
        <w:rPr>
          <w:rFonts w:ascii="Arial" w:cs="Arial" w:eastAsia="Arial" w:hAnsi="Arial"/>
          <w:sz w:val="18"/>
          <w:szCs w:val="18"/>
          <w:b w:val="1"/>
          <w:bCs w:val="1"/>
          <w:i w:val="1"/>
          <w:iCs w:val="1"/>
          <w:color w:val="auto"/>
        </w:rPr>
        <w:t>AUDIT COMMITTEE FINANCIAL EXPERT</w:t>
      </w:r>
    </w:p>
    <w:p>
      <w:pPr>
        <w:spacing w:after="0" w:line="9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Our Board of Directors has determined that there is at least one audit committee financial expert, Adrian Gardner, serving on our Audit Committee. Our Board of Directors has determined that Mr. Gardner is an independent director.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16B. </w:t>
      </w:r>
      <w:r>
        <w:rPr>
          <w:rFonts w:ascii="Arial" w:cs="Arial" w:eastAsia="Arial" w:hAnsi="Arial"/>
          <w:sz w:val="18"/>
          <w:szCs w:val="18"/>
          <w:b w:val="1"/>
          <w:bCs w:val="1"/>
          <w:i w:val="1"/>
          <w:iCs w:val="1"/>
          <w:color w:val="auto"/>
        </w:rPr>
        <w:t>CODE OF ETHICS</w:t>
      </w:r>
    </w:p>
    <w:p>
      <w:pPr>
        <w:spacing w:after="0" w:line="96"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color w:val="auto"/>
        </w:rPr>
        <w:t>Our Board of Directors has adopted a Code of Ethics and Business Conduct that sets forth legal and ethical standards of conduct for our directors and employees, including our principal executive officer, principal financial officer and other executive officers, of our subsidiaries and other business entities controlled by us worldwide.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Our Code of Ethics and Business Conduct is available on our website at </w:t>
      </w:r>
      <w:r>
        <w:rPr>
          <w:rFonts w:ascii="Arial" w:cs="Arial" w:eastAsia="Arial" w:hAnsi="Arial"/>
          <w:sz w:val="18"/>
          <w:szCs w:val="18"/>
          <w:i w:val="1"/>
          <w:iCs w:val="1"/>
          <w:color w:val="auto"/>
        </w:rPr>
        <w:t>www.amdocs.com</w:t>
      </w:r>
      <w:r>
        <w:rPr>
          <w:rFonts w:ascii="Arial" w:cs="Arial" w:eastAsia="Arial" w:hAnsi="Arial"/>
          <w:sz w:val="18"/>
          <w:szCs w:val="18"/>
          <w:color w:val="auto"/>
        </w:rPr>
        <w:t>, or you may request a copy of our code of ethics, at no cost, by writing to or telephoning us as follows: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Amdocs, Inc.</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Attention: Elizabeth W. McDermon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Telephone: 314-212-8328</w:t>
      </w:r>
    </w:p>
    <w:p>
      <w:pPr>
        <w:spacing w:after="0" w:line="8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We intend to post on our website within five business days all disclosures that are required by law or NYSE rules concerning any amendments to, or waivers from, any provision of the code.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16C. </w:t>
      </w:r>
      <w:r>
        <w:rPr>
          <w:rFonts w:ascii="Arial" w:cs="Arial" w:eastAsia="Arial" w:hAnsi="Arial"/>
          <w:sz w:val="18"/>
          <w:szCs w:val="18"/>
          <w:b w:val="1"/>
          <w:bCs w:val="1"/>
          <w:i w:val="1"/>
          <w:iCs w:val="1"/>
          <w:color w:val="auto"/>
        </w:rPr>
        <w:t>PRINCIPAL ACCOUNTANT FEES AND SERVICES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each of the last three fiscal years, Ernst &amp; Young LLP has acted as our independent registered public accounting firm.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Fees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Ernst &amp; Young billed us approximately $2.9 million for audit services for fiscal 2012, including fees associated with the annual audit and reviews of our quarterly financial results submitted on Form 6-K, consultations on various accounting issues and performance of local statutory audits. Ernst &amp; Young billed us approximately $3.3 million for audit services for fiscal 2011.</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Audit-Related Fees</w:t>
      </w:r>
    </w:p>
    <w:p>
      <w:pPr>
        <w:spacing w:after="0" w:line="96" w:lineRule="exact"/>
        <w:rPr>
          <w:sz w:val="20"/>
          <w:szCs w:val="20"/>
          <w:color w:val="auto"/>
        </w:rPr>
      </w:pPr>
    </w:p>
    <w:p>
      <w:pPr>
        <w:ind w:right="360" w:firstLine="456"/>
        <w:spacing w:after="0" w:line="332" w:lineRule="auto"/>
        <w:rPr>
          <w:sz w:val="20"/>
          <w:szCs w:val="20"/>
          <w:color w:val="auto"/>
        </w:rPr>
      </w:pPr>
      <w:r>
        <w:rPr>
          <w:rFonts w:ascii="Arial" w:cs="Arial" w:eastAsia="Arial" w:hAnsi="Arial"/>
          <w:sz w:val="16"/>
          <w:szCs w:val="16"/>
          <w:color w:val="auto"/>
        </w:rPr>
        <w:t>Ernst &amp; Young billed us approximately $1.2 million for audit-related services for fiscal 2012. Audit-related services principally include SAS 70 report issuances and due diligence examinations. Ernst &amp; Young billed us approximately $1.2 million for audit-related services for fiscal 2011.</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Fees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Ernst &amp; Young billed us approximately $1.6 million for tax advice, including fees associated with tax compliance, tax advice and tax planning services for fiscal 2012. Ernst &amp; Young billed us approximately $1.8 million for tax advice in fiscal 2011.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Fees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Ernst &amp; Young did not bill us for services other than Audit Fees, Audit-Related Fees and Tax Fees described above for fiscal 2012 or fiscal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Policies for Non-Audit Services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6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2012, our Audit Committee approved all of the services provided by Ernst &amp; Young.</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16D. </w:t>
      </w:r>
      <w:r>
        <w:rPr>
          <w:rFonts w:ascii="Arial" w:cs="Arial" w:eastAsia="Arial" w:hAnsi="Arial"/>
          <w:sz w:val="18"/>
          <w:szCs w:val="18"/>
          <w:b w:val="1"/>
          <w:bCs w:val="1"/>
          <w:i w:val="1"/>
          <w:iCs w:val="1"/>
          <w:color w:val="auto"/>
        </w:rPr>
        <w:t>EXEMPTION FROM THE LISTING STANDARDS FOR AUDIT COMMITTEES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80"/>
          </w:cols>
          <w:pgMar w:left="240" w:top="459" w:right="2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16E. </w:t>
      </w:r>
      <w:r>
        <w:rPr>
          <w:rFonts w:ascii="Arial" w:cs="Arial" w:eastAsia="Arial" w:hAnsi="Arial"/>
          <w:sz w:val="18"/>
          <w:szCs w:val="18"/>
          <w:b w:val="1"/>
          <w:bCs w:val="1"/>
          <w:i w:val="1"/>
          <w:iCs w:val="1"/>
          <w:color w:val="auto"/>
        </w:rPr>
        <w:t>PURCHASES OF EQUITY SECURITIES BY THE ISSUER AND AFFILIATED PURCHASERS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fiscal year ended September 30, 2012 of equity securities that are registered by us pursuant to Section 12 of the Exchange Act: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1"/>
              </w:rPr>
              <w:t>(c)</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Total Number of</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Purchased as Part</w:t>
            </w:r>
          </w:p>
        </w:tc>
        <w:tc>
          <w:tcPr>
            <w:tcW w:w="860" w:type="dxa"/>
            <w:vAlign w:val="bottom"/>
          </w:tcPr>
          <w:p>
            <w:pPr>
              <w:spacing w:after="0"/>
              <w:rPr>
                <w:sz w:val="12"/>
                <w:szCs w:val="12"/>
                <w:color w:val="auto"/>
              </w:rPr>
            </w:pPr>
          </w:p>
        </w:tc>
        <w:tc>
          <w:tcPr>
            <w:tcW w:w="18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Approximate 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1060"/>
              <w:spacing w:after="0" w:line="149" w:lineRule="exact"/>
              <w:rPr>
                <w:sz w:val="20"/>
                <w:szCs w:val="20"/>
                <w:color w:val="auto"/>
              </w:rPr>
            </w:pPr>
            <w:r>
              <w:rPr>
                <w:rFonts w:ascii="Arial" w:cs="Arial" w:eastAsia="Arial" w:hAnsi="Arial"/>
                <w:sz w:val="14"/>
                <w:szCs w:val="14"/>
                <w:b w:val="1"/>
                <w:bCs w:val="1"/>
                <w:color w:val="auto"/>
                <w:w w:val="89"/>
              </w:rPr>
              <w:t>(b)</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Publicly</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of Shares that</w:t>
            </w:r>
          </w:p>
        </w:tc>
        <w:tc>
          <w:tcPr>
            <w:tcW w:w="0" w:type="dxa"/>
            <w:vAlign w:val="bottom"/>
          </w:tcPr>
          <w:p>
            <w:pPr>
              <w:spacing w:after="0"/>
              <w:rPr>
                <w:sz w:val="1"/>
                <w:szCs w:val="1"/>
                <w:color w:val="auto"/>
              </w:rPr>
            </w:pPr>
          </w:p>
        </w:tc>
      </w:tr>
      <w:tr>
        <w:trPr>
          <w:trHeight w:val="149"/>
        </w:trPr>
        <w:tc>
          <w:tcPr>
            <w:tcW w:w="42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Period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Shares</w:t>
            </w:r>
          </w:p>
        </w:tc>
        <w:tc>
          <w:tcPr>
            <w:tcW w:w="860" w:type="dxa"/>
            <w:vAlign w:val="bottom"/>
          </w:tcPr>
          <w:p>
            <w:pPr>
              <w:spacing w:after="0"/>
              <w:rPr>
                <w:sz w:val="12"/>
                <w:szCs w:val="12"/>
                <w:color w:val="auto"/>
              </w:rPr>
            </w:pPr>
          </w:p>
        </w:tc>
        <w:tc>
          <w:tcPr>
            <w:tcW w:w="1700" w:type="dxa"/>
            <w:vAlign w:val="bottom"/>
            <w:gridSpan w:val="3"/>
          </w:tcPr>
          <w:p>
            <w:pPr>
              <w:jc w:val="center"/>
              <w:ind w:right="860"/>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Announced Plans</w:t>
            </w:r>
          </w:p>
        </w:tc>
        <w:tc>
          <w:tcPr>
            <w:tcW w:w="860" w:type="dxa"/>
            <w:vAlign w:val="bottom"/>
          </w:tcPr>
          <w:p>
            <w:pPr>
              <w:spacing w:after="0"/>
              <w:rPr>
                <w:sz w:val="12"/>
                <w:szCs w:val="12"/>
                <w:color w:val="auto"/>
              </w:rPr>
            </w:pPr>
          </w:p>
        </w:tc>
        <w:tc>
          <w:tcPr>
            <w:tcW w:w="180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6"/>
              </w:rPr>
              <w:t>May Yet Be Purchased Under</w:t>
            </w:r>
          </w:p>
        </w:tc>
        <w:tc>
          <w:tcPr>
            <w:tcW w:w="0" w:type="dxa"/>
            <w:vAlign w:val="bottom"/>
          </w:tcPr>
          <w:p>
            <w:pPr>
              <w:spacing w:after="0"/>
              <w:rPr>
                <w:sz w:val="1"/>
                <w:szCs w:val="1"/>
                <w:color w:val="auto"/>
              </w:rPr>
            </w:pPr>
          </w:p>
        </w:tc>
      </w:tr>
      <w:tr>
        <w:trPr>
          <w:trHeight w:val="148"/>
        </w:trPr>
        <w:tc>
          <w:tcPr>
            <w:tcW w:w="4280" w:type="dxa"/>
            <w:vAlign w:val="bottom"/>
            <w:gridSpan w:val="4"/>
            <w:vMerge w:val="continue"/>
          </w:tcPr>
          <w:p>
            <w:pPr>
              <w:spacing w:after="0"/>
              <w:rPr>
                <w:sz w:val="12"/>
                <w:szCs w:val="12"/>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Purchased</w:t>
            </w:r>
          </w:p>
        </w:tc>
        <w:tc>
          <w:tcPr>
            <w:tcW w:w="860" w:type="dxa"/>
            <w:vAlign w:val="bottom"/>
          </w:tcPr>
          <w:p>
            <w:pPr>
              <w:spacing w:after="0"/>
              <w:rPr>
                <w:sz w:val="12"/>
                <w:szCs w:val="12"/>
                <w:color w:val="auto"/>
              </w:rPr>
            </w:pPr>
          </w:p>
        </w:tc>
        <w:tc>
          <w:tcPr>
            <w:tcW w:w="1700" w:type="dxa"/>
            <w:vAlign w:val="bottom"/>
            <w:gridSpan w:val="3"/>
          </w:tcPr>
          <w:p>
            <w:pPr>
              <w:jc w:val="right"/>
              <w:ind w:right="840"/>
              <w:spacing w:after="0" w:line="148" w:lineRule="exact"/>
              <w:rPr>
                <w:sz w:val="20"/>
                <w:szCs w:val="20"/>
                <w:color w:val="auto"/>
              </w:rPr>
            </w:pPr>
            <w:r>
              <w:rPr>
                <w:rFonts w:ascii="Arial" w:cs="Arial" w:eastAsia="Arial" w:hAnsi="Arial"/>
                <w:sz w:val="14"/>
                <w:szCs w:val="14"/>
                <w:b w:val="1"/>
                <w:bCs w:val="1"/>
                <w:color w:val="auto"/>
                <w:w w:val="85"/>
              </w:rPr>
              <w:t>Paid per Share</w:t>
            </w:r>
          </w:p>
        </w:tc>
        <w:tc>
          <w:tcPr>
            <w:tcW w:w="1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8"/>
              </w:rPr>
              <w:t>or Programs</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200"/>
              <w:spacing w:after="0" w:line="148" w:lineRule="exact"/>
              <w:rPr>
                <w:sz w:val="20"/>
                <w:szCs w:val="20"/>
                <w:color w:val="auto"/>
              </w:rPr>
            </w:pPr>
            <w:r>
              <w:rPr>
                <w:rFonts w:ascii="Arial" w:cs="Arial" w:eastAsia="Arial" w:hAnsi="Arial"/>
                <w:sz w:val="14"/>
                <w:szCs w:val="14"/>
                <w:b w:val="1"/>
                <w:bCs w:val="1"/>
                <w:color w:val="auto"/>
                <w:w w:val="87"/>
              </w:rPr>
              <w:t>the Plans or Programs(1)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bottom w:val="single" w:sz="8" w:color="CCEEFF"/>
            </w:tcBorders>
            <w:shd w:val="clear" w:color="auto" w:fill="000000"/>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278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148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10/1/11-10/31/11</w:t>
            </w:r>
          </w:p>
        </w:tc>
        <w:tc>
          <w:tcPr>
            <w:tcW w:w="27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1,730,800</w:t>
            </w: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28.45</w:t>
            </w:r>
          </w:p>
        </w:tc>
        <w:tc>
          <w:tcPr>
            <w:tcW w:w="8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1,730,800</w:t>
            </w: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637,890,719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11/1/11-11/30/11</w:t>
            </w:r>
          </w:p>
        </w:tc>
        <w:tc>
          <w:tcPr>
            <w:tcW w:w="2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1,405,600</w:t>
            </w:r>
          </w:p>
        </w:tc>
        <w:tc>
          <w:tcPr>
            <w:tcW w:w="10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29.30</w:t>
            </w:r>
          </w:p>
        </w:tc>
        <w:tc>
          <w:tcPr>
            <w:tcW w:w="1060" w:type="dxa"/>
            <w:vAlign w:val="bottom"/>
          </w:tcPr>
          <w:p>
            <w:pPr>
              <w:jc w:val="right"/>
              <w:spacing w:after="0"/>
              <w:rPr>
                <w:sz w:val="20"/>
                <w:szCs w:val="20"/>
                <w:color w:val="auto"/>
              </w:rPr>
            </w:pPr>
            <w:r>
              <w:rPr>
                <w:rFonts w:ascii="Arial" w:cs="Arial" w:eastAsia="Arial" w:hAnsi="Arial"/>
                <w:sz w:val="18"/>
                <w:szCs w:val="18"/>
                <w:color w:val="auto"/>
              </w:rPr>
              <w:t>1,405,600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596,706,349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12/1/11-12/31/11</w:t>
            </w:r>
          </w:p>
        </w:tc>
        <w:tc>
          <w:tcPr>
            <w:tcW w:w="27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1,756,500</w:t>
            </w:r>
          </w:p>
        </w:tc>
        <w:tc>
          <w:tcPr>
            <w:tcW w:w="10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28.02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1,756,500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547,495,109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01/1/12-01/31/12</w:t>
            </w:r>
          </w:p>
        </w:tc>
        <w:tc>
          <w:tcPr>
            <w:tcW w:w="2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1,294,442</w:t>
            </w:r>
          </w:p>
        </w:tc>
        <w:tc>
          <w:tcPr>
            <w:tcW w:w="10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28.98</w:t>
            </w:r>
          </w:p>
        </w:tc>
        <w:tc>
          <w:tcPr>
            <w:tcW w:w="1060" w:type="dxa"/>
            <w:vAlign w:val="bottom"/>
          </w:tcPr>
          <w:p>
            <w:pPr>
              <w:jc w:val="right"/>
              <w:spacing w:after="0"/>
              <w:rPr>
                <w:sz w:val="20"/>
                <w:szCs w:val="20"/>
                <w:color w:val="auto"/>
              </w:rPr>
            </w:pPr>
            <w:r>
              <w:rPr>
                <w:rFonts w:ascii="Arial" w:cs="Arial" w:eastAsia="Arial" w:hAnsi="Arial"/>
                <w:sz w:val="18"/>
                <w:szCs w:val="18"/>
                <w:color w:val="auto"/>
              </w:rPr>
              <w:t>1,294,442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509,980,300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02/1/12-02/29/12</w:t>
            </w:r>
          </w:p>
        </w:tc>
        <w:tc>
          <w:tcPr>
            <w:tcW w:w="27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1,186,367</w:t>
            </w:r>
          </w:p>
        </w:tc>
        <w:tc>
          <w:tcPr>
            <w:tcW w:w="10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30.31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1,186,367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474,022,660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03/1/12-03/31/12</w:t>
            </w:r>
          </w:p>
        </w:tc>
        <w:tc>
          <w:tcPr>
            <w:tcW w:w="2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1,405,300</w:t>
            </w:r>
          </w:p>
        </w:tc>
        <w:tc>
          <w:tcPr>
            <w:tcW w:w="10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30.81</w:t>
            </w:r>
          </w:p>
        </w:tc>
        <w:tc>
          <w:tcPr>
            <w:tcW w:w="1060" w:type="dxa"/>
            <w:vAlign w:val="bottom"/>
          </w:tcPr>
          <w:p>
            <w:pPr>
              <w:jc w:val="right"/>
              <w:spacing w:after="0"/>
              <w:rPr>
                <w:sz w:val="20"/>
                <w:szCs w:val="20"/>
                <w:color w:val="auto"/>
              </w:rPr>
            </w:pPr>
            <w:r>
              <w:rPr>
                <w:rFonts w:ascii="Arial" w:cs="Arial" w:eastAsia="Arial" w:hAnsi="Arial"/>
                <w:sz w:val="18"/>
                <w:szCs w:val="18"/>
                <w:color w:val="auto"/>
              </w:rPr>
              <w:t>1,405,300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430,723,533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04/1/12-04/30/12</w:t>
            </w:r>
          </w:p>
        </w:tc>
        <w:tc>
          <w:tcPr>
            <w:tcW w:w="27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534,248</w:t>
            </w:r>
          </w:p>
        </w:tc>
        <w:tc>
          <w:tcPr>
            <w:tcW w:w="10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31.49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534,248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413,902,014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05/1/12-05/31/12</w:t>
            </w:r>
          </w:p>
        </w:tc>
        <w:tc>
          <w:tcPr>
            <w:tcW w:w="2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1,621,500</w:t>
            </w:r>
          </w:p>
        </w:tc>
        <w:tc>
          <w:tcPr>
            <w:tcW w:w="10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30.12</w:t>
            </w:r>
          </w:p>
        </w:tc>
        <w:tc>
          <w:tcPr>
            <w:tcW w:w="1060" w:type="dxa"/>
            <w:vAlign w:val="bottom"/>
          </w:tcPr>
          <w:p>
            <w:pPr>
              <w:jc w:val="right"/>
              <w:spacing w:after="0"/>
              <w:rPr>
                <w:sz w:val="20"/>
                <w:szCs w:val="20"/>
                <w:color w:val="auto"/>
              </w:rPr>
            </w:pPr>
            <w:r>
              <w:rPr>
                <w:rFonts w:ascii="Arial" w:cs="Arial" w:eastAsia="Arial" w:hAnsi="Arial"/>
                <w:sz w:val="18"/>
                <w:szCs w:val="18"/>
                <w:color w:val="auto"/>
              </w:rPr>
              <w:t>1,621,500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365,068,004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06/1/12-06/30/12</w:t>
            </w:r>
          </w:p>
        </w:tc>
        <w:tc>
          <w:tcPr>
            <w:tcW w:w="27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1,932,200</w:t>
            </w:r>
          </w:p>
        </w:tc>
        <w:tc>
          <w:tcPr>
            <w:tcW w:w="10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29.06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1,932,200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308,925,704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07/1/12-07/31/12</w:t>
            </w:r>
          </w:p>
        </w:tc>
        <w:tc>
          <w:tcPr>
            <w:tcW w:w="27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1,294,000</w:t>
            </w:r>
          </w:p>
        </w:tc>
        <w:tc>
          <w:tcPr>
            <w:tcW w:w="10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29.62</w:t>
            </w:r>
          </w:p>
        </w:tc>
        <w:tc>
          <w:tcPr>
            <w:tcW w:w="1060" w:type="dxa"/>
            <w:vAlign w:val="bottom"/>
          </w:tcPr>
          <w:p>
            <w:pPr>
              <w:jc w:val="right"/>
              <w:spacing w:after="0"/>
              <w:rPr>
                <w:sz w:val="20"/>
                <w:szCs w:val="20"/>
                <w:color w:val="auto"/>
              </w:rPr>
            </w:pPr>
            <w:r>
              <w:rPr>
                <w:rFonts w:ascii="Arial" w:cs="Arial" w:eastAsia="Arial" w:hAnsi="Arial"/>
                <w:sz w:val="18"/>
                <w:szCs w:val="18"/>
                <w:color w:val="auto"/>
              </w:rPr>
              <w:t>1,294,000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270,598,502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08/1/12-08/31/12</w:t>
            </w:r>
          </w:p>
        </w:tc>
        <w:tc>
          <w:tcPr>
            <w:tcW w:w="27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1,419,905</w:t>
            </w:r>
          </w:p>
        </w:tc>
        <w:tc>
          <w:tcPr>
            <w:tcW w:w="10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31.45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1,419,905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225,938,628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09/1/12-09/30/12</w:t>
            </w:r>
          </w:p>
        </w:tc>
        <w:tc>
          <w:tcPr>
            <w:tcW w:w="278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706,883</w:t>
            </w:r>
          </w:p>
        </w:tc>
        <w:tc>
          <w:tcPr>
            <w:tcW w:w="1060" w:type="dxa"/>
            <w:vAlign w:val="bottom"/>
            <w:gridSpan w:val="2"/>
          </w:tcPr>
          <w:p>
            <w:pPr>
              <w:jc w:val="right"/>
              <w:ind w:right="49"/>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840"/>
              <w:spacing w:after="0"/>
              <w:rPr>
                <w:sz w:val="20"/>
                <w:szCs w:val="20"/>
                <w:color w:val="auto"/>
              </w:rPr>
            </w:pPr>
            <w:r>
              <w:rPr>
                <w:rFonts w:ascii="Arial" w:cs="Arial" w:eastAsia="Arial" w:hAnsi="Arial"/>
                <w:sz w:val="18"/>
                <w:szCs w:val="18"/>
                <w:color w:val="auto"/>
              </w:rPr>
              <w:t>32.77</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706,883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202,775,967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16,287,745</w:t>
            </w:r>
          </w:p>
        </w:tc>
        <w:tc>
          <w:tcPr>
            <w:tcW w:w="106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29.74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16,287,745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202,775,967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7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80" w:hanging="452"/>
        <w:spacing w:after="0" w:line="283" w:lineRule="auto"/>
        <w:tabs>
          <w:tab w:leader="none" w:pos="46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 April 2010, our board of directors adopted a share repurchase plan authorizing the repurchase of up to $700.0 million of our outstanding ordinary shares over the following 12 months. In February 2011, our board of directors adopted an additional share repurchase plan authorizing the repurchase of up to $1 billion of our outstanding ordinary shares over the following 24 months. In April 2011, we completed the repurchase of the remaining authorized amount under the April 2010 share repurchase plan and started executing repurchases under the February 2011 plan. In fiscal 2012, we repurchased</w:t>
      </w:r>
    </w:p>
    <w:p>
      <w:pPr>
        <w:spacing w:after="0" w:line="2" w:lineRule="exact"/>
        <w:rPr>
          <w:rFonts w:ascii="Arial" w:cs="Arial" w:eastAsia="Arial" w:hAnsi="Arial"/>
          <w:sz w:val="16"/>
          <w:szCs w:val="16"/>
          <w:color w:val="auto"/>
        </w:rPr>
      </w:pPr>
    </w:p>
    <w:p>
      <w:pPr>
        <w:ind w:left="460" w:right="40"/>
        <w:spacing w:after="0" w:line="253" w:lineRule="auto"/>
        <w:rPr>
          <w:rFonts w:ascii="Arial" w:cs="Arial" w:eastAsia="Arial" w:hAnsi="Arial"/>
          <w:sz w:val="16"/>
          <w:szCs w:val="16"/>
          <w:color w:val="auto"/>
        </w:rPr>
      </w:pPr>
      <w:r>
        <w:rPr>
          <w:rFonts w:ascii="Arial" w:cs="Arial" w:eastAsia="Arial" w:hAnsi="Arial"/>
          <w:sz w:val="18"/>
          <w:szCs w:val="18"/>
          <w:color w:val="auto"/>
        </w:rPr>
        <w:t>16.3 million ordinary shares at an average price of $29.74 per share (excluding broker and transaction fees). As of September 30, 2012, we had remaining authority to repurchase up to $202.8 million of our outstanding ordinary shares, under the February 2011 plan. In November 2012, our board of directors adopted another share repurchase plan authorizing the repurchase of up to $500.0 million of our ordinary shares. The November 2012 plan has no expiration date. The authorizations permit us to purchase our ordinary shares in open market or privately negotiated transactions at times and prices that we consider appropriate.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16F. </w:t>
      </w:r>
      <w:r>
        <w:rPr>
          <w:rFonts w:ascii="Arial" w:cs="Arial" w:eastAsia="Arial" w:hAnsi="Arial"/>
          <w:sz w:val="18"/>
          <w:szCs w:val="18"/>
          <w:b w:val="1"/>
          <w:bCs w:val="1"/>
          <w:i w:val="1"/>
          <w:iCs w:val="1"/>
          <w:color w:val="auto"/>
        </w:rPr>
        <w:t>CHANGE IN REGISTRANT’S CERTIFYING ACCOUNTANT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16G. </w:t>
      </w:r>
      <w:r>
        <w:rPr>
          <w:rFonts w:ascii="Arial" w:cs="Arial" w:eastAsia="Arial" w:hAnsi="Arial"/>
          <w:sz w:val="18"/>
          <w:szCs w:val="18"/>
          <w:b w:val="1"/>
          <w:bCs w:val="1"/>
          <w:i w:val="1"/>
          <w:iCs w:val="1"/>
          <w:color w:val="auto"/>
        </w:rPr>
        <w:t>CORPORATE GOVERNANCE</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believe there are no significant ways that our corporate governance practices differ from those followed by U.S. domestic companies under the NYSE listing standards. For further information regarding our corporate governance practices, please refer to our Notice and Proxy Statement to be mailed to our shareholders in December 2012, and to our website at www.amdocs.com.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16H. </w:t>
      </w:r>
      <w:r>
        <w:rPr>
          <w:rFonts w:ascii="Arial" w:cs="Arial" w:eastAsia="Arial" w:hAnsi="Arial"/>
          <w:sz w:val="18"/>
          <w:szCs w:val="18"/>
          <w:b w:val="1"/>
          <w:bCs w:val="1"/>
          <w:i w:val="1"/>
          <w:iCs w:val="1"/>
          <w:color w:val="auto"/>
        </w:rPr>
        <w:t>MINE SAFETY DISCLOSURE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PART III</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17. </w:t>
      </w:r>
      <w:r>
        <w:rPr>
          <w:rFonts w:ascii="Arial" w:cs="Arial" w:eastAsia="Arial" w:hAnsi="Arial"/>
          <w:sz w:val="18"/>
          <w:szCs w:val="18"/>
          <w:b w:val="1"/>
          <w:bCs w:val="1"/>
          <w:i w:val="1"/>
          <w:iCs w:val="1"/>
          <w:color w:val="auto"/>
        </w:rPr>
        <w:t>FINANCIAL STATEMENTS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18. </w:t>
      </w:r>
      <w:r>
        <w:rPr>
          <w:rFonts w:ascii="Arial" w:cs="Arial" w:eastAsia="Arial" w:hAnsi="Arial"/>
          <w:sz w:val="18"/>
          <w:szCs w:val="18"/>
          <w:b w:val="1"/>
          <w:bCs w:val="1"/>
          <w:i w:val="1"/>
          <w:iCs w:val="1"/>
          <w:color w:val="auto"/>
        </w:rPr>
        <w:t>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Statements And Schedule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Financial Statements and Financial Statement Schedule of Amdocs Limited, with respect to financial results for the fiscal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 2011 and 2010, are included at the end of this Annual Report: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 of Amdocs Limited</w:t>
      </w:r>
    </w:p>
    <w:p>
      <w:pPr>
        <w:spacing w:after="0" w:line="9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Consolidated Balance Sheets as of September 30, 2012 and 2011</w:t>
      </w:r>
    </w:p>
    <w:p>
      <w:pPr>
        <w:spacing w:after="0" w:line="9"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Consolidated Statements of Income for the years ended September 30, 2012, 2011 and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220" w:right="2440"/>
        <w:spacing w:after="0" w:line="255" w:lineRule="auto"/>
        <w:rPr>
          <w:sz w:val="20"/>
          <w:szCs w:val="20"/>
          <w:color w:val="auto"/>
        </w:rPr>
      </w:pPr>
      <w:r>
        <w:rPr>
          <w:rFonts w:ascii="Arial" w:cs="Arial" w:eastAsia="Arial" w:hAnsi="Arial"/>
          <w:sz w:val="18"/>
          <w:szCs w:val="18"/>
          <w:color w:val="auto"/>
        </w:rPr>
        <w:t>Consolidated Statements of Changes in Shareholders’ Equity for the years ended September 30, 2012, 2011 and 2010 Consolidated Statements of Cash Flows for the years ended September 30, 2012, 2011 and 2010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Statement Schedules of Amdocs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Valuation and Qualifying Accounts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other schedules have been omitted since they are either not required or not applicable, or the information has otherwise been included.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19. </w:t>
      </w:r>
      <w:r>
        <w:rPr>
          <w:rFonts w:ascii="Arial" w:cs="Arial" w:eastAsia="Arial" w:hAnsi="Arial"/>
          <w:sz w:val="18"/>
          <w:szCs w:val="18"/>
          <w:b w:val="1"/>
          <w:bCs w:val="1"/>
          <w:i w:val="1"/>
          <w:iCs w:val="1"/>
          <w:color w:val="auto"/>
        </w:rPr>
        <w:t>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on the Exhibit Index hereof are filed herewith in response to this Item.</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920"/>
          </w:cols>
          <w:pgMar w:left="240" w:top="459" w:right="7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Limited</w:t>
      </w:r>
    </w:p>
    <w:p>
      <w:pPr>
        <w:spacing w:after="0" w:line="200" w:lineRule="exact"/>
        <w:rPr>
          <w:sz w:val="20"/>
          <w:szCs w:val="20"/>
          <w:color w:val="auto"/>
        </w:rPr>
      </w:pPr>
    </w:p>
    <w:p>
      <w:pPr>
        <w:spacing w:after="0" w:line="241"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E</w:t>
      </w:r>
      <w:r>
        <w:rPr>
          <w:rFonts w:ascii="Arial" w:cs="Arial" w:eastAsia="Arial" w:hAnsi="Arial"/>
          <w:sz w:val="14"/>
          <w:szCs w:val="14"/>
          <w:color w:val="auto"/>
        </w:rPr>
        <w:t>LIZABETH</w:t>
      </w:r>
      <w:r>
        <w:rPr>
          <w:rFonts w:ascii="Arial" w:cs="Arial" w:eastAsia="Arial" w:hAnsi="Arial"/>
          <w:sz w:val="18"/>
          <w:szCs w:val="18"/>
          <w:color w:val="auto"/>
        </w:rPr>
        <w:t xml:space="preserve"> W. M</w:t>
      </w:r>
      <w:r>
        <w:rPr>
          <w:rFonts w:ascii="Arial" w:cs="Arial" w:eastAsia="Arial" w:hAnsi="Arial"/>
          <w:sz w:val="14"/>
          <w:szCs w:val="14"/>
          <w:color w:val="auto"/>
        </w:rPr>
        <w:t>C</w:t>
      </w:r>
      <w:r>
        <w:rPr>
          <w:rFonts w:ascii="Arial" w:cs="Arial" w:eastAsia="Arial" w:hAnsi="Arial"/>
          <w:sz w:val="18"/>
          <w:szCs w:val="18"/>
          <w:color w:val="auto"/>
        </w:rPr>
        <w:t>D</w:t>
      </w:r>
      <w:r>
        <w:rPr>
          <w:rFonts w:ascii="Arial" w:cs="Arial" w:eastAsia="Arial" w:hAnsi="Arial"/>
          <w:sz w:val="14"/>
          <w:szCs w:val="14"/>
          <w:color w:val="auto"/>
        </w:rPr>
        <w:t>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10795</wp:posOffset>
            </wp:positionV>
            <wp:extent cx="288988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Elizabeth W. McDermon</w:t>
      </w:r>
    </w:p>
    <w:p>
      <w:pPr>
        <w:spacing w:after="0" w:line="15" w:lineRule="exact"/>
        <w:rPr>
          <w:sz w:val="20"/>
          <w:szCs w:val="20"/>
          <w:color w:val="auto"/>
        </w:rPr>
      </w:pPr>
    </w:p>
    <w:p>
      <w:pPr>
        <w:ind w:left="6900"/>
        <w:spacing w:after="0"/>
        <w:rPr>
          <w:sz w:val="20"/>
          <w:szCs w:val="20"/>
          <w:color w:val="auto"/>
        </w:rPr>
      </w:pPr>
      <w:r>
        <w:rPr>
          <w:rFonts w:ascii="Arial" w:cs="Arial" w:eastAsia="Arial" w:hAnsi="Arial"/>
          <w:sz w:val="18"/>
          <w:szCs w:val="18"/>
          <w:i w:val="1"/>
          <w:iCs w:val="1"/>
          <w:color w:val="auto"/>
        </w:rPr>
        <w:t>Secretary and Authorized Signatory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11, 2012</w:t>
      </w:r>
    </w:p>
    <w:p>
      <w:pPr>
        <w:spacing w:after="0" w:line="15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240" w:top="459" w:right="5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60" w:type="dxa"/>
            <w:vAlign w:val="bottom"/>
            <w:gridSpan w:val="3"/>
          </w:tcPr>
          <w:p>
            <w:pPr>
              <w:ind w:left="4580"/>
              <w:spacing w:after="0"/>
              <w:rPr>
                <w:sz w:val="20"/>
                <w:szCs w:val="20"/>
                <w:color w:val="auto"/>
              </w:rPr>
            </w:pPr>
            <w:r>
              <w:rPr>
                <w:rFonts w:ascii="Arial" w:cs="Arial" w:eastAsia="Arial" w:hAnsi="Arial"/>
                <w:sz w:val="18"/>
                <w:szCs w:val="18"/>
                <w:b w:val="1"/>
                <w:bCs w:val="1"/>
                <w:color w:val="auto"/>
              </w:rPr>
              <w:t>EXHIBIT INDEX</w:t>
            </w:r>
          </w:p>
        </w:tc>
      </w:tr>
      <w:tr>
        <w:trPr>
          <w:trHeight w:val="340"/>
        </w:trPr>
        <w:tc>
          <w:tcPr>
            <w:tcW w:w="20" w:type="dxa"/>
            <w:vAlign w:val="bottom"/>
          </w:tcPr>
          <w:p>
            <w:pPr>
              <w:spacing w:after="0"/>
              <w:rPr>
                <w:sz w:val="24"/>
                <w:szCs w:val="2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40" w:type="dxa"/>
            <w:vAlign w:val="bottom"/>
          </w:tcPr>
          <w:p>
            <w:pPr>
              <w:spacing w:after="0"/>
              <w:rPr>
                <w:sz w:val="24"/>
                <w:szCs w:val="24"/>
                <w:color w:val="auto"/>
              </w:rPr>
            </w:pPr>
          </w:p>
        </w:tc>
      </w:tr>
      <w:tr>
        <w:trPr>
          <w:trHeight w:val="181"/>
        </w:trPr>
        <w:tc>
          <w:tcPr>
            <w:tcW w:w="20" w:type="dxa"/>
            <w:vAlign w:val="bottom"/>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420" w:type="dxa"/>
            <w:vAlign w:val="bottom"/>
          </w:tcPr>
          <w:p>
            <w:pPr>
              <w:spacing w:after="0"/>
              <w:rPr>
                <w:sz w:val="15"/>
                <w:szCs w:val="15"/>
                <w:color w:val="auto"/>
              </w:rPr>
            </w:pPr>
          </w:p>
        </w:tc>
        <w:tc>
          <w:tcPr>
            <w:tcW w:w="554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460" w:type="dxa"/>
            <w:vAlign w:val="bottom"/>
            <w:gridSpan w:val="2"/>
          </w:tcPr>
          <w:p>
            <w:pPr>
              <w:spacing w:after="0" w:line="195" w:lineRule="exact"/>
              <w:rPr>
                <w:sz w:val="20"/>
                <w:szCs w:val="20"/>
                <w:color w:val="auto"/>
              </w:rPr>
            </w:pPr>
            <w:r>
              <w:rPr>
                <w:rFonts w:ascii="Arial" w:cs="Arial" w:eastAsia="Arial" w:hAnsi="Arial"/>
                <w:sz w:val="18"/>
                <w:szCs w:val="18"/>
                <w:color w:val="auto"/>
              </w:rPr>
              <w:t>1.1</w:t>
            </w:r>
          </w:p>
        </w:tc>
        <w:tc>
          <w:tcPr>
            <w:tcW w:w="5420" w:type="dxa"/>
            <w:vAlign w:val="bottom"/>
          </w:tcPr>
          <w:p>
            <w:pPr>
              <w:ind w:left="580"/>
              <w:spacing w:after="0" w:line="195" w:lineRule="exact"/>
              <w:rPr>
                <w:sz w:val="20"/>
                <w:szCs w:val="20"/>
                <w:color w:val="auto"/>
              </w:rPr>
            </w:pPr>
            <w:r>
              <w:rPr>
                <w:rFonts w:ascii="Arial" w:cs="Arial" w:eastAsia="Arial" w:hAnsi="Arial"/>
                <w:sz w:val="18"/>
                <w:szCs w:val="18"/>
                <w:color w:val="auto"/>
                <w:w w:val="91"/>
              </w:rPr>
              <w:t>Amended and Restated Memorandum of Incorporation of Amdocs</w:t>
            </w:r>
          </w:p>
        </w:tc>
        <w:tc>
          <w:tcPr>
            <w:tcW w:w="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Limited</w:t>
            </w:r>
          </w:p>
        </w:tc>
        <w:tc>
          <w:tcPr>
            <w:tcW w:w="4840" w:type="dxa"/>
            <w:vAlign w:val="bottom"/>
          </w:tcPr>
          <w:p>
            <w:pPr>
              <w:spacing w:after="0" w:line="195" w:lineRule="exact"/>
              <w:rPr>
                <w:sz w:val="20"/>
                <w:szCs w:val="20"/>
                <w:color w:val="auto"/>
              </w:rPr>
            </w:pPr>
            <w:r>
              <w:rPr>
                <w:rFonts w:ascii="Arial" w:cs="Arial" w:eastAsia="Arial" w:hAnsi="Arial"/>
                <w:sz w:val="18"/>
                <w:szCs w:val="18"/>
                <w:color w:val="auto"/>
                <w:w w:val="87"/>
              </w:rPr>
              <w:t>(incorporated by reference to Exhibits 99.1 to Amdocs’ Form 6-K filed</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January 26, 2009)</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1.2</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4"/>
              </w:rPr>
              <w:t>Amended and Restated Articles of Incorporation of Amdocs Limited (incorporated by reference to Exhibit 1.2 to Amdocs’ Annual Report on</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Form 20-F, filed December 7, 2010)</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2.a.1</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0"/>
              </w:rPr>
              <w:t>Indenture, dated March 5, 2004, between Amdocs Limited and The Bank of New York, as trustee, for 0.50% Convertible Senior Notes due 2024</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(incorporated by reference to Exhibit 99.1 to Amdocs’ Form 6-K, filed March 5, 2004)</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2.a.2</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Registration Rights Agreement, dated March 5, 2004, among Amdocs Limited and Morgan Stanley &amp; Co. Incorporated, Goldman, Sachs &amp; Co.</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3"/>
              </w:rPr>
              <w:t>and Merrill Lynch, Pierce Fenner &amp; Smith Incorporated (incorporated by reference to Exhibit 99.2 to Amdocs’ Form 6-K, filed March 5, 2004)</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4.b.1</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4"/>
              </w:rPr>
              <w:t>Further Amended and Restated Information Technology Services Agreement, dated September 1, 2007, between Amdocs, Inc. and AT&amp;T</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4"/>
              </w:rPr>
              <w:t>Services, Inc. (confidential material has been redacted and complete exhibits have been separately filed with the Securities and Exchange</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3"/>
              </w:rPr>
              <w:t>Commission) (incorporated by reference to Exhibit 99.3 to Amdocs’ Report of Foreign Private Issuer on Form 6-K dated December 3, 2007)</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4.b.2</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Master Agreement for Software and Services between Amdocs, Inc. and SBC Operations, Inc., effective July 7, 1998 (confidential material has</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been redacted and complete exhibits have been separately filed with the Securities and Exchange Commission) (incorporated by reference to</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7"/>
              </w:rPr>
              <w:t>Exhibit 10.13 to Amdocs’ Amendment No. 1 to Registration Statement on Form F-1, dated May 21, 1999, Registration No. 333-75151)</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4.b.3</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3"/>
              </w:rPr>
              <w:t>Software Master Agreement between Amdocs Software Systems Limited and SBC Services, Inc., effective December 10, 2003 (confidential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1"/>
              </w:rPr>
              <w:t>material has been redacted and complete exhibits have been separately filed with the Securities and Exchange Commission) (incorporated by</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reference to Exhibit 99.2 to Amdocs’ Amendment No. 1 to Registration Statement on Form F-3, dated September 21, 2004, Registration No. 333-</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20" w:type="dxa"/>
            <w:vAlign w:val="bottom"/>
          </w:tcPr>
          <w:p>
            <w:pPr>
              <w:ind w:left="580"/>
              <w:spacing w:after="0"/>
              <w:rPr>
                <w:sz w:val="20"/>
                <w:szCs w:val="20"/>
                <w:color w:val="auto"/>
              </w:rPr>
            </w:pPr>
            <w:r>
              <w:rPr>
                <w:rFonts w:ascii="Arial" w:cs="Arial" w:eastAsia="Arial" w:hAnsi="Arial"/>
                <w:sz w:val="18"/>
                <w:szCs w:val="18"/>
                <w:color w:val="auto"/>
              </w:rPr>
              <w:t>114344)</w:t>
            </w:r>
          </w:p>
        </w:tc>
        <w:tc>
          <w:tcPr>
            <w:tcW w:w="700" w:type="dxa"/>
            <w:vAlign w:val="bottom"/>
          </w:tcPr>
          <w:p>
            <w:pPr>
              <w:spacing w:after="0"/>
              <w:rPr>
                <w:sz w:val="18"/>
                <w:szCs w:val="18"/>
                <w:color w:val="auto"/>
              </w:rPr>
            </w:pPr>
          </w:p>
        </w:tc>
        <w:tc>
          <w:tcPr>
            <w:tcW w:w="4840" w:type="dxa"/>
            <w:vAlign w:val="bottom"/>
          </w:tcPr>
          <w:p>
            <w:pPr>
              <w:spacing w:after="0"/>
              <w:rPr>
                <w:sz w:val="18"/>
                <w:szCs w:val="18"/>
                <w:color w:val="auto"/>
              </w:rPr>
            </w:pP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4.b.4</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0"/>
              </w:rPr>
              <w:t>Agreement between Amdocs, Inc. and SBC Services, Inc. for Software and Professional Services, effective August 7, 2003 (confidential material</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has been redacted and complete exhibits have been separately filed with the Securities and Exchange Commission) (incorporated by reference to</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Exhibit 99.3 to Amdocs’ Amendment No. 1 to Registration Statement on Form F-3, dated September 21, 2004, Registration No. 333-114344)</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4.b.5</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Amended and Restated Customer Care and Billing Services Agreement, dated as of July 1, 2006, between Sprint/United Management Company</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4"/>
              </w:rPr>
              <w:t>and Amdocs Software Systems Limited (confidential material has been redacted and complete exhibits have been separately filed with the</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9"/>
              </w:rPr>
              <w:t>Securities and Exchange Commission) (incorporated by reference to Exhibit 99.1 to Amdocs’ Form 6-K dated December 13, 2006)</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4.b.6</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7"/>
              </w:rPr>
              <w:t>Agreement Amending the Further Amended and Restated Master Outsourcing Agreement and Master License and Services Agreement, dated as of</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October 5, 2006, between Bell Canada and Amdocs Canadian Managed Services Inc. (confidential material has been redacted and complete</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0"/>
              </w:rPr>
              <w:t>exhibits have been separately filed with the Securities and Exchange Commission) (incorporated by reference to Exhibit 4.c.1 to Amdocs’ Report</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rPr>
              <w:t>of Foreign Private Issuer on Form 6-K dated December 13, 2006)</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4.b.7</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8"/>
              </w:rPr>
              <w:t>Further Amended and Restated Information Technology Services Agreement, dated as of December 31, 2009, by and between AT&amp;T Services, Inc.</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2"/>
              </w:rPr>
              <w:t>and Amdocs Inc. (confidential material has been redacted and complete exhibits have been separately filed with the Securities and Exchange</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3"/>
              </w:rPr>
              <w:t>Commission) (incorporated by reference to Exhibit 99.1 to Amdocs’ Report of Foreign Private Issuer on Form 6-K dated November 1, 2010)</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4.b.8</w:t>
            </w: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89"/>
              </w:rPr>
              <w:t>Credit Agreement, dated as of December 20, 2011, among Amdocs Limited, certain of its subsidiaries, the lenders from time to time party thereto,</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0"/>
              </w:rPr>
              <w:t>JPMorgan Chase Bank, N.A., as administrative agent, J.P. Morgan Europe Limited, as London agent, and JPMorgan Chase Bank, N.A., Toronto</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60" w:type="dxa"/>
            <w:vAlign w:val="bottom"/>
            <w:gridSpan w:val="3"/>
          </w:tcPr>
          <w:p>
            <w:pPr>
              <w:ind w:left="580"/>
              <w:spacing w:after="0"/>
              <w:rPr>
                <w:sz w:val="20"/>
                <w:szCs w:val="20"/>
                <w:color w:val="auto"/>
              </w:rPr>
            </w:pPr>
            <w:r>
              <w:rPr>
                <w:rFonts w:ascii="Arial" w:cs="Arial" w:eastAsia="Arial" w:hAnsi="Arial"/>
                <w:sz w:val="18"/>
                <w:szCs w:val="18"/>
                <w:color w:val="auto"/>
                <w:w w:val="90"/>
              </w:rPr>
              <w:t>branch, as Canadian agent (incorporated by reference to Exhibit 99.1 to Amdocs’ Report of Foreign Private Issuer on Form 6-K dated December</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20" w:type="dxa"/>
            <w:vAlign w:val="bottom"/>
          </w:tcPr>
          <w:p>
            <w:pPr>
              <w:ind w:left="580"/>
              <w:spacing w:after="0"/>
              <w:rPr>
                <w:sz w:val="20"/>
                <w:szCs w:val="20"/>
                <w:color w:val="auto"/>
              </w:rPr>
            </w:pPr>
            <w:r>
              <w:rPr>
                <w:rFonts w:ascii="Arial" w:cs="Arial" w:eastAsia="Arial" w:hAnsi="Arial"/>
                <w:sz w:val="18"/>
                <w:szCs w:val="18"/>
                <w:color w:val="auto"/>
              </w:rPr>
              <w:t>22, 2011)</w:t>
            </w:r>
          </w:p>
        </w:tc>
        <w:tc>
          <w:tcPr>
            <w:tcW w:w="700" w:type="dxa"/>
            <w:vAlign w:val="bottom"/>
          </w:tcPr>
          <w:p>
            <w:pPr>
              <w:spacing w:after="0"/>
              <w:rPr>
                <w:sz w:val="19"/>
                <w:szCs w:val="19"/>
                <w:color w:val="auto"/>
              </w:rPr>
            </w:pPr>
          </w:p>
        </w:tc>
        <w:tc>
          <w:tcPr>
            <w:tcW w:w="4840" w:type="dxa"/>
            <w:vAlign w:val="bottom"/>
          </w:tcPr>
          <w:p>
            <w:pPr>
              <w:spacing w:after="0"/>
              <w:rPr>
                <w:sz w:val="19"/>
                <w:szCs w:val="19"/>
                <w:color w:val="auto"/>
              </w:rPr>
            </w:pPr>
          </w:p>
        </w:tc>
      </w:tr>
      <w:tr>
        <w:trPr>
          <w:trHeight w:val="365"/>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20" w:type="dxa"/>
            <w:vAlign w:val="bottom"/>
          </w:tcPr>
          <w:p>
            <w:pPr>
              <w:ind w:left="5160"/>
              <w:spacing w:after="0"/>
              <w:rPr>
                <w:sz w:val="20"/>
                <w:szCs w:val="20"/>
                <w:color w:val="auto"/>
              </w:rPr>
            </w:pPr>
            <w:r>
              <w:rPr>
                <w:rFonts w:ascii="Arial" w:cs="Arial" w:eastAsia="Arial" w:hAnsi="Arial"/>
                <w:sz w:val="18"/>
                <w:szCs w:val="18"/>
                <w:color w:val="auto"/>
              </w:rPr>
              <w:t>70</w:t>
            </w:r>
          </w:p>
        </w:tc>
        <w:tc>
          <w:tcPr>
            <w:tcW w:w="700" w:type="dxa"/>
            <w:vAlign w:val="bottom"/>
          </w:tcPr>
          <w:p>
            <w:pPr>
              <w:spacing w:after="0"/>
              <w:rPr>
                <w:sz w:val="24"/>
                <w:szCs w:val="24"/>
                <w:color w:val="auto"/>
              </w:rPr>
            </w:pPr>
          </w:p>
        </w:tc>
        <w:tc>
          <w:tcPr>
            <w:tcW w:w="48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jc w:val="center"/>
              <w:spacing w:after="0"/>
              <w:rPr>
                <w:sz w:val="20"/>
                <w:szCs w:val="20"/>
                <w:color w:val="auto"/>
              </w:rPr>
            </w:pPr>
            <w:r>
              <w:rPr>
                <w:rFonts w:ascii="Arial" w:cs="Arial" w:eastAsia="Arial" w:hAnsi="Arial"/>
                <w:sz w:val="14"/>
                <w:szCs w:val="14"/>
                <w:b w:val="1"/>
                <w:bCs w:val="1"/>
                <w:color w:val="auto"/>
                <w:w w:val="89"/>
              </w:rPr>
              <w:t>Exhibit</w:t>
            </w:r>
          </w:p>
        </w:tc>
        <w:tc>
          <w:tcPr>
            <w:tcW w:w="5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20" w:type="dxa"/>
            <w:vAlign w:val="bottom"/>
          </w:tcPr>
          <w:p>
            <w:pPr>
              <w:spacing w:after="0"/>
              <w:rPr>
                <w:sz w:val="14"/>
                <w:szCs w:val="14"/>
                <w:color w:val="auto"/>
              </w:rPr>
            </w:pPr>
          </w:p>
        </w:tc>
      </w:tr>
      <w:tr>
        <w:trPr>
          <w:trHeight w:val="181"/>
        </w:trPr>
        <w:tc>
          <w:tcPr>
            <w:tcW w:w="20" w:type="dxa"/>
            <w:vAlign w:val="bottom"/>
          </w:tcPr>
          <w:p>
            <w:pPr>
              <w:spacing w:after="0"/>
              <w:rPr>
                <w:sz w:val="15"/>
                <w:szCs w:val="15"/>
                <w:color w:val="auto"/>
              </w:rPr>
            </w:pPr>
          </w:p>
        </w:tc>
        <w:tc>
          <w:tcPr>
            <w:tcW w:w="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5420" w:type="dxa"/>
            <w:vAlign w:val="bottom"/>
          </w:tcPr>
          <w:p>
            <w:pPr>
              <w:spacing w:after="0"/>
              <w:rPr>
                <w:sz w:val="15"/>
                <w:szCs w:val="15"/>
                <w:color w:val="auto"/>
              </w:rPr>
            </w:pPr>
          </w:p>
        </w:tc>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460" w:type="dxa"/>
            <w:vAlign w:val="bottom"/>
            <w:gridSpan w:val="2"/>
          </w:tcPr>
          <w:p>
            <w:pPr>
              <w:spacing w:after="0" w:line="195" w:lineRule="exact"/>
              <w:rPr>
                <w:sz w:val="20"/>
                <w:szCs w:val="20"/>
                <w:color w:val="auto"/>
              </w:rPr>
            </w:pPr>
            <w:r>
              <w:rPr>
                <w:rFonts w:ascii="Arial" w:cs="Arial" w:eastAsia="Arial" w:hAnsi="Arial"/>
                <w:sz w:val="18"/>
                <w:szCs w:val="18"/>
                <w:color w:val="auto"/>
              </w:rPr>
              <w:t>4.b.9</w:t>
            </w:r>
          </w:p>
        </w:tc>
        <w:tc>
          <w:tcPr>
            <w:tcW w:w="5420" w:type="dxa"/>
            <w:vAlign w:val="bottom"/>
          </w:tcPr>
          <w:p>
            <w:pPr>
              <w:ind w:left="580"/>
              <w:spacing w:after="0" w:line="195" w:lineRule="exact"/>
              <w:rPr>
                <w:sz w:val="20"/>
                <w:szCs w:val="20"/>
                <w:color w:val="auto"/>
              </w:rPr>
            </w:pPr>
            <w:r>
              <w:rPr>
                <w:rFonts w:ascii="Arial" w:cs="Arial" w:eastAsia="Arial" w:hAnsi="Arial"/>
                <w:sz w:val="18"/>
                <w:szCs w:val="18"/>
                <w:color w:val="auto"/>
                <w:w w:val="88"/>
              </w:rPr>
              <w:t>Customer Care and Billing Services Agreement, dated as of October</w:t>
            </w:r>
          </w:p>
        </w:tc>
        <w:tc>
          <w:tcPr>
            <w:tcW w:w="70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1, 2012,</w:t>
            </w:r>
          </w:p>
        </w:tc>
        <w:tc>
          <w:tcPr>
            <w:tcW w:w="4820" w:type="dxa"/>
            <w:vAlign w:val="bottom"/>
          </w:tcPr>
          <w:p>
            <w:pPr>
              <w:spacing w:after="0" w:line="195" w:lineRule="exact"/>
              <w:rPr>
                <w:sz w:val="20"/>
                <w:szCs w:val="20"/>
                <w:color w:val="auto"/>
              </w:rPr>
            </w:pPr>
            <w:r>
              <w:rPr>
                <w:rFonts w:ascii="Arial" w:cs="Arial" w:eastAsia="Arial" w:hAnsi="Arial"/>
                <w:sz w:val="18"/>
                <w:szCs w:val="18"/>
                <w:color w:val="auto"/>
                <w:w w:val="87"/>
              </w:rPr>
              <w:t>between Sprint/United Management Company and Amdocs Software</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Systems Limited (confidential material has been redacted and complete exhibits have been separately filed with the Securities and Exchange</w:t>
            </w: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Commission) (incorporated by reference to Exhibit 99.1 to Amdocs’ Report of Foreign Private Issuer on Form 6-K dated December 11, 2012)</w:t>
            </w:r>
          </w:p>
        </w:tc>
      </w:tr>
      <w:tr>
        <w:trPr>
          <w:trHeight w:val="216"/>
        </w:trPr>
        <w:tc>
          <w:tcPr>
            <w:tcW w:w="460" w:type="dxa"/>
            <w:vAlign w:val="bottom"/>
            <w:gridSpan w:val="2"/>
          </w:tcPr>
          <w:p>
            <w:pPr>
              <w:spacing w:after="0"/>
              <w:rPr>
                <w:sz w:val="20"/>
                <w:szCs w:val="20"/>
                <w:color w:val="auto"/>
              </w:rPr>
            </w:pPr>
            <w:r>
              <w:rPr>
                <w:rFonts w:ascii="Arial" w:cs="Arial" w:eastAsia="Arial" w:hAnsi="Arial"/>
                <w:sz w:val="18"/>
                <w:szCs w:val="18"/>
                <w:color w:val="auto"/>
              </w:rPr>
              <w:t>4.c.1</w:t>
            </w: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w w:val="92"/>
              </w:rPr>
              <w:t>Amdocs Limited 1998 Stock Option and Incentive Plan, as amended (incorporated by reference to Exhibit 99.1 to Amdocs’ Report of Foreign</w:t>
            </w: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940" w:type="dxa"/>
            <w:vAlign w:val="bottom"/>
            <w:gridSpan w:val="3"/>
          </w:tcPr>
          <w:p>
            <w:pPr>
              <w:ind w:left="580"/>
              <w:spacing w:after="0"/>
              <w:rPr>
                <w:sz w:val="20"/>
                <w:szCs w:val="20"/>
                <w:color w:val="auto"/>
              </w:rPr>
            </w:pPr>
            <w:r>
              <w:rPr>
                <w:rFonts w:ascii="Arial" w:cs="Arial" w:eastAsia="Arial" w:hAnsi="Arial"/>
                <w:sz w:val="18"/>
                <w:szCs w:val="18"/>
                <w:color w:val="auto"/>
              </w:rPr>
              <w:t>Private Issuer on Form 6-K filed May 12, 2009)</w:t>
            </w:r>
          </w:p>
        </w:tc>
      </w:tr>
    </w:tbl>
    <w:p>
      <w:pPr>
        <w:ind w:left="1040" w:hanging="1032"/>
        <w:spacing w:after="0"/>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Subsidiaries of Amdocs Limited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0" w:type="dxa"/>
            <w:vAlign w:val="bottom"/>
          </w:tcPr>
          <w:p>
            <w:pPr>
              <w:spacing w:after="0"/>
              <w:rPr>
                <w:sz w:val="20"/>
                <w:szCs w:val="20"/>
                <w:color w:val="auto"/>
              </w:rPr>
            </w:pPr>
            <w:r>
              <w:rPr>
                <w:rFonts w:ascii="Arial" w:cs="Arial" w:eastAsia="Arial" w:hAnsi="Arial"/>
                <w:sz w:val="18"/>
                <w:szCs w:val="18"/>
                <w:color w:val="auto"/>
              </w:rPr>
              <w:t>12.1</w:t>
            </w:r>
          </w:p>
        </w:tc>
        <w:tc>
          <w:tcPr>
            <w:tcW w:w="10580" w:type="dxa"/>
            <w:vAlign w:val="bottom"/>
          </w:tcPr>
          <w:p>
            <w:pPr>
              <w:ind w:left="320"/>
              <w:spacing w:after="0"/>
              <w:rPr>
                <w:sz w:val="20"/>
                <w:szCs w:val="20"/>
                <w:color w:val="auto"/>
              </w:rPr>
            </w:pPr>
            <w:r>
              <w:rPr>
                <w:rFonts w:ascii="Arial" w:cs="Arial" w:eastAsia="Arial" w:hAnsi="Arial"/>
                <w:sz w:val="18"/>
                <w:szCs w:val="18"/>
                <w:color w:val="auto"/>
              </w:rPr>
              <w:t>Certification of Chief Executive Officer pursuant to Rule 13a-14(a)/15d-14(a)</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12.2</w:t>
            </w:r>
          </w:p>
        </w:tc>
        <w:tc>
          <w:tcPr>
            <w:tcW w:w="10580" w:type="dxa"/>
            <w:vAlign w:val="bottom"/>
          </w:tcPr>
          <w:p>
            <w:pPr>
              <w:ind w:left="320"/>
              <w:spacing w:after="0"/>
              <w:rPr>
                <w:sz w:val="20"/>
                <w:szCs w:val="20"/>
                <w:color w:val="auto"/>
              </w:rPr>
            </w:pPr>
            <w:r>
              <w:rPr>
                <w:rFonts w:ascii="Arial" w:cs="Arial" w:eastAsia="Arial" w:hAnsi="Arial"/>
                <w:sz w:val="18"/>
                <w:szCs w:val="18"/>
                <w:color w:val="auto"/>
              </w:rPr>
              <w:t>Certification of Chief Financial Officer pursuant to Rule 13a-14(a)/15d-14(a)</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13.1</w:t>
            </w:r>
          </w:p>
        </w:tc>
        <w:tc>
          <w:tcPr>
            <w:tcW w:w="10580" w:type="dxa"/>
            <w:vAlign w:val="bottom"/>
          </w:tcPr>
          <w:p>
            <w:pPr>
              <w:ind w:left="320"/>
              <w:spacing w:after="0"/>
              <w:rPr>
                <w:sz w:val="20"/>
                <w:szCs w:val="20"/>
                <w:color w:val="auto"/>
              </w:rPr>
            </w:pPr>
            <w:r>
              <w:rPr>
                <w:rFonts w:ascii="Arial" w:cs="Arial" w:eastAsia="Arial" w:hAnsi="Arial"/>
                <w:sz w:val="18"/>
                <w:szCs w:val="18"/>
                <w:color w:val="auto"/>
              </w:rPr>
              <w:t>Certification of Chief Executive Officer pursuant to 18 U.S.C. 1350</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13.2</w:t>
            </w:r>
          </w:p>
        </w:tc>
        <w:tc>
          <w:tcPr>
            <w:tcW w:w="10580" w:type="dxa"/>
            <w:vAlign w:val="bottom"/>
          </w:tcPr>
          <w:p>
            <w:pPr>
              <w:ind w:left="320"/>
              <w:spacing w:after="0"/>
              <w:rPr>
                <w:sz w:val="20"/>
                <w:szCs w:val="20"/>
                <w:color w:val="auto"/>
              </w:rPr>
            </w:pPr>
            <w:r>
              <w:rPr>
                <w:rFonts w:ascii="Arial" w:cs="Arial" w:eastAsia="Arial" w:hAnsi="Arial"/>
                <w:sz w:val="18"/>
                <w:szCs w:val="18"/>
                <w:color w:val="auto"/>
              </w:rPr>
              <w:t>Certification of Chief Financial Officer pursuant to 18 U.S.C. 1350</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14.1</w:t>
            </w:r>
          </w:p>
        </w:tc>
        <w:tc>
          <w:tcPr>
            <w:tcW w:w="10580" w:type="dxa"/>
            <w:vAlign w:val="bottom"/>
          </w:tcPr>
          <w:p>
            <w:pPr>
              <w:ind w:left="320"/>
              <w:spacing w:after="0"/>
              <w:rPr>
                <w:sz w:val="20"/>
                <w:szCs w:val="20"/>
                <w:color w:val="auto"/>
              </w:rPr>
            </w:pPr>
            <w:r>
              <w:rPr>
                <w:rFonts w:ascii="Arial" w:cs="Arial" w:eastAsia="Arial" w:hAnsi="Arial"/>
                <w:sz w:val="18"/>
                <w:szCs w:val="18"/>
                <w:color w:val="auto"/>
              </w:rPr>
              <w:t>Consent of Ernst &amp; Young LLP</w:t>
            </w:r>
          </w:p>
        </w:tc>
      </w:tr>
      <w:tr>
        <w:trPr>
          <w:trHeight w:val="216"/>
        </w:trPr>
        <w:tc>
          <w:tcPr>
            <w:tcW w:w="720" w:type="dxa"/>
            <w:vAlign w:val="bottom"/>
          </w:tcPr>
          <w:p>
            <w:pPr>
              <w:spacing w:after="0"/>
              <w:rPr>
                <w:sz w:val="20"/>
                <w:szCs w:val="20"/>
                <w:color w:val="auto"/>
              </w:rPr>
            </w:pPr>
            <w:r>
              <w:rPr>
                <w:rFonts w:ascii="Arial" w:cs="Arial" w:eastAsia="Arial" w:hAnsi="Arial"/>
                <w:sz w:val="18"/>
                <w:szCs w:val="18"/>
                <w:color w:val="auto"/>
              </w:rPr>
              <w:t>100.1</w:t>
            </w:r>
          </w:p>
        </w:tc>
        <w:tc>
          <w:tcPr>
            <w:tcW w:w="10580" w:type="dxa"/>
            <w:vAlign w:val="bottom"/>
          </w:tcPr>
          <w:p>
            <w:pPr>
              <w:ind w:left="320"/>
              <w:spacing w:after="0"/>
              <w:rPr>
                <w:sz w:val="20"/>
                <w:szCs w:val="20"/>
                <w:color w:val="auto"/>
              </w:rPr>
            </w:pPr>
            <w:r>
              <w:rPr>
                <w:rFonts w:ascii="Arial" w:cs="Arial" w:eastAsia="Arial" w:hAnsi="Arial"/>
                <w:sz w:val="18"/>
                <w:szCs w:val="18"/>
                <w:color w:val="auto"/>
                <w:w w:val="91"/>
              </w:rPr>
              <w:t>The following financial information from Amdocs Limited’s Annual Report on Form 20-F for the year ended September 30, 2012, formatted in</w:t>
            </w:r>
          </w:p>
        </w:tc>
      </w:tr>
      <w:tr>
        <w:trPr>
          <w:trHeight w:val="216"/>
        </w:trPr>
        <w:tc>
          <w:tcPr>
            <w:tcW w:w="720" w:type="dxa"/>
            <w:vAlign w:val="bottom"/>
          </w:tcPr>
          <w:p>
            <w:pPr>
              <w:spacing w:after="0"/>
              <w:rPr>
                <w:sz w:val="18"/>
                <w:szCs w:val="18"/>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w w:val="93"/>
              </w:rPr>
              <w:t>Extensible Business Reporting Language (XBRL): (i) Consolidated Balance Sheets as of September 30, 2012 and 2011, (ii) Consolidated</w:t>
            </w:r>
          </w:p>
        </w:tc>
      </w:tr>
      <w:tr>
        <w:trPr>
          <w:trHeight w:val="216"/>
        </w:trPr>
        <w:tc>
          <w:tcPr>
            <w:tcW w:w="720" w:type="dxa"/>
            <w:vAlign w:val="bottom"/>
          </w:tcPr>
          <w:p>
            <w:pPr>
              <w:spacing w:after="0"/>
              <w:rPr>
                <w:sz w:val="18"/>
                <w:szCs w:val="18"/>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w w:val="88"/>
              </w:rPr>
              <w:t>Statements of Income for the years ended September 30, 2012, 2011 and 2010, (iii) Consolidated Statements of Changes in Shareholders’ Equity</w:t>
            </w:r>
          </w:p>
        </w:tc>
      </w:tr>
      <w:tr>
        <w:trPr>
          <w:trHeight w:val="216"/>
        </w:trPr>
        <w:tc>
          <w:tcPr>
            <w:tcW w:w="720" w:type="dxa"/>
            <w:vAlign w:val="bottom"/>
          </w:tcPr>
          <w:p>
            <w:pPr>
              <w:spacing w:after="0"/>
              <w:rPr>
                <w:sz w:val="18"/>
                <w:szCs w:val="18"/>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w w:val="87"/>
              </w:rPr>
              <w:t>for the years ended September 30, 2012, 2011 and 2010, (iv) the Consolidated Statements of Cash Flows for the years ended September 30, 2012,</w:t>
            </w:r>
          </w:p>
        </w:tc>
      </w:tr>
      <w:tr>
        <w:trPr>
          <w:trHeight w:val="222"/>
        </w:trPr>
        <w:tc>
          <w:tcPr>
            <w:tcW w:w="720" w:type="dxa"/>
            <w:vAlign w:val="bottom"/>
          </w:tcPr>
          <w:p>
            <w:pPr>
              <w:spacing w:after="0"/>
              <w:rPr>
                <w:sz w:val="19"/>
                <w:szCs w:val="19"/>
                <w:color w:val="auto"/>
              </w:rPr>
            </w:pPr>
          </w:p>
        </w:tc>
        <w:tc>
          <w:tcPr>
            <w:tcW w:w="10580" w:type="dxa"/>
            <w:vAlign w:val="bottom"/>
          </w:tcPr>
          <w:p>
            <w:pPr>
              <w:ind w:left="320"/>
              <w:spacing w:after="0"/>
              <w:rPr>
                <w:sz w:val="20"/>
                <w:szCs w:val="20"/>
                <w:color w:val="auto"/>
              </w:rPr>
            </w:pPr>
            <w:r>
              <w:rPr>
                <w:rFonts w:ascii="Arial" w:cs="Arial" w:eastAsia="Arial" w:hAnsi="Arial"/>
                <w:sz w:val="18"/>
                <w:szCs w:val="18"/>
                <w:color w:val="auto"/>
              </w:rPr>
              <w:t>2011 and 2010, and (iv) Notes to Consolidated Financial Statements</w:t>
            </w:r>
          </w:p>
        </w:tc>
      </w:tr>
      <w:tr>
        <w:trPr>
          <w:trHeight w:val="365"/>
        </w:trPr>
        <w:tc>
          <w:tcPr>
            <w:tcW w:w="720" w:type="dxa"/>
            <w:vAlign w:val="bottom"/>
          </w:tcPr>
          <w:p>
            <w:pPr>
              <w:spacing w:after="0"/>
              <w:rPr>
                <w:sz w:val="24"/>
                <w:szCs w:val="24"/>
                <w:color w:val="auto"/>
              </w:rPr>
            </w:pPr>
          </w:p>
        </w:tc>
        <w:tc>
          <w:tcPr>
            <w:tcW w:w="10580" w:type="dxa"/>
            <w:vAlign w:val="bottom"/>
          </w:tcPr>
          <w:p>
            <w:pPr>
              <w:ind w:left="4900"/>
              <w:spacing w:after="0"/>
              <w:rPr>
                <w:sz w:val="20"/>
                <w:szCs w:val="20"/>
                <w:color w:val="auto"/>
              </w:rPr>
            </w:pPr>
            <w:r>
              <w:rPr>
                <w:rFonts w:ascii="Arial" w:cs="Arial" w:eastAsia="Arial" w:hAnsi="Arial"/>
                <w:sz w:val="18"/>
                <w:szCs w:val="18"/>
                <w:color w:val="auto"/>
              </w:rPr>
              <w:t>71</w:t>
            </w:r>
          </w:p>
        </w:tc>
      </w:tr>
    </w:tbl>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40" w:type="dxa"/>
            <w:vAlign w:val="bottom"/>
            <w:gridSpan w:val="10"/>
            <w:vMerge w:val="restart"/>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88"/>
        </w:trPr>
        <w:tc>
          <w:tcPr>
            <w:tcW w:w="10940" w:type="dxa"/>
            <w:vAlign w:val="bottom"/>
            <w:gridSpan w:val="10"/>
            <w:vMerge w:val="continue"/>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5"/>
                <w:szCs w:val="15"/>
                <w:color w:val="auto"/>
              </w:rPr>
            </w:pPr>
          </w:p>
        </w:tc>
        <w:tc>
          <w:tcPr>
            <w:tcW w:w="10720" w:type="dxa"/>
            <w:vAlign w:val="bottom"/>
            <w:gridSpan w:val="9"/>
          </w:tcPr>
          <w:p>
            <w:pPr>
              <w:spacing w:after="0" w:line="184" w:lineRule="exact"/>
              <w:rPr>
                <w:rFonts w:ascii="Arial" w:cs="Arial" w:eastAsia="Arial" w:hAnsi="Arial"/>
                <w:sz w:val="18"/>
                <w:szCs w:val="18"/>
                <w:color w:val="0000EE"/>
              </w:rPr>
            </w:pPr>
            <w:hyperlink w:anchor="page73">
              <w:r>
                <w:rPr>
                  <w:rFonts w:ascii="Arial" w:cs="Arial" w:eastAsia="Arial" w:hAnsi="Arial"/>
                  <w:sz w:val="18"/>
                  <w:szCs w:val="18"/>
                  <w:color w:val="0000EE"/>
                </w:rPr>
                <w:t>Management’s Report on Internal Control Over Financial Reporting</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478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Reports of Independent Registered Public Accounting Firm</w:t>
              </w:r>
            </w:hyperlink>
          </w:p>
        </w:tc>
        <w:tc>
          <w:tcPr>
            <w:tcW w:w="594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720" w:type="dxa"/>
            <w:vAlign w:val="bottom"/>
            <w:gridSpan w:val="9"/>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Balance Sheets as of September 30, 2012 and 2011</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720" w:type="dxa"/>
            <w:vAlign w:val="bottom"/>
            <w:gridSpan w:val="9"/>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Statements of Income for the years ended September 30, 2012, 2011 and 2010</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48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12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0720" w:type="dxa"/>
            <w:vAlign w:val="bottom"/>
            <w:gridSpan w:val="9"/>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Statements of Changes in Shareholders’ Equity for the years ended September 30, 2012, 2011 and 2010</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3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Consolidated Statements of Cash Flows for the years ended September 30, 2012, 2011 and 2010</w:t>
              </w:r>
            </w:hyperlink>
          </w:p>
        </w:tc>
        <w:tc>
          <w:tcPr>
            <w:tcW w:w="242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7"/>
              </w:rPr>
            </w:pPr>
            <w:hyperlink w:anchor="page80">
              <w:r>
                <w:rPr>
                  <w:rFonts w:ascii="Arial" w:cs="Arial" w:eastAsia="Arial" w:hAnsi="Arial"/>
                  <w:sz w:val="18"/>
                  <w:szCs w:val="18"/>
                  <w:color w:val="0000EE"/>
                  <w:w w:val="87"/>
                </w:rPr>
                <w:t>Notes to the Consolidated Financial Statements</w:t>
              </w:r>
            </w:hyperlink>
          </w:p>
        </w:tc>
        <w:tc>
          <w:tcPr>
            <w:tcW w:w="3420" w:type="dxa"/>
            <w:vAlign w:val="bottom"/>
            <w:tcBorders>
              <w:top w:val="single" w:sz="8" w:color="0000EE"/>
            </w:tcBorders>
            <w:gridSpan w:val="5"/>
          </w:tcPr>
          <w:p>
            <w:pPr>
              <w:spacing w:after="0"/>
              <w:rPr>
                <w:sz w:val="17"/>
                <w:szCs w:val="17"/>
                <w:color w:val="auto"/>
              </w:rPr>
            </w:pPr>
          </w:p>
        </w:tc>
        <w:tc>
          <w:tcPr>
            <w:tcW w:w="396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228"/>
        </w:trPr>
        <w:tc>
          <w:tcPr>
            <w:tcW w:w="10940" w:type="dxa"/>
            <w:vAlign w:val="bottom"/>
            <w:gridSpan w:val="10"/>
          </w:tcPr>
          <w:p>
            <w:pPr>
              <w:spacing w:after="0"/>
              <w:rPr>
                <w:sz w:val="20"/>
                <w:szCs w:val="20"/>
                <w:color w:val="auto"/>
              </w:rPr>
            </w:pPr>
            <w:r>
              <w:rPr>
                <w:rFonts w:ascii="Arial" w:cs="Arial" w:eastAsia="Arial" w:hAnsi="Arial"/>
                <w:sz w:val="18"/>
                <w:szCs w:val="18"/>
                <w:b w:val="1"/>
                <w:bCs w:val="1"/>
                <w:color w:val="auto"/>
              </w:rPr>
              <w:t>Financial Statement Schedule</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20" w:type="dxa"/>
            <w:vAlign w:val="bottom"/>
          </w:tcPr>
          <w:p>
            <w:pPr>
              <w:spacing w:after="0"/>
              <w:rPr>
                <w:sz w:val="15"/>
                <w:szCs w:val="15"/>
                <w:color w:val="auto"/>
              </w:rPr>
            </w:pPr>
          </w:p>
        </w:tc>
        <w:tc>
          <w:tcPr>
            <w:tcW w:w="10720" w:type="dxa"/>
            <w:vAlign w:val="bottom"/>
            <w:gridSpan w:val="9"/>
          </w:tcPr>
          <w:p>
            <w:pPr>
              <w:spacing w:after="0" w:line="184" w:lineRule="exact"/>
              <w:rPr>
                <w:rFonts w:ascii="Arial" w:cs="Arial" w:eastAsia="Arial" w:hAnsi="Arial"/>
                <w:sz w:val="18"/>
                <w:szCs w:val="18"/>
                <w:color w:val="0000EE"/>
              </w:rPr>
            </w:pPr>
            <w:hyperlink w:anchor="page107">
              <w:r>
                <w:rPr>
                  <w:rFonts w:ascii="Arial" w:cs="Arial" w:eastAsia="Arial" w:hAnsi="Arial"/>
                  <w:sz w:val="18"/>
                  <w:szCs w:val="18"/>
                  <w:color w:val="0000EE"/>
                </w:rPr>
                <w:t>Valuation and Qualifying Accounts</w:t>
              </w:r>
            </w:hyperlink>
          </w:p>
        </w:tc>
        <w:tc>
          <w:tcPr>
            <w:tcW w:w="380" w:type="dxa"/>
            <w:vAlign w:val="bottom"/>
          </w:tcPr>
          <w:p>
            <w:pPr>
              <w:jc w:val="right"/>
              <w:spacing w:after="0" w:line="184" w:lineRule="exact"/>
              <w:rPr>
                <w:sz w:val="20"/>
                <w:szCs w:val="20"/>
                <w:color w:val="auto"/>
              </w:rPr>
            </w:pPr>
            <w:r>
              <w:rPr>
                <w:rFonts w:ascii="Arial" w:cs="Arial" w:eastAsia="Arial" w:hAnsi="Arial"/>
                <w:sz w:val="18"/>
                <w:szCs w:val="18"/>
                <w:color w:val="auto"/>
                <w:w w:val="97"/>
              </w:rPr>
              <w:t>F-36</w:t>
            </w:r>
          </w:p>
        </w:tc>
        <w:tc>
          <w:tcPr>
            <w:tcW w:w="0" w:type="dxa"/>
            <w:vAlign w:val="bottom"/>
          </w:tcPr>
          <w:p>
            <w:pPr>
              <w:spacing w:after="0"/>
              <w:rPr>
                <w:sz w:val="1"/>
                <w:szCs w:val="1"/>
                <w:color w:val="auto"/>
              </w:rPr>
            </w:pPr>
          </w:p>
        </w:tc>
      </w:tr>
      <w:tr>
        <w:trPr>
          <w:trHeight w:val="383"/>
        </w:trPr>
        <w:tc>
          <w:tcPr>
            <w:tcW w:w="220" w:type="dxa"/>
            <w:vAlign w:val="bottom"/>
          </w:tcPr>
          <w:p>
            <w:pPr>
              <w:spacing w:after="0"/>
              <w:rPr>
                <w:sz w:val="24"/>
                <w:szCs w:val="24"/>
                <w:color w:val="auto"/>
              </w:rPr>
            </w:pPr>
          </w:p>
        </w:tc>
        <w:tc>
          <w:tcPr>
            <w:tcW w:w="248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940" w:type="dxa"/>
            <w:vAlign w:val="bottom"/>
            <w:gridSpan w:val="4"/>
          </w:tcPr>
          <w:p>
            <w:pPr>
              <w:ind w:left="600"/>
              <w:spacing w:after="0"/>
              <w:rPr>
                <w:sz w:val="20"/>
                <w:szCs w:val="20"/>
                <w:color w:val="auto"/>
              </w:rPr>
            </w:pPr>
            <w:r>
              <w:rPr>
                <w:rFonts w:ascii="Arial" w:cs="Arial" w:eastAsia="Arial" w:hAnsi="Arial"/>
                <w:sz w:val="18"/>
                <w:szCs w:val="18"/>
                <w:color w:val="auto"/>
              </w:rPr>
              <w:t>F-1</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right="160" w:firstLine="456"/>
        <w:spacing w:after="0" w:line="335" w:lineRule="auto"/>
        <w:rPr>
          <w:sz w:val="20"/>
          <w:szCs w:val="20"/>
          <w:color w:val="auto"/>
        </w:rPr>
      </w:pPr>
      <w:r>
        <w:rPr>
          <w:rFonts w:ascii="Arial" w:cs="Arial" w:eastAsia="Arial" w:hAnsi="Arial"/>
          <w:sz w:val="15"/>
          <w:szCs w:val="15"/>
          <w:color w:val="auto"/>
        </w:rPr>
        <w:t>The management of the Company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 w:lineRule="exact"/>
        <w:rPr>
          <w:sz w:val="20"/>
          <w:szCs w:val="20"/>
          <w:color w:val="auto"/>
        </w:rPr>
      </w:pPr>
    </w:p>
    <w:p>
      <w:pPr>
        <w:ind w:left="660" w:right="740" w:hanging="206"/>
        <w:spacing w:after="0" w:line="26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50" w:lineRule="exact"/>
        <w:rPr>
          <w:rFonts w:ascii="Arial" w:cs="Arial" w:eastAsia="Arial" w:hAnsi="Arial"/>
          <w:sz w:val="18"/>
          <w:szCs w:val="18"/>
          <w:color w:val="auto"/>
        </w:rPr>
      </w:pPr>
    </w:p>
    <w:p>
      <w:pPr>
        <w:ind w:left="660" w:right="420" w:hanging="206"/>
        <w:spacing w:after="0" w:line="259"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59" w:lineRule="exact"/>
        <w:rPr>
          <w:rFonts w:ascii="Arial" w:cs="Arial" w:eastAsia="Arial" w:hAnsi="Arial"/>
          <w:sz w:val="18"/>
          <w:szCs w:val="18"/>
          <w:color w:val="auto"/>
        </w:rPr>
      </w:pPr>
    </w:p>
    <w:p>
      <w:pPr>
        <w:ind w:left="660" w:hanging="206"/>
        <w:spacing w:after="0" w:line="268" w:lineRule="auto"/>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5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5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September 30, 2012. In making this assessment, the Company’s management used the criteria set forth by the Committee of Sponsoring Organizations of the Treadway Commission (COSO) in Internal Control-Integrated Framework.</w:t>
      </w:r>
    </w:p>
    <w:p>
      <w:pPr>
        <w:spacing w:after="0" w:line="5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Based on its assessment, management concluded that, as of September 30, 2012, the Company’s internal control over financial reporting is effective based on those criteria.</w:t>
      </w:r>
    </w:p>
    <w:p>
      <w:pPr>
        <w:spacing w:after="0" w:line="51"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financial statements and internal control over financial reporting have been audited by Ernst &amp; Young LLP, an independent registered public accounting firm which has issued an attestation report on the Company’s internal control over financial reporting included elsewhere in this Annual Report on Form 20-F.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8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audited the accompanying consolidated balance sheets of Amdocs Limited as of September 30, 2012 and 2011, and the related consolidated statements of income, changes in shareholders’ equity, and cash flows for each of the three years in the period ended September 30, 2012. Our audits also included the financial statement schedule listed in the Index at Item 18 of Part III. These financial statements and schedule are the responsibility of the Company’s management. Our responsibility is to express an opinion on these financial statements and schedule based on our audits.</w:t>
      </w:r>
    </w:p>
    <w:p>
      <w:pPr>
        <w:spacing w:after="0" w:line="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6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our opinion, the financial statements referred to above present fairly, in all material respects, the consolidated financial position of Amdocs Limited at September 30, 2012 and 2011, and the consolidated results of its operations and its cash flows for each of the three years in the period ended September 30, 2012, in conformity with U.S. generally accepted accounting principles. Also, in our opinion, the related financial statement schedule, when considered in relation to the basic financial statements taken as a whole, presents fairly in all material respects the information set forth therein.</w:t>
      </w:r>
    </w:p>
    <w:p>
      <w:pPr>
        <w:spacing w:after="0" w:line="32"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Amdocs Limited’s internal control over financial reporting as of September 30, 2012, based on criteria established in Internal Control-Integrated Framework issued by the Committee of Sponsoring Organizations of the Treadway Commission and our report dated December 11, 2012 expressed an unqualified opinion thereon.</w:t>
      </w:r>
    </w:p>
    <w:p>
      <w:pPr>
        <w:spacing w:after="0" w:line="107"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2012</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 of</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Amdocs Limited</w:t>
      </w:r>
    </w:p>
    <w:p>
      <w:pPr>
        <w:spacing w:after="0" w:line="8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have audited Amdocs Limited’s internal control over financial reporting as of September 30, 2012, based on criteria established in Internal Control — Integrated Framework issued by the Committee of Sponsoring Organizations of the Treadway Commission (the COSO criteria). Amdocs Limited’s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3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3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59"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In our opinion, Amdocs Limited maintained, in all material respects, effective internal control over financial reporting as of September 30, 2012, based on the COSO criteria.</w:t>
      </w:r>
    </w:p>
    <w:p>
      <w:pPr>
        <w:spacing w:after="0" w:line="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Amdocs Limited as of September 30, 2012 and 2011, and the related consolidated statements of income, changes in shareholders’ equity, and cash flows for each of the three years in the period ended September 30, 2012 of Amdocs Limited and our report dated December 11, 2012 expressed an unqualified opinion thereon.</w:t>
      </w:r>
    </w:p>
    <w:p>
      <w:pPr>
        <w:spacing w:after="0" w:line="143" w:lineRule="exact"/>
        <w:rPr>
          <w:sz w:val="20"/>
          <w:szCs w:val="20"/>
          <w:color w:val="auto"/>
        </w:rPr>
      </w:pPr>
    </w:p>
    <w:p>
      <w:pPr>
        <w:ind w:left="7900"/>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120" w:type="dxa"/>
            <w:vAlign w:val="bottom"/>
            <w:shd w:val="clear" w:color="auto" w:fill="CCEEFF"/>
          </w:tcPr>
          <w:p>
            <w:pPr>
              <w:ind w:left="5320"/>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879,158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Short-term interest-bearing investments</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239,019</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342,099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687,223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565,853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Deferred income taxes and taxes receivable</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109,282</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112,656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126,388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2,041,070</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1,979,320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Equipment and leasehold improvements, net</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277,907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127,266</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123,171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1,741,786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1,739,732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141,278</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193,422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315,916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4,645,223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4,636,572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9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374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167,630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306,892</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personnel costs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216,301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212,414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Short-term financing arrangements</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200,000</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145,184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151,423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29,551</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15,180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1,065,558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1,011,206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301,795</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310,045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244,668</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292,020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1,612,021</w:t>
            </w:r>
          </w:p>
        </w:tc>
        <w:tc>
          <w:tcPr>
            <w:tcW w:w="10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1,613,271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Ordinary Shares — Authorized 700,000 shares; £0.01 par value; 251,690 and 247,640 issued and 162,454 and 174,692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outstanding, in 2012 and 2011, respectively</w:t>
            </w: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4,077</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2,625,250</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2,495,211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Treasury stock, at cost — 89,236 and 72,948 ordinary shares in 2012 and 2011, respectively</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(2,418,010)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(1,933,402)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tcPr>
          <w:p>
            <w:pPr>
              <w:ind w:left="200"/>
              <w:spacing w:after="0"/>
              <w:rPr>
                <w:sz w:val="20"/>
                <w:szCs w:val="20"/>
                <w:color w:val="auto"/>
              </w:rPr>
            </w:pPr>
            <w:r>
              <w:rPr>
                <w:rFonts w:ascii="Arial" w:cs="Arial" w:eastAsia="Arial" w:hAnsi="Arial"/>
                <w:sz w:val="18"/>
                <w:szCs w:val="18"/>
                <w:color w:val="auto"/>
              </w:rPr>
              <w:t>Accumulated other comprehensive (loss) income</w:t>
            </w:r>
          </w:p>
        </w:tc>
        <w:tc>
          <w:tcPr>
            <w:tcW w:w="10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color w:val="auto"/>
              </w:rPr>
              <w:t>(25,501)</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(19,656)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2,847,386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2,477,135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9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2"/>
              </w:rPr>
              <w:t>3,033,202</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3,023,301</w:t>
            </w: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12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2"/>
              </w:rPr>
              <w:t>4,645,223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4,636,572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59" w:right="2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INCOME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0"/>
              </w:rPr>
              <w:t>Year Ended September 30,</w:t>
            </w: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8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License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120,443</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119,237</w:t>
            </w:r>
          </w:p>
        </w:tc>
        <w:tc>
          <w:tcPr>
            <w:tcW w:w="4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100,967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3,126,460</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3,058,491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2,883,256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w w:val="87"/>
              </w:rPr>
              <w:t>3,246,903</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3,177,728</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2,984,223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Cost of license</w:t>
            </w: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3,523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7"/>
              </w:rPr>
              <w:t>2,081,945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2,066,740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1,903,645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242,063</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221,886</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207,836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424,671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409,465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40" w:type="dxa"/>
            <w:vAlign w:val="bottom"/>
          </w:tcPr>
          <w:p>
            <w:pPr>
              <w:ind w:left="200"/>
              <w:spacing w:after="0"/>
              <w:rPr>
                <w:sz w:val="20"/>
                <w:szCs w:val="20"/>
                <w:color w:val="auto"/>
              </w:rPr>
            </w:pPr>
            <w:r>
              <w:rPr>
                <w:rFonts w:ascii="Arial" w:cs="Arial" w:eastAsia="Arial" w:hAnsi="Arial"/>
                <w:sz w:val="18"/>
                <w:szCs w:val="18"/>
                <w:color w:val="auto"/>
              </w:rPr>
              <w:t>Amortization of purchased intangible assets and other</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52,229</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72,646</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2,804,431</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2,773,364</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2,573,790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6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442,472</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404,364</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410,433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8,657</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86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441,524</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395,707</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385,298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50,153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49,042</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391,371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346,665</w:t>
            </w:r>
          </w:p>
        </w:tc>
        <w:tc>
          <w:tcPr>
            <w:tcW w:w="46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343,906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4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60" w:type="dxa"/>
            <w:vAlign w:val="bottom"/>
            <w:gridSpan w:val="2"/>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2.31</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1.86</w:t>
            </w:r>
          </w:p>
        </w:tc>
        <w:tc>
          <w:tcPr>
            <w:tcW w:w="46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weighted average number of shares outstanding</w:t>
            </w: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168,275</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185,213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202,584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Diluted weighted average number of shares outstanding</w:t>
            </w: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169,437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186,559</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204,076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dividends declared per ordinary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520"/>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6"/>
              </w:rPr>
              <w:t>Accumulated</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80" w:type="dxa"/>
            <w:vAlign w:val="bottom"/>
            <w:gridSpan w:val="5"/>
            <w:vMerge w:val="restart"/>
          </w:tcPr>
          <w:p>
            <w:pPr>
              <w:jc w:val="right"/>
              <w:ind w:right="92"/>
              <w:spacing w:after="0"/>
              <w:rPr>
                <w:sz w:val="20"/>
                <w:szCs w:val="20"/>
                <w:color w:val="auto"/>
              </w:rPr>
            </w:pPr>
            <w:r>
              <w:rPr>
                <w:rFonts w:ascii="Arial" w:cs="Arial" w:eastAsia="Arial" w:hAnsi="Arial"/>
                <w:sz w:val="14"/>
                <w:szCs w:val="14"/>
                <w:b w:val="1"/>
                <w:bCs w:val="1"/>
                <w:color w:val="auto"/>
              </w:rPr>
              <w:t>Ordinary Shares</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Other</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4980" w:type="dxa"/>
            <w:vAlign w:val="bottom"/>
          </w:tcPr>
          <w:p>
            <w:pPr>
              <w:spacing w:after="0"/>
              <w:rPr>
                <w:sz w:val="5"/>
                <w:szCs w:val="5"/>
                <w:color w:val="auto"/>
              </w:rPr>
            </w:pPr>
          </w:p>
        </w:tc>
        <w:tc>
          <w:tcPr>
            <w:tcW w:w="1280" w:type="dxa"/>
            <w:vAlign w:val="bottom"/>
            <w:tcBorders>
              <w:bottom w:val="single" w:sz="8" w:color="auto"/>
            </w:tcBorders>
            <w:gridSpan w:val="5"/>
            <w:vMerge w:val="continue"/>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Additional</w:t>
            </w: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gridSpan w:val="3"/>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9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Paid-in</w:t>
            </w:r>
          </w:p>
        </w:tc>
        <w:tc>
          <w:tcPr>
            <w:tcW w:w="80" w:type="dxa"/>
            <w:vAlign w:val="bottom"/>
          </w:tcPr>
          <w:p>
            <w:pPr>
              <w:spacing w:after="0"/>
              <w:rPr>
                <w:sz w:val="12"/>
                <w:szCs w:val="12"/>
                <w:color w:val="auto"/>
              </w:rPr>
            </w:pPr>
          </w:p>
        </w:tc>
        <w:tc>
          <w:tcPr>
            <w:tcW w:w="88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84"/>
              </w:rPr>
              <w:t>Treasury</w:t>
            </w:r>
          </w:p>
        </w:tc>
        <w:tc>
          <w:tcPr>
            <w:tcW w:w="8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(Loss)</w:t>
            </w:r>
          </w:p>
        </w:tc>
        <w:tc>
          <w:tcPr>
            <w:tcW w:w="7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Retained</w:t>
            </w:r>
          </w:p>
        </w:tc>
        <w:tc>
          <w:tcPr>
            <w:tcW w:w="12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Shareholders’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50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4"/>
                <w:szCs w:val="14"/>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Capital</w:t>
            </w:r>
          </w:p>
        </w:tc>
        <w:tc>
          <w:tcPr>
            <w:tcW w:w="80" w:type="dxa"/>
            <w:vAlign w:val="bottom"/>
          </w:tcPr>
          <w:p>
            <w:pPr>
              <w:spacing w:after="0"/>
              <w:rPr>
                <w:sz w:val="14"/>
                <w:szCs w:val="14"/>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Income</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 as of October 1, 2009</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205,079</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6"/>
              </w:rPr>
              <w:t>3,930</w:t>
            </w:r>
          </w:p>
        </w:tc>
        <w:tc>
          <w:tcPr>
            <w:tcW w:w="2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$2,334,090</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(919,874)</w:t>
            </w:r>
          </w:p>
        </w:tc>
        <w:tc>
          <w:tcPr>
            <w:tcW w:w="3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8,343</w:t>
            </w:r>
          </w:p>
        </w:tc>
        <w:tc>
          <w:tcPr>
            <w:tcW w:w="3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5"/>
              </w:rPr>
              <w:t>$1,786,564</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3,213,053</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343,906</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343,906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Unrealized loss on foreign currency hedging contracts, net of $(1,537) tax</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(6,934)</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(6,934)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Unrealized gain on short-term interest-bearing investments, net of $129 tax</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5,150</w:t>
            </w: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5,150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Unrealized loss on defined benefit plan, net of $(2,011) tax</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(4,607)</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(4,607)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337,515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1,097</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17</w:t>
            </w:r>
          </w:p>
        </w:tc>
        <w:tc>
          <w:tcPr>
            <w:tcW w:w="11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23,618</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23,635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(13,695)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(389,287)</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(389,287)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568</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c>
          <w:tcPr>
            <w:tcW w:w="28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Equity-based compensation expense related to employees</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44,455</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44,455</w:t>
            </w:r>
          </w:p>
        </w:tc>
        <w:tc>
          <w:tcPr>
            <w:tcW w:w="0" w:type="dxa"/>
            <w:vAlign w:val="bottom"/>
          </w:tcPr>
          <w:p>
            <w:pPr>
              <w:spacing w:after="0"/>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as of September 30, 2010</w:t>
            </w: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000" w:type="dxa"/>
            <w:vAlign w:val="bottom"/>
            <w:gridSpan w:val="2"/>
            <w:vMerge w:val="continue"/>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Arial" w:cs="Arial" w:eastAsia="Arial" w:hAnsi="Arial"/>
                <w:sz w:val="14"/>
                <w:szCs w:val="14"/>
                <w:color w:val="auto"/>
                <w:w w:val="94"/>
              </w:rPr>
              <w:t>193,049</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line="155" w:lineRule="exact"/>
              <w:rPr>
                <w:sz w:val="20"/>
                <w:szCs w:val="20"/>
                <w:color w:val="auto"/>
              </w:rPr>
            </w:pPr>
            <w:r>
              <w:rPr>
                <w:rFonts w:ascii="Arial" w:cs="Arial" w:eastAsia="Arial" w:hAnsi="Arial"/>
                <w:sz w:val="14"/>
                <w:szCs w:val="14"/>
                <w:color w:val="auto"/>
                <w:w w:val="96"/>
              </w:rPr>
              <w:t>3,956</w:t>
            </w:r>
          </w:p>
        </w:tc>
        <w:tc>
          <w:tcPr>
            <w:tcW w:w="28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2,402,163</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w w:val="83"/>
              </w:rPr>
              <w:t>(1,309,161)</w:t>
            </w:r>
          </w:p>
        </w:tc>
        <w:tc>
          <w:tcPr>
            <w:tcW w:w="80" w:type="dxa"/>
            <w:vAlign w:val="bottom"/>
          </w:tcPr>
          <w:p>
            <w:pPr>
              <w:spacing w:after="0"/>
              <w:rPr>
                <w:sz w:val="13"/>
                <w:szCs w:val="13"/>
                <w:color w:val="auto"/>
              </w:rPr>
            </w:pPr>
          </w:p>
        </w:tc>
        <w:tc>
          <w:tcPr>
            <w:tcW w:w="820" w:type="dxa"/>
            <w:vAlign w:val="bottom"/>
          </w:tcPr>
          <w:p>
            <w:pPr>
              <w:jc w:val="right"/>
              <w:spacing w:after="0" w:line="155" w:lineRule="exact"/>
              <w:rPr>
                <w:sz w:val="20"/>
                <w:szCs w:val="20"/>
                <w:color w:val="auto"/>
              </w:rPr>
            </w:pPr>
            <w:r>
              <w:rPr>
                <w:rFonts w:ascii="Arial" w:cs="Arial" w:eastAsia="Arial" w:hAnsi="Arial"/>
                <w:sz w:val="14"/>
                <w:szCs w:val="14"/>
                <w:color w:val="auto"/>
              </w:rPr>
              <w:t>1,952</w:t>
            </w:r>
          </w:p>
        </w:tc>
        <w:tc>
          <w:tcPr>
            <w:tcW w:w="300" w:type="dxa"/>
            <w:vAlign w:val="bottom"/>
          </w:tcPr>
          <w:p>
            <w:pPr>
              <w:spacing w:after="0"/>
              <w:rPr>
                <w:sz w:val="13"/>
                <w:szCs w:val="13"/>
                <w:color w:val="auto"/>
              </w:rPr>
            </w:pPr>
          </w:p>
        </w:tc>
        <w:tc>
          <w:tcPr>
            <w:tcW w:w="620" w:type="dxa"/>
            <w:vAlign w:val="bottom"/>
          </w:tcPr>
          <w:p>
            <w:pPr>
              <w:jc w:val="right"/>
              <w:spacing w:after="0" w:line="155" w:lineRule="exact"/>
              <w:rPr>
                <w:sz w:val="20"/>
                <w:szCs w:val="20"/>
                <w:color w:val="auto"/>
              </w:rPr>
            </w:pPr>
            <w:r>
              <w:rPr>
                <w:rFonts w:ascii="Arial" w:cs="Arial" w:eastAsia="Arial" w:hAnsi="Arial"/>
                <w:sz w:val="14"/>
                <w:szCs w:val="14"/>
                <w:color w:val="auto"/>
                <w:w w:val="96"/>
              </w:rPr>
              <w:t>2,130,470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80"/>
              <w:spacing w:after="0" w:line="155" w:lineRule="exact"/>
              <w:rPr>
                <w:sz w:val="20"/>
                <w:szCs w:val="20"/>
                <w:color w:val="auto"/>
              </w:rPr>
            </w:pPr>
            <w:r>
              <w:rPr>
                <w:rFonts w:ascii="Arial" w:cs="Arial" w:eastAsia="Arial" w:hAnsi="Arial"/>
                <w:sz w:val="14"/>
                <w:szCs w:val="14"/>
                <w:color w:val="auto"/>
              </w:rPr>
              <w:t>3,229,380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346,665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346,665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Unrealized loss on foreign currency hedging contracts, net of $(1,589) tax</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(20,439)</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(20,439)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Unrealized loss on short-term interest-bearing investments, net of $(24) tax</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(756)</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Unrealized loss on defined benefit plan, net of $(145) tax</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(413)</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Pr>
          <w:p>
            <w:pPr>
              <w:ind w:left="200"/>
              <w:spacing w:after="0" w:line="155" w:lineRule="exact"/>
              <w:rPr>
                <w:sz w:val="20"/>
                <w:szCs w:val="20"/>
                <w:color w:val="auto"/>
              </w:rPr>
            </w:pPr>
            <w:r>
              <w:rPr>
                <w:rFonts w:ascii="Arial" w:cs="Arial" w:eastAsia="Arial" w:hAnsi="Arial"/>
                <w:sz w:val="14"/>
                <w:szCs w:val="14"/>
                <w:color w:val="auto"/>
              </w:rPr>
              <w:t>Comprehensive income</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325,057</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2,590</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1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56,417</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56,459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Repurchase of shares</w:t>
            </w:r>
          </w:p>
        </w:tc>
        <w:tc>
          <w:tcPr>
            <w:tcW w:w="6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w w:val="99"/>
              </w:rPr>
              <w:t>(21,866)</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(624,241)</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(624,241)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919</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Equity-based compensation expense related to employees</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36,631</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36,631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September 30, 2011</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174,692</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4,013</w:t>
            </w: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2,495,211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3"/>
              </w:rPr>
              <w:t>(1,933,402)</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(19,656)</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2,477,135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3,023,301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Comprehensive income:</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income</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391,371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391,371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Unrealized loss on foreign currency hedging contracts, net of $(2,489) tax</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(3,505)</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(3,505)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Unrealized gain on short-term interest-bearing investments, net of $40 tax</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2,077</w:t>
            </w:r>
          </w:p>
        </w:tc>
        <w:tc>
          <w:tcPr>
            <w:tcW w:w="3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2,077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Unrealized loss on defined benefit plan, net of $(1,598) tax</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11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(4,417)</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(4,417)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Comprehensive income</w:t>
            </w: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385,526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Employee stock options exercised</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3,585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56</w:t>
            </w:r>
          </w:p>
        </w:tc>
        <w:tc>
          <w:tcPr>
            <w:tcW w:w="118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86,610</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86,666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shares</w:t>
            </w:r>
          </w:p>
        </w:tc>
        <w:tc>
          <w:tcPr>
            <w:tcW w:w="6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w w:val="99"/>
              </w:rPr>
              <w:t>(16,288)</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(484,608)</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(484,608)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Cash dividends declared ($0.13 per ordinary share)</w:t>
            </w: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9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(21,120)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(21,120)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restricted stock, net of forfeitures</w:t>
            </w: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465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2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color w:val="auto"/>
              </w:rPr>
              <w:t>Equity-based compensation expense related to employees</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43,429</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43,429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as of September 30, 2012</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162,454</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4,077</w:t>
            </w:r>
          </w:p>
        </w:tc>
        <w:tc>
          <w:tcPr>
            <w:tcW w:w="118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2,625,250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8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83"/>
              </w:rPr>
              <w:t>(2,418,010)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(25,501)</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2,847,386</w:t>
            </w:r>
          </w:p>
        </w:tc>
        <w:tc>
          <w:tcPr>
            <w:tcW w:w="160" w:type="dxa"/>
            <w:vAlign w:val="bottom"/>
            <w:shd w:val="clear" w:color="auto" w:fill="CCEEFF"/>
          </w:tcPr>
          <w:p>
            <w:pPr>
              <w:spacing w:after="0"/>
              <w:rPr>
                <w:sz w:val="12"/>
                <w:szCs w:val="12"/>
                <w:color w:val="auto"/>
              </w:rPr>
            </w:pPr>
          </w:p>
        </w:tc>
        <w:tc>
          <w:tcPr>
            <w:tcW w:w="26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3,033,202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of September 30, 2012, 2011 and 2010, accumulated other comprehensive (loss) income is comprised of unrealized (loss) gain on derivatives, net of tax, of $(17,942), $(14,437) and $6,002, unrealized gain (loss) on short-term interest-bearing investments, net of tax, of $54, $(2,023) and $(1,267) and unrealized (loss) on defined benefit plan, net of tax, of $(7,613), $(3,196) and $(2,783).</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4"/>
                <w:szCs w:val="14"/>
                <w:b w:val="1"/>
                <w:bCs w:val="1"/>
                <w:color w:val="auto"/>
                <w:w w:val="90"/>
              </w:rPr>
              <w:t>Year Ended September 30,</w:t>
            </w: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53"/>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2011</w:t>
            </w:r>
          </w:p>
        </w:tc>
        <w:tc>
          <w:tcPr>
            <w:tcW w:w="5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 from Operating Activities:</w:t>
            </w: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Net income</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391,371</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346,665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343,906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159,614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181,477</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195,940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divestiture of a subsidiary</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Equity-based compensation expense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43,429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36,631</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44,455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(4,857)</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1,252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Excess tax benefit from equity-based compensation</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(181)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of investments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(9,172)</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Loss (gain) from short-term interest-bearing investments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3,041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operating assets and liabilities, net of amounts acquired:</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(106,551)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38,062</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(131,387)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1,601</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(10,741)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Other noncurrent assets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19,734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(15,807)</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(35,948)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accrued expenses and accrued personnel</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(46,976)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(55,811)</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(34,444)</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33,927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 net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14,305</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27,289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Other noncurrent liabilities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(2,654)</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10,876</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14,520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514,069</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535,492</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685,198</w:t>
            </w:r>
          </w:p>
        </w:tc>
        <w:tc>
          <w:tcPr>
            <w:tcW w:w="0" w:type="dxa"/>
            <w:vAlign w:val="bottom"/>
          </w:tcPr>
          <w:p>
            <w:pPr>
              <w:spacing w:after="0"/>
              <w:rPr>
                <w:sz w:val="1"/>
                <w:szCs w:val="1"/>
                <w:color w:val="auto"/>
              </w:rPr>
            </w:pPr>
          </w:p>
        </w:tc>
      </w:tr>
      <w:tr>
        <w:trPr>
          <w:trHeight w:val="221"/>
        </w:trPr>
        <w:tc>
          <w:tcPr>
            <w:tcW w:w="6560" w:type="dxa"/>
            <w:vAlign w:val="bottom"/>
            <w:gridSpan w:val="2"/>
          </w:tcPr>
          <w:p>
            <w:pPr>
              <w:spacing w:after="0"/>
              <w:rPr>
                <w:sz w:val="20"/>
                <w:szCs w:val="20"/>
                <w:color w:val="auto"/>
              </w:rPr>
            </w:pPr>
            <w:r>
              <w:rPr>
                <w:rFonts w:ascii="Arial" w:cs="Arial" w:eastAsia="Arial" w:hAnsi="Arial"/>
                <w:sz w:val="18"/>
                <w:szCs w:val="18"/>
                <w:b w:val="1"/>
                <w:bCs w:val="1"/>
                <w:color w:val="auto"/>
              </w:rPr>
              <w:t>Cash Flow from Investing Activities:</w:t>
            </w:r>
          </w:p>
        </w:tc>
        <w:tc>
          <w:tcPr>
            <w:tcW w:w="1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Payments for purchase of equipment and leasehold improvements, net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(122,053)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(109,779)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Proceeds from sale of short-term interest-bearing investments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440,145</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591,147</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1,503,231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interest-bearing investments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(337,989)</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(521,999)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(1,449,494)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Net cash paid for acquisitions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(162,964)</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(200,307)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cash received from divestiture of a subsidiary</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Cash received from sale of investments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11,172</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(18,076)</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560" w:type="dxa"/>
            <w:vAlign w:val="bottom"/>
            <w:gridSpan w:val="2"/>
            <w:vMerge w:val="continue"/>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(17,289)</w:t>
            </w: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(221,671)</w:t>
            </w:r>
          </w:p>
        </w:tc>
        <w:tc>
          <w:tcPr>
            <w:tcW w:w="1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(211,506)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Financing Activities:</w:t>
            </w:r>
          </w:p>
        </w:tc>
        <w:tc>
          <w:tcPr>
            <w:tcW w:w="1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Borrowings under financing arrangements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200,000</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financing arrangements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(250,000)</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(200,000)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Repurchase of shares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(484,608)</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(624,241)</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(389,287)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employee stock options exercised</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86,674</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56,474</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Payments under capital lease, short-term financing arrangements and other</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(1,059)</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rPr>
              <w:t>(878)</w:t>
            </w: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(448,993)</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95"/>
              </w:rPr>
              <w:t>(518,645)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(166,259)</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Net increase (decrease) in cash and cash equivalents</w:t>
            </w: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560" w:type="dxa"/>
            <w:vAlign w:val="bottom"/>
            <w:gridSpan w:val="2"/>
            <w:vMerge w:val="continue"/>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47,787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(204,824)</w:t>
            </w:r>
          </w:p>
        </w:tc>
        <w:tc>
          <w:tcPr>
            <w:tcW w:w="100" w:type="dxa"/>
            <w:vAlign w:val="bottom"/>
          </w:tcPr>
          <w:p>
            <w:pPr>
              <w:spacing w:after="0"/>
              <w:rPr>
                <w:sz w:val="19"/>
                <w:szCs w:val="19"/>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307,433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831,371</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4"/>
              </w:rPr>
              <w:t>1,036,195</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728,762</w:t>
            </w:r>
          </w:p>
        </w:tc>
        <w:tc>
          <w:tcPr>
            <w:tcW w:w="0" w:type="dxa"/>
            <w:vAlign w:val="bottom"/>
          </w:tcPr>
          <w:p>
            <w:pPr>
              <w:spacing w:after="0"/>
              <w:rPr>
                <w:sz w:val="1"/>
                <w:szCs w:val="1"/>
                <w:color w:val="auto"/>
              </w:rPr>
            </w:pPr>
          </w:p>
        </w:tc>
      </w:tr>
      <w:tr>
        <w:trPr>
          <w:trHeight w:val="20"/>
        </w:trPr>
        <w:tc>
          <w:tcPr>
            <w:tcW w:w="6560" w:type="dxa"/>
            <w:vAlign w:val="bottom"/>
            <w:gridSpan w:val="2"/>
            <w:vMerge w:val="restart"/>
          </w:tcPr>
          <w:p>
            <w:pPr>
              <w:spacing w:after="0"/>
              <w:rPr>
                <w:sz w:val="20"/>
                <w:szCs w:val="20"/>
                <w:color w:val="auto"/>
              </w:rPr>
            </w:pPr>
            <w:r>
              <w:rPr>
                <w:rFonts w:ascii="Arial" w:cs="Arial" w:eastAsia="Arial" w:hAnsi="Arial"/>
                <w:sz w:val="18"/>
                <w:szCs w:val="18"/>
                <w:color w:val="auto"/>
              </w:rPr>
              <w:t>Cash and cash equivalents at end of year</w:t>
            </w:r>
          </w:p>
        </w:tc>
        <w:tc>
          <w:tcPr>
            <w:tcW w:w="1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gridSpan w:val="2"/>
            <w:vMerge w:val="continue"/>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879,158</w:t>
            </w:r>
          </w:p>
        </w:tc>
        <w:tc>
          <w:tcPr>
            <w:tcW w:w="14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831,371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1,036,195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Supplementary Cash Flow Information</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Interest and Income Taxes Paid</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Cash paid for:</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tcPr>
          <w:p>
            <w:pPr>
              <w:ind w:left="200"/>
              <w:spacing w:after="0"/>
              <w:rPr>
                <w:sz w:val="20"/>
                <w:szCs w:val="20"/>
                <w:color w:val="auto"/>
              </w:rPr>
            </w:pPr>
            <w:r>
              <w:rPr>
                <w:rFonts w:ascii="Arial" w:cs="Arial" w:eastAsia="Arial" w:hAnsi="Arial"/>
                <w:sz w:val="18"/>
                <w:szCs w:val="18"/>
                <w:color w:val="auto"/>
              </w:rPr>
              <w:t>Income taxes, net of refunds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36,909</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19,611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408</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433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2,846</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Entity</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Amdocs Limited (the “Company”) is a leading provider of software and services for communications, media and entertainment industry service providers. The Company and its subsidiaries operate in one segment, providing integrated products and services. The Company designs, develops, markets, supports, implements and operates customer experience systems primarily for leading wireless, wireline, cable and satellite service providers throughout the world. Amdocs also offers a full range of advertising and media solutions for local marketing service providers and search and directory publishers.</w:t>
      </w:r>
    </w:p>
    <w:p>
      <w:pPr>
        <w:spacing w:after="0" w:line="32"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Company is a Guernsey corporation, which directly or indirectly holds numerous wholly-owned subsidiaries around the world. The majority of the Company’s customers are in North America, Europe, Latin America and the Asia-Pacific region. The Company’s main development facilities are located in Brazil, Canada, Cyprus, India, Ireland, Israel and the United States.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consolidated financial statements are prepared in accordance with U.S. generally accepted accounting principles, or U.S. GAAP.</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consolidated financial statements include the accounts of the Company and its wholly-owned subsidiaries. All intercompany transactions and balances have been eliminated in consolidation.</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time to time, certain immaterial amounts in prior years’ financial statements may be reclassified to conform to the current year’s presentation.</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Functional Currency</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Company manages its foreign subsidiaries as integral direct components of its operations. The operations of the Company’s foreign subsidiaries provide the same type of services with the same type of expenditures throughout the Amdocs group. The Company has determined that its functional currency is the U.S. dollar. The Company periodically assesses the applicability of the U.S. dollar as the Company’s functional currency by reviewing the salient indicators as indicated in the authoritative guidance for foreign currency matters.</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Cash and cash equivalents consist of cash and interest-bearing investments with insignificant interest rate risk and maturities from acquisition date of 90 days or less.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Investments</w:t>
      </w:r>
    </w:p>
    <w:p>
      <w:pPr>
        <w:spacing w:after="0" w:line="90" w:lineRule="exact"/>
        <w:rPr>
          <w:sz w:val="20"/>
          <w:szCs w:val="20"/>
          <w:color w:val="auto"/>
        </w:rPr>
      </w:pPr>
    </w:p>
    <w:p>
      <w:pPr>
        <w:ind w:right="60" w:firstLine="456"/>
        <w:spacing w:after="0" w:line="307" w:lineRule="auto"/>
        <w:rPr>
          <w:sz w:val="20"/>
          <w:szCs w:val="20"/>
          <w:color w:val="auto"/>
        </w:rPr>
      </w:pPr>
      <w:r>
        <w:rPr>
          <w:rFonts w:ascii="Arial" w:cs="Arial" w:eastAsia="Arial" w:hAnsi="Arial"/>
          <w:sz w:val="15"/>
          <w:szCs w:val="15"/>
          <w:color w:val="auto"/>
        </w:rPr>
        <w:t>The Company classifies all of its short-term interest-bearing investments as available-for-sale securities. Such short-term interest-bearing investments consist primarily of money market funds, U.S. government treasuries, corporate bonds, government guaranteed debt and U.S. agency securities, which are stated at market value. Unrealized gains and losses are comprised of the difference between market value and amortized costs of such securities and are reflected, net of tax, as “accumulated other comprehensive (loss) income” in shareholders’ equity. Realized gains and losses on short-term interest-bearing investments are included in earnings and are derived using the first in first out (FIFO) method for determining the cost of securities. The Company recognizes an impairment charge in earnings when a decline in the fair value of its investments below the cost basis is judged to be other-than-temporary. For securities with an unrealized loss that the Company intends to sell, or it is more likely than not that the Company will be required to sell before recovery of their amortized cost basis, the entire difference between amortized cost and fair value is recognized in earnings. For securities that do not meet these criteria, the amount of impairment recognized in earnings is limited to the amount related to credit losses, while other declines in fair value related to other factors are recognized in other comprehensive (loss) income. The Company uses a discounted cash flow analysis to determine the portion of the impairment that relates to the credit losses. To the extent that the net present value of the projected cash flows is less than the amortized cost of the security, the difference is considered credit loss.</w:t>
      </w:r>
    </w:p>
    <w:p>
      <w:pPr>
        <w:spacing w:after="0" w:line="11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Equipment and Leasehold Improvements</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Equipment and leasehold improvements are stated at cost. Assets under capital leases are recorded at the present value of the future minimum lease payments at the date of acquisition. Depreciation is computed using the straight-line method over the estimated useful life of the asset, which primarily ranges from three to ten years and includes the amortization of assets under capitalized leases. Leasehold improvements are amortized over the shorter of the estimated useful lives or the term of the related lease.</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capitalizes certain expenditures for software that is internally developed for use in the business, which is classified as computer equipment.</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Amortization of internal use software begins when the software is ready for service and continues on the straight-line method over the estimated useful life.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Goodwill, Intangible Assets and Long-Lived Assets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Goodwill and intangible assets deemed to have indefinite lives are subject to an annual impairment test or more frequently if impairment indicators are present. Goodwill impairment is deemed to exist if the net book value of a reporting unit exceeds its estimated fair value. The goodwill impairment test involves a two-step process. The first step, identifying a potential impairment, compares the fair value of a reporting unit with its carrying amount, including goodwill. If the carrying value of the reporting unit exceeds its fair value, the second step would need to be conducted; otherwise, no further steps are necessary as no potential impairment exists. The second step, measuring the impairment loss, compares the implied fair value of the reporting unit goodwill with the carrying amount of that goodwill. Any excess of the reporting unit goodwill carrying value over the respective implied fair value is recognized as an impairment loss.</w:t>
      </w:r>
    </w:p>
    <w:p>
      <w:pPr>
        <w:spacing w:after="0" w:line="39"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Other definite-life intangible assets consist primarily of core technology, customer arrangements and trademarks. Core technology and trademarks acquired by the Company are amortized over their estimated useful lives on a straight-line basis.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00"/>
          </w:cols>
          <w:pgMar w:left="240" w:top="459" w:right="2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1" w:lineRule="exact"/>
        <w:rPr>
          <w:sz w:val="20"/>
          <w:szCs w:val="20"/>
          <w:color w:val="auto"/>
        </w:rPr>
      </w:pPr>
    </w:p>
    <w:p>
      <w:pPr>
        <w:ind w:right="560" w:firstLine="456"/>
        <w:spacing w:after="0" w:line="306" w:lineRule="auto"/>
        <w:rPr>
          <w:sz w:val="20"/>
          <w:szCs w:val="20"/>
          <w:color w:val="auto"/>
        </w:rPr>
      </w:pPr>
      <w:r>
        <w:rPr>
          <w:rFonts w:ascii="Arial" w:cs="Arial" w:eastAsia="Arial" w:hAnsi="Arial"/>
          <w:sz w:val="16"/>
          <w:szCs w:val="16"/>
          <w:color w:val="auto"/>
        </w:rPr>
        <w:t>Some of the acquired customer arrangements are amortized over their estimated useful lives in proportion to the economic benefits realized. This accounting policy generally results in accelerated amortization of such customer arrangements as compared to the straight-line method. All other acquired customer arrangements are amortized over their estimated useful lives on a straight-line basis.</w:t>
      </w:r>
    </w:p>
    <w:p>
      <w:pPr>
        <w:spacing w:after="0" w:line="2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Company tests long-lived assets, including definite life intangible assets, for impairment whenever events or changes in circumstances indicate that the carrying amount of such assets may not be recoverable. Determination of recoverability of long-lived assets is based on an estimate of the undiscounted future cash flows resulting from the use of the cash generating unit and its eventual disposition. Measurement of an impairment loss for long-lived assets, including definite life intangible assets that management expects to hold and use is based on the fair value of the cash generating unit. Long-lived assets, including definite life intangible assets, to be disposed of are reported at the lower of carrying amount or fair value less costs to sell.</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net of related taxes where applicable, includes, in addition to net income:</w:t>
      </w:r>
    </w:p>
    <w:p>
      <w:pPr>
        <w:spacing w:after="0" w:line="90" w:lineRule="exact"/>
        <w:rPr>
          <w:sz w:val="20"/>
          <w:szCs w:val="20"/>
          <w:color w:val="auto"/>
        </w:rPr>
      </w:pPr>
    </w:p>
    <w:p>
      <w:pPr>
        <w:ind w:left="1140" w:hanging="219"/>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unrealized gains and losses on available-for-sale securities;</w:t>
      </w:r>
    </w:p>
    <w:p>
      <w:pPr>
        <w:spacing w:after="0" w:line="90" w:lineRule="exact"/>
        <w:rPr>
          <w:rFonts w:ascii="Arial" w:cs="Arial" w:eastAsia="Arial" w:hAnsi="Arial"/>
          <w:sz w:val="18"/>
          <w:szCs w:val="18"/>
          <w:color w:val="auto"/>
        </w:rPr>
      </w:pPr>
    </w:p>
    <w:p>
      <w:pPr>
        <w:ind w:left="1180" w:hanging="259"/>
        <w:spacing w:after="0"/>
        <w:tabs>
          <w:tab w:leader="none" w:pos="11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unrealized gains and losses in respect of derivative instruments designated as a cash flow hedge; and</w:t>
      </w:r>
    </w:p>
    <w:p>
      <w:pPr>
        <w:spacing w:after="0" w:line="90" w:lineRule="exact"/>
        <w:rPr>
          <w:rFonts w:ascii="Arial" w:cs="Arial" w:eastAsia="Arial" w:hAnsi="Arial"/>
          <w:sz w:val="18"/>
          <w:szCs w:val="18"/>
          <w:color w:val="auto"/>
        </w:rPr>
      </w:pPr>
    </w:p>
    <w:p>
      <w:pPr>
        <w:ind w:left="1220" w:hanging="299"/>
        <w:spacing w:after="0"/>
        <w:tabs>
          <w:tab w:leader="none" w:pos="1220" w:val="left"/>
        </w:tabs>
        <w:numPr>
          <w:ilvl w:val="0"/>
          <w:numId w:val="53"/>
        </w:numPr>
        <w:rPr>
          <w:rFonts w:ascii="Arial" w:cs="Arial" w:eastAsia="Arial" w:hAnsi="Arial"/>
          <w:sz w:val="18"/>
          <w:szCs w:val="18"/>
          <w:color w:val="auto"/>
        </w:rPr>
      </w:pPr>
      <w:r>
        <w:rPr>
          <w:rFonts w:ascii="Arial" w:cs="Arial" w:eastAsia="Arial" w:hAnsi="Arial"/>
          <w:sz w:val="18"/>
          <w:szCs w:val="18"/>
          <w:color w:val="auto"/>
        </w:rPr>
        <w:t>unrealized gains and losses on defined benefit plans.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Treasury Stock</w:t>
      </w:r>
    </w:p>
    <w:p>
      <w:pPr>
        <w:spacing w:after="0" w:line="90"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repurchases its ordinary shares from time to time on the open market or in other transactions and holds such shares as treasury stock. The Company presents the cost to repurchase treasury stock as a reduction of shareholders’ equity.</w:t>
      </w:r>
    </w:p>
    <w:p>
      <w:pPr>
        <w:spacing w:after="0" w:line="13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Dividends</w:t>
      </w:r>
    </w:p>
    <w:p>
      <w:pPr>
        <w:spacing w:after="0" w:line="9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Company has historically not paid dividends to shareholders and it did not pay dividends during fiscal 2012. On July 31, 2012, the Company’s shareholders approved the institution of a quarterly cash dividend program at the rate of $0.13 per share. On August 1, 2012, the Company’s board of directors authorized the first quarterly cash dividend payment, in the aggregate amount of $21,120, which was paid on October 19, 2012. On November 6, 2012, the Company’s board of directors approved another dividend payment, at the rate of $0.13 per share, and set December 31, 2012, as the record date for determining the shareholders entitled to receive the dividend, which is payable on January 18, 2013.</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Company records deferred income taxes to reflect the net tax effects of temporary differences between the carrying amounts of assets and liabilities for financial reporting and tax purposes. Deferred taxes are computed based on tax rates anticipated to be in effect when the deferred taxes are expected to be paid or realized. A valuation allowance is provided for deferred tax assets if it is more likely than not, the Company will not be able to realize their benefit.</w:t>
      </w:r>
    </w:p>
    <w:p>
      <w:pPr>
        <w:spacing w:after="0" w:line="2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 Company.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459" w:right="2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1"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Company recognizes the tax benefit from an uncertain tax position only if the weight of available evidence indicates that it is more likely than not that the position will be sustained on audit, including resolution of related appeals or litigation processes, if any. The tax benefits recognized in the financial statements from such a position is measured based on the largest benefit that has a greater than 50% likelihood of being realized upon ultimate settlement. The Company will classify the liability for unrecognized tax benefits as current to the extent that the Company anticipates payment of cash within one year. Interest and penalties related to uncertain tax positions are recognized in the provision for income taxes. Please see Note 11 to the consolidated financial statements.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Revenue is recognized only when all of the following conditions have been met: (i) there is persuasive evidence of an arrangement; (ii) delivery has occurred; (iii) the fee is fixed or determinable; and (iv) collectibility of the fee is reasonably assured. The Company usually sells its software licenses as part of an overall solution offered to a customer that combines the sale of software licenses with a broad range of services, which normally include significant customization, modification, implementation and integration. Those services are deemed essential to the software. As a result, combined license and service revenue is generally recognized over the course of these long-term projects, using the percentage of completion method of accounting. When total cost estimates for these types of arrangements exceed revenues in a fixed-price arrangement, the estimated losses are recognized immediately based upon the cost applicable to the delivering unit.</w:t>
      </w:r>
    </w:p>
    <w:p>
      <w:pPr>
        <w:spacing w:after="0" w:line="6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Initial license fee for software revenue is recognized as work is performed, under the percentage of completion method of accounting. Subsequent license fee revenue is recognized upon completion of specified conditions in each contract, based on a customer’s subscriber level or transaction volume or other measurements when greater than the level specified in the contract for the initial license fee.</w:t>
      </w:r>
    </w:p>
    <w:p>
      <w:pPr>
        <w:spacing w:after="0" w:line="59"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Service revenue that involves significant ongoing obligations, including fees for software customization, modification, implementation and integration as part of a long-term contract, is recognized as work is performed, under the percentage of completion method of accounting. Revenue from software solutions that do not require significant customization, implementation and modification is recognized upon delivery. Service revenue that does not involve significant ongoing obligations is recognized as services are rendered.</w:t>
      </w:r>
    </w:p>
    <w:p>
      <w:pPr>
        <w:spacing w:after="0" w:line="6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Fees are generally considered fixed and determinable unless a significant portion (more than 10%) of the license and related service fee is due more than 12 months after delivery, in which case license and related services fees are recognized when payments are due.</w:t>
      </w:r>
    </w:p>
    <w:p>
      <w:pPr>
        <w:spacing w:after="0" w:line="51"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managed services contracts and in other long term contracts, revenue from the operation of a customer’s system is recognized either as services are performed based on time elapsed, output produced or volume of data processed, depending on the specific contract terms of the managed services arrangement. Typically, managed services contracts are long term in duration and are not subject to seasonality. Revenue from ongoing support services is recognized as work is performed.</w:t>
      </w:r>
    </w:p>
    <w:p>
      <w:pPr>
        <w:spacing w:after="0" w:line="6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Revenue from third-party hardware sales is recognized upon delivery and installation, and revenue from third-party software sales is recognized upon delivery. Revenue from third-party hardware and software sales is recorded at gross amount for transactions in which the Company is the primary obligor under the arrangement as well as, in some cases, possesses other attributes such as pricing and supplier selection latitude. In specific circumstances where the Company does not meet the above criteria, particularly when the contract stipulates that the Company is not the primary obligor, the Company recognizes revenue on a net basis. Revenue from third-party sales is included in service revenue and was less than 10% of total revenue in each of fiscal 2012, 2011 and 2010. In certain arrangements, the Company may earn revenue from other third-party services which is recorded at a gross amount as the Company is the primary obligor under the arrangement.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80"/>
          </w:cols>
          <w:pgMar w:left="240" w:top="459" w:right="27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Maintenance revenue is recognized ratably over the term of the maintenance agreement, which in most cases is one year.</w:t>
      </w:r>
    </w:p>
    <w:p>
      <w:pPr>
        <w:spacing w:after="0" w:line="90" w:lineRule="exact"/>
        <w:rPr>
          <w:sz w:val="20"/>
          <w:szCs w:val="20"/>
          <w:color w:val="auto"/>
        </w:rPr>
      </w:pPr>
    </w:p>
    <w:p>
      <w:pPr>
        <w:ind w:right="60" w:firstLine="456"/>
        <w:spacing w:after="0" w:line="357" w:lineRule="auto"/>
        <w:rPr>
          <w:sz w:val="20"/>
          <w:szCs w:val="20"/>
          <w:color w:val="auto"/>
        </w:rPr>
      </w:pPr>
      <w:r>
        <w:rPr>
          <w:rFonts w:ascii="Arial" w:cs="Arial" w:eastAsia="Arial" w:hAnsi="Arial"/>
          <w:sz w:val="15"/>
          <w:szCs w:val="15"/>
          <w:color w:val="auto"/>
        </w:rPr>
        <w:t>As a result of a significant portion of the Company’s revenue being subject to the percentage of completion accounting method, the Company’s annual and quarterly operating results may be significantly affected by the size and timing of customer projects and the Company’s progress in completing such projects.</w:t>
      </w:r>
    </w:p>
    <w:p>
      <w:pPr>
        <w:ind w:right="20" w:firstLine="456"/>
        <w:spacing w:after="0" w:line="285" w:lineRule="auto"/>
        <w:rPr>
          <w:sz w:val="20"/>
          <w:szCs w:val="20"/>
          <w:color w:val="auto"/>
        </w:rPr>
      </w:pPr>
      <w:r>
        <w:rPr>
          <w:rFonts w:ascii="Arial" w:cs="Arial" w:eastAsia="Arial" w:hAnsi="Arial"/>
          <w:sz w:val="16"/>
          <w:szCs w:val="16"/>
          <w:color w:val="auto"/>
        </w:rPr>
        <w:t>Many of the Company’s agreements include multiple deliverables. The Company’s multiple element arrangements are comprised of a variety of different combinations of the deliverables mentioned above. For multiple element arrangements within the scope of software revenue recognition guidance, the Company allocates revenue to each element based upon its relative fair value as determined by Vendor Specific Objective Evidence (“VSOE”). In the absence of fair value for a delivered element the Company uses the residual method. The residual method requires that the Company first allocate revenue to the fair value of the undelivered elements and residual revenue to delivered elements. If VSOE of any undelivered items does not exist, revenue from the entire arrangement is deferred and recognized at the earlier of (i) delivery of those elements for which VSOE does not exist or (ii) when VSOE can be established. However, in limited cases where maintenance is the only undelivered element without VSOE, the entire arrangement fee is recognized ratably upon commencement of the maintenance services. The residual method is used mainly in multiple element arrangements that include license for the sale of software solutions that do not require significant customization, modification, implementation and integration and maintenance to determine the appropriate value for the license component. Beginning October 1, 2009, the Company adopted the new authoritative guidance for revenue arrangements with multiple deliverables that are outside the scope of the software revenue recognition guidance. Under this guidance the Company allocates revenue to each element based upon the relative fair value. Fair value would be allocated by using a hierarchy of 1) VSOE, 2) third-party evidence of selling price for that element, or 3) estimated selling price, or ESP, for individual elements of an arrangement when VSOE or third-party evidence of selling price is unavailable. This results in the elimination of the residual method of allocating revenue consideration. The Company determines ESP for the purposes of allocating the consideration to individual elements of an arrangement by considering several external and internal factors including, but not limited to, pricing practices, margin objectives, geographies in which the Company offers its services and internal costs. The determination of ESP is judgmental and is made through consultation with and approval by management.</w:t>
      </w:r>
    </w:p>
    <w:p>
      <w:pPr>
        <w:spacing w:after="0" w:line="43"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circumstances where the Company enters into a contract with a customer for the provision of managed services for a defined period of time, the Company defers certain direct costs incurred at the inception of the contract. These costs include time and expense incurred in association with the origination of a contract. In addition, if the revenue for a delivered item is not recognized because it is not separable from the undelivered item, then the Company also defers the cost of the delivered item. The deferred costs are amortized on a straight-line basis over the managed services period, or over the recognition period of the undelivered item. Revenue associated with these capitalized costs is deferred and is recognized over the same period.</w:t>
      </w:r>
    </w:p>
    <w:p>
      <w:pPr>
        <w:spacing w:after="0" w:line="3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Deferred revenue represents billings to customers for licenses and services for which revenue has not been recognized. Deferred revenue that is expected to be recognized beyond the next 12 months is considered long-term deferred revenue. Unbilled accounts receivable include all revenue amounts that had not been billed as of the balance sheet date due to contractual or other arrangements with customers. Unbilled accounts receivable that are expected to be billed beyond the next 12 months are considered long-term unbilled receivables. Allowances that are netted against accounts receivable represent amounts provided for accounts for which their collectibility is not probable.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Cost of License and Cost of Service</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Cost of license and cost of service consist of all costs associated with providing software licenses and services to customers, including identified losses on contracts and warranty expense. Estimated losses 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459" w:right="2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contracts accounted for using the percentage of completion method of accounting are recognized in the period in which the loss is identified. Estimated costs related to warranty obligations are initially provided at the time the product is delivered and are revised to reflect subsequent changes in circumstances and estimates. Cost of license includes license fees and royalty payments to software suppliers.</w:t>
      </w:r>
    </w:p>
    <w:p>
      <w:pPr>
        <w:spacing w:after="0" w:line="59"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Cost of service also includes costs of third-party products associated with reselling third-party computer hardware and software products to customers, when revenue from third-party products is recorded at the gross amount. Customers purchasing third-party products from the Company generally do so in conjunction with the purchase of the Company’s software and services.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90" w:lineRule="exact"/>
        <w:rPr>
          <w:sz w:val="20"/>
          <w:szCs w:val="20"/>
          <w:color w:val="auto"/>
        </w:rPr>
      </w:pPr>
    </w:p>
    <w:p>
      <w:pPr>
        <w:ind w:right="180" w:firstLine="456"/>
        <w:spacing w:after="0" w:line="357" w:lineRule="auto"/>
        <w:rPr>
          <w:sz w:val="20"/>
          <w:szCs w:val="20"/>
          <w:color w:val="auto"/>
        </w:rPr>
      </w:pPr>
      <w:r>
        <w:rPr>
          <w:rFonts w:ascii="Arial" w:cs="Arial" w:eastAsia="Arial" w:hAnsi="Arial"/>
          <w:sz w:val="15"/>
          <w:szCs w:val="15"/>
          <w:color w:val="auto"/>
        </w:rPr>
        <w:t>Research and development expenditures consist of costs incurred in the development of new software modules and product offerings, either as part of the Company’s internal product development programs, which are sold, leased or otherwise marketed. Research and development costs are expensed as incurred.</w:t>
      </w:r>
    </w:p>
    <w:p>
      <w:pPr>
        <w:jc w:val="both"/>
        <w:ind w:right="400" w:firstLine="456"/>
        <w:spacing w:after="0" w:line="259" w:lineRule="auto"/>
        <w:rPr>
          <w:sz w:val="20"/>
          <w:szCs w:val="20"/>
          <w:color w:val="auto"/>
        </w:rPr>
      </w:pPr>
      <w:r>
        <w:rPr>
          <w:rFonts w:ascii="Arial" w:cs="Arial" w:eastAsia="Arial" w:hAnsi="Arial"/>
          <w:sz w:val="18"/>
          <w:szCs w:val="18"/>
          <w:color w:val="auto"/>
        </w:rPr>
        <w:t>Based on the Company’s product development process, technological feasibility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The Company measures and recognizes the compensation expense for all equity-based payments to employees and directors based on their estimated fair values. The Company estimates the fair value of employee stock options at the date of grant using a Black-Scholes valuation model and values restricted stock based on the market value of the underlying shares at the date of grant. The Company recognizes compensation costs using the graded vesting attribution method that results in an accelerated recognition of compensation costs in comparison to the straight-line method.</w:t>
      </w:r>
    </w:p>
    <w:p>
      <w:pPr>
        <w:spacing w:after="0" w:line="32"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The Company uses a combination of implied volatility of the Company’s traded options and historical stock price volatility (“blended volatility”) as the expected volatility assumption required in the Black-Scholes option valuation model. As equity-based compensation expense recognized in the Company’s consolidated statements of income is based on awards ultimately expected to vest, it has been reduced for estimated forfeitures.</w:t>
      </w:r>
    </w:p>
    <w:p>
      <w:pPr>
        <w:spacing w:after="0" w:line="10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9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and cash equivalents, short-term interest-bearing investments, and trade receivables. Cash and cash equivalents are maintained with several financial institutions. Generally, these deposits may be redeemed upon demand and are maintained with financial institutions with reputable credit and therefore bear minimal credit risk. The Company seeks to mitigate its credit risks by spreading such risks across multiple financial institutions and monitoring the risk profiles of these counterparties. The Company has conservative investment policy guidelines under which it invests its excess cash primarily in highly liquid U.S. dollar-denominated securities. The Company’s revenue is generated primarily in North America. To a lesser extent, revenue is generated in Europe, the Asia-Pacific region and Latin America. Most of the Company’s customers are among the largest communications and directory publishing companies in the world (or are owned by them). The Company’s business is subject to the effects of general global economic conditions and market conditions in the communications industry. The Company performs ongoing credit analyses of its customer base and generally does not require collateral.</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Company evaluates accounts receivable to determine if they will ultimately be collected. Significant judgments and estimates are involved in performing this evaluation, which are based on factors that may affect a customer’s ability to pay, such as past experience, credit quality of the customer, age of the receivable balance and current economic conditions. The allowance for doubtful accounts is for estimated losses resulting from accounts receivable for which their collection is not reasonably probable. As of September 30, 2012, the Company had two customers, including their subsidiaries, with accounts receivable balances of 10% or more of total accounts receivable, aggregating 28.0%, which was lower than their respective portion of total revenue. As of September 30, 2011, the Company had two customers, including their subsidiaries, with accounts receivable balances of 10% or more of total accounts receivable, aggregating 35.3%, which was lower than their respective portion of total revenue.</w:t>
      </w:r>
    </w:p>
    <w:p>
      <w:pPr>
        <w:spacing w:after="0" w:line="11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Basic earnings per share is calculated using the weighted average number of shares outstanding during the period. Diluted earnings per share is computed on the basis of the weighted average number of shares outstanding, the effect of dilutive outstanding equity-based awards using the treasury stock method and the effect of dilutive outstanding convertible notes using the if-converted method.</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The Company carries out transactions involving foreign currency exchange derivative financial instruments. The transactions are designed to hedge the Company’s exposure in currencies other than the U.S. dollar. The Company recognizes derivative instruments as either assets or liabilities and measures those instruments at fair value. If a derivative meets the definition of a cash flow hedge and is so designated, changes in the fair value of the derivative are recognized in other comprehensive (loss) income until the hedged item is recognized in earnings. The ineffective portion of a derivative designated as a cash flow hedge is recognized in earnings. If a derivative does not meet the definition of a cash flow hedge, the changes in the fair value are included in earnings.</w:t>
      </w:r>
    </w:p>
    <w:p>
      <w:pPr>
        <w:spacing w:after="0" w:line="1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jc w:val="both"/>
        <w:ind w:right="120" w:firstLine="456"/>
        <w:spacing w:after="0" w:line="318" w:lineRule="auto"/>
        <w:rPr>
          <w:sz w:val="20"/>
          <w:szCs w:val="20"/>
          <w:color w:val="auto"/>
        </w:rPr>
      </w:pPr>
      <w:r>
        <w:rPr>
          <w:rFonts w:ascii="Arial" w:cs="Arial" w:eastAsia="Arial" w:hAnsi="Arial"/>
          <w:sz w:val="15"/>
          <w:szCs w:val="15"/>
          <w:color w:val="auto"/>
        </w:rPr>
        <w:t>In September 2011, the Financial Accounting Standards Board, or FASB, issued a revised accounting standard update intended to simplify how an entity tests goodwill for impairment. The amendment will allow an entity to first assess qualitative factors to determine whether it is necessary to perform the two-step quantitative goodwill impairment test. An entity no longer will be required to calculate the fair value of a reporting unit unless the entity determines, based on a qualitative assessment, that it is more likely than not that its fair value is less than its carrying amount. This accounting standard update became effective for the Company beginning October 1, 2012. The Company does not expect the adoption of this new guidance will have a material impact on its financial statements.</w:t>
      </w:r>
    </w:p>
    <w:p>
      <w:pPr>
        <w:spacing w:after="0" w:line="19"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June 2011, the FASB issued guidance to require an entity to present the total of comprehensive income, the components of net income, and the components of other comprehensive income either in a single continuous statement of comprehensive income or in two separate but consecutive statements, thus eliminating the option to present the components of other comprehensive income as part of the statement of equity. In addition, the guidance requires that the reclassification adjustments for items that are reclassified from other comprehensive income to net income be presented on the face of the financial statements, however, in December 2011, the FASB indefinitely deferred the requirements related to the presentation of reclassification adjustments. The guidance became effective for the Company beginning October 1, 2012, and will only result in changes in the Company’s financial statements presentation.</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380"/>
          </w:cols>
          <w:pgMar w:left="240" w:top="459" w:right="2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May 2011, the FASB issued guidance to provide a consistent definition of fair value and ensure that the fair value measurement and disclosure requirements under U.S. GAAP and International Financial Reporting Standards are similar. This guidance was effective for the Company beginning January 1, 2012. The guidance changes certain fair value measurement principles and enhances the disclosure requirements particularly for Level 3 fair value measurements. The adoption of this new guidance did not have a material impact on the Company’s financial statements.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w:t>
      </w:r>
    </w:p>
    <w:p>
      <w:pPr>
        <w:spacing w:after="0" w:line="9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Company acquired several entities during fiscal 2011 and 2010. The entities have been consolidated into the Company’s results of operations since their respective acquisition dates. These acquisitions, individually and in the aggregate, were not material in any fiscal year.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Fair Value Measurements</w:t>
      </w:r>
    </w:p>
    <w:p>
      <w:pPr>
        <w:spacing w:after="0" w:line="96"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32"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5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90" w:lineRule="exact"/>
        <w:rPr>
          <w:sz w:val="20"/>
          <w:szCs w:val="20"/>
          <w:color w:val="auto"/>
        </w:rPr>
      </w:pPr>
    </w:p>
    <w:p>
      <w:pPr>
        <w:ind w:left="900"/>
        <w:spacing w:after="0"/>
        <w:tabs>
          <w:tab w:leader="none" w:pos="162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90" w:lineRule="exact"/>
        <w:rPr>
          <w:sz w:val="20"/>
          <w:szCs w:val="20"/>
          <w:color w:val="auto"/>
        </w:rPr>
      </w:pPr>
    </w:p>
    <w:p>
      <w:pPr>
        <w:ind w:left="460" w:firstLine="438"/>
        <w:spacing w:after="0" w:line="256"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inputs other than quoted prices included in Level 1, such as quoted prices for similar assets or liabilities in active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62" w:lineRule="exact"/>
        <w:rPr>
          <w:sz w:val="20"/>
          <w:szCs w:val="20"/>
          <w:color w:val="auto"/>
        </w:rPr>
      </w:pPr>
    </w:p>
    <w:p>
      <w:pPr>
        <w:ind w:left="900"/>
        <w:spacing w:after="0"/>
        <w:tabs>
          <w:tab w:leader="none" w:pos="162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459" w:right="2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tables present the Company’s assets and liabilities measured at fair value on a recurring basis as of September 30, 2012 and 2011:</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9"/>
              </w:rPr>
              <w:t>As of September 30, 2012</w:t>
            </w: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76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88"/>
              </w:rPr>
              <w:t>Level 2</w:t>
            </w:r>
          </w:p>
        </w:tc>
        <w:tc>
          <w:tcPr>
            <w:tcW w:w="100" w:type="dxa"/>
            <w:vAlign w:val="bottom"/>
          </w:tcPr>
          <w:p>
            <w:pPr>
              <w:spacing w:after="0"/>
              <w:rPr>
                <w:sz w:val="12"/>
                <w:szCs w:val="12"/>
                <w:color w:val="auto"/>
              </w:rPr>
            </w:pPr>
          </w:p>
        </w:tc>
        <w:tc>
          <w:tcPr>
            <w:tcW w:w="68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$485,012</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$485,012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treasuries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93,387</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93,387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Corporate bonds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60,923</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60,923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guaranteed debt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32,689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U.S. agency securities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27,756</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27,756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Supranational and sovereign debt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11,644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Mortgages (including agencies and corporate)</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5,134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5,134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backed obligations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3,417</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Commercial paper and certificates of deposit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6,155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1,501</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7,656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584,554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143,064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727,618</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Derivative financial instruments, net</w:t>
            </w: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40" w:type="dxa"/>
            <w:vAlign w:val="bottom"/>
            <w:gridSpan w:val="2"/>
            <w:vMerge w:val="continue"/>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(23,928)</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(23,928)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584,554</w:t>
            </w:r>
          </w:p>
        </w:tc>
        <w:tc>
          <w:tcPr>
            <w:tcW w:w="16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$ 119,136</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703,690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72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9"/>
              </w:rPr>
              <w:t>As of September 30, 2011</w:t>
            </w: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20" w:type="dxa"/>
            <w:vAlign w:val="bottom"/>
          </w:tcPr>
          <w:p>
            <w:pPr>
              <w:spacing w:after="0"/>
              <w:rPr>
                <w:sz w:val="12"/>
                <w:szCs w:val="12"/>
                <w:color w:val="auto"/>
              </w:rPr>
            </w:pPr>
          </w:p>
        </w:tc>
        <w:tc>
          <w:tcPr>
            <w:tcW w:w="760" w:type="dxa"/>
            <w:vAlign w:val="bottom"/>
            <w:gridSpan w:val="2"/>
          </w:tcPr>
          <w:p>
            <w:pPr>
              <w:jc w:val="right"/>
              <w:ind w:right="220"/>
              <w:spacing w:after="0" w:line="142" w:lineRule="exact"/>
              <w:rPr>
                <w:sz w:val="20"/>
                <w:szCs w:val="20"/>
                <w:color w:val="auto"/>
              </w:rPr>
            </w:pPr>
            <w:r>
              <w:rPr>
                <w:rFonts w:ascii="Arial" w:cs="Arial" w:eastAsia="Arial" w:hAnsi="Arial"/>
                <w:sz w:val="14"/>
                <w:szCs w:val="14"/>
                <w:b w:val="1"/>
                <w:bCs w:val="1"/>
                <w:color w:val="auto"/>
              </w:rPr>
              <w:t>Level 1</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88"/>
              </w:rPr>
              <w:t>Level 2</w:t>
            </w:r>
          </w:p>
        </w:tc>
        <w:tc>
          <w:tcPr>
            <w:tcW w:w="100" w:type="dxa"/>
            <w:vAlign w:val="bottom"/>
          </w:tcPr>
          <w:p>
            <w:pPr>
              <w:spacing w:after="0"/>
              <w:rPr>
                <w:sz w:val="12"/>
                <w:szCs w:val="12"/>
                <w:color w:val="auto"/>
              </w:rPr>
            </w:pPr>
          </w:p>
        </w:tc>
        <w:tc>
          <w:tcPr>
            <w:tcW w:w="680" w:type="dxa"/>
            <w:vAlign w:val="bottom"/>
          </w:tcPr>
          <w:p>
            <w:pPr>
              <w:jc w:val="right"/>
              <w:ind w:right="1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Available-for-sale securities:</w:t>
            </w:r>
          </w:p>
        </w:tc>
        <w:tc>
          <w:tcPr>
            <w:tcW w:w="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Money market funds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$ 510,711</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w w:val="94"/>
              </w:rPr>
              <w:t>$ 510,711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U.S. government treasuries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110,339</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110,339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Corporate bonds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80,355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80,355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Government guaranteed debt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71,160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71,160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U.S. agency securities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57,540</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57,540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Supranational and sovereign debt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10,270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Mortgages (including agencies and corporate)</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6,395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6,395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 backed obligations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4,509</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ind w:left="200"/>
              <w:spacing w:after="0"/>
              <w:rPr>
                <w:sz w:val="20"/>
                <w:szCs w:val="20"/>
                <w:color w:val="auto"/>
              </w:rPr>
            </w:pPr>
            <w:r>
              <w:rPr>
                <w:rFonts w:ascii="Arial" w:cs="Arial" w:eastAsia="Arial" w:hAnsi="Arial"/>
                <w:sz w:val="18"/>
                <w:szCs w:val="18"/>
                <w:color w:val="auto"/>
              </w:rPr>
              <w:t>Commercial paper and certificates of deposit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10,105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8"/>
                <w:szCs w:val="18"/>
                <w:color w:val="auto"/>
              </w:rPr>
              <w:t>6,105</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16,210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631,155</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236,334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867,489</w:t>
            </w:r>
          </w:p>
        </w:tc>
        <w:tc>
          <w:tcPr>
            <w:tcW w:w="0" w:type="dxa"/>
            <w:vAlign w:val="bottom"/>
          </w:tcPr>
          <w:p>
            <w:pPr>
              <w:spacing w:after="0"/>
              <w:rPr>
                <w:sz w:val="1"/>
                <w:szCs w:val="1"/>
                <w:color w:val="auto"/>
              </w:rPr>
            </w:pPr>
          </w:p>
        </w:tc>
      </w:tr>
      <w:tr>
        <w:trPr>
          <w:trHeight w:val="20"/>
        </w:trPr>
        <w:tc>
          <w:tcPr>
            <w:tcW w:w="7240" w:type="dxa"/>
            <w:vAlign w:val="bottom"/>
            <w:gridSpan w:val="2"/>
            <w:vMerge w:val="restart"/>
          </w:tcPr>
          <w:p>
            <w:pPr>
              <w:spacing w:after="0"/>
              <w:rPr>
                <w:sz w:val="20"/>
                <w:szCs w:val="20"/>
                <w:color w:val="auto"/>
              </w:rPr>
            </w:pPr>
            <w:r>
              <w:rPr>
                <w:rFonts w:ascii="Arial" w:cs="Arial" w:eastAsia="Arial" w:hAnsi="Arial"/>
                <w:sz w:val="18"/>
                <w:szCs w:val="18"/>
                <w:color w:val="auto"/>
              </w:rPr>
              <w:t>Derivative financial instruments, net</w:t>
            </w: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40" w:type="dxa"/>
            <w:vAlign w:val="bottom"/>
            <w:gridSpan w:val="2"/>
            <w:vMerge w:val="continue"/>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(10,270)</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(10,270)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2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631,155</w:t>
            </w:r>
          </w:p>
        </w:tc>
        <w:tc>
          <w:tcPr>
            <w:tcW w:w="162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226,064</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857,219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Available for 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and discounted cash flow techniques.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fiscal 2012 or fiscal 2011.</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20"/>
          </w:cols>
          <w:pgMar w:left="240" w:top="459" w:right="3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carrying amounts of cash and cash equivalents, accounts receivable, accounts payable, accrued personnel costs, short-term financing arrangements and other current liabilities approximate their fair value because of the relatively short maturity of these items.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Available-For-Sale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w w:val="88"/>
              </w:rPr>
              <w:t>As of September 30, 2012</w:t>
            </w: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7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w w:val="88"/>
              </w:rPr>
              <w:t>Gross</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56"/>
              <w:spacing w:after="0" w:line="129" w:lineRule="exact"/>
              <w:rPr>
                <w:sz w:val="20"/>
                <w:szCs w:val="20"/>
                <w:color w:val="auto"/>
              </w:rPr>
            </w:pPr>
            <w:r>
              <w:rPr>
                <w:rFonts w:ascii="Arial" w:cs="Arial" w:eastAsia="Arial" w:hAnsi="Arial"/>
                <w:sz w:val="14"/>
                <w:szCs w:val="14"/>
                <w:b w:val="1"/>
                <w:bCs w:val="1"/>
                <w:color w:val="auto"/>
                <w:w w:val="88"/>
              </w:rPr>
              <w:t>Gross</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0"/>
              </w:rPr>
              <w:t>Amortized</w:t>
            </w:r>
          </w:p>
        </w:tc>
        <w:tc>
          <w:tcPr>
            <w:tcW w:w="5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Unrealized</w:t>
            </w:r>
          </w:p>
        </w:tc>
        <w:tc>
          <w:tcPr>
            <w:tcW w:w="52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Unrealized</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7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57"/>
              <w:spacing w:after="0"/>
              <w:rPr>
                <w:sz w:val="20"/>
                <w:szCs w:val="20"/>
                <w:color w:val="auto"/>
              </w:rPr>
            </w:pPr>
            <w:r>
              <w:rPr>
                <w:rFonts w:ascii="Arial" w:cs="Arial" w:eastAsia="Arial" w:hAnsi="Arial"/>
                <w:sz w:val="14"/>
                <w:szCs w:val="14"/>
                <w:b w:val="1"/>
                <w:bCs w:val="1"/>
                <w:color w:val="auto"/>
                <w:w w:val="92"/>
              </w:rPr>
              <w:t>Gains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w w:val="78"/>
              </w:rPr>
              <w:t>Losses</w:t>
            </w:r>
          </w:p>
        </w:tc>
        <w:tc>
          <w:tcPr>
            <w:tcW w:w="5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1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$485,012</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$485,012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U.S. government treasuries</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93,255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93,387</w:t>
            </w: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60,350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60,923</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Government guaranteed debt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32,484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32,689</w:t>
            </w: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U.S. agency securities</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27,637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27,756</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Supranational and sovereign debt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11,628</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11,644</w:t>
            </w: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Mortgages (including agencies and corporate)</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5,780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5,134</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Asset backed obligations</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3,800</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383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3,417</w:t>
            </w:r>
          </w:p>
        </w:tc>
        <w:tc>
          <w:tcPr>
            <w:tcW w:w="10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7,656</w:t>
            </w:r>
          </w:p>
        </w:tc>
        <w:tc>
          <w:tcPr>
            <w:tcW w:w="100" w:type="dxa"/>
            <w:vAlign w:val="bottom"/>
            <w:shd w:val="clear" w:color="auto" w:fill="CCEEFF"/>
          </w:tcPr>
          <w:p>
            <w:pPr>
              <w:spacing w:after="0"/>
              <w:rPr>
                <w:sz w:val="18"/>
                <w:szCs w:val="18"/>
                <w:color w:val="auto"/>
              </w:rPr>
            </w:pPr>
          </w:p>
        </w:tc>
      </w:tr>
      <w:tr>
        <w:trPr>
          <w:trHeight w:val="222"/>
        </w:trPr>
        <w:tc>
          <w:tcPr>
            <w:tcW w:w="7120" w:type="dxa"/>
            <w:vAlign w:val="bottom"/>
          </w:tcPr>
          <w:p>
            <w:pPr>
              <w:spacing w:after="0"/>
              <w:rPr>
                <w:sz w:val="20"/>
                <w:szCs w:val="20"/>
                <w:color w:val="auto"/>
              </w:rPr>
            </w:pPr>
            <w:r>
              <w:rPr>
                <w:rFonts w:ascii="Arial" w:cs="Arial" w:eastAsia="Arial" w:hAnsi="Arial"/>
                <w:sz w:val="18"/>
                <w:szCs w:val="18"/>
                <w:color w:val="auto"/>
              </w:rPr>
              <w:t>Total(1)</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727,602</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1,045</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1,029</w:t>
            </w:r>
          </w:p>
        </w:tc>
        <w:tc>
          <w:tcPr>
            <w:tcW w:w="1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727,618</w:t>
            </w:r>
          </w:p>
        </w:tc>
        <w:tc>
          <w:tcPr>
            <w:tcW w:w="10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4361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15" w:lineRule="exact"/>
        <w:rPr>
          <w:sz w:val="20"/>
          <w:szCs w:val="20"/>
          <w:color w:val="auto"/>
        </w:rPr>
      </w:pPr>
    </w:p>
    <w:p>
      <w:pPr>
        <w:ind w:left="340" w:right="220" w:hanging="332"/>
        <w:spacing w:after="0" w:line="256" w:lineRule="auto"/>
        <w:tabs>
          <w:tab w:leader="none" w:pos="3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Available-for-sale securities with maturities longer than 90 days from the date of acquisition were classified as short term interest-bearing investments and available-for-sale securities with maturities of 90 days or less from the date of acquisition were included in cash and cash equivalents on the Company’s balance sheet. As of September 30, 2012, $239,019 of securities were classified as short term interest-bearing investments and $488,599 of securities were classified as cash and cash equivalents.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jc w:val="right"/>
              <w:ind w:right="76"/>
              <w:spacing w:after="0"/>
              <w:rPr>
                <w:sz w:val="20"/>
                <w:szCs w:val="20"/>
                <w:color w:val="auto"/>
              </w:rPr>
            </w:pPr>
            <w:r>
              <w:rPr>
                <w:rFonts w:ascii="Arial" w:cs="Arial" w:eastAsia="Arial" w:hAnsi="Arial"/>
                <w:sz w:val="14"/>
                <w:szCs w:val="14"/>
                <w:b w:val="1"/>
                <w:bCs w:val="1"/>
                <w:color w:val="auto"/>
                <w:w w:val="88"/>
              </w:rPr>
              <w:t>As of September 30, 2011</w:t>
            </w: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150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57"/>
              <w:spacing w:after="0" w:line="129" w:lineRule="exact"/>
              <w:rPr>
                <w:sz w:val="20"/>
                <w:szCs w:val="20"/>
                <w:color w:val="auto"/>
              </w:rPr>
            </w:pPr>
            <w:r>
              <w:rPr>
                <w:rFonts w:ascii="Arial" w:cs="Arial" w:eastAsia="Arial" w:hAnsi="Arial"/>
                <w:sz w:val="14"/>
                <w:szCs w:val="14"/>
                <w:b w:val="1"/>
                <w:bCs w:val="1"/>
                <w:color w:val="auto"/>
                <w:w w:val="88"/>
              </w:rPr>
              <w:t>Gross</w:t>
            </w: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jc w:val="right"/>
              <w:ind w:right="56"/>
              <w:spacing w:after="0" w:line="129" w:lineRule="exact"/>
              <w:rPr>
                <w:sz w:val="20"/>
                <w:szCs w:val="20"/>
                <w:color w:val="auto"/>
              </w:rPr>
            </w:pPr>
            <w:r>
              <w:rPr>
                <w:rFonts w:ascii="Arial" w:cs="Arial" w:eastAsia="Arial" w:hAnsi="Arial"/>
                <w:sz w:val="14"/>
                <w:szCs w:val="14"/>
                <w:b w:val="1"/>
                <w:bCs w:val="1"/>
                <w:color w:val="auto"/>
                <w:w w:val="88"/>
              </w:rPr>
              <w:t>Gross</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150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gridSpan w:val="2"/>
          </w:tcPr>
          <w:p>
            <w:pPr>
              <w:jc w:val="right"/>
              <w:ind w:right="40"/>
              <w:spacing w:after="0" w:line="149" w:lineRule="exact"/>
              <w:rPr>
                <w:sz w:val="20"/>
                <w:szCs w:val="20"/>
                <w:color w:val="auto"/>
              </w:rPr>
            </w:pPr>
            <w:r>
              <w:rPr>
                <w:rFonts w:ascii="Arial" w:cs="Arial" w:eastAsia="Arial" w:hAnsi="Arial"/>
                <w:sz w:val="14"/>
                <w:szCs w:val="14"/>
                <w:b w:val="1"/>
                <w:bCs w:val="1"/>
                <w:color w:val="auto"/>
                <w:w w:val="90"/>
              </w:rPr>
              <w:t>Amortized</w:t>
            </w:r>
          </w:p>
        </w:tc>
        <w:tc>
          <w:tcPr>
            <w:tcW w:w="50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Unrealized</w:t>
            </w:r>
          </w:p>
        </w:tc>
        <w:tc>
          <w:tcPr>
            <w:tcW w:w="520" w:type="dxa"/>
            <w:vAlign w:val="bottom"/>
          </w:tcPr>
          <w:p>
            <w:pPr>
              <w:spacing w:after="0"/>
              <w:rPr>
                <w:sz w:val="12"/>
                <w:szCs w:val="12"/>
                <w:color w:val="auto"/>
              </w:rPr>
            </w:pPr>
          </w:p>
        </w:tc>
        <w:tc>
          <w:tcPr>
            <w:tcW w:w="6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Unrealized</w:t>
            </w:r>
          </w:p>
        </w:tc>
        <w:tc>
          <w:tcPr>
            <w:tcW w:w="5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1500" w:type="dxa"/>
            <w:vAlign w:val="bottom"/>
          </w:tcPr>
          <w:p>
            <w:pPr>
              <w:spacing w:after="0"/>
              <w:rPr>
                <w:sz w:val="14"/>
                <w:szCs w:val="14"/>
                <w:color w:val="auto"/>
              </w:rPr>
            </w:pPr>
          </w:p>
        </w:tc>
        <w:tc>
          <w:tcPr>
            <w:tcW w:w="5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Cost</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57"/>
              <w:spacing w:after="0"/>
              <w:rPr>
                <w:sz w:val="20"/>
                <w:szCs w:val="20"/>
                <w:color w:val="auto"/>
              </w:rPr>
            </w:pPr>
            <w:r>
              <w:rPr>
                <w:rFonts w:ascii="Arial" w:cs="Arial" w:eastAsia="Arial" w:hAnsi="Arial"/>
                <w:sz w:val="14"/>
                <w:szCs w:val="14"/>
                <w:b w:val="1"/>
                <w:bCs w:val="1"/>
                <w:color w:val="auto"/>
                <w:w w:val="92"/>
              </w:rPr>
              <w:t>Gains</w:t>
            </w: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36"/>
              <w:spacing w:after="0"/>
              <w:rPr>
                <w:sz w:val="20"/>
                <w:szCs w:val="20"/>
                <w:color w:val="auto"/>
              </w:rPr>
            </w:pPr>
            <w:r>
              <w:rPr>
                <w:rFonts w:ascii="Arial" w:cs="Arial" w:eastAsia="Arial" w:hAnsi="Arial"/>
                <w:sz w:val="14"/>
                <w:szCs w:val="14"/>
                <w:b w:val="1"/>
                <w:bCs w:val="1"/>
                <w:color w:val="auto"/>
                <w:w w:val="78"/>
              </w:rPr>
              <w:t>Losses</w:t>
            </w:r>
          </w:p>
        </w:tc>
        <w:tc>
          <w:tcPr>
            <w:tcW w:w="540" w:type="dxa"/>
            <w:vAlign w:val="bottom"/>
          </w:tcPr>
          <w:p>
            <w:pPr>
              <w:spacing w:after="0"/>
              <w:rPr>
                <w:sz w:val="14"/>
                <w:szCs w:val="14"/>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1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Money market funds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$ 510,711</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$ 510,711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U.S. government treasuries</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110,021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318</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110,339</w:t>
            </w:r>
          </w:p>
        </w:tc>
        <w:tc>
          <w:tcPr>
            <w:tcW w:w="100" w:type="dxa"/>
            <w:vAlign w:val="bottom"/>
          </w:tcPr>
          <w:p>
            <w:pPr>
              <w:spacing w:after="0"/>
              <w:rPr>
                <w:sz w:val="18"/>
                <w:szCs w:val="18"/>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80,517</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80,355</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Government guaranteed debt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70,725</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435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71,160</w:t>
            </w:r>
          </w:p>
        </w:tc>
        <w:tc>
          <w:tcPr>
            <w:tcW w:w="100" w:type="dxa"/>
            <w:vAlign w:val="bottom"/>
          </w:tcPr>
          <w:p>
            <w:pPr>
              <w:spacing w:after="0"/>
              <w:rPr>
                <w:sz w:val="18"/>
                <w:szCs w:val="18"/>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agency securities</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57,232</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57,540</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10,247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10,270</w:t>
            </w:r>
          </w:p>
        </w:tc>
        <w:tc>
          <w:tcPr>
            <w:tcW w:w="100" w:type="dxa"/>
            <w:vAlign w:val="bottom"/>
          </w:tcPr>
          <w:p>
            <w:pPr>
              <w:spacing w:after="0"/>
              <w:rPr>
                <w:sz w:val="18"/>
                <w:szCs w:val="18"/>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Mortgages (including agencies and corporate)</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7,576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6,395</w:t>
            </w:r>
          </w:p>
        </w:tc>
        <w:tc>
          <w:tcPr>
            <w:tcW w:w="100" w:type="dxa"/>
            <w:vAlign w:val="bottom"/>
            <w:shd w:val="clear" w:color="auto" w:fill="CCEEFF"/>
          </w:tcPr>
          <w:p>
            <w:pPr>
              <w:spacing w:after="0"/>
              <w:rPr>
                <w:sz w:val="18"/>
                <w:szCs w:val="18"/>
                <w:color w:val="auto"/>
              </w:rPr>
            </w:pPr>
          </w:p>
        </w:tc>
      </w:tr>
      <w:tr>
        <w:trPr>
          <w:trHeight w:val="216"/>
        </w:trPr>
        <w:tc>
          <w:tcPr>
            <w:tcW w:w="7120" w:type="dxa"/>
            <w:vAlign w:val="bottom"/>
            <w:gridSpan w:val="2"/>
          </w:tcPr>
          <w:p>
            <w:pPr>
              <w:spacing w:after="0"/>
              <w:rPr>
                <w:sz w:val="20"/>
                <w:szCs w:val="20"/>
                <w:color w:val="auto"/>
              </w:rPr>
            </w:pPr>
            <w:r>
              <w:rPr>
                <w:rFonts w:ascii="Arial" w:cs="Arial" w:eastAsia="Arial" w:hAnsi="Arial"/>
                <w:sz w:val="18"/>
                <w:szCs w:val="18"/>
                <w:color w:val="auto"/>
              </w:rPr>
              <w:t>Asset backed obligations</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5,469</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4,509</w:t>
            </w:r>
          </w:p>
        </w:tc>
        <w:tc>
          <w:tcPr>
            <w:tcW w:w="100" w:type="dxa"/>
            <w:vAlign w:val="bottom"/>
          </w:tcPr>
          <w:p>
            <w:pPr>
              <w:spacing w:after="0"/>
              <w:rPr>
                <w:sz w:val="18"/>
                <w:szCs w:val="18"/>
                <w:color w:val="auto"/>
              </w:rPr>
            </w:pPr>
          </w:p>
        </w:tc>
      </w:tr>
      <w:tr>
        <w:trPr>
          <w:trHeight w:val="216"/>
        </w:trPr>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 paper and certificates of deposit</w:t>
            </w:r>
          </w:p>
        </w:tc>
        <w:tc>
          <w:tcPr>
            <w:tcW w:w="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17,092</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54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16,210</w:t>
            </w:r>
          </w:p>
        </w:tc>
        <w:tc>
          <w:tcPr>
            <w:tcW w:w="100" w:type="dxa"/>
            <w:vAlign w:val="bottom"/>
            <w:shd w:val="clear" w:color="auto" w:fill="CCEEFF"/>
          </w:tcPr>
          <w:p>
            <w:pPr>
              <w:spacing w:after="0"/>
              <w:rPr>
                <w:sz w:val="18"/>
                <w:szCs w:val="18"/>
                <w:color w:val="auto"/>
              </w:rPr>
            </w:pPr>
          </w:p>
        </w:tc>
      </w:tr>
      <w:tr>
        <w:trPr>
          <w:trHeight w:val="222"/>
        </w:trPr>
        <w:tc>
          <w:tcPr>
            <w:tcW w:w="7120" w:type="dxa"/>
            <w:vAlign w:val="bottom"/>
            <w:gridSpan w:val="2"/>
          </w:tcPr>
          <w:p>
            <w:pPr>
              <w:spacing w:after="0"/>
              <w:rPr>
                <w:sz w:val="20"/>
                <w:szCs w:val="20"/>
                <w:color w:val="auto"/>
              </w:rPr>
            </w:pPr>
            <w:r>
              <w:rPr>
                <w:rFonts w:ascii="Arial" w:cs="Arial" w:eastAsia="Arial" w:hAnsi="Arial"/>
                <w:sz w:val="18"/>
                <w:szCs w:val="18"/>
                <w:color w:val="auto"/>
              </w:rPr>
              <w:t>Total(2)</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869,590</w:t>
            </w:r>
          </w:p>
        </w:tc>
        <w:tc>
          <w:tcPr>
            <w:tcW w:w="620" w:type="dxa"/>
            <w:vAlign w:val="bottom"/>
            <w:gridSpan w:val="2"/>
          </w:tcPr>
          <w:p>
            <w:pPr>
              <w:ind w:left="50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1,484</w:t>
            </w:r>
          </w:p>
        </w:tc>
        <w:tc>
          <w:tcPr>
            <w:tcW w:w="640" w:type="dxa"/>
            <w:vAlign w:val="bottom"/>
            <w:gridSpan w:val="2"/>
          </w:tcPr>
          <w:p>
            <w:pPr>
              <w:ind w:left="520"/>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3,585</w:t>
            </w:r>
          </w:p>
        </w:tc>
        <w:tc>
          <w:tcPr>
            <w:tcW w:w="12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867,489</w:t>
            </w:r>
          </w:p>
        </w:tc>
        <w:tc>
          <w:tcPr>
            <w:tcW w:w="10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1500" w:type="dxa"/>
            <w:vAlign w:val="bottom"/>
            <w:tcBorders>
              <w:bottom w:val="single" w:sz="8" w:color="auto"/>
            </w:tcBorders>
          </w:tcPr>
          <w:p>
            <w:pPr>
              <w:spacing w:after="0"/>
              <w:rPr>
                <w:sz w:val="8"/>
                <w:szCs w:val="8"/>
                <w:color w:val="auto"/>
              </w:rPr>
            </w:pPr>
          </w:p>
        </w:tc>
        <w:tc>
          <w:tcPr>
            <w:tcW w:w="5620" w:type="dxa"/>
            <w:vAlign w:val="bottom"/>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240" w:hanging="452"/>
        <w:spacing w:after="0" w:line="268"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As of September 30, 2011, $342,099 of securities were classified as short term interest-bearing investments and $525,390 of securities were classified as cash and cash equivalents.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59" w:right="2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30, 2012, the unrealized losses were primarily due to credit market conditions and interest rate movements. A significant portion of the unrealized losses has been in a continuous loss position for 12 months or greater. The Company assessed whether such unrealized losses for the investments in its portfolio were other-than-temporary. Based on this assessment, an immaterial credit loss was recognized through earnings in fiscal 2012, 2011 and 2010. As of September 30, 2012, temporary unrealized losses of $576 included in accumulated other comprehensive (loss) income, were related to securities for which credit losses were recognized and that were considered other-than-temporarily impaired securities.</w:t>
      </w:r>
    </w:p>
    <w:p>
      <w:pPr>
        <w:spacing w:after="0" w:line="116"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9600" w:type="dxa"/>
            <w:vAlign w:val="bottom"/>
            <w:gridSpan w:val="2"/>
          </w:tcPr>
          <w:p>
            <w:pPr>
              <w:spacing w:after="0"/>
              <w:rPr>
                <w:sz w:val="20"/>
                <w:szCs w:val="20"/>
                <w:color w:val="auto"/>
              </w:rPr>
            </w:pPr>
            <w:r>
              <w:rPr>
                <w:rFonts w:ascii="Arial" w:cs="Arial" w:eastAsia="Arial" w:hAnsi="Arial"/>
                <w:sz w:val="18"/>
                <w:szCs w:val="18"/>
                <w:color w:val="auto"/>
              </w:rPr>
              <w:t>The following table presents a cumulative roll forward of credit losses recognized in earnings as of September 30, 2012:</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9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October 1, 2010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Credit loss on debt securities for which an other-than-temporary impairment was not previously recognized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Additional credit loss on debt securities for which an other-than-temporary impairment was previously recognized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Reduction of credit loss for securities realized during the period</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(1,221)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2011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Credit loss on debt securities for which an other-than-temporary impairment was not previously recognized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Additional credit loss on debt securities for which an other-than-temporary impairment was previously recognized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Reduction of credit loss for securities realized during the period</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5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2012</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83"/>
        </w:trPr>
        <w:tc>
          <w:tcPr>
            <w:tcW w:w="9600" w:type="dxa"/>
            <w:vAlign w:val="bottom"/>
            <w:gridSpan w:val="2"/>
          </w:tcPr>
          <w:p>
            <w:pPr>
              <w:spacing w:after="0"/>
              <w:rPr>
                <w:sz w:val="20"/>
                <w:szCs w:val="20"/>
                <w:color w:val="auto"/>
              </w:rPr>
            </w:pPr>
            <w:r>
              <w:rPr>
                <w:rFonts w:ascii="Arial" w:cs="Arial" w:eastAsia="Arial" w:hAnsi="Arial"/>
                <w:sz w:val="18"/>
                <w:szCs w:val="18"/>
                <w:color w:val="auto"/>
              </w:rPr>
              <w:t>As of September 30, 2012, the Company’s available-for-sale securities had the following maturity dates: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5"/>
          </w:tcPr>
          <w:p>
            <w:pPr>
              <w:spacing w:after="0"/>
              <w:rPr>
                <w:sz w:val="20"/>
                <w:szCs w:val="20"/>
                <w:color w:val="auto"/>
              </w:rPr>
            </w:pPr>
            <w:r>
              <w:rPr>
                <w:rFonts w:ascii="Arial" w:cs="Arial" w:eastAsia="Arial" w:hAnsi="Arial"/>
                <w:sz w:val="14"/>
                <w:szCs w:val="14"/>
                <w:b w:val="1"/>
                <w:bCs w:val="1"/>
                <w:color w:val="auto"/>
                <w:w w:val="99"/>
              </w:rPr>
              <w:t>Market 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Due within one year</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5"/>
              </w:rPr>
              <w:t>620,386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1 to 2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54,214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42,903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tcPr>
          <w:p>
            <w:pPr>
              <w:spacing w:after="0"/>
              <w:rPr>
                <w:sz w:val="20"/>
                <w:szCs w:val="20"/>
                <w:color w:val="auto"/>
              </w:rPr>
            </w:pPr>
            <w:r>
              <w:rPr>
                <w:rFonts w:ascii="Arial" w:cs="Arial" w:eastAsia="Arial" w:hAnsi="Arial"/>
                <w:sz w:val="18"/>
                <w:szCs w:val="18"/>
                <w:color w:val="auto"/>
              </w:rPr>
              <w:t>3 to 4 years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9,741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580" w:type="dxa"/>
            <w:vAlign w:val="bottom"/>
          </w:tcPr>
          <w:p>
            <w:pPr>
              <w:spacing w:after="0"/>
              <w:rPr>
                <w:sz w:val="19"/>
                <w:szCs w:val="19"/>
                <w:color w:val="auto"/>
              </w:rPr>
            </w:pPr>
          </w:p>
        </w:tc>
        <w:tc>
          <w:tcPr>
            <w:tcW w:w="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5"/>
              </w:rPr>
              <w:t>727,618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Derivative Financial Instruments</w:t>
      </w:r>
    </w:p>
    <w:p>
      <w:pPr>
        <w:spacing w:after="0" w:line="9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85"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60"/>
          </w:cols>
          <w:pgMar w:left="240" w:top="459" w:right="2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Company to net amounts due from the Company to a counterparty with amounts due to the Company from the same counterparty. The Company has elected to present the related assets and liabilities on a gross basis. Considering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$1,086 as of September 30, 2012. The Company has limited its credit risk by entering into derivative transactions exclusively with investment-grade rated financial institutions and monitors the creditworthiness of these financial institutions on an ongoing basis.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 flow.</w:t>
      </w:r>
    </w:p>
    <w:p>
      <w:pPr>
        <w:spacing w:after="0" w:line="19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September 30, 2012. Notional values are U.S. dollar translated and calculated based on forward rates as of September 30, 2012 for forward contracts, and based on spot rates as of September 30, 2012 for options.</w:t>
      </w:r>
    </w:p>
    <w:p>
      <w:pPr>
        <w:spacing w:after="0" w:line="176" w:lineRule="exact"/>
        <w:rPr>
          <w:sz w:val="20"/>
          <w:szCs w:val="20"/>
          <w:color w:val="auto"/>
        </w:rPr>
      </w:pPr>
    </w:p>
    <w:p>
      <w:pPr>
        <w:ind w:left="9940"/>
        <w:spacing w:after="0"/>
        <w:rPr>
          <w:sz w:val="20"/>
          <w:szCs w:val="20"/>
          <w:color w:val="auto"/>
        </w:rPr>
      </w:pPr>
      <w:r>
        <w:rPr>
          <w:rFonts w:ascii="Arial" w:cs="Arial" w:eastAsia="Arial" w:hAnsi="Arial"/>
          <w:sz w:val="14"/>
          <w:szCs w:val="14"/>
          <w:b w:val="1"/>
          <w:bCs w:val="1"/>
          <w:u w:val="single" w:color="auto"/>
          <w:color w:val="auto"/>
        </w:rPr>
        <w:t>Notional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0</wp:posOffset>
            </wp:positionV>
            <wp:extent cx="666369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663690" cy="146050"/>
                    </a:xfrm>
                    <a:prstGeom prst="rect">
                      <a:avLst/>
                    </a:prstGeom>
                    <a:noFill/>
                  </pic:spPr>
                </pic:pic>
              </a:graphicData>
            </a:graphic>
          </wp:anchor>
        </w:drawing>
      </w:r>
    </w:p>
    <w:p>
      <w:pPr>
        <w:ind w:left="460"/>
        <w:spacing w:after="0"/>
        <w:tabs>
          <w:tab w:leader="none" w:pos="9920" w:val="left"/>
          <w:tab w:leader="none" w:pos="10280" w:val="left"/>
        </w:tabs>
        <w:rPr>
          <w:sz w:val="20"/>
          <w:szCs w:val="20"/>
          <w:color w:val="auto"/>
        </w:rPr>
      </w:pPr>
      <w:r>
        <w:rPr>
          <w:rFonts w:ascii="Arial" w:cs="Arial" w:eastAsia="Arial" w:hAnsi="Arial"/>
          <w:sz w:val="18"/>
          <w:szCs w:val="18"/>
          <w:color w:val="auto"/>
        </w:rPr>
        <w:t>Foreign exchange contracts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950,170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94361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18" w:lineRule="exact"/>
        <w:rPr>
          <w:sz w:val="20"/>
          <w:szCs w:val="20"/>
          <w:color w:val="auto"/>
        </w:rPr>
      </w:pPr>
    </w:p>
    <w:p>
      <w:pPr>
        <w:ind w:left="340" w:right="680" w:hanging="332"/>
        <w:spacing w:after="0" w:line="268"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32"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records all derivative instruments on the balance sheet at fair value. Please see Note 4 to the consolidated financial statements. The fair value of the open foreign exchange contracts recorded by the Company on its consolidated balance sheets as of September 30, 2012 and September 30, 2011, as an asset or a liability is as follows:</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w w:val="91"/>
              </w:rPr>
              <w:t>As of</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40" w:type="dxa"/>
            <w:vAlign w:val="bottom"/>
            <w:tcBorders>
              <w:bottom w:val="single" w:sz="8" w:color="CCEEFF"/>
            </w:tcBorders>
          </w:tcPr>
          <w:p>
            <w:pPr>
              <w:spacing w:after="0"/>
              <w:rPr>
                <w:sz w:val="12"/>
                <w:szCs w:val="12"/>
                <w:color w:val="auto"/>
              </w:rPr>
            </w:pPr>
          </w:p>
        </w:tc>
        <w:tc>
          <w:tcPr>
            <w:tcW w:w="41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4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4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855</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assets</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1,453</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(20,087)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(14,292)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noncurrent liabilities</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(4,166)</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(21,945)</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w w:val="86"/>
              </w:rPr>
              <w:t>(14,517)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w w:val="98"/>
              </w:rPr>
              <w:t>Derivatives not designated as hedging instruments</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4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1,507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(3,490)</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(1,983)</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4,247</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Net fair value</w:t>
            </w:r>
          </w:p>
        </w:tc>
        <w:tc>
          <w:tcPr>
            <w:tcW w:w="4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(23,928)</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(10,270)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4220" w:type="dxa"/>
            <w:vAlign w:val="bottom"/>
            <w:gridSpan w:val="2"/>
          </w:tcPr>
          <w:p>
            <w:pPr>
              <w:jc w:val="right"/>
              <w:ind w:right="3072"/>
              <w:spacing w:after="0"/>
              <w:rPr>
                <w:sz w:val="20"/>
                <w:szCs w:val="20"/>
                <w:color w:val="auto"/>
              </w:rPr>
            </w:pPr>
            <w:r>
              <w:rPr>
                <w:rFonts w:ascii="Arial" w:cs="Arial" w:eastAsia="Arial" w:hAnsi="Arial"/>
                <w:sz w:val="18"/>
                <w:szCs w:val="18"/>
                <w:color w:val="auto"/>
              </w:rPr>
              <w:t>F-20</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9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two years (a significant portion of the forward and option contracts outstanding as of September 30, 2012 are expected to mature within the next 12 months).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(loss) income, a separate component of shareholders’ equity, and subsequently reclassified into earnings to the same line item as the related forecasted transaction and in the same period or periods during which the hedged exposure affects earnings. The cash flow hedges are evaluated for effectiveness at least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3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effect of the Company’s cash flow hedging instruments in the consolidated statements of income for the fiscal years ended September 30, 2012, 2011 and 2010, respectively, which partially offsets the foreign currency impact from the underlying exposures, is summarized as follows:</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7"/>
          </w:tcPr>
          <w:p>
            <w:pPr>
              <w:jc w:val="center"/>
              <w:ind w:right="200"/>
              <w:spacing w:after="0"/>
              <w:rPr>
                <w:sz w:val="20"/>
                <w:szCs w:val="20"/>
                <w:color w:val="auto"/>
              </w:rPr>
            </w:pPr>
            <w:r>
              <w:rPr>
                <w:rFonts w:ascii="Arial" w:cs="Arial" w:eastAsia="Arial" w:hAnsi="Arial"/>
                <w:sz w:val="14"/>
                <w:szCs w:val="14"/>
                <w:b w:val="1"/>
                <w:bCs w:val="1"/>
                <w:color w:val="auto"/>
                <w:w w:val="84"/>
              </w:rPr>
              <w:t>Gains (Losses) Reclassified from</w:t>
            </w:r>
          </w:p>
        </w:tc>
        <w:tc>
          <w:tcPr>
            <w:tcW w:w="0" w:type="dxa"/>
            <w:vAlign w:val="bottom"/>
          </w:tcPr>
          <w:p>
            <w:pPr>
              <w:spacing w:after="0"/>
              <w:rPr>
                <w:sz w:val="1"/>
                <w:szCs w:val="1"/>
                <w:color w:val="auto"/>
              </w:rPr>
            </w:pPr>
          </w:p>
        </w:tc>
      </w:tr>
      <w:tr>
        <w:trPr>
          <w:trHeight w:val="149"/>
        </w:trPr>
        <w:tc>
          <w:tcPr>
            <w:tcW w:w="7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4"/>
          </w:tcPr>
          <w:p>
            <w:pPr>
              <w:jc w:val="center"/>
              <w:ind w:left="402"/>
              <w:spacing w:after="0" w:line="149" w:lineRule="exact"/>
              <w:rPr>
                <w:sz w:val="20"/>
                <w:szCs w:val="20"/>
                <w:color w:val="auto"/>
              </w:rPr>
            </w:pPr>
            <w:r>
              <w:rPr>
                <w:rFonts w:ascii="Arial" w:cs="Arial" w:eastAsia="Arial" w:hAnsi="Arial"/>
                <w:sz w:val="14"/>
                <w:szCs w:val="14"/>
                <w:b w:val="1"/>
                <w:bCs w:val="1"/>
                <w:color w:val="auto"/>
                <w:w w:val="86"/>
              </w:rPr>
              <w:t>Other Comprehensive (Loss)</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40" w:type="dxa"/>
            <w:vAlign w:val="bottom"/>
            <w:gridSpan w:val="4"/>
          </w:tcPr>
          <w:p>
            <w:pPr>
              <w:jc w:val="center"/>
              <w:ind w:left="402"/>
              <w:spacing w:after="0" w:line="149" w:lineRule="exact"/>
              <w:rPr>
                <w:sz w:val="20"/>
                <w:szCs w:val="20"/>
                <w:color w:val="auto"/>
              </w:rPr>
            </w:pPr>
            <w:r>
              <w:rPr>
                <w:rFonts w:ascii="Arial" w:cs="Arial" w:eastAsia="Arial" w:hAnsi="Arial"/>
                <w:sz w:val="14"/>
                <w:szCs w:val="14"/>
                <w:b w:val="1"/>
                <w:bCs w:val="1"/>
                <w:color w:val="auto"/>
                <w:w w:val="88"/>
              </w:rPr>
              <w:t>Income (Effective Portion)</w:t>
            </w:r>
          </w:p>
        </w:tc>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75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center"/>
              <w:ind w:left="402"/>
              <w:spacing w:after="0"/>
              <w:rPr>
                <w:sz w:val="20"/>
                <w:szCs w:val="20"/>
                <w:color w:val="auto"/>
              </w:rPr>
            </w:pPr>
            <w:r>
              <w:rPr>
                <w:rFonts w:ascii="Arial" w:cs="Arial" w:eastAsia="Arial" w:hAnsi="Arial"/>
                <w:sz w:val="14"/>
                <w:szCs w:val="14"/>
                <w:b w:val="1"/>
                <w:bCs w:val="1"/>
                <w:color w:val="auto"/>
                <w:w w:val="87"/>
              </w:rPr>
              <w:t>Year Ended September 30,</w:t>
            </w:r>
          </w:p>
        </w:tc>
        <w:tc>
          <w:tcPr>
            <w:tcW w:w="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122"/>
              <w:spacing w:after="0" w:line="142" w:lineRule="exact"/>
              <w:rPr>
                <w:sz w:val="20"/>
                <w:szCs w:val="20"/>
                <w:color w:val="auto"/>
              </w:rPr>
            </w:pPr>
            <w:r>
              <w:rPr>
                <w:rFonts w:ascii="Arial" w:cs="Arial" w:eastAsia="Arial" w:hAnsi="Arial"/>
                <w:sz w:val="14"/>
                <w:szCs w:val="14"/>
                <w:b w:val="1"/>
                <w:bCs w:val="1"/>
                <w:color w:val="auto"/>
              </w:rPr>
              <w:t>2012</w:t>
            </w:r>
          </w:p>
        </w:tc>
        <w:tc>
          <w:tcPr>
            <w:tcW w:w="500" w:type="dxa"/>
            <w:vAlign w:val="bottom"/>
          </w:tcPr>
          <w:p>
            <w:pPr>
              <w:spacing w:after="0"/>
              <w:rPr>
                <w:sz w:val="12"/>
                <w:szCs w:val="12"/>
                <w:color w:val="auto"/>
              </w:rPr>
            </w:pPr>
          </w:p>
        </w:tc>
        <w:tc>
          <w:tcPr>
            <w:tcW w:w="58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58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statements of income:</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22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3,091</w:t>
            </w: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w w:val="85"/>
              </w:rPr>
              <w:t>$ (2,410)</w:t>
            </w:r>
          </w:p>
        </w:tc>
        <w:tc>
          <w:tcPr>
            <w:tcW w:w="680" w:type="dxa"/>
            <w:vAlign w:val="bottom"/>
            <w:gridSpan w:val="3"/>
          </w:tcPr>
          <w:p>
            <w:pPr>
              <w:jc w:val="right"/>
              <w:ind w:right="40"/>
              <w:spacing w:after="0"/>
              <w:rPr>
                <w:sz w:val="20"/>
                <w:szCs w:val="20"/>
                <w:color w:val="auto"/>
              </w:rPr>
            </w:pPr>
            <w:r>
              <w:rPr>
                <w:rFonts w:ascii="Arial" w:cs="Arial" w:eastAsia="Arial" w:hAnsi="Arial"/>
                <w:sz w:val="18"/>
                <w:szCs w:val="18"/>
                <w:color w:val="auto"/>
                <w:w w:val="92"/>
              </w:rPr>
              <w:t>$(3,466)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(21,504)</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11,244</w:t>
            </w:r>
          </w:p>
        </w:tc>
        <w:tc>
          <w:tcPr>
            <w:tcW w:w="5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9,131</w:t>
            </w:r>
          </w:p>
        </w:tc>
        <w:tc>
          <w:tcPr>
            <w:tcW w:w="0" w:type="dxa"/>
            <w:vAlign w:val="bottom"/>
          </w:tcPr>
          <w:p>
            <w:pPr>
              <w:spacing w:after="0"/>
              <w:rPr>
                <w:sz w:val="1"/>
                <w:szCs w:val="1"/>
                <w:color w:val="auto"/>
              </w:rPr>
            </w:pPr>
          </w:p>
        </w:tc>
      </w:tr>
      <w:tr>
        <w:trPr>
          <w:trHeight w:val="216"/>
        </w:trPr>
        <w:tc>
          <w:tcPr>
            <w:tcW w:w="75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(2,928)</w:t>
            </w:r>
          </w:p>
        </w:tc>
        <w:tc>
          <w:tcPr>
            <w:tcW w:w="580" w:type="dxa"/>
            <w:vAlign w:val="bottom"/>
          </w:tcPr>
          <w:p>
            <w:pPr>
              <w:jc w:val="right"/>
              <w:spacing w:after="0"/>
              <w:rPr>
                <w:sz w:val="20"/>
                <w:szCs w:val="20"/>
                <w:color w:val="auto"/>
              </w:rPr>
            </w:pPr>
            <w:r>
              <w:rPr>
                <w:rFonts w:ascii="Arial" w:cs="Arial" w:eastAsia="Arial" w:hAnsi="Arial"/>
                <w:sz w:val="18"/>
                <w:szCs w:val="18"/>
                <w:color w:val="auto"/>
              </w:rPr>
              <w:t>2,477</w:t>
            </w:r>
          </w:p>
        </w:tc>
        <w:tc>
          <w:tcPr>
            <w:tcW w:w="5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2,490</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(3,395)</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5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5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(24,736)</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13,531</w:t>
            </w:r>
          </w:p>
        </w:tc>
        <w:tc>
          <w:tcPr>
            <w:tcW w:w="50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w w:val="93"/>
              </w:rPr>
              <w:t>$ 9,461</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An aggregate (loss) gain of $(22,603), $11,956 and $8,138, net of taxes, was reclassified from other comprehensive (loss) income in the fiscal years ended September 30, 2012, 2011 and 2010, respectively. The ineffective portion of the change in fair value of a cash flow hedge, including the time value portion excluded from effectiveness testing for the fiscal years ended September 30, 2012, 2011 and 2010, was not material.</w:t>
      </w:r>
    </w:p>
    <w:p>
      <w:pPr>
        <w:spacing w:after="0" w:line="2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September 30, 2012, net losses related to derivatives designated as cash flow hedges and recorded in accumulated other comprehensive (loss) income totaled $17,942, of which $15,964 will be reclassified into earnings within the next 12 months and will partially offset the foreign currency impact from the underlying exposures. The amount ultimately realized in earnings will likely differ due to future changes in foreign exchange rates. (Losses) gains from cash flow hedges recognized in other comprehensive (loss) income during the fiscal years ended September 30, 2012, 2011 and 2010 were $(30,730), $(8,497) and $990, or $(26,108), $(8,483) and $1,204, net of taxes, respectively.</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59" w:right="23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activity related to the changes in net unrealized (losses) gains on cash flow hedges recorded in accumulated other comprehensive (loss) income, net of tax, is as follows:</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8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4"/>
                <w:szCs w:val="14"/>
                <w:b w:val="1"/>
                <w:bCs w:val="1"/>
                <w:color w:val="auto"/>
                <w:w w:val="86"/>
              </w:rPr>
              <w:t>Year Ended September 30,</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80" w:type="dxa"/>
            <w:vAlign w:val="bottom"/>
            <w:tcBorders>
              <w:bottom w:val="single" w:sz="8" w:color="CCEEFF"/>
            </w:tcBorders>
          </w:tcPr>
          <w:p>
            <w:pPr>
              <w:spacing w:after="0"/>
              <w:rPr>
                <w:sz w:val="12"/>
                <w:szCs w:val="12"/>
                <w:color w:val="auto"/>
              </w:rPr>
            </w:pPr>
          </w:p>
        </w:tc>
        <w:tc>
          <w:tcPr>
            <w:tcW w:w="6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2011</w:t>
            </w:r>
          </w:p>
        </w:tc>
        <w:tc>
          <w:tcPr>
            <w:tcW w:w="4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unrealized (losses) gains on cash flow hedges, net of tax, beginning of period</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7"/>
              </w:rPr>
              <w:t>$ (14,437)</w:t>
            </w:r>
          </w:p>
        </w:tc>
        <w:tc>
          <w:tcPr>
            <w:tcW w:w="520" w:type="dxa"/>
            <w:vAlign w:val="bottom"/>
            <w:gridSpan w:val="2"/>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6,002</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12,936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Changes associated with hedging transactions, net of tax</w:t>
            </w:r>
          </w:p>
        </w:tc>
        <w:tc>
          <w:tcPr>
            <w:tcW w:w="1180" w:type="dxa"/>
            <w:vAlign w:val="bottom"/>
            <w:gridSpan w:val="3"/>
          </w:tcPr>
          <w:p>
            <w:pPr>
              <w:jc w:val="right"/>
              <w:ind w:right="392"/>
              <w:spacing w:after="0"/>
              <w:rPr>
                <w:sz w:val="20"/>
                <w:szCs w:val="20"/>
                <w:color w:val="auto"/>
              </w:rPr>
            </w:pPr>
            <w:r>
              <w:rPr>
                <w:rFonts w:ascii="Arial" w:cs="Arial" w:eastAsia="Arial" w:hAnsi="Arial"/>
                <w:sz w:val="18"/>
                <w:szCs w:val="18"/>
                <w:color w:val="auto"/>
              </w:rPr>
              <w:t>(26,108)</w:t>
            </w:r>
          </w:p>
        </w:tc>
        <w:tc>
          <w:tcPr>
            <w:tcW w:w="8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(8,483)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1,204</w:t>
            </w:r>
          </w:p>
        </w:tc>
        <w:tc>
          <w:tcPr>
            <w:tcW w:w="0" w:type="dxa"/>
            <w:vAlign w:val="bottom"/>
          </w:tcPr>
          <w:p>
            <w:pPr>
              <w:spacing w:after="0"/>
              <w:rPr>
                <w:sz w:val="1"/>
                <w:szCs w:val="1"/>
                <w:color w:val="auto"/>
              </w:rPr>
            </w:pP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into earnings, net of tax</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22,603</w:t>
            </w:r>
          </w:p>
        </w:tc>
        <w:tc>
          <w:tcPr>
            <w:tcW w:w="52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(11,956)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(8,138)</w:t>
            </w:r>
          </w:p>
        </w:tc>
        <w:tc>
          <w:tcPr>
            <w:tcW w:w="0" w:type="dxa"/>
            <w:vAlign w:val="bottom"/>
          </w:tcPr>
          <w:p>
            <w:pPr>
              <w:spacing w:after="0"/>
              <w:rPr>
                <w:sz w:val="1"/>
                <w:szCs w:val="1"/>
                <w:color w:val="auto"/>
              </w:rPr>
            </w:pPr>
          </w:p>
        </w:tc>
      </w:tr>
      <w:tr>
        <w:trPr>
          <w:trHeight w:val="20"/>
        </w:trPr>
        <w:tc>
          <w:tcPr>
            <w:tcW w:w="7480" w:type="dxa"/>
            <w:vAlign w:val="bottom"/>
            <w:vMerge w:val="restart"/>
          </w:tcPr>
          <w:p>
            <w:pPr>
              <w:spacing w:after="0"/>
              <w:rPr>
                <w:sz w:val="20"/>
                <w:szCs w:val="20"/>
                <w:color w:val="auto"/>
              </w:rPr>
            </w:pPr>
            <w:r>
              <w:rPr>
                <w:rFonts w:ascii="Arial" w:cs="Arial" w:eastAsia="Arial" w:hAnsi="Arial"/>
                <w:sz w:val="18"/>
                <w:szCs w:val="18"/>
                <w:color w:val="auto"/>
              </w:rPr>
              <w:t>Net unrealized (losses) gains on cash flow hedges, net of tax, end of period</w:t>
            </w: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80" w:type="dxa"/>
            <w:vAlign w:val="bottom"/>
            <w:vMerge w:val="continue"/>
          </w:tcPr>
          <w:p>
            <w:pPr>
              <w:spacing w:after="0"/>
              <w:rPr>
                <w:sz w:val="19"/>
                <w:szCs w:val="19"/>
                <w:color w:val="auto"/>
              </w:rPr>
            </w:pPr>
          </w:p>
        </w:tc>
        <w:tc>
          <w:tcPr>
            <w:tcW w:w="1180" w:type="dxa"/>
            <w:vAlign w:val="bottom"/>
            <w:gridSpan w:val="3"/>
          </w:tcPr>
          <w:p>
            <w:pPr>
              <w:jc w:val="right"/>
              <w:ind w:right="392"/>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 xml:space="preserve"> (17,942)</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(14,437)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6,002</w:t>
            </w:r>
          </w:p>
        </w:tc>
        <w:tc>
          <w:tcPr>
            <w:tcW w:w="0" w:type="dxa"/>
            <w:vAlign w:val="bottom"/>
          </w:tcPr>
          <w:p>
            <w:pPr>
              <w:spacing w:after="0"/>
              <w:rPr>
                <w:sz w:val="1"/>
                <w:szCs w:val="1"/>
                <w:color w:val="auto"/>
              </w:rPr>
            </w:pPr>
          </w:p>
        </w:tc>
      </w:tr>
      <w:tr>
        <w:trPr>
          <w:trHeight w:val="20"/>
        </w:trPr>
        <w:tc>
          <w:tcPr>
            <w:tcW w:w="7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14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90" w:lineRule="exact"/>
        <w:rPr>
          <w:sz w:val="20"/>
          <w:szCs w:val="20"/>
          <w:color w:val="auto"/>
        </w:rPr>
      </w:pPr>
    </w:p>
    <w:p>
      <w:pPr>
        <w:ind w:right="560" w:firstLine="456"/>
        <w:spacing w:after="0" w:line="357" w:lineRule="auto"/>
        <w:rPr>
          <w:sz w:val="20"/>
          <w:szCs w:val="20"/>
          <w:color w:val="auto"/>
        </w:rPr>
      </w:pPr>
      <w:r>
        <w:rPr>
          <w:rFonts w:ascii="Arial" w:cs="Arial" w:eastAsia="Arial" w:hAnsi="Arial"/>
          <w:sz w:val="15"/>
          <w:szCs w:val="15"/>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ind w:left="460"/>
        <w:spacing w:after="0"/>
        <w:rPr>
          <w:sz w:val="20"/>
          <w:szCs w:val="20"/>
          <w:color w:val="auto"/>
        </w:rPr>
      </w:pPr>
      <w:r>
        <w:rPr>
          <w:rFonts w:ascii="Arial" w:cs="Arial" w:eastAsia="Arial" w:hAnsi="Arial"/>
          <w:sz w:val="16"/>
          <w:szCs w:val="16"/>
          <w:color w:val="auto"/>
        </w:rPr>
        <w:t>These instruments are generally short-term in nature, with typical maturities of less than 12 months, and are subject to fluctuations in foreign exchange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rates.</w:t>
      </w:r>
    </w:p>
    <w:p>
      <w:pPr>
        <w:spacing w:after="0" w:line="84"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fiscal years ended September 30, 2012, 2011 and 2010, respectively, which partially offsets the foreign currency impact from the underlying exposure, is summarized as follows:</w:t>
      </w:r>
    </w:p>
    <w:p>
      <w:pPr>
        <w:spacing w:after="0" w:line="11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Gains (Losses)</w:t>
            </w: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Recognized in Income</w:t>
            </w: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8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87"/>
              </w:rPr>
              <w:t>Year Ended September 30,</w:t>
            </w: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2"/>
                <w:szCs w:val="12"/>
                <w:color w:val="auto"/>
              </w:rPr>
            </w:pPr>
          </w:p>
        </w:tc>
        <w:tc>
          <w:tcPr>
            <w:tcW w:w="1080" w:type="dxa"/>
            <w:vAlign w:val="bottom"/>
            <w:gridSpan w:val="2"/>
          </w:tcPr>
          <w:p>
            <w:pPr>
              <w:jc w:val="center"/>
              <w:ind w:left="420"/>
              <w:spacing w:after="0" w:line="142" w:lineRule="exact"/>
              <w:rPr>
                <w:sz w:val="20"/>
                <w:szCs w:val="20"/>
                <w:color w:val="auto"/>
              </w:rPr>
            </w:pPr>
            <w:r>
              <w:rPr>
                <w:rFonts w:ascii="Arial" w:cs="Arial" w:eastAsia="Arial" w:hAnsi="Arial"/>
                <w:sz w:val="14"/>
                <w:szCs w:val="14"/>
                <w:b w:val="1"/>
                <w:bCs w:val="1"/>
                <w:color w:val="auto"/>
                <w:w w:val="83"/>
              </w:rPr>
              <w:t>2011</w:t>
            </w:r>
          </w:p>
        </w:tc>
        <w:tc>
          <w:tcPr>
            <w:tcW w:w="540" w:type="dxa"/>
            <w:vAlign w:val="bottom"/>
          </w:tcPr>
          <w:p>
            <w:pPr>
              <w:spacing w:after="0"/>
              <w:rPr>
                <w:sz w:val="12"/>
                <w:szCs w:val="12"/>
                <w:color w:val="auto"/>
              </w:rPr>
            </w:pPr>
          </w:p>
        </w:tc>
        <w:tc>
          <w:tcPr>
            <w:tcW w:w="620" w:type="dxa"/>
            <w:vAlign w:val="bottom"/>
            <w:gridSpan w:val="2"/>
          </w:tcPr>
          <w:p>
            <w:pPr>
              <w:jc w:val="right"/>
              <w:ind w:right="140"/>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8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Line item in statements of income:</w:t>
            </w:r>
          </w:p>
        </w:tc>
        <w:tc>
          <w:tcPr>
            <w:tcW w:w="3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Revenue</w:t>
            </w:r>
          </w:p>
        </w:tc>
        <w:tc>
          <w:tcPr>
            <w:tcW w:w="37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(302)</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$(2,060)</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$(2,461)</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service</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(1,548)</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(1,301)</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1,464</w:t>
            </w: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(319)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540" w:type="dxa"/>
            <w:vAlign w:val="bottom"/>
          </w:tcPr>
          <w:p>
            <w:pPr>
              <w:spacing w:after="0"/>
              <w:rPr>
                <w:sz w:val="18"/>
                <w:szCs w:val="18"/>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(518)</w:t>
            </w:r>
          </w:p>
        </w:tc>
        <w:tc>
          <w:tcPr>
            <w:tcW w:w="16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(254)</w:t>
            </w:r>
          </w:p>
        </w:tc>
        <w:tc>
          <w:tcPr>
            <w:tcW w:w="7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3880" w:type="dxa"/>
            <w:vAlign w:val="bottom"/>
          </w:tcPr>
          <w:p>
            <w:pPr>
              <w:ind w:left="220"/>
              <w:spacing w:after="0"/>
              <w:rPr>
                <w:sz w:val="20"/>
                <w:szCs w:val="20"/>
                <w:color w:val="auto"/>
              </w:rPr>
            </w:pPr>
            <w:r>
              <w:rPr>
                <w:rFonts w:ascii="Arial" w:cs="Arial" w:eastAsia="Arial" w:hAnsi="Arial"/>
                <w:sz w:val="18"/>
                <w:szCs w:val="18"/>
                <w:color w:val="auto"/>
              </w:rPr>
              <w:t>Interest and other expense, net</w:t>
            </w:r>
          </w:p>
        </w:tc>
        <w:tc>
          <w:tcPr>
            <w:tcW w:w="3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(1,250)</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1,713</w:t>
            </w:r>
          </w:p>
        </w:tc>
        <w:tc>
          <w:tcPr>
            <w:tcW w:w="54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taxes</w:t>
            </w:r>
          </w:p>
        </w:tc>
        <w:tc>
          <w:tcPr>
            <w:tcW w:w="3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(311)</w:t>
            </w: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3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80" w:type="dxa"/>
            <w:vAlign w:val="bottom"/>
            <w:vMerge w:val="continue"/>
          </w:tcPr>
          <w:p>
            <w:pPr>
              <w:spacing w:after="0"/>
              <w:rPr>
                <w:sz w:val="19"/>
                <w:szCs w:val="19"/>
                <w:color w:val="auto"/>
              </w:rPr>
            </w:pPr>
          </w:p>
        </w:tc>
        <w:tc>
          <w:tcPr>
            <w:tcW w:w="374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(3,431)</w:t>
            </w:r>
          </w:p>
        </w:tc>
        <w:tc>
          <w:tcPr>
            <w:tcW w:w="162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(2,062)</w:t>
            </w:r>
          </w:p>
        </w:tc>
        <w:tc>
          <w:tcPr>
            <w:tcW w:w="720" w:type="dxa"/>
            <w:vAlign w:val="bottom"/>
            <w:gridSpan w:val="3"/>
          </w:tcPr>
          <w:p>
            <w:pPr>
              <w:jc w:val="right"/>
              <w:ind w:right="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(2,480)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80" w:type="dxa"/>
            <w:vAlign w:val="bottom"/>
          </w:tcPr>
          <w:p>
            <w:pPr>
              <w:spacing w:after="0"/>
              <w:rPr>
                <w:sz w:val="24"/>
                <w:szCs w:val="24"/>
                <w:color w:val="auto"/>
              </w:rPr>
            </w:pPr>
          </w:p>
        </w:tc>
        <w:tc>
          <w:tcPr>
            <w:tcW w:w="3740" w:type="dxa"/>
            <w:vAlign w:val="bottom"/>
            <w:gridSpan w:val="2"/>
          </w:tcPr>
          <w:p>
            <w:pPr>
              <w:jc w:val="right"/>
              <w:ind w:right="2200"/>
              <w:spacing w:after="0"/>
              <w:rPr>
                <w:sz w:val="20"/>
                <w:szCs w:val="20"/>
                <w:color w:val="auto"/>
              </w:rPr>
            </w:pPr>
            <w:r>
              <w:rPr>
                <w:rFonts w:ascii="Arial" w:cs="Arial" w:eastAsia="Arial" w:hAnsi="Arial"/>
                <w:sz w:val="18"/>
                <w:szCs w:val="18"/>
                <w:color w:val="auto"/>
              </w:rPr>
              <w:t>F-22</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Accounts Receivable,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 net consists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198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68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85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Accounts receivable — billed</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$573,090</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$509,371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Arial" w:cs="Arial" w:eastAsia="Arial" w:hAnsi="Arial"/>
                <w:sz w:val="18"/>
                <w:szCs w:val="18"/>
                <w:color w:val="auto"/>
              </w:rPr>
              <w:t>Accounts receivable — unbilled(1)</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130,697</w:t>
            </w:r>
          </w:p>
        </w:tc>
        <w:tc>
          <w:tcPr>
            <w:tcW w:w="260" w:type="dxa"/>
            <w:vAlign w:val="bottom"/>
          </w:tcPr>
          <w:p>
            <w:pPr>
              <w:spacing w:after="0"/>
              <w:rPr>
                <w:sz w:val="18"/>
                <w:szCs w:val="18"/>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72,048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 allowances</w:t>
            </w:r>
          </w:p>
        </w:tc>
        <w:tc>
          <w:tcPr>
            <w:tcW w:w="9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(16,564)</w:t>
            </w: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(15,566)</w:t>
            </w:r>
          </w:p>
        </w:tc>
        <w:tc>
          <w:tcPr>
            <w:tcW w:w="0" w:type="dxa"/>
            <w:vAlign w:val="bottom"/>
          </w:tcPr>
          <w:p>
            <w:pPr>
              <w:spacing w:after="0"/>
              <w:rPr>
                <w:sz w:val="1"/>
                <w:szCs w:val="1"/>
                <w:color w:val="auto"/>
              </w:rPr>
            </w:pPr>
          </w:p>
        </w:tc>
      </w:tr>
      <w:tr>
        <w:trPr>
          <w:trHeight w:val="20"/>
        </w:trPr>
        <w:tc>
          <w:tcPr>
            <w:tcW w:w="8980" w:type="dxa"/>
            <w:vAlign w:val="bottom"/>
            <w:gridSpan w:val="3"/>
            <w:vMerge w:val="restart"/>
          </w:tcPr>
          <w:p>
            <w:pPr>
              <w:ind w:left="460"/>
              <w:spacing w:after="0"/>
              <w:rPr>
                <w:sz w:val="20"/>
                <w:szCs w:val="20"/>
                <w:color w:val="auto"/>
              </w:rPr>
            </w:pPr>
            <w:r>
              <w:rPr>
                <w:rFonts w:ascii="Arial" w:cs="Arial" w:eastAsia="Arial" w:hAnsi="Arial"/>
                <w:sz w:val="18"/>
                <w:szCs w:val="18"/>
                <w:color w:val="auto"/>
              </w:rPr>
              <w:t>Accounts receivable, net</w:t>
            </w: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80" w:type="dxa"/>
            <w:vAlign w:val="bottom"/>
            <w:gridSpan w:val="3"/>
            <w:vMerge w:val="continue"/>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687,223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565,853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4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60" w:hanging="452"/>
        <w:spacing w:after="0" w:line="268"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increase in accounts receivable unbilled during fiscal year 2012, was primarily attributable to timing differences between delivery and invoicing milestones related to implementation and integration projects, as well as to managed services arrangements.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Equipment and Leasehold Improvements,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Components of equipment and leasehold improvements, net are:</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80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r>
      <w:tr>
        <w:trPr>
          <w:trHeight w:val="210"/>
        </w:trPr>
        <w:tc>
          <w:tcPr>
            <w:tcW w:w="8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Computer equipment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967,381</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866,691</w:t>
            </w:r>
          </w:p>
        </w:tc>
        <w:tc>
          <w:tcPr>
            <w:tcW w:w="10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174,568</w:t>
            </w: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164,781</w:t>
            </w: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Furniture, fixtures and other</w:t>
            </w: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59,972</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57,710</w:t>
            </w:r>
          </w:p>
        </w:tc>
        <w:tc>
          <w:tcPr>
            <w:tcW w:w="100" w:type="dxa"/>
            <w:vAlign w:val="bottom"/>
            <w:shd w:val="clear" w:color="auto" w:fill="CCEEFF"/>
          </w:tcPr>
          <w:p>
            <w:pPr>
              <w:spacing w:after="0"/>
              <w:rPr>
                <w:sz w:val="18"/>
                <w:szCs w:val="18"/>
                <w:color w:val="auto"/>
              </w:rPr>
            </w:pPr>
          </w:p>
        </w:tc>
      </w:tr>
      <w:tr>
        <w:trPr>
          <w:trHeight w:val="221"/>
        </w:trPr>
        <w:tc>
          <w:tcPr>
            <w:tcW w:w="8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1,201,921</w:t>
            </w: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1,089,182</w:t>
            </w:r>
          </w:p>
        </w:tc>
      </w:tr>
      <w:tr>
        <w:trPr>
          <w:trHeight w:val="218"/>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w w:val="95"/>
              </w:rPr>
              <w:t>(924,014)</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(830,780)</w:t>
            </w:r>
          </w:p>
        </w:tc>
      </w:tr>
      <w:tr>
        <w:trPr>
          <w:trHeight w:val="222"/>
        </w:trPr>
        <w:tc>
          <w:tcPr>
            <w:tcW w:w="80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277,907</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258,402</w:t>
            </w:r>
          </w:p>
        </w:tc>
        <w:tc>
          <w:tcPr>
            <w:tcW w:w="10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Total depreciation expense on equipment and leasehold improvements for fiscal years 2012, 2011 and 2010, was $107,470, $113,910 and $111,966, respectively.</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September 30, 2012 and 2011, the unamortized software assets developed for internal use were $57,960 and $40,993, respectively.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0" w:type="dxa"/>
            <w:vAlign w:val="bottom"/>
            <w:gridSpan w:val="3"/>
          </w:tcPr>
          <w:p>
            <w:pPr>
              <w:spacing w:after="0"/>
              <w:rPr>
                <w:sz w:val="20"/>
                <w:szCs w:val="20"/>
                <w:color w:val="auto"/>
              </w:rPr>
            </w:pPr>
            <w:r>
              <w:rPr>
                <w:rFonts w:ascii="Arial" w:cs="Arial" w:eastAsia="Arial" w:hAnsi="Arial"/>
                <w:sz w:val="18"/>
                <w:szCs w:val="18"/>
                <w:b w:val="1"/>
                <w:bCs w:val="1"/>
                <w:color w:val="auto"/>
              </w:rPr>
              <w:t>Note 9 — Goodwill and Intangible Assets, Net</w:t>
            </w: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10000" w:type="dxa"/>
            <w:vAlign w:val="bottom"/>
            <w:gridSpan w:val="3"/>
          </w:tcPr>
          <w:p>
            <w:pPr>
              <w:ind w:left="460"/>
              <w:spacing w:after="0"/>
              <w:rPr>
                <w:sz w:val="20"/>
                <w:szCs w:val="20"/>
                <w:color w:val="auto"/>
              </w:rPr>
            </w:pPr>
            <w:r>
              <w:rPr>
                <w:rFonts w:ascii="Arial" w:cs="Arial" w:eastAsia="Arial" w:hAnsi="Arial"/>
                <w:sz w:val="18"/>
                <w:szCs w:val="18"/>
                <w:color w:val="auto"/>
              </w:rPr>
              <w:t>The following table presents details of the Company’s total goodwill:</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460" w:type="dxa"/>
            <w:vAlign w:val="bottom"/>
            <w:vMerge w:val="restart"/>
          </w:tcPr>
          <w:p>
            <w:pPr>
              <w:spacing w:after="0"/>
              <w:rPr>
                <w:sz w:val="13"/>
                <w:szCs w:val="13"/>
                <w:color w:val="auto"/>
              </w:rPr>
            </w:pPr>
          </w:p>
        </w:tc>
        <w:tc>
          <w:tcPr>
            <w:tcW w:w="1040" w:type="dxa"/>
            <w:vAlign w:val="bottom"/>
          </w:tcPr>
          <w:p>
            <w:pPr>
              <w:spacing w:after="0"/>
              <w:rPr>
                <w:sz w:val="13"/>
                <w:szCs w:val="13"/>
                <w:color w:val="auto"/>
              </w:rPr>
            </w:pPr>
          </w:p>
        </w:tc>
        <w:tc>
          <w:tcPr>
            <w:tcW w:w="8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60" w:type="dxa"/>
            <w:vAlign w:val="bottom"/>
            <w:vMerge w:val="continue"/>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 of October 1, 2010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$ 1,637,416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540" w:type="dxa"/>
            <w:vAlign w:val="bottom"/>
            <w:gridSpan w:val="2"/>
          </w:tcPr>
          <w:p>
            <w:pPr>
              <w:spacing w:after="0"/>
              <w:rPr>
                <w:sz w:val="20"/>
                <w:szCs w:val="20"/>
                <w:color w:val="auto"/>
              </w:rPr>
            </w:pPr>
            <w:r>
              <w:rPr>
                <w:rFonts w:ascii="Arial" w:cs="Arial" w:eastAsia="Arial" w:hAnsi="Arial"/>
                <w:sz w:val="18"/>
                <w:szCs w:val="18"/>
                <w:color w:val="auto"/>
              </w:rPr>
              <w:t>Goodwill resulting from an immaterial acquisition(1)</w:t>
            </w:r>
          </w:p>
        </w:tc>
        <w:tc>
          <w:tcPr>
            <w:tcW w:w="840" w:type="dxa"/>
            <w:vAlign w:val="bottom"/>
          </w:tcPr>
          <w:p>
            <w:pPr>
              <w:jc w:val="right"/>
              <w:spacing w:after="0"/>
              <w:rPr>
                <w:sz w:val="20"/>
                <w:szCs w:val="20"/>
                <w:color w:val="auto"/>
              </w:rPr>
            </w:pPr>
            <w:r>
              <w:rPr>
                <w:rFonts w:ascii="Arial" w:cs="Arial" w:eastAsia="Arial" w:hAnsi="Arial"/>
                <w:sz w:val="18"/>
                <w:szCs w:val="18"/>
                <w:color w:val="auto"/>
              </w:rPr>
              <w:t>103,586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(1,270)</w:t>
            </w:r>
          </w:p>
        </w:tc>
        <w:tc>
          <w:tcPr>
            <w:tcW w:w="0" w:type="dxa"/>
            <w:vAlign w:val="bottom"/>
          </w:tcPr>
          <w:p>
            <w:pPr>
              <w:spacing w:after="0"/>
              <w:rPr>
                <w:sz w:val="1"/>
                <w:szCs w:val="1"/>
                <w:color w:val="auto"/>
              </w:rPr>
            </w:pPr>
          </w:p>
        </w:tc>
      </w:tr>
      <w:tr>
        <w:trPr>
          <w:trHeight w:val="221"/>
        </w:trPr>
        <w:tc>
          <w:tcPr>
            <w:tcW w:w="10000" w:type="dxa"/>
            <w:vAlign w:val="bottom"/>
            <w:gridSpan w:val="3"/>
          </w:tcPr>
          <w:p>
            <w:pPr>
              <w:ind w:left="460"/>
              <w:spacing w:after="0"/>
              <w:rPr>
                <w:sz w:val="20"/>
                <w:szCs w:val="20"/>
                <w:color w:val="auto"/>
              </w:rPr>
            </w:pPr>
            <w:r>
              <w:rPr>
                <w:rFonts w:ascii="Arial" w:cs="Arial" w:eastAsia="Arial" w:hAnsi="Arial"/>
                <w:sz w:val="18"/>
                <w:szCs w:val="18"/>
                <w:color w:val="auto"/>
              </w:rPr>
              <w:t>As of September 30, 2011</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1,739,732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 w:type="dxa"/>
            <w:vAlign w:val="bottom"/>
          </w:tcPr>
          <w:p>
            <w:pPr>
              <w:spacing w:after="0"/>
              <w:rPr>
                <w:sz w:val="18"/>
                <w:szCs w:val="18"/>
                <w:color w:val="auto"/>
              </w:rPr>
            </w:pPr>
          </w:p>
        </w:tc>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000" w:type="dxa"/>
            <w:vAlign w:val="bottom"/>
            <w:gridSpan w:val="3"/>
          </w:tcPr>
          <w:p>
            <w:pPr>
              <w:ind w:left="460"/>
              <w:spacing w:after="0"/>
              <w:rPr>
                <w:sz w:val="20"/>
                <w:szCs w:val="20"/>
                <w:color w:val="auto"/>
              </w:rPr>
            </w:pPr>
            <w:r>
              <w:rPr>
                <w:rFonts w:ascii="Arial" w:cs="Arial" w:eastAsia="Arial" w:hAnsi="Arial"/>
                <w:sz w:val="18"/>
                <w:szCs w:val="18"/>
                <w:color w:val="auto"/>
              </w:rPr>
              <w:t>As of September 30, 2012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$ 1,741,786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85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hanging="452"/>
        <w:spacing w:after="0" w:line="268" w:lineRule="auto"/>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During fiscal 2011, the Company acquired Bridgewater Systems (“Bridgewater”), a provider of policy management and network control solutions. In allocating the total preliminary purchase price for</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0960"/>
          </w:cols>
          <w:pgMar w:left="240" w:top="459" w:right="6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1" w:lineRule="exact"/>
        <w:rPr>
          <w:sz w:val="20"/>
          <w:szCs w:val="20"/>
          <w:color w:val="auto"/>
        </w:rPr>
      </w:pPr>
    </w:p>
    <w:p>
      <w:pPr>
        <w:ind w:left="460" w:right="140"/>
        <w:spacing w:after="0" w:line="268" w:lineRule="auto"/>
        <w:rPr>
          <w:sz w:val="20"/>
          <w:szCs w:val="20"/>
          <w:color w:val="auto"/>
        </w:rPr>
      </w:pPr>
      <w:r>
        <w:rPr>
          <w:rFonts w:ascii="Arial" w:cs="Arial" w:eastAsia="Arial" w:hAnsi="Arial"/>
          <w:sz w:val="18"/>
          <w:szCs w:val="18"/>
          <w:color w:val="auto"/>
        </w:rPr>
        <w:t>Bridgewater, based on estimated fair values, the Company recorded $103,586 of goodwill, $16,900 of core technology amortized over 8 years, $22,899 of customer arrangements amortized over 10 years and $2,329 of other intangible assets amortized over 5 years.</w:t>
      </w:r>
    </w:p>
    <w:p>
      <w:pPr>
        <w:spacing w:after="0" w:line="5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presents the amortization expense of the Company’s purchased intangible assets, included in each financial statement caption reported in the consolidated statements of income:</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87"/>
              </w:rPr>
              <w:t>Year Ended September 30,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340" w:type="dxa"/>
            <w:vAlign w:val="bottom"/>
            <w:tcBorders>
              <w:bottom w:val="single" w:sz="8" w:color="CCEEFF"/>
            </w:tcBorders>
          </w:tcPr>
          <w:p>
            <w:pPr>
              <w:spacing w:after="0"/>
              <w:rPr>
                <w:sz w:val="12"/>
                <w:szCs w:val="12"/>
                <w:color w:val="auto"/>
              </w:rPr>
            </w:pPr>
          </w:p>
        </w:tc>
        <w:tc>
          <w:tcPr>
            <w:tcW w:w="22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w w:val="96"/>
              </w:rPr>
              <w:t>2012</w:t>
            </w:r>
          </w:p>
        </w:tc>
        <w:tc>
          <w:tcPr>
            <w:tcW w:w="2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Cost of service</w:t>
            </w:r>
          </w:p>
        </w:tc>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Amortization of purchased intangible assets</w:t>
            </w:r>
          </w:p>
        </w:tc>
        <w:tc>
          <w:tcPr>
            <w:tcW w:w="2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50,535</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65,958</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3"/>
              </w:rPr>
              <w:t>82,441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3"/>
              </w:rPr>
              <w:t>52,144</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67,567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83,974</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performs an annual goodwill impairment test during the fourth quarter of each fiscal year, or more frequently if impairment indicators are present. The Company operates in one operating segment, and this segment comprises its only reporting unit. In calculating the fair value of the reporting unit, the Company used its market capitalization and a discounted cash flow methodology. There was no impairment of goodwill in fiscal 2012, 2011 and 2010.</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details of the Company’s total purchased intangible assets: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Estimated</w:t>
            </w: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Useful</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0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Life</w:t>
            </w:r>
          </w:p>
        </w:tc>
        <w:tc>
          <w:tcPr>
            <w:tcW w:w="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86"/>
              </w:rPr>
              <w:t>Accumulated</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9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(in years)</w:t>
            </w:r>
          </w:p>
        </w:tc>
        <w:tc>
          <w:tcPr>
            <w:tcW w:w="660" w:type="dxa"/>
            <w:vAlign w:val="bottom"/>
          </w:tcPr>
          <w:p>
            <w:pPr>
              <w:jc w:val="right"/>
              <w:ind w:right="74"/>
              <w:spacing w:after="0"/>
              <w:rPr>
                <w:sz w:val="20"/>
                <w:szCs w:val="20"/>
                <w:color w:val="auto"/>
              </w:rPr>
            </w:pPr>
            <w:r>
              <w:rPr>
                <w:rFonts w:ascii="Arial" w:cs="Arial" w:eastAsia="Arial" w:hAnsi="Arial"/>
                <w:sz w:val="14"/>
                <w:szCs w:val="14"/>
                <w:b w:val="1"/>
                <w:bCs w:val="1"/>
                <w:color w:val="auto"/>
              </w:rPr>
              <w:t>Gross</w:t>
            </w:r>
          </w:p>
        </w:tc>
        <w:tc>
          <w:tcPr>
            <w:tcW w:w="440" w:type="dxa"/>
            <w:vAlign w:val="bottom"/>
          </w:tcPr>
          <w:p>
            <w:pPr>
              <w:spacing w:after="0"/>
              <w:rPr>
                <w:sz w:val="14"/>
                <w:szCs w:val="14"/>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8"/>
              </w:rPr>
              <w:t>Amortization</w:t>
            </w:r>
          </w:p>
        </w:tc>
        <w:tc>
          <w:tcPr>
            <w:tcW w:w="80" w:type="dxa"/>
            <w:vAlign w:val="bottom"/>
          </w:tcPr>
          <w:p>
            <w:pPr>
              <w:spacing w:after="0"/>
              <w:rPr>
                <w:sz w:val="14"/>
                <w:szCs w:val="14"/>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6"/>
        </w:trPr>
        <w:tc>
          <w:tcPr>
            <w:tcW w:w="4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September 30, 2012</w:t>
            </w:r>
          </w:p>
        </w:tc>
        <w:tc>
          <w:tcPr>
            <w:tcW w:w="236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Core technology</w:t>
            </w:r>
          </w:p>
        </w:tc>
        <w:tc>
          <w:tcPr>
            <w:tcW w:w="3400" w:type="dxa"/>
            <w:vAlign w:val="bottom"/>
            <w:gridSpan w:val="3"/>
          </w:tcPr>
          <w:p>
            <w:pPr>
              <w:jc w:val="right"/>
              <w:ind w:right="440"/>
              <w:spacing w:after="0"/>
              <w:rPr>
                <w:sz w:val="20"/>
                <w:szCs w:val="20"/>
                <w:color w:val="auto"/>
              </w:rPr>
            </w:pPr>
            <w:r>
              <w:rPr>
                <w:rFonts w:ascii="Arial" w:cs="Arial" w:eastAsia="Arial" w:hAnsi="Arial"/>
                <w:sz w:val="18"/>
                <w:szCs w:val="18"/>
                <w:color w:val="auto"/>
              </w:rPr>
              <w:t>4-8</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$381,056</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 (332,322)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48,734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Customer arrangements</w:t>
            </w:r>
          </w:p>
        </w:tc>
        <w:tc>
          <w:tcPr>
            <w:tcW w:w="3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327,207</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(245,119)</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82,088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Intellectual property rights and purchased computer software</w:t>
            </w:r>
          </w:p>
        </w:tc>
        <w:tc>
          <w:tcPr>
            <w:tcW w:w="23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51,996</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(51,996)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23,082</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(12,626)</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92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783,341</w:t>
            </w:r>
          </w:p>
        </w:tc>
        <w:tc>
          <w:tcPr>
            <w:tcW w:w="44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 (642,063)</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141,278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September 30, 2011</w:t>
            </w:r>
          </w:p>
        </w:tc>
        <w:tc>
          <w:tcPr>
            <w:tcW w:w="23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Core technology</w:t>
            </w:r>
          </w:p>
        </w:tc>
        <w:tc>
          <w:tcPr>
            <w:tcW w:w="3400" w:type="dxa"/>
            <w:vAlign w:val="bottom"/>
            <w:gridSpan w:val="3"/>
          </w:tcPr>
          <w:p>
            <w:pPr>
              <w:jc w:val="right"/>
              <w:ind w:right="440"/>
              <w:spacing w:after="0"/>
              <w:rPr>
                <w:sz w:val="20"/>
                <w:szCs w:val="20"/>
                <w:color w:val="auto"/>
              </w:rPr>
            </w:pPr>
            <w:r>
              <w:rPr>
                <w:rFonts w:ascii="Arial" w:cs="Arial" w:eastAsia="Arial" w:hAnsi="Arial"/>
                <w:sz w:val="18"/>
                <w:szCs w:val="18"/>
                <w:color w:val="auto"/>
              </w:rPr>
              <w:t>4-8</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$381,056</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 (311,541)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69,515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Customer arrangements</w:t>
            </w:r>
          </w:p>
        </w:tc>
        <w:tc>
          <w:tcPr>
            <w:tcW w:w="3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6-15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327,207</w:t>
            </w:r>
          </w:p>
        </w:tc>
        <w:tc>
          <w:tcPr>
            <w:tcW w:w="168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(215,961)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8"/>
                <w:szCs w:val="18"/>
                <w:color w:val="auto"/>
              </w:rPr>
              <w:t>Intellectual property rights and purchased computer software</w:t>
            </w:r>
          </w:p>
        </w:tc>
        <w:tc>
          <w:tcPr>
            <w:tcW w:w="236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51,996</w:t>
            </w:r>
          </w:p>
        </w:tc>
        <w:tc>
          <w:tcPr>
            <w:tcW w:w="1680" w:type="dxa"/>
            <w:vAlign w:val="bottom"/>
            <w:gridSpan w:val="3"/>
          </w:tcPr>
          <w:p>
            <w:pPr>
              <w:jc w:val="right"/>
              <w:ind w:right="400"/>
              <w:spacing w:after="0"/>
              <w:rPr>
                <w:sz w:val="20"/>
                <w:szCs w:val="20"/>
                <w:color w:val="auto"/>
              </w:rPr>
            </w:pPr>
            <w:r>
              <w:rPr>
                <w:rFonts w:ascii="Arial" w:cs="Arial" w:eastAsia="Arial" w:hAnsi="Arial"/>
                <w:sz w:val="18"/>
                <w:szCs w:val="18"/>
                <w:color w:val="auto"/>
              </w:rPr>
              <w:t>(51,996)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2-10</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23,082</w:t>
            </w:r>
          </w:p>
        </w:tc>
        <w:tc>
          <w:tcPr>
            <w:tcW w:w="4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(10,421)</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920" w:type="dxa"/>
            <w:vAlign w:val="bottom"/>
            <w:vMerge w:val="continue"/>
          </w:tcPr>
          <w:p>
            <w:pPr>
              <w:spacing w:after="0"/>
              <w:rPr>
                <w:sz w:val="19"/>
                <w:szCs w:val="19"/>
                <w:color w:val="auto"/>
              </w:rPr>
            </w:pPr>
          </w:p>
        </w:tc>
        <w:tc>
          <w:tcPr>
            <w:tcW w:w="23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783,341</w:t>
            </w:r>
          </w:p>
        </w:tc>
        <w:tc>
          <w:tcPr>
            <w:tcW w:w="44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 (589,919)</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193,422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3400" w:type="dxa"/>
            <w:vAlign w:val="bottom"/>
            <w:gridSpan w:val="3"/>
            <w:vMerge w:val="restart"/>
          </w:tcPr>
          <w:p>
            <w:pPr>
              <w:jc w:val="right"/>
              <w:ind w:right="2440"/>
              <w:spacing w:after="0"/>
              <w:rPr>
                <w:sz w:val="20"/>
                <w:szCs w:val="20"/>
                <w:color w:val="auto"/>
              </w:rPr>
            </w:pPr>
            <w:r>
              <w:rPr>
                <w:rFonts w:ascii="Arial" w:cs="Arial" w:eastAsia="Arial" w:hAnsi="Arial"/>
                <w:sz w:val="18"/>
                <w:szCs w:val="18"/>
                <w:color w:val="auto"/>
              </w:rPr>
              <w:t>F-24</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920" w:type="dxa"/>
            <w:vAlign w:val="bottom"/>
          </w:tcPr>
          <w:p>
            <w:pPr>
              <w:spacing w:after="0"/>
              <w:rPr>
                <w:sz w:val="24"/>
                <w:szCs w:val="24"/>
                <w:color w:val="auto"/>
              </w:rPr>
            </w:pPr>
          </w:p>
        </w:tc>
        <w:tc>
          <w:tcPr>
            <w:tcW w:w="3400" w:type="dxa"/>
            <w:vAlign w:val="bottom"/>
            <w:gridSpan w:val="3"/>
            <w:vMerge w:val="continue"/>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estimated future amortization expense of purchased intangible assets as of September 30, 2012 is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3"/>
              </w:rPr>
              <w:t>Amount</w:t>
            </w: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744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right w:val="single" w:sz="8" w:color="CCEEFF"/>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2013</w:t>
            </w:r>
          </w:p>
        </w:tc>
        <w:tc>
          <w:tcPr>
            <w:tcW w:w="6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35,787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6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26,493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2015</w:t>
            </w:r>
          </w:p>
        </w:tc>
        <w:tc>
          <w:tcPr>
            <w:tcW w:w="6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21,736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64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18,590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tcPr>
          <w:p>
            <w:pPr>
              <w:spacing w:after="0"/>
              <w:rPr>
                <w:sz w:val="20"/>
                <w:szCs w:val="20"/>
                <w:color w:val="auto"/>
              </w:rPr>
            </w:pPr>
            <w:r>
              <w:rPr>
                <w:rFonts w:ascii="Arial" w:cs="Arial" w:eastAsia="Arial" w:hAnsi="Arial"/>
                <w:sz w:val="18"/>
                <w:szCs w:val="18"/>
                <w:color w:val="auto"/>
              </w:rPr>
              <w:t>2017</w:t>
            </w:r>
          </w:p>
        </w:tc>
        <w:tc>
          <w:tcPr>
            <w:tcW w:w="6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15,827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22,845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900" w:type="dxa"/>
            <w:vAlign w:val="bottom"/>
            <w:gridSpan w:val="3"/>
          </w:tcPr>
          <w:p>
            <w:pPr>
              <w:ind w:left="460"/>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2"/>
              </w:rPr>
              <w:t>141,278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9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10 — Other Noncurrent Assets</w:t>
            </w: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7900" w:type="dxa"/>
            <w:vAlign w:val="bottom"/>
            <w:gridSpan w:val="3"/>
            <w:vMerge w:val="continue"/>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900" w:type="dxa"/>
            <w:vAlign w:val="bottom"/>
            <w:gridSpan w:val="3"/>
          </w:tcPr>
          <w:p>
            <w:pPr>
              <w:ind w:left="460"/>
              <w:spacing w:after="0"/>
              <w:rPr>
                <w:sz w:val="20"/>
                <w:szCs w:val="20"/>
                <w:color w:val="auto"/>
              </w:rPr>
            </w:pPr>
            <w:r>
              <w:rPr>
                <w:rFonts w:ascii="Arial" w:cs="Arial" w:eastAsia="Arial" w:hAnsi="Arial"/>
                <w:sz w:val="18"/>
                <w:szCs w:val="18"/>
                <w:color w:val="auto"/>
              </w:rPr>
              <w:t>Other noncurrent assets consist of the following:</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640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142"/>
              <w:spacing w:after="0" w:line="142" w:lineRule="exact"/>
              <w:rPr>
                <w:sz w:val="20"/>
                <w:szCs w:val="20"/>
                <w:color w:val="auto"/>
              </w:rPr>
            </w:pPr>
            <w:r>
              <w:rPr>
                <w:rFonts w:ascii="Arial" w:cs="Arial" w:eastAsia="Arial" w:hAnsi="Arial"/>
                <w:sz w:val="14"/>
                <w:szCs w:val="14"/>
                <w:b w:val="1"/>
                <w:bCs w:val="1"/>
                <w:color w:val="auto"/>
              </w:rPr>
              <w:t>2012</w:t>
            </w:r>
          </w:p>
        </w:tc>
        <w:tc>
          <w:tcPr>
            <w:tcW w:w="6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4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Funded employee benefit costs(1)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$137,299</w:t>
            </w:r>
          </w:p>
        </w:tc>
        <w:tc>
          <w:tcPr>
            <w:tcW w:w="6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2"/>
              </w:rPr>
              <w:t>137,515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Deferred costs(2)</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71,089</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94,546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 term accounts receivable-unbilled</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17,198</w:t>
            </w: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32,657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Prepaid expense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10,344</w:t>
            </w: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31,894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00" w:type="dxa"/>
            <w:vAlign w:val="bottom"/>
            <w:tcBorders>
              <w:bottom w:val="single" w:sz="8" w:color="auto"/>
              <w:right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79,986</w:t>
            </w:r>
          </w:p>
        </w:tc>
        <w:tc>
          <w:tcPr>
            <w:tcW w:w="6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45,913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315,916</w:t>
            </w:r>
          </w:p>
        </w:tc>
        <w:tc>
          <w:tcPr>
            <w:tcW w:w="60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82"/>
              </w:rPr>
              <w:t>342,525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gridSpan w:val="2"/>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1500" w:type="dxa"/>
            <w:vAlign w:val="bottom"/>
            <w:tcBorders>
              <w:bottom w:val="single" w:sz="8" w:color="auto"/>
            </w:tcBorders>
            <w:gridSpan w:val="2"/>
          </w:tcPr>
          <w:p>
            <w:pPr>
              <w:spacing w:after="0"/>
              <w:rPr>
                <w:sz w:val="16"/>
                <w:szCs w:val="16"/>
                <w:color w:val="auto"/>
              </w:rPr>
            </w:pPr>
          </w:p>
        </w:tc>
        <w:tc>
          <w:tcPr>
            <w:tcW w:w="6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900" w:type="dxa"/>
            <w:vAlign w:val="bottom"/>
            <w:gridSpan w:val="3"/>
          </w:tcPr>
          <w:p>
            <w:pPr>
              <w:spacing w:after="0"/>
              <w:rPr>
                <w:sz w:val="20"/>
                <w:szCs w:val="20"/>
                <w:color w:val="auto"/>
              </w:rPr>
            </w:pPr>
            <w:r>
              <w:rPr>
                <w:rFonts w:ascii="Arial" w:cs="Arial" w:eastAsia="Arial" w:hAnsi="Arial"/>
                <w:sz w:val="18"/>
                <w:szCs w:val="18"/>
                <w:color w:val="auto"/>
              </w:rPr>
              <w:t>(1)   Please see Note 18 to the consolidated financial statements.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900" w:type="dxa"/>
            <w:vAlign w:val="bottom"/>
            <w:gridSpan w:val="3"/>
          </w:tcPr>
          <w:p>
            <w:pPr>
              <w:spacing w:after="0"/>
              <w:rPr>
                <w:sz w:val="20"/>
                <w:szCs w:val="20"/>
                <w:color w:val="auto"/>
              </w:rPr>
            </w:pPr>
            <w:r>
              <w:rPr>
                <w:rFonts w:ascii="Arial" w:cs="Arial" w:eastAsia="Arial" w:hAnsi="Arial"/>
                <w:sz w:val="18"/>
                <w:szCs w:val="18"/>
                <w:color w:val="auto"/>
              </w:rPr>
              <w:t>(2)   Please see Note 2 to the consolidated financial statements.</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8"/>
        </w:trPr>
        <w:tc>
          <w:tcPr>
            <w:tcW w:w="7900" w:type="dxa"/>
            <w:vAlign w:val="bottom"/>
            <w:gridSpan w:val="3"/>
          </w:tcPr>
          <w:p>
            <w:pPr>
              <w:spacing w:after="0"/>
              <w:rPr>
                <w:sz w:val="20"/>
                <w:szCs w:val="20"/>
                <w:color w:val="auto"/>
              </w:rPr>
            </w:pPr>
            <w:r>
              <w:rPr>
                <w:rFonts w:ascii="Arial" w:cs="Arial" w:eastAsia="Arial" w:hAnsi="Arial"/>
                <w:sz w:val="18"/>
                <w:szCs w:val="18"/>
                <w:b w:val="1"/>
                <w:bCs w:val="1"/>
                <w:color w:val="auto"/>
              </w:rPr>
              <w:t>Note 11 — Income Taxes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900" w:type="dxa"/>
            <w:vAlign w:val="bottom"/>
            <w:gridSpan w:val="3"/>
          </w:tcPr>
          <w:p>
            <w:pPr>
              <w:ind w:left="460"/>
              <w:spacing w:after="0"/>
              <w:rPr>
                <w:sz w:val="20"/>
                <w:szCs w:val="20"/>
                <w:color w:val="auto"/>
              </w:rPr>
            </w:pPr>
            <w:r>
              <w:rPr>
                <w:rFonts w:ascii="Arial" w:cs="Arial" w:eastAsia="Arial" w:hAnsi="Arial"/>
                <w:sz w:val="18"/>
                <w:szCs w:val="18"/>
                <w:color w:val="auto"/>
              </w:rPr>
              <w:t>The provision (benefit) for income taxes consists of the following:</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88"/>
              </w:rPr>
              <w:t>Year Ended September 30,</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58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020" w:type="dxa"/>
            <w:vAlign w:val="bottom"/>
            <w:gridSpan w:val="3"/>
          </w:tcPr>
          <w:p>
            <w:pPr>
              <w:jc w:val="right"/>
              <w:ind w:right="82"/>
              <w:spacing w:after="0" w:line="142" w:lineRule="exact"/>
              <w:rPr>
                <w:sz w:val="20"/>
                <w:szCs w:val="20"/>
                <w:color w:val="auto"/>
              </w:rPr>
            </w:pPr>
            <w:r>
              <w:rPr>
                <w:rFonts w:ascii="Arial" w:cs="Arial" w:eastAsia="Arial" w:hAnsi="Arial"/>
                <w:sz w:val="14"/>
                <w:szCs w:val="14"/>
                <w:b w:val="1"/>
                <w:bCs w:val="1"/>
                <w:color w:val="auto"/>
              </w:rPr>
              <w:t>2011</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Current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$55,010</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gridSpan w:val="2"/>
            <w:shd w:val="clear" w:color="auto" w:fill="CCEEFF"/>
          </w:tcPr>
          <w:p>
            <w:pPr>
              <w:spacing w:after="0"/>
              <w:rPr>
                <w:sz w:val="18"/>
                <w:szCs w:val="18"/>
                <w:color w:val="auto"/>
              </w:rPr>
            </w:pPr>
          </w:p>
        </w:tc>
        <w:tc>
          <w:tcPr>
            <w:tcW w:w="5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$47,790</w:t>
            </w:r>
          </w:p>
        </w:tc>
        <w:tc>
          <w:tcPr>
            <w:tcW w:w="6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60,529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Deferred</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(4,857)</w:t>
            </w:r>
          </w:p>
        </w:tc>
        <w:tc>
          <w:tcPr>
            <w:tcW w:w="1620" w:type="dxa"/>
            <w:vAlign w:val="bottom"/>
            <w:gridSpan w:val="4"/>
          </w:tcPr>
          <w:p>
            <w:pPr>
              <w:jc w:val="right"/>
              <w:ind w:right="600"/>
              <w:spacing w:after="0"/>
              <w:rPr>
                <w:sz w:val="20"/>
                <w:szCs w:val="20"/>
                <w:color w:val="auto"/>
              </w:rPr>
            </w:pPr>
            <w:r>
              <w:rPr>
                <w:rFonts w:ascii="Arial" w:cs="Arial" w:eastAsia="Arial" w:hAnsi="Arial"/>
                <w:sz w:val="18"/>
                <w:szCs w:val="18"/>
                <w:color w:val="auto"/>
              </w:rPr>
              <w:t>1,252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3"/>
          </w:tcPr>
          <w:p>
            <w:pPr>
              <w:jc w:val="right"/>
              <w:ind w:right="40"/>
              <w:spacing w:after="0"/>
              <w:rPr>
                <w:sz w:val="20"/>
                <w:szCs w:val="20"/>
                <w:color w:val="auto"/>
              </w:rPr>
            </w:pPr>
            <w:r>
              <w:rPr>
                <w:rFonts w:ascii="Arial" w:cs="Arial" w:eastAsia="Arial" w:hAnsi="Arial"/>
                <w:sz w:val="18"/>
                <w:szCs w:val="18"/>
                <w:color w:val="auto"/>
                <w:w w:val="89"/>
              </w:rPr>
              <w:t>(19,137)</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Borders>
              <w:right w:val="single" w:sz="8" w:color="auto"/>
            </w:tcBorders>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50,153</w:t>
            </w:r>
          </w:p>
        </w:tc>
        <w:tc>
          <w:tcPr>
            <w:tcW w:w="1620" w:type="dxa"/>
            <w:vAlign w:val="bottom"/>
            <w:gridSpan w:val="4"/>
            <w:shd w:val="clear" w:color="auto" w:fill="CCEEFF"/>
          </w:tcPr>
          <w:p>
            <w:pPr>
              <w:jc w:val="right"/>
              <w:ind w:right="6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49,042</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41,392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118"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0960"/>
          </w:cols>
          <w:pgMar w:left="240" w:top="459" w:right="69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Deferred income taxes are comprised of the following components: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7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2012</w:t>
            </w:r>
          </w:p>
        </w:tc>
        <w:tc>
          <w:tcPr>
            <w:tcW w:w="380" w:type="dxa"/>
            <w:vAlign w:val="bottom"/>
            <w:tcBorders>
              <w:top w:val="single" w:sz="8" w:color="auto"/>
              <w:bottom w:val="single" w:sz="8" w:color="CCEEFF"/>
            </w:tcBorders>
          </w:tcPr>
          <w:p>
            <w:pPr>
              <w:spacing w:after="0"/>
              <w:rPr>
                <w:sz w:val="12"/>
                <w:szCs w:val="12"/>
                <w:color w:val="auto"/>
              </w:rPr>
            </w:pP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4"/>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82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Deferred tax assets:</w:t>
            </w: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40" w:type="dxa"/>
            <w:vAlign w:val="bottom"/>
            <w:gridSpan w:val="2"/>
          </w:tcPr>
          <w:p>
            <w:pPr>
              <w:ind w:left="220"/>
              <w:spacing w:after="0"/>
              <w:rPr>
                <w:sz w:val="20"/>
                <w:szCs w:val="20"/>
                <w:color w:val="auto"/>
              </w:rPr>
            </w:pPr>
            <w:r>
              <w:rPr>
                <w:rFonts w:ascii="Arial" w:cs="Arial" w:eastAsia="Arial" w:hAnsi="Arial"/>
                <w:sz w:val="18"/>
                <w:szCs w:val="18"/>
                <w:color w:val="auto"/>
              </w:rPr>
              <w:t>Deferred revenue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38,214</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40,436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Employee compensation and benefits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74,248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65,320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40" w:type="dxa"/>
            <w:vAlign w:val="bottom"/>
            <w:gridSpan w:val="2"/>
          </w:tcPr>
          <w:p>
            <w:pPr>
              <w:ind w:left="220"/>
              <w:spacing w:after="0"/>
              <w:rPr>
                <w:sz w:val="20"/>
                <w:szCs w:val="20"/>
                <w:color w:val="auto"/>
              </w:rPr>
            </w:pPr>
            <w:r>
              <w:rPr>
                <w:rFonts w:ascii="Arial" w:cs="Arial" w:eastAsia="Arial" w:hAnsi="Arial"/>
                <w:sz w:val="18"/>
                <w:szCs w:val="18"/>
                <w:color w:val="auto"/>
              </w:rPr>
              <w:t>Intangible assets, computer software and intellectual property</w:t>
            </w:r>
          </w:p>
        </w:tc>
        <w:tc>
          <w:tcPr>
            <w:tcW w:w="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13,747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16,882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 credits, net capital and operating loss carryforwards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169,091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204,594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4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36,826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24,758</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deferred tax assets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332,126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351,990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40" w:type="dxa"/>
            <w:vAlign w:val="bottom"/>
            <w:gridSpan w:val="2"/>
          </w:tcPr>
          <w:p>
            <w:pPr>
              <w:ind w:left="220"/>
              <w:spacing w:after="0"/>
              <w:rPr>
                <w:sz w:val="20"/>
                <w:szCs w:val="20"/>
                <w:color w:val="auto"/>
              </w:rPr>
            </w:pPr>
            <w:r>
              <w:rPr>
                <w:rFonts w:ascii="Arial" w:cs="Arial" w:eastAsia="Arial" w:hAnsi="Arial"/>
                <w:sz w:val="18"/>
                <w:szCs w:val="18"/>
                <w:color w:val="auto"/>
              </w:rPr>
              <w:t>Valuation allowances(1)</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(117,011)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(137,836)</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8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deferred tax assets, net</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215,115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214,154</w:t>
            </w:r>
          </w:p>
        </w:tc>
        <w:tc>
          <w:tcPr>
            <w:tcW w:w="0" w:type="dxa"/>
            <w:vAlign w:val="bottom"/>
          </w:tcPr>
          <w:p>
            <w:pPr>
              <w:spacing w:after="0"/>
              <w:rPr>
                <w:sz w:val="1"/>
                <w:szCs w:val="1"/>
                <w:color w:val="auto"/>
              </w:rPr>
            </w:pPr>
          </w:p>
        </w:tc>
      </w:tr>
      <w:tr>
        <w:trPr>
          <w:trHeight w:val="222"/>
        </w:trPr>
        <w:tc>
          <w:tcPr>
            <w:tcW w:w="8700" w:type="dxa"/>
            <w:vAlign w:val="bottom"/>
            <w:gridSpan w:val="3"/>
          </w:tcPr>
          <w:p>
            <w:pPr>
              <w:ind w:left="460"/>
              <w:spacing w:after="0"/>
              <w:rPr>
                <w:sz w:val="20"/>
                <w:szCs w:val="20"/>
                <w:color w:val="auto"/>
              </w:rPr>
            </w:pPr>
            <w:r>
              <w:rPr>
                <w:rFonts w:ascii="Arial" w:cs="Arial" w:eastAsia="Arial" w:hAnsi="Arial"/>
                <w:sz w:val="18"/>
                <w:szCs w:val="18"/>
                <w:color w:val="auto"/>
              </w:rPr>
              <w:t>Deferred tax liabilities:</w:t>
            </w:r>
          </w:p>
        </w:tc>
        <w:tc>
          <w:tcPr>
            <w:tcW w:w="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60" w:type="dxa"/>
            <w:vAlign w:val="bottom"/>
          </w:tcPr>
          <w:p>
            <w:pPr>
              <w:spacing w:after="0"/>
              <w:rPr>
                <w:sz w:val="18"/>
                <w:szCs w:val="18"/>
                <w:color w:val="auto"/>
              </w:rPr>
            </w:pPr>
          </w:p>
        </w:tc>
        <w:tc>
          <w:tcPr>
            <w:tcW w:w="8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Anticipated withholdings on subsidiaries’ earnings</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(40,175)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(36,640)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40" w:type="dxa"/>
            <w:vAlign w:val="bottom"/>
            <w:gridSpan w:val="2"/>
          </w:tcPr>
          <w:p>
            <w:pPr>
              <w:ind w:left="220"/>
              <w:spacing w:after="0"/>
              <w:rPr>
                <w:sz w:val="20"/>
                <w:szCs w:val="20"/>
                <w:color w:val="auto"/>
              </w:rPr>
            </w:pPr>
            <w:r>
              <w:rPr>
                <w:rFonts w:ascii="Arial" w:cs="Arial" w:eastAsia="Arial" w:hAnsi="Arial"/>
                <w:sz w:val="18"/>
                <w:szCs w:val="18"/>
                <w:color w:val="auto"/>
              </w:rPr>
              <w:t>Intangible assets, computer software and intellectual property</w:t>
            </w:r>
          </w:p>
        </w:tc>
        <w:tc>
          <w:tcPr>
            <w:tcW w:w="8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(101,583)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(106,408)</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8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(28,131)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(34,784)</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8240" w:type="dxa"/>
            <w:vAlign w:val="bottom"/>
            <w:gridSpan w:val="2"/>
            <w:vMerge w:val="restart"/>
          </w:tcPr>
          <w:p>
            <w:pPr>
              <w:ind w:left="220"/>
              <w:spacing w:after="0"/>
              <w:rPr>
                <w:sz w:val="20"/>
                <w:szCs w:val="20"/>
                <w:color w:val="auto"/>
              </w:rPr>
            </w:pPr>
            <w:r>
              <w:rPr>
                <w:rFonts w:ascii="Arial" w:cs="Arial" w:eastAsia="Arial" w:hAnsi="Arial"/>
                <w:sz w:val="18"/>
                <w:szCs w:val="18"/>
                <w:color w:val="auto"/>
              </w:rPr>
              <w:t>Total deferred tax liabilities</w:t>
            </w: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 w:type="dxa"/>
            <w:vAlign w:val="bottom"/>
          </w:tcPr>
          <w:p>
            <w:pPr>
              <w:spacing w:after="0"/>
              <w:rPr>
                <w:sz w:val="19"/>
                <w:szCs w:val="19"/>
                <w:color w:val="auto"/>
              </w:rPr>
            </w:pPr>
          </w:p>
        </w:tc>
        <w:tc>
          <w:tcPr>
            <w:tcW w:w="82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w w:val="88"/>
              </w:rPr>
              <w:t>(169,889)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(177,832)</w:t>
            </w:r>
          </w:p>
        </w:tc>
        <w:tc>
          <w:tcPr>
            <w:tcW w:w="0" w:type="dxa"/>
            <w:vAlign w:val="bottom"/>
          </w:tcPr>
          <w:p>
            <w:pPr>
              <w:spacing w:after="0"/>
              <w:rPr>
                <w:sz w:val="1"/>
                <w:szCs w:val="1"/>
                <w:color w:val="auto"/>
              </w:rPr>
            </w:pPr>
          </w:p>
        </w:tc>
      </w:tr>
      <w:tr>
        <w:trPr>
          <w:trHeight w:val="28"/>
        </w:trPr>
        <w:tc>
          <w:tcPr>
            <w:tcW w:w="460" w:type="dxa"/>
            <w:vAlign w:val="bottom"/>
            <w:vMerge w:val="restart"/>
          </w:tcPr>
          <w:p>
            <w:pPr>
              <w:spacing w:after="0"/>
              <w:rPr>
                <w:sz w:val="2"/>
                <w:szCs w:val="2"/>
                <w:color w:val="auto"/>
              </w:rPr>
            </w:pPr>
          </w:p>
        </w:tc>
        <w:tc>
          <w:tcPr>
            <w:tcW w:w="1040" w:type="dxa"/>
            <w:vAlign w:val="bottom"/>
          </w:tcPr>
          <w:p>
            <w:pPr>
              <w:spacing w:after="0"/>
              <w:rPr>
                <w:sz w:val="2"/>
                <w:szCs w:val="2"/>
                <w:color w:val="auto"/>
              </w:rPr>
            </w:pPr>
          </w:p>
        </w:tc>
        <w:tc>
          <w:tcPr>
            <w:tcW w:w="7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45,226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36,322</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4420" w:hanging="452"/>
        <w:spacing w:after="0" w:line="410" w:lineRule="auto"/>
        <w:tabs>
          <w:tab w:leader="none" w:pos="449" w:val="left"/>
        </w:tabs>
        <w:numPr>
          <w:ilvl w:val="0"/>
          <w:numId w:val="59"/>
        </w:numPr>
        <w:rPr>
          <w:rFonts w:ascii="Arial" w:cs="Arial" w:eastAsia="Arial" w:hAnsi="Arial"/>
          <w:sz w:val="15"/>
          <w:szCs w:val="15"/>
          <w:color w:val="auto"/>
        </w:rPr>
      </w:pPr>
      <w:r>
        <w:rPr>
          <w:rFonts w:ascii="Arial" w:cs="Arial" w:eastAsia="Arial" w:hAnsi="Arial"/>
          <w:sz w:val="15"/>
          <w:szCs w:val="15"/>
          <w:color w:val="auto"/>
        </w:rPr>
        <w:t>Subsequent releases of the valuation allowances, if any, will be recognized through earnings. The effective income tax rate varied from the statutory Guernsey tax rate as follows:</w:t>
      </w: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4"/>
                <w:szCs w:val="14"/>
                <w:b w:val="1"/>
                <w:bCs w:val="1"/>
                <w:color w:val="auto"/>
                <w:w w:val="87"/>
              </w:rPr>
              <w:t>Year Ended September 30,</w:t>
            </w:r>
          </w:p>
        </w:tc>
        <w:tc>
          <w:tcPr>
            <w:tcW w:w="3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77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1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2011</w:t>
            </w:r>
          </w:p>
        </w:tc>
        <w:tc>
          <w:tcPr>
            <w:tcW w:w="7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Statutory Guernsey tax rate</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6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Foreign taxes</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78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170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12%</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86"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As a Guernsey company subject to a corporate tax rate of zero percent, the Company’s overall effective tax rate is attributable to foreign taxes. The Company’s income before income tax expense is considered to be foreign income.</w:t>
      </w:r>
    </w:p>
    <w:p>
      <w:pPr>
        <w:spacing w:after="0" w:line="51"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During fiscal 2012, the net decrease in valuation allowances was $20,825, which related to the uncertainty of realizing tax benefits primarily for tax credits, net capital and operating loss carryforwards related to certain of the Company’s subsidiaries. As of September 30, 2012, the Company had tax credits, net capital and operating loss carryforwards of $503,666, of which $162,844 have expiration dates through 2032 and the remainder do not expire.</w:t>
      </w:r>
    </w:p>
    <w:p>
      <w:pPr>
        <w:spacing w:after="0" w:line="2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During fiscal 2011, the net increase in valuation allowances was $31,093, which related to the uncertainty of realizing tax benefits primarily for tax credits, net capital and operating loss carryforwards related to certain of the Company’s subsidiaries. Of the increase, $12,625 was charged to other accounts, primarily goodwill in connection with a 2011 immaterial acquisition, with the remainder recorded to earnings. As of September 30, 2011, the Company had tax credits and net capital and operating loss carryforwards of $591,392, of which $162,973 have expiration dates through 2031 and the remainder do not expire.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aggregate changes in the balance of the Company’s gross unrecognized tax benefits were as follows: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60" w:type="dxa"/>
            <w:vAlign w:val="bottom"/>
          </w:tcPr>
          <w:p>
            <w:pPr>
              <w:spacing w:after="0"/>
              <w:rPr>
                <w:sz w:val="14"/>
                <w:szCs w:val="14"/>
                <w:color w:val="auto"/>
              </w:rPr>
            </w:pPr>
          </w:p>
        </w:tc>
        <w:tc>
          <w:tcPr>
            <w:tcW w:w="202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6"/>
              </w:rPr>
              <w:t>Year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460" w:type="dxa"/>
            <w:vAlign w:val="bottom"/>
          </w:tcPr>
          <w:p>
            <w:pPr>
              <w:spacing w:after="0"/>
              <w:rPr>
                <w:sz w:val="12"/>
                <w:szCs w:val="12"/>
                <w:color w:val="auto"/>
              </w:rPr>
            </w:pPr>
          </w:p>
        </w:tc>
        <w:tc>
          <w:tcPr>
            <w:tcW w:w="680" w:type="dxa"/>
            <w:vAlign w:val="bottom"/>
            <w:tcBorders>
              <w:top w:val="single" w:sz="8" w:color="auto"/>
            </w:tcBorders>
          </w:tcPr>
          <w:p>
            <w:pPr>
              <w:jc w:val="right"/>
              <w:ind w:right="117"/>
              <w:spacing w:after="0" w:line="142" w:lineRule="exact"/>
              <w:rPr>
                <w:sz w:val="20"/>
                <w:szCs w:val="20"/>
                <w:color w:val="auto"/>
              </w:rPr>
            </w:pPr>
            <w:r>
              <w:rPr>
                <w:rFonts w:ascii="Arial" w:cs="Arial" w:eastAsia="Arial" w:hAnsi="Arial"/>
                <w:sz w:val="14"/>
                <w:szCs w:val="14"/>
                <w:b w:val="1"/>
                <w:bCs w:val="1"/>
                <w:color w:val="auto"/>
              </w:rPr>
              <w:t>2012</w:t>
            </w:r>
          </w:p>
        </w:tc>
        <w:tc>
          <w:tcPr>
            <w:tcW w:w="3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at beginning of fiscal year</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$ 132,861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$ 118,662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20,183</w:t>
            </w:r>
          </w:p>
        </w:tc>
        <w:tc>
          <w:tcPr>
            <w:tcW w:w="1040" w:type="dxa"/>
            <w:vAlign w:val="bottom"/>
            <w:gridSpan w:val="3"/>
          </w:tcPr>
          <w:p>
            <w:pPr>
              <w:jc w:val="right"/>
              <w:ind w:right="100"/>
              <w:spacing w:after="0"/>
              <w:rPr>
                <w:sz w:val="20"/>
                <w:szCs w:val="20"/>
                <w:color w:val="auto"/>
              </w:rPr>
            </w:pPr>
            <w:r>
              <w:rPr>
                <w:rFonts w:ascii="Arial" w:cs="Arial" w:eastAsia="Arial" w:hAnsi="Arial"/>
                <w:sz w:val="18"/>
                <w:szCs w:val="18"/>
                <w:color w:val="auto"/>
              </w:rPr>
              <w:t>19,849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4,918</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3,548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Reductions for tax positions of prior years</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(5,527)</w:t>
            </w:r>
          </w:p>
        </w:tc>
        <w:tc>
          <w:tcPr>
            <w:tcW w:w="2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Settlements with tax authorities</w:t>
            </w: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(3,290)</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(5,231)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6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(15,271)</w:t>
            </w: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(3,967)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4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fiscal year</w:t>
            </w: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2"/>
              </w:rPr>
              <w:t>$ 133,874</w:t>
            </w: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$ 132,861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total amount of unrecognized tax benefits, which includes interest and penalties, was $133,874 as of September 30, 2012, all of which would affect the effective tax rate if realized.</w:t>
      </w:r>
    </w:p>
    <w:p>
      <w:pPr>
        <w:spacing w:after="0" w:line="51"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The Company recognizes interest and penalties related to unrecognized tax benefits in the provision for income taxes. As of September 30, 2012, the Company had accrued $18,704 in income taxes payable for interest and penalties relating to unrecognized tax benefits, of which $731 was recognized in the statements of income in fiscal 2012. As of September 30, 2011, the Company had accrued $17,973 in income taxes payable for interest and penalties relating to unrecognized tax benefits, of which $2,403 was recognized in the statements of income in fiscal 2011.</w:t>
      </w:r>
    </w:p>
    <w:p>
      <w:pPr>
        <w:spacing w:after="0" w:line="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 is currently under audit in several jurisdictions for the tax years 2007 and onwards. Timing of the resolution of audits is highly uncertain and therefore the Company generally cannot estimate the change in unrecognized tax benefits resulting from these audits within the next 12 months.</w:t>
      </w:r>
    </w:p>
    <w:p>
      <w:pPr>
        <w:spacing w:after="0" w:line="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Within the next 12 months the Company believes that the amount of unrecognized tax benefits will increase in the ordinary course of business. In addition it is reasonably possible that the amount of unrecognized tax benefits will decrease by $30,143 as a result of lapse of statute of limitations in jurisdictions in which the Company operates.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Repurchase of Shares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April 2010, the Company’s board of directors authorized a share repurchase plan allowing the repurchase of up to $700,000 of its outstanding ordinary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shares over the following 12 months. In February 2011, the Company’s board of directors adopted a share repurchase plan authorizing the repurchase of up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$1,000,000 of the Company’s outstanding ordinary shares over the following 24 months. In April 2011, the Company completed the repurchase of the remaining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authorized amount under the April 2010 share repurchase plan and began executing repurchases under the February 2011 plan. In fiscal 2012,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repurchased approximately 16,288 ordinary shares at an average price of $29.74 per share (excluding broker and transaction fees). In fiscal 2011,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repurchased approximately 21,866 ordinary shares at an average price of $28.53 per share (excluding broker and transaction fees). As of September 30, 2012, the</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Company had remaining authority to repurchase up to $202,776 of its outstanding ordinary shares under the February 2011 plan. In November 2012,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Company’s board of directors adopted another share repurchase plan authorizing the repurchase of up to $500,000 of its outstanding ordinary shares.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November 2012 plan has no expiration date. The authorizations permit the Company to purchase its ordinary shares in open market or privately negotiated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transactions at times and prices that it considers appropriate.</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380"/>
          </w:cols>
          <w:pgMar w:left="240" w:top="459" w:right="27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Financing Arrangements</w:t>
      </w:r>
    </w:p>
    <w:p>
      <w:pPr>
        <w:spacing w:after="0" w:line="96"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In November 2007, the Company entered into an unsecured $500,000 five-year revolving credit facility with a syndicate of banks. In December 2011, the Company entered into a new $500,000 five-year revolving credit facility with a syndicate of banks, which replaced the November 2007 credit facility. The new credit facility is available for general corporate purposes, including acquisitions and repurchases of ordinary shares that the Company may consider from time to time. The interest rate for borrowings under the revolving credit facility is chosen at the Company’s option from several pre-defined alternatives, depends on the circumstances of any advance and is based on the Company’s credit ratings. As of September 30, 2012, the Company was in compliance with the financial covenants under the revolving credit facility. In September 2011, the Company borrowed an aggregate of $250,000 under the November 2007 facility and repaid it in October 2011. In September 2012, the Company borrowed an aggregate of $200,000 under the December 2011 facility and repaid it in October 2012.</w:t>
      </w:r>
    </w:p>
    <w:p>
      <w:pPr>
        <w:spacing w:after="0" w:line="24"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As of September 30, 2012, the Company had outstanding letters of credit and bank guarantees of $67,182. These were supported by a combination of unused lines of credit and restricted cash balances that the Company maintains with various banks. In addition, as of September 30, 2012, the Company had outstanding obligations of $630 in connection with leasing arrangements, most of which was included in other current liabilities on the Company’s balance sheet.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Noncurrent Liabilities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noncurrent liabilities consists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400" w:type="dxa"/>
            <w:vAlign w:val="bottom"/>
          </w:tcPr>
          <w:p>
            <w:pPr>
              <w:spacing w:after="0"/>
              <w:rPr>
                <w:sz w:val="14"/>
                <w:szCs w:val="14"/>
                <w:color w:val="auto"/>
              </w:rPr>
            </w:pPr>
          </w:p>
        </w:tc>
        <w:tc>
          <w:tcPr>
            <w:tcW w:w="2060" w:type="dxa"/>
            <w:vAlign w:val="bottom"/>
            <w:gridSpan w:val="4"/>
          </w:tcPr>
          <w:p>
            <w:pPr>
              <w:ind w:left="420"/>
              <w:spacing w:after="0"/>
              <w:rPr>
                <w:sz w:val="20"/>
                <w:szCs w:val="20"/>
                <w:color w:val="auto"/>
              </w:rPr>
            </w:pPr>
            <w:r>
              <w:rPr>
                <w:rFonts w:ascii="Arial" w:cs="Arial" w:eastAsia="Arial" w:hAnsi="Arial"/>
                <w:sz w:val="14"/>
                <w:szCs w:val="14"/>
                <w:b w:val="1"/>
                <w:bCs w:val="1"/>
                <w:color w:val="auto"/>
              </w:rPr>
              <w:t>As of September 30,</w:t>
            </w: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7400" w:type="dxa"/>
            <w:vAlign w:val="bottom"/>
          </w:tcPr>
          <w:p>
            <w:pPr>
              <w:spacing w:after="0"/>
              <w:rPr>
                <w:sz w:val="12"/>
                <w:szCs w:val="12"/>
                <w:color w:val="auto"/>
              </w:rPr>
            </w:pPr>
          </w:p>
        </w:tc>
        <w:tc>
          <w:tcPr>
            <w:tcW w:w="680" w:type="dxa"/>
            <w:vAlign w:val="bottom"/>
            <w:tcBorders>
              <w:top w:val="single" w:sz="8" w:color="auto"/>
            </w:tcBorders>
          </w:tcPr>
          <w:p>
            <w:pPr>
              <w:jc w:val="right"/>
              <w:ind w:right="118"/>
              <w:spacing w:after="0" w:line="142" w:lineRule="exact"/>
              <w:rPr>
                <w:sz w:val="20"/>
                <w:szCs w:val="20"/>
                <w:color w:val="auto"/>
              </w:rPr>
            </w:pPr>
            <w:r>
              <w:rPr>
                <w:rFonts w:ascii="Arial" w:cs="Arial" w:eastAsia="Arial" w:hAnsi="Arial"/>
                <w:sz w:val="14"/>
                <w:szCs w:val="14"/>
                <w:b w:val="1"/>
                <w:bCs w:val="1"/>
                <w:color w:val="auto"/>
              </w:rPr>
              <w:t>2012</w:t>
            </w:r>
          </w:p>
        </w:tc>
        <w:tc>
          <w:tcPr>
            <w:tcW w:w="1280" w:type="dxa"/>
            <w:vAlign w:val="bottom"/>
            <w:tcBorders>
              <w:top w:val="single" w:sz="8" w:color="auto"/>
            </w:tcBorders>
            <w:gridSpan w:val="2"/>
          </w:tcPr>
          <w:p>
            <w:pPr>
              <w:jc w:val="right"/>
              <w:ind w:right="112"/>
              <w:spacing w:after="0" w:line="142" w:lineRule="exact"/>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8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Accrued employees costs(1)</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$180,563</w:t>
            </w:r>
          </w:p>
        </w:tc>
        <w:tc>
          <w:tcPr>
            <w:tcW w:w="6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$181,890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Noncurrent deferred revenue</w:t>
            </w:r>
          </w:p>
        </w:tc>
        <w:tc>
          <w:tcPr>
            <w:tcW w:w="680" w:type="dxa"/>
            <w:vAlign w:val="bottom"/>
          </w:tcPr>
          <w:p>
            <w:pPr>
              <w:jc w:val="right"/>
              <w:spacing w:after="0"/>
              <w:rPr>
                <w:sz w:val="20"/>
                <w:szCs w:val="20"/>
                <w:color w:val="auto"/>
              </w:rPr>
            </w:pPr>
            <w:r>
              <w:rPr>
                <w:rFonts w:ascii="Arial" w:cs="Arial" w:eastAsia="Arial" w:hAnsi="Arial"/>
                <w:sz w:val="18"/>
                <w:szCs w:val="18"/>
                <w:color w:val="auto"/>
              </w:rPr>
              <w:t>30,988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80,560</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8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pension liability(2)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21,373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14,926</w:t>
            </w: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8440" w:type="dxa"/>
            <w:vAlign w:val="bottom"/>
            <w:gridSpan w:val="2"/>
          </w:tcPr>
          <w:p>
            <w:pPr>
              <w:spacing w:after="0"/>
              <w:rPr>
                <w:sz w:val="20"/>
                <w:szCs w:val="20"/>
                <w:color w:val="auto"/>
              </w:rPr>
            </w:pPr>
            <w:r>
              <w:rPr>
                <w:rFonts w:ascii="Arial" w:cs="Arial" w:eastAsia="Arial" w:hAnsi="Arial"/>
                <w:sz w:val="18"/>
                <w:szCs w:val="18"/>
                <w:color w:val="auto"/>
              </w:rPr>
              <w:t>Other</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11,744</w:t>
            </w:r>
          </w:p>
        </w:tc>
        <w:tc>
          <w:tcPr>
            <w:tcW w:w="62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14,644</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7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244,668</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292,020</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7400" w:type="dxa"/>
            <w:vAlign w:val="bottom"/>
          </w:tcPr>
          <w:p>
            <w:pPr>
              <w:spacing w:after="0"/>
              <w:rPr>
                <w:sz w:val="8"/>
                <w:szCs w:val="8"/>
                <w:color w:val="auto"/>
              </w:rPr>
            </w:pPr>
          </w:p>
        </w:tc>
        <w:tc>
          <w:tcPr>
            <w:tcW w:w="6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Primarily severance pay liability in accordance with Israeli law. Please see Note 18 to the consolidated financial statements.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Primarily relates to funded status of non-contributory defined benefit plans. Please see Note 18 to the consolidated financial statements.</w:t>
      </w:r>
    </w:p>
    <w:p>
      <w:pPr>
        <w:spacing w:after="0" w:line="15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340"/>
          </w:cols>
          <w:pgMar w:left="240" w:top="459" w:right="31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Interest and other expense, net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and other expense, net, consists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6"/>
              </w:rPr>
              <w:t>Year Ended September 30,</w:t>
            </w:r>
          </w:p>
        </w:tc>
        <w:tc>
          <w:tcPr>
            <w:tcW w:w="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w w:val="96"/>
              </w:rPr>
              <w:t>2012</w:t>
            </w:r>
          </w:p>
        </w:tc>
        <w:tc>
          <w:tcPr>
            <w:tcW w:w="500" w:type="dxa"/>
            <w:vAlign w:val="bottom"/>
          </w:tcPr>
          <w:p>
            <w:pPr>
              <w:spacing w:after="0"/>
              <w:rPr>
                <w:sz w:val="12"/>
                <w:szCs w:val="12"/>
                <w:color w:val="auto"/>
              </w:rPr>
            </w:pPr>
          </w:p>
        </w:tc>
        <w:tc>
          <w:tcPr>
            <w:tcW w:w="560" w:type="dxa"/>
            <w:vAlign w:val="bottom"/>
          </w:tcPr>
          <w:p>
            <w:pPr>
              <w:jc w:val="right"/>
              <w:ind w:right="55"/>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60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76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Interest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(5,478)</w:t>
            </w:r>
          </w:p>
        </w:tc>
        <w:tc>
          <w:tcPr>
            <w:tcW w:w="5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$(6,180)</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(7,670)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960" w:type="dxa"/>
            <w:vAlign w:val="bottom"/>
            <w:gridSpan w:val="2"/>
          </w:tcPr>
          <w:p>
            <w:pPr>
              <w:jc w:val="right"/>
              <w:ind w:right="432"/>
              <w:spacing w:after="0"/>
              <w:rPr>
                <w:sz w:val="20"/>
                <w:szCs w:val="20"/>
                <w:color w:val="auto"/>
              </w:rPr>
            </w:pPr>
            <w:r>
              <w:rPr>
                <w:rFonts w:ascii="Arial" w:cs="Arial" w:eastAsia="Arial" w:hAnsi="Arial"/>
                <w:sz w:val="18"/>
                <w:szCs w:val="18"/>
                <w:color w:val="auto"/>
                <w:w w:val="97"/>
              </w:rPr>
              <w:t>3,175</w:t>
            </w:r>
          </w:p>
        </w:tc>
        <w:tc>
          <w:tcPr>
            <w:tcW w:w="560" w:type="dxa"/>
            <w:vAlign w:val="bottom"/>
          </w:tcPr>
          <w:p>
            <w:pPr>
              <w:jc w:val="right"/>
              <w:spacing w:after="0"/>
              <w:rPr>
                <w:sz w:val="20"/>
                <w:szCs w:val="20"/>
                <w:color w:val="auto"/>
              </w:rPr>
            </w:pPr>
            <w:r>
              <w:rPr>
                <w:rFonts w:ascii="Arial" w:cs="Arial" w:eastAsia="Arial" w:hAnsi="Arial"/>
                <w:sz w:val="18"/>
                <w:szCs w:val="18"/>
                <w:color w:val="auto"/>
              </w:rPr>
              <w:t>2,882</w:t>
            </w:r>
          </w:p>
        </w:tc>
        <w:tc>
          <w:tcPr>
            <w:tcW w:w="500" w:type="dxa"/>
            <w:vAlign w:val="bottom"/>
          </w:tcPr>
          <w:p>
            <w:pPr>
              <w:spacing w:after="0"/>
              <w:rPr>
                <w:sz w:val="18"/>
                <w:szCs w:val="18"/>
                <w:color w:val="auto"/>
              </w:rPr>
            </w:pPr>
          </w:p>
        </w:tc>
        <w:tc>
          <w:tcPr>
            <w:tcW w:w="700" w:type="dxa"/>
            <w:vAlign w:val="bottom"/>
            <w:gridSpan w:val="3"/>
          </w:tcPr>
          <w:p>
            <w:pPr>
              <w:jc w:val="right"/>
              <w:ind w:right="100"/>
              <w:spacing w:after="0"/>
              <w:rPr>
                <w:sz w:val="20"/>
                <w:szCs w:val="20"/>
                <w:color w:val="auto"/>
              </w:rPr>
            </w:pPr>
            <w:r>
              <w:rPr>
                <w:rFonts w:ascii="Arial" w:cs="Arial" w:eastAsia="Arial" w:hAnsi="Arial"/>
                <w:sz w:val="18"/>
                <w:szCs w:val="18"/>
                <w:color w:val="auto"/>
              </w:rPr>
              <w:t>3,135</w:t>
            </w:r>
          </w:p>
        </w:tc>
      </w:tr>
      <w:tr>
        <w:trPr>
          <w:trHeight w:val="216"/>
        </w:trPr>
        <w:tc>
          <w:tcPr>
            <w:tcW w:w="46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w w:val="97"/>
              </w:rPr>
              <w:t>7,378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9,737</w:t>
            </w:r>
          </w:p>
        </w:tc>
        <w:tc>
          <w:tcPr>
            <w:tcW w:w="5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5,551</w:t>
            </w:r>
          </w:p>
        </w:tc>
      </w:tr>
      <w:tr>
        <w:trPr>
          <w:trHeight w:val="216"/>
        </w:trPr>
        <w:tc>
          <w:tcPr>
            <w:tcW w:w="460" w:type="dxa"/>
            <w:vAlign w:val="bottom"/>
          </w:tcPr>
          <w:p>
            <w:pPr>
              <w:spacing w:after="0"/>
              <w:rPr>
                <w:sz w:val="18"/>
                <w:szCs w:val="18"/>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Gain on sale of investments(1)</w:t>
            </w:r>
          </w:p>
        </w:tc>
        <w:tc>
          <w:tcPr>
            <w:tcW w:w="100" w:type="dxa"/>
            <w:vAlign w:val="bottom"/>
          </w:tcPr>
          <w:p>
            <w:pPr>
              <w:spacing w:after="0"/>
              <w:rPr>
                <w:sz w:val="18"/>
                <w:szCs w:val="18"/>
                <w:color w:val="auto"/>
              </w:rPr>
            </w:pPr>
          </w:p>
        </w:tc>
        <w:tc>
          <w:tcPr>
            <w:tcW w:w="960" w:type="dxa"/>
            <w:vAlign w:val="bottom"/>
            <w:gridSpan w:val="2"/>
          </w:tcPr>
          <w:p>
            <w:pPr>
              <w:jc w:val="right"/>
              <w:ind w:right="372"/>
              <w:spacing w:after="0"/>
              <w:rPr>
                <w:sz w:val="20"/>
                <w:szCs w:val="20"/>
                <w:color w:val="auto"/>
              </w:rPr>
            </w:pPr>
            <w:r>
              <w:rPr>
                <w:rFonts w:ascii="Arial" w:cs="Arial" w:eastAsia="Arial" w:hAnsi="Arial"/>
                <w:sz w:val="18"/>
                <w:szCs w:val="18"/>
                <w:color w:val="auto"/>
                <w:w w:val="87"/>
              </w:rPr>
              <w:t>(9,172)</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divestiture of a subsidiary(2)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23,399</w:t>
            </w:r>
          </w:p>
        </w:tc>
      </w:tr>
      <w:tr>
        <w:trPr>
          <w:trHeight w:val="223"/>
        </w:trPr>
        <w:tc>
          <w:tcPr>
            <w:tcW w:w="460" w:type="dxa"/>
            <w:vAlign w:val="bottom"/>
          </w:tcPr>
          <w:p>
            <w:pPr>
              <w:spacing w:after="0"/>
              <w:rPr>
                <w:sz w:val="19"/>
                <w:szCs w:val="19"/>
                <w:color w:val="auto"/>
              </w:rPr>
            </w:pPr>
          </w:p>
        </w:tc>
        <w:tc>
          <w:tcPr>
            <w:tcW w:w="768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5,045</w:t>
            </w:r>
          </w:p>
        </w:tc>
        <w:tc>
          <w:tcPr>
            <w:tcW w:w="50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2,218</w:t>
            </w: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32"/>
              <w:spacing w:after="0"/>
              <w:rPr>
                <w:sz w:val="20"/>
                <w:szCs w:val="20"/>
                <w:color w:val="auto"/>
              </w:rPr>
            </w:pPr>
            <w:r>
              <w:rPr>
                <w:rFonts w:ascii="Arial" w:cs="Arial" w:eastAsia="Arial" w:hAnsi="Arial"/>
                <w:sz w:val="18"/>
                <w:szCs w:val="18"/>
                <w:color w:val="auto"/>
              </w:rPr>
              <w:t>948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$ 8,657</w:t>
            </w:r>
          </w:p>
        </w:tc>
        <w:tc>
          <w:tcPr>
            <w:tcW w:w="5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25,135</w:t>
            </w: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5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right="40" w:hanging="452"/>
        <w:spacing w:after="0" w:line="254" w:lineRule="auto"/>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primarily a gain on sale of minority interest in Longshine Information Technology Company Ltd. (“Longshine”) – see Note 16 to the consolidated financial statements.</w:t>
      </w:r>
    </w:p>
    <w:p>
      <w:pPr>
        <w:ind w:left="460" w:hanging="452"/>
        <w:spacing w:after="0"/>
        <w:tabs>
          <w:tab w:leader="none" w:pos="46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Includes loss from divestiture of the Company’s majority stake in Longshine - see Note 16 to the consolidated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Divestiture of a Subsidiary</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April 2010, the Company divested an 81% majority stake in Longshine, its Chinese subsidiary acquired in 2005, to a newly formed and locally-managed entity, Longshine Technology Holding, Ltd. for approximately $26,730. The Company divested its stake after the market dynamics in China did not evolve as it had anticipated. The Company retained a minority interest in Longshine, which was accounted using the cost method. In connection with the divestiture, during fiscal 2010, the Company recorded a loss of $23,399. The loss has been reflected in interest and other expense, net.</w:t>
      </w:r>
    </w:p>
    <w:p>
      <w:pPr>
        <w:spacing w:after="0" w:line="3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In February 2012, the Company sold its minority interest in Longshine and recorded a gain of $6,270, which has been reflected in interest and other expense, net.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Contingencies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Commitments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Company leases office space and vehicles under non-cancelable operating leases in various countries in which it does business. Future minimum non-cancelable lease payments based on the Company’s contractual obligations as of September 30, 2012 are as follows:</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w w:val="90"/>
              </w:rPr>
              <w:t>For the years ended September 30,</w:t>
            </w:r>
          </w:p>
        </w:tc>
        <w:tc>
          <w:tcPr>
            <w:tcW w:w="7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2013</w:t>
            </w:r>
          </w:p>
        </w:tc>
        <w:tc>
          <w:tcPr>
            <w:tcW w:w="7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57,942</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2014</w:t>
            </w:r>
          </w:p>
        </w:tc>
        <w:tc>
          <w:tcPr>
            <w:tcW w:w="7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43,922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7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34,821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2016</w:t>
            </w:r>
          </w:p>
        </w:tc>
        <w:tc>
          <w:tcPr>
            <w:tcW w:w="7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28,240</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7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21,972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8"/>
                <w:szCs w:val="18"/>
                <w:color w:val="auto"/>
              </w:rPr>
              <w:t>Thereafter</w:t>
            </w:r>
          </w:p>
        </w:tc>
        <w:tc>
          <w:tcPr>
            <w:tcW w:w="7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49,156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77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236,053</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700" w:type="dxa"/>
            <w:vAlign w:val="bottom"/>
            <w:gridSpan w:val="2"/>
          </w:tcPr>
          <w:p>
            <w:pPr>
              <w:jc w:val="right"/>
              <w:ind w:right="4400"/>
              <w:spacing w:after="0"/>
              <w:rPr>
                <w:sz w:val="20"/>
                <w:szCs w:val="20"/>
                <w:color w:val="auto"/>
              </w:rPr>
            </w:pPr>
            <w:r>
              <w:rPr>
                <w:rFonts w:ascii="Arial" w:cs="Arial" w:eastAsia="Arial" w:hAnsi="Arial"/>
                <w:sz w:val="18"/>
                <w:szCs w:val="18"/>
                <w:color w:val="auto"/>
              </w:rPr>
              <w:t>F-29</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Future minimum non-cancelable lease payments, as stated above, do not reflect committed future sublease income of $2,235, $1,030, $379, $0 and $0 for the years ended September 30, 2013, 2014, 2015, 2016 and 2017, respectively.</w:t>
      </w:r>
    </w:p>
    <w:p>
      <w:pPr>
        <w:spacing w:after="0" w:line="51" w:lineRule="exact"/>
        <w:rPr>
          <w:sz w:val="20"/>
          <w:szCs w:val="20"/>
          <w:color w:val="auto"/>
        </w:rPr>
      </w:pPr>
    </w:p>
    <w:p>
      <w:pPr>
        <w:ind w:left="240" w:right="1640" w:firstLine="228"/>
        <w:spacing w:after="0" w:line="391" w:lineRule="auto"/>
        <w:rPr>
          <w:sz w:val="20"/>
          <w:szCs w:val="20"/>
          <w:color w:val="auto"/>
        </w:rPr>
      </w:pPr>
      <w:r>
        <w:rPr>
          <w:rFonts w:ascii="Arial" w:cs="Arial" w:eastAsia="Arial" w:hAnsi="Arial"/>
          <w:sz w:val="18"/>
          <w:szCs w:val="18"/>
          <w:color w:val="auto"/>
        </w:rPr>
        <w:t xml:space="preserve">Rent expense net of sublease income was approximately $41,488, $40,104 and $40,560 for fiscal 2012, 2011 and 2010, respectively. </w:t>
      </w:r>
      <w:r>
        <w:rPr>
          <w:rFonts w:ascii="Arial" w:cs="Arial" w:eastAsia="Arial" w:hAnsi="Arial"/>
          <w:sz w:val="18"/>
          <w:szCs w:val="18"/>
          <w:b w:val="1"/>
          <w:bCs w:val="1"/>
          <w:i w:val="1"/>
          <w:iCs w:val="1"/>
          <w:color w:val="auto"/>
        </w:rPr>
        <w:t>Legal Proceedings</w:t>
      </w:r>
    </w:p>
    <w:p>
      <w:pPr>
        <w:spacing w:after="0" w:line="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Company is involved in various legal proceedings arising in the normal course of its business. The Company accrues for a loss contingency when it determines that it is more likely than not, after consultation 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Guarantor’s Accounting and Disclosure Requirements for Guarantees</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Company generally offers its products with a limited warranty for a period of 90 days. The Company’s policy is to accrue for warranty costs, if needed, based on historical trends in product failure. Based on the Company’s experience, only minimal warranty charges have been required after revenue was fully recognized and, as a result, the Company did not accrue any amounts for product warranty liability during fiscal years 2012, 2011 and 2010.</w:t>
      </w:r>
    </w:p>
    <w:p>
      <w:pPr>
        <w:spacing w:after="0" w:line="26" w:lineRule="exact"/>
        <w:rPr>
          <w:sz w:val="20"/>
          <w:szCs w:val="20"/>
          <w:color w:val="auto"/>
        </w:rPr>
      </w:pPr>
    </w:p>
    <w:p>
      <w:pPr>
        <w:ind w:right="160" w:firstLine="456"/>
        <w:spacing w:after="0" w:line="370" w:lineRule="auto"/>
        <w:rPr>
          <w:sz w:val="20"/>
          <w:szCs w:val="20"/>
          <w:color w:val="auto"/>
        </w:rPr>
      </w:pPr>
      <w:r>
        <w:rPr>
          <w:rFonts w:ascii="Arial" w:cs="Arial" w:eastAsia="Arial" w:hAnsi="Arial"/>
          <w:sz w:val="15"/>
          <w:szCs w:val="15"/>
          <w:color w:val="auto"/>
        </w:rPr>
        <w:t>The Company generally indemnifies its customers against claims of intellectual property infringement made by third parties arising from the use of the Company’s software. To date, the Company has incurred and recorded only minimal costs as a result of such obligations in its consolidated financial statements.</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Employee Benefits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operations. The severance pay liability, which is included as accrued employee costs in other noncurrent liabilities, is partially funded by amounts on deposit with insurance companies, which are included in other noncurrent assets. These accrued severance expenses were $24,611, $28,054 and $19,570 for fiscal 2012, 2011 and 2010, respectively.</w:t>
      </w:r>
    </w:p>
    <w:p>
      <w:pPr>
        <w:spacing w:after="0" w:line="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Company sponsors defined contribution plans covering certain of its employees around the world. The plans primarily provide for Company matching contributions based upon a percentage of the employees’ contributions. The Company’s contributions in fiscal 2012, 2011 and 2010 under such plans were not material compared to total operating expenses.</w:t>
      </w:r>
    </w:p>
    <w:p>
      <w:pPr>
        <w:spacing w:after="0" w:line="59" w:lineRule="exact"/>
        <w:rPr>
          <w:sz w:val="20"/>
          <w:szCs w:val="20"/>
          <w:color w:val="auto"/>
        </w:rPr>
      </w:pPr>
    </w:p>
    <w:p>
      <w:pPr>
        <w:ind w:right="80" w:firstLine="456"/>
        <w:spacing w:after="0" w:line="318" w:lineRule="auto"/>
        <w:rPr>
          <w:sz w:val="20"/>
          <w:szCs w:val="20"/>
          <w:color w:val="auto"/>
        </w:rPr>
      </w:pPr>
      <w:r>
        <w:rPr>
          <w:rFonts w:ascii="Arial" w:cs="Arial" w:eastAsia="Arial" w:hAnsi="Arial"/>
          <w:sz w:val="15"/>
          <w:szCs w:val="15"/>
          <w:color w:val="auto"/>
        </w:rPr>
        <w:t>The Company maintains non-contributory defined benefit plans that provide for pension, other retirement and post employment benefits for certain employees of a Canadian subsidiary based on length of service and rate of pay. The Company accrues its obligations to these employees under employee benefit plans and the related costs net of returns on plan assets. Pension expense and other retirement benefits earned by employees are actuarially determined using the projected benefit method pro-rated on service and based on management’s best estimates of expected plan investments performance, salary escalation, retirement ages of employees, discount rate, inflation and expected health care costs. The Company recognized the funded status of such plans in the balance sheet.</w:t>
      </w:r>
    </w:p>
    <w:p>
      <w:pPr>
        <w:spacing w:after="0" w:line="19"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The fair value of the employee benefit plans’ assets is based on market values. The plan assets are valued at market value for the purpose of calculating the expected return on plan assets and the amortization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420"/>
          </w:cols>
          <w:pgMar w:left="240" w:top="459" w:right="2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1" w:lineRule="exact"/>
        <w:rPr>
          <w:sz w:val="20"/>
          <w:szCs w:val="20"/>
          <w:color w:val="auto"/>
        </w:rPr>
      </w:pPr>
    </w:p>
    <w:p>
      <w:pPr>
        <w:jc w:val="both"/>
        <w:ind w:right="420"/>
        <w:spacing w:after="0" w:line="306" w:lineRule="auto"/>
        <w:rPr>
          <w:sz w:val="20"/>
          <w:szCs w:val="20"/>
          <w:color w:val="auto"/>
        </w:rPr>
      </w:pPr>
      <w:r>
        <w:rPr>
          <w:rFonts w:ascii="Arial" w:cs="Arial" w:eastAsia="Arial" w:hAnsi="Arial"/>
          <w:sz w:val="16"/>
          <w:szCs w:val="16"/>
          <w:color w:val="auto"/>
        </w:rPr>
        <w:t>experienced gains and losses. Past service costs, which may arise from plan amendments, are amortized on a straight-line basis over the average remaining service period of the employees who were active at the date of amendment. The excess of the net actuarial gain (loss) over 10% of the greater of the benefit obligation and the market-related value of plan assets is amortized over the average remaining service period of active employees.</w:t>
      </w:r>
    </w:p>
    <w:p>
      <w:pPr>
        <w:spacing w:after="0" w:line="26" w:lineRule="exact"/>
        <w:rPr>
          <w:sz w:val="20"/>
          <w:szCs w:val="20"/>
          <w:color w:val="auto"/>
        </w:rPr>
      </w:pPr>
    </w:p>
    <w:p>
      <w:pPr>
        <w:ind w:right="1260" w:firstLine="456"/>
        <w:spacing w:after="0" w:line="391" w:lineRule="auto"/>
        <w:rPr>
          <w:sz w:val="20"/>
          <w:szCs w:val="20"/>
          <w:color w:val="auto"/>
        </w:rPr>
      </w:pPr>
      <w:r>
        <w:rPr>
          <w:rFonts w:ascii="Arial" w:cs="Arial" w:eastAsia="Arial" w:hAnsi="Arial"/>
          <w:sz w:val="18"/>
          <w:szCs w:val="18"/>
          <w:color w:val="auto"/>
        </w:rPr>
        <w:t xml:space="preserve">The pension and other benefits costs related to the non-contributory defined benefit plans were immaterial in fiscal 2012, 2011 and 2010. </w:t>
      </w:r>
      <w:r>
        <w:rPr>
          <w:rFonts w:ascii="Arial" w:cs="Arial" w:eastAsia="Arial" w:hAnsi="Arial"/>
          <w:sz w:val="18"/>
          <w:szCs w:val="18"/>
          <w:b w:val="1"/>
          <w:bCs w:val="1"/>
          <w:color w:val="auto"/>
        </w:rPr>
        <w:t>Note 19 — Stock Option and Incentive Plan</w:t>
      </w:r>
    </w:p>
    <w:p>
      <w:pPr>
        <w:spacing w:after="0" w:line="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January 1998, the Company adopted the 1998 Stock Option and Incentive Plan (the “Plan”), which provides for the grant of restricted stock awards, stock options and other equity-based awards to employees, officers, directors, and consultants. The purpose of the Plan is to enable the Company to attract and retain qualified personnel and to motivate such persons by providing them with an equity participation in the Company. Since its adoption, the Plan has been amended on several occasions to, among other things, increase the number of ordinary shares issuable under the Plan. In February 2012, the maximum number of ordinary shares authorized to be granted under the Plan was increased from 55,300 to 62,300. Awards granted under the Plan generally vest over a period of four years and stock options have a term of ten years.</w:t>
      </w:r>
    </w:p>
    <w:p>
      <w:pPr>
        <w:spacing w:after="0" w:line="3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information about options to purchase the Company</w:t>
      </w:r>
      <w:r>
        <w:rPr>
          <w:rFonts w:ascii="Arial" w:cs="Arial" w:eastAsia="Arial" w:hAnsi="Arial"/>
          <w:sz w:val="16"/>
          <w:szCs w:val="16"/>
          <w:b w:val="1"/>
          <w:bCs w:val="1"/>
          <w:color w:val="auto"/>
        </w:rPr>
        <w:t>’</w:t>
      </w:r>
      <w:r>
        <w:rPr>
          <w:rFonts w:ascii="Arial" w:cs="Arial" w:eastAsia="Arial" w:hAnsi="Arial"/>
          <w:sz w:val="16"/>
          <w:szCs w:val="16"/>
          <w:color w:val="auto"/>
        </w:rPr>
        <w:t>s ordinary shares, as well as changes during the fiscal year ended</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8"/>
              </w:rPr>
              <w:t>Number of</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1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Share</w:t>
            </w:r>
          </w:p>
        </w:tc>
        <w:tc>
          <w:tcPr>
            <w:tcW w:w="460" w:type="dxa"/>
            <w:vAlign w:val="bottom"/>
          </w:tcPr>
          <w:p>
            <w:pPr>
              <w:spacing w:after="0"/>
              <w:rPr>
                <w:sz w:val="12"/>
                <w:szCs w:val="12"/>
                <w:color w:val="auto"/>
              </w:rPr>
            </w:pPr>
          </w:p>
        </w:tc>
        <w:tc>
          <w:tcPr>
            <w:tcW w:w="11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3"/>
              </w:rPr>
              <w:t>Weighted Average</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6"/>
              </w:rPr>
              <w:t>Options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Outstanding as of October 1, 2011</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20,446</w:t>
            </w:r>
          </w:p>
        </w:tc>
        <w:tc>
          <w:tcPr>
            <w:tcW w:w="5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640" w:type="dxa"/>
            <w:vAlign w:val="bottom"/>
          </w:tcPr>
          <w:p>
            <w:pPr>
              <w:jc w:val="right"/>
              <w:spacing w:after="0"/>
              <w:rPr>
                <w:sz w:val="20"/>
                <w:szCs w:val="20"/>
                <w:color w:val="auto"/>
              </w:rPr>
            </w:pPr>
            <w:r>
              <w:rPr>
                <w:rFonts w:ascii="Arial" w:cs="Arial" w:eastAsia="Arial" w:hAnsi="Arial"/>
                <w:sz w:val="18"/>
                <w:szCs w:val="18"/>
                <w:color w:val="auto"/>
              </w:rPr>
              <w:t>3,672</w:t>
            </w: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(3,585)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(2,879)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as of September 30, 2012(1)</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17,654</w:t>
            </w:r>
          </w:p>
        </w:tc>
        <w:tc>
          <w:tcPr>
            <w:tcW w:w="5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0" w:type="dxa"/>
            <w:vAlign w:val="bottom"/>
            <w:gridSpan w:val="3"/>
            <w:vMerge w:val="restart"/>
          </w:tcPr>
          <w:p>
            <w:pPr>
              <w:ind w:left="460"/>
              <w:spacing w:after="0"/>
              <w:rPr>
                <w:sz w:val="20"/>
                <w:szCs w:val="20"/>
                <w:color w:val="auto"/>
              </w:rPr>
            </w:pPr>
            <w:r>
              <w:rPr>
                <w:rFonts w:ascii="Arial" w:cs="Arial" w:eastAsia="Arial" w:hAnsi="Arial"/>
                <w:sz w:val="18"/>
                <w:szCs w:val="18"/>
                <w:color w:val="auto"/>
              </w:rPr>
              <w:t>Exercisable as of September 30, 2012(1)</w:t>
            </w: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30.44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200" w:type="dxa"/>
            <w:vAlign w:val="bottom"/>
            <w:gridSpan w:val="3"/>
            <w:vMerge w:val="continue"/>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9,510</w:t>
            </w:r>
          </w:p>
        </w:tc>
        <w:tc>
          <w:tcPr>
            <w:tcW w:w="520" w:type="dxa"/>
            <w:vAlign w:val="bottom"/>
          </w:tcPr>
          <w:p>
            <w:pPr>
              <w:spacing w:after="0"/>
              <w:rPr>
                <w:sz w:val="18"/>
                <w:szCs w:val="18"/>
                <w:color w:val="auto"/>
              </w:rPr>
            </w:pPr>
          </w:p>
        </w:tc>
        <w:tc>
          <w:tcPr>
            <w:tcW w:w="5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6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200" w:hanging="452"/>
        <w:spacing w:after="0" w:line="457" w:lineRule="auto"/>
        <w:tabs>
          <w:tab w:leader="none" w:pos="449" w:val="left"/>
        </w:tabs>
        <w:numPr>
          <w:ilvl w:val="0"/>
          <w:numId w:val="62"/>
        </w:numPr>
        <w:rPr>
          <w:rFonts w:ascii="Arial" w:cs="Arial" w:eastAsia="Arial" w:hAnsi="Arial"/>
          <w:sz w:val="15"/>
          <w:szCs w:val="15"/>
          <w:color w:val="auto"/>
        </w:rPr>
      </w:pPr>
      <w:r>
        <w:rPr>
          <w:rFonts w:ascii="Arial" w:cs="Arial" w:eastAsia="Arial" w:hAnsi="Arial"/>
          <w:sz w:val="15"/>
          <w:szCs w:val="15"/>
          <w:color w:val="auto"/>
        </w:rPr>
        <w:t>At September 30, 2012, the weighted average remaining contractual life of outstanding and exercisable options was 6.57 and 4.99 years, respectively. The following table summarizes information relating to awards of restricted shares, as well as changes during the fiscal year ended September 30, 2012:</w:t>
      </w:r>
    </w:p>
    <w:tbl>
      <w:tblPr>
        <w:tblLayout w:type="fixed"/>
        <w:tblInd w:w="4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40" w:type="dxa"/>
            <w:vAlign w:val="bottom"/>
            <w:gridSpan w:val="3"/>
          </w:tcPr>
          <w:p>
            <w:pPr>
              <w:jc w:val="right"/>
              <w:ind w:right="100"/>
              <w:spacing w:after="0" w:line="149" w:lineRule="exact"/>
              <w:rPr>
                <w:sz w:val="20"/>
                <w:szCs w:val="20"/>
                <w:color w:val="auto"/>
              </w:rPr>
            </w:pPr>
            <w:r>
              <w:rPr>
                <w:rFonts w:ascii="Arial" w:cs="Arial" w:eastAsia="Arial" w:hAnsi="Arial"/>
                <w:sz w:val="14"/>
                <w:szCs w:val="14"/>
                <w:b w:val="1"/>
                <w:bCs w:val="1"/>
                <w:color w:val="auto"/>
                <w:w w:val="83"/>
              </w:rPr>
              <w:t>Weighted Average</w:t>
            </w:r>
          </w:p>
        </w:tc>
      </w:tr>
      <w:tr>
        <w:trPr>
          <w:trHeight w:val="149"/>
        </w:trPr>
        <w:tc>
          <w:tcPr>
            <w:tcW w:w="20" w:type="dxa"/>
            <w:vAlign w:val="bottom"/>
          </w:tcPr>
          <w:p>
            <w:pPr>
              <w:spacing w:after="0"/>
              <w:rPr>
                <w:sz w:val="12"/>
                <w:szCs w:val="12"/>
                <w:color w:val="auto"/>
              </w:rPr>
            </w:pPr>
          </w:p>
        </w:tc>
        <w:tc>
          <w:tcPr>
            <w:tcW w:w="7740" w:type="dxa"/>
            <w:vAlign w:val="bottom"/>
          </w:tcPr>
          <w:p>
            <w:pPr>
              <w:spacing w:after="0"/>
              <w:rPr>
                <w:sz w:val="12"/>
                <w:szCs w:val="12"/>
                <w:color w:val="auto"/>
              </w:rPr>
            </w:pP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5"/>
              </w:rPr>
              <w:t>Number of</w:t>
            </w:r>
          </w:p>
        </w:tc>
        <w:tc>
          <w:tcPr>
            <w:tcW w:w="460" w:type="dxa"/>
            <w:vAlign w:val="bottom"/>
          </w:tcPr>
          <w:p>
            <w:pPr>
              <w:spacing w:after="0"/>
              <w:rPr>
                <w:sz w:val="12"/>
                <w:szCs w:val="12"/>
                <w:color w:val="auto"/>
              </w:rPr>
            </w:pPr>
          </w:p>
        </w:tc>
        <w:tc>
          <w:tcPr>
            <w:tcW w:w="11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4"/>
              </w:rPr>
              <w:t>Grant Date Fair</w:t>
            </w:r>
          </w:p>
        </w:tc>
      </w:tr>
      <w:tr>
        <w:trPr>
          <w:trHeight w:val="161"/>
        </w:trPr>
        <w:tc>
          <w:tcPr>
            <w:tcW w:w="20" w:type="dxa"/>
            <w:vAlign w:val="bottom"/>
          </w:tcPr>
          <w:p>
            <w:pPr>
              <w:spacing w:after="0"/>
              <w:rPr>
                <w:sz w:val="14"/>
                <w:szCs w:val="14"/>
                <w:color w:val="auto"/>
              </w:rPr>
            </w:pPr>
          </w:p>
        </w:tc>
        <w:tc>
          <w:tcPr>
            <w:tcW w:w="7740" w:type="dxa"/>
            <w:vAlign w:val="bottom"/>
          </w:tcPr>
          <w:p>
            <w:pPr>
              <w:spacing w:after="0"/>
              <w:rPr>
                <w:sz w:val="14"/>
                <w:szCs w:val="14"/>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Value</w:t>
            </w:r>
          </w:p>
        </w:tc>
      </w:tr>
      <w:tr>
        <w:trPr>
          <w:trHeight w:val="210"/>
        </w:trPr>
        <w:tc>
          <w:tcPr>
            <w:tcW w:w="20" w:type="dxa"/>
            <w:vAlign w:val="bottom"/>
          </w:tcPr>
          <w:p>
            <w:pPr>
              <w:spacing w:after="0"/>
              <w:rPr>
                <w:sz w:val="18"/>
                <w:szCs w:val="18"/>
                <w:color w:val="auto"/>
              </w:rPr>
            </w:pPr>
          </w:p>
        </w:tc>
        <w:tc>
          <w:tcPr>
            <w:tcW w:w="77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Outstanding as of October 1, 2011</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5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gridSpan w:val="2"/>
          </w:tcPr>
          <w:p>
            <w:pPr>
              <w:jc w:val="right"/>
              <w:ind w:right="500"/>
              <w:spacing w:after="0"/>
              <w:rPr>
                <w:sz w:val="20"/>
                <w:szCs w:val="20"/>
                <w:color w:val="auto"/>
              </w:rPr>
            </w:pPr>
            <w:r>
              <w:rPr>
                <w:rFonts w:ascii="Arial" w:cs="Arial" w:eastAsia="Arial" w:hAnsi="Arial"/>
                <w:sz w:val="18"/>
                <w:szCs w:val="18"/>
                <w:color w:val="auto"/>
              </w:rPr>
              <w:t>637</w:t>
            </w: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(526)</w:t>
            </w: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40" w:type="dxa"/>
            <w:vAlign w:val="bottom"/>
          </w:tcPr>
          <w:p>
            <w:pPr>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(172)</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26.77</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7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2012</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total intrinsic value of options exercised during fiscal 2012, 2011 and 2010 was $22,929, $19,394 and $8,262, respectively.</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360"/>
          </w:cols>
          <w:pgMar w:left="240" w:top="459" w:right="29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value of restricted shares vested during fiscal 2012, 2011 and 2010 was $15,594, $12,376 and $12,105, respectively.</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options outstanding as of September 30, 2012:</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80" w:type="dxa"/>
            <w:vAlign w:val="bottom"/>
            <w:tcBorders>
              <w:bottom w:val="single" w:sz="8" w:color="auto"/>
            </w:tcBorders>
          </w:tcPr>
          <w:p>
            <w:pPr>
              <w:spacing w:after="0"/>
              <w:rPr>
                <w:sz w:val="15"/>
                <w:szCs w:val="15"/>
                <w:color w:val="auto"/>
              </w:rPr>
            </w:pPr>
          </w:p>
        </w:tc>
        <w:tc>
          <w:tcPr>
            <w:tcW w:w="3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Outstanding</w:t>
            </w: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w w:val="97"/>
              </w:rPr>
              <w:t>Exercisable</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88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2"/>
          </w:tcPr>
          <w:p>
            <w:pPr>
              <w:jc w:val="right"/>
              <w:ind w:right="760"/>
              <w:spacing w:after="0" w:line="129" w:lineRule="exact"/>
              <w:rPr>
                <w:sz w:val="20"/>
                <w:szCs w:val="20"/>
                <w:color w:val="auto"/>
              </w:rPr>
            </w:pPr>
            <w:r>
              <w:rPr>
                <w:rFonts w:ascii="Arial" w:cs="Arial" w:eastAsia="Arial" w:hAnsi="Arial"/>
                <w:sz w:val="14"/>
                <w:szCs w:val="14"/>
                <w:b w:val="1"/>
                <w:bCs w:val="1"/>
                <w:color w:val="auto"/>
                <w:w w:val="83"/>
              </w:rPr>
              <w:t>Weighted Average</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6"/>
              </w:rPr>
              <w:t>Remaining</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00" w:type="dxa"/>
            <w:vAlign w:val="bottom"/>
          </w:tcPr>
          <w:p>
            <w:pPr>
              <w:spacing w:after="0"/>
              <w:rPr>
                <w:sz w:val="12"/>
                <w:szCs w:val="12"/>
                <w:color w:val="auto"/>
              </w:rPr>
            </w:pPr>
          </w:p>
        </w:tc>
        <w:tc>
          <w:tcPr>
            <w:tcW w:w="146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88"/>
              </w:rPr>
              <w:t>Weighted</w:t>
            </w: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w w:val="89"/>
              </w:rPr>
              <w:t>Exercise Price</w:t>
            </w:r>
          </w:p>
        </w:tc>
        <w:tc>
          <w:tcPr>
            <w:tcW w:w="3360" w:type="dxa"/>
            <w:vAlign w:val="bottom"/>
            <w:vMerge w:val="restart"/>
          </w:tcPr>
          <w:p>
            <w:pPr>
              <w:spacing w:after="0"/>
              <w:rPr>
                <w:sz w:val="12"/>
                <w:szCs w:val="12"/>
                <w:color w:val="auto"/>
              </w:rPr>
            </w:pPr>
          </w:p>
        </w:tc>
        <w:tc>
          <w:tcPr>
            <w:tcW w:w="8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Number</w:t>
            </w:r>
          </w:p>
        </w:tc>
        <w:tc>
          <w:tcPr>
            <w:tcW w:w="640" w:type="dxa"/>
            <w:vAlign w:val="bottom"/>
          </w:tcPr>
          <w:p>
            <w:pPr>
              <w:spacing w:after="0"/>
              <w:rPr>
                <w:sz w:val="12"/>
                <w:szCs w:val="12"/>
                <w:color w:val="auto"/>
              </w:rPr>
            </w:pPr>
          </w:p>
        </w:tc>
        <w:tc>
          <w:tcPr>
            <w:tcW w:w="18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8"/>
              </w:rPr>
              <w:t>Life</w:t>
            </w:r>
          </w:p>
        </w:tc>
        <w:tc>
          <w:tcPr>
            <w:tcW w:w="100" w:type="dxa"/>
            <w:vAlign w:val="bottom"/>
          </w:tcPr>
          <w:p>
            <w:pPr>
              <w:spacing w:after="0"/>
              <w:rPr>
                <w:sz w:val="12"/>
                <w:szCs w:val="12"/>
                <w:color w:val="auto"/>
              </w:rPr>
            </w:pPr>
          </w:p>
        </w:tc>
        <w:tc>
          <w:tcPr>
            <w:tcW w:w="146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w w:val="94"/>
              </w:rPr>
              <w:t>Average</w:t>
            </w:r>
          </w:p>
        </w:tc>
        <w:tc>
          <w:tcPr>
            <w:tcW w:w="680" w:type="dxa"/>
            <w:vAlign w:val="bottom"/>
          </w:tcPr>
          <w:p>
            <w:pPr>
              <w:jc w:val="right"/>
              <w:ind w:right="16"/>
              <w:spacing w:after="0" w:line="149" w:lineRule="exact"/>
              <w:rPr>
                <w:sz w:val="20"/>
                <w:szCs w:val="20"/>
                <w:color w:val="auto"/>
              </w:rPr>
            </w:pPr>
            <w:r>
              <w:rPr>
                <w:rFonts w:ascii="Arial" w:cs="Arial" w:eastAsia="Arial" w:hAnsi="Arial"/>
                <w:sz w:val="14"/>
                <w:szCs w:val="14"/>
                <w:b w:val="1"/>
                <w:bCs w:val="1"/>
                <w:color w:val="auto"/>
              </w:rPr>
              <w:t>Number</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8"/>
        </w:trPr>
        <w:tc>
          <w:tcPr>
            <w:tcW w:w="880" w:type="dxa"/>
            <w:vAlign w:val="bottom"/>
            <w:tcBorders>
              <w:bottom w:val="single" w:sz="8" w:color="auto"/>
            </w:tcBorders>
            <w:vMerge w:val="continue"/>
          </w:tcPr>
          <w:p>
            <w:pPr>
              <w:spacing w:after="0"/>
              <w:rPr>
                <w:sz w:val="14"/>
                <w:szCs w:val="14"/>
                <w:color w:val="auto"/>
              </w:rPr>
            </w:pPr>
          </w:p>
        </w:tc>
        <w:tc>
          <w:tcPr>
            <w:tcW w:w="3360" w:type="dxa"/>
            <w:vAlign w:val="bottom"/>
            <w:vMerge w:val="continue"/>
          </w:tcPr>
          <w:p>
            <w:pPr>
              <w:spacing w:after="0"/>
              <w:rPr>
                <w:sz w:val="14"/>
                <w:szCs w:val="14"/>
                <w:color w:val="auto"/>
              </w:rPr>
            </w:pPr>
          </w:p>
        </w:tc>
        <w:tc>
          <w:tcPr>
            <w:tcW w:w="84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7"/>
              </w:rPr>
              <w:t>Outstanding</w:t>
            </w:r>
          </w:p>
        </w:tc>
        <w:tc>
          <w:tcPr>
            <w:tcW w:w="640" w:type="dxa"/>
            <w:vAlign w:val="bottom"/>
          </w:tcPr>
          <w:p>
            <w:pPr>
              <w:spacing w:after="0"/>
              <w:rPr>
                <w:sz w:val="14"/>
                <w:szCs w:val="14"/>
                <w:color w:val="auto"/>
              </w:rPr>
            </w:pPr>
          </w:p>
        </w:tc>
        <w:tc>
          <w:tcPr>
            <w:tcW w:w="1800" w:type="dxa"/>
            <w:vAlign w:val="bottom"/>
            <w:gridSpan w:val="2"/>
          </w:tcPr>
          <w:p>
            <w:pPr>
              <w:jc w:val="center"/>
              <w:ind w:right="760"/>
              <w:spacing w:after="0" w:line="148" w:lineRule="exact"/>
              <w:rPr>
                <w:sz w:val="20"/>
                <w:szCs w:val="20"/>
                <w:color w:val="auto"/>
              </w:rPr>
            </w:pPr>
            <w:r>
              <w:rPr>
                <w:rFonts w:ascii="Arial" w:cs="Arial" w:eastAsia="Arial" w:hAnsi="Arial"/>
                <w:sz w:val="14"/>
                <w:szCs w:val="14"/>
                <w:b w:val="1"/>
                <w:bCs w:val="1"/>
                <w:color w:val="auto"/>
                <w:w w:val="87"/>
              </w:rPr>
              <w:t>(in Years)</w:t>
            </w:r>
          </w:p>
        </w:tc>
        <w:tc>
          <w:tcPr>
            <w:tcW w:w="1560" w:type="dxa"/>
            <w:vAlign w:val="bottom"/>
            <w:gridSpan w:val="3"/>
          </w:tcPr>
          <w:p>
            <w:pPr>
              <w:jc w:val="right"/>
              <w:ind w:right="740"/>
              <w:spacing w:after="0" w:line="148" w:lineRule="exact"/>
              <w:rPr>
                <w:sz w:val="20"/>
                <w:szCs w:val="20"/>
                <w:color w:val="auto"/>
              </w:rPr>
            </w:pPr>
            <w:r>
              <w:rPr>
                <w:rFonts w:ascii="Arial" w:cs="Arial" w:eastAsia="Arial" w:hAnsi="Arial"/>
                <w:sz w:val="14"/>
                <w:szCs w:val="14"/>
                <w:b w:val="1"/>
                <w:bCs w:val="1"/>
                <w:color w:val="auto"/>
                <w:w w:val="83"/>
              </w:rPr>
              <w:t>Exercise Price</w:t>
            </w:r>
          </w:p>
        </w:tc>
        <w:tc>
          <w:tcPr>
            <w:tcW w:w="680" w:type="dxa"/>
            <w:vAlign w:val="bottom"/>
          </w:tcPr>
          <w:p>
            <w:pPr>
              <w:jc w:val="right"/>
              <w:spacing w:after="0" w:line="148" w:lineRule="exact"/>
              <w:rPr>
                <w:sz w:val="20"/>
                <w:szCs w:val="20"/>
                <w:color w:val="auto"/>
              </w:rPr>
            </w:pPr>
            <w:r>
              <w:rPr>
                <w:rFonts w:ascii="Arial" w:cs="Arial" w:eastAsia="Arial" w:hAnsi="Arial"/>
                <w:sz w:val="14"/>
                <w:szCs w:val="14"/>
                <w:b w:val="1"/>
                <w:bCs w:val="1"/>
                <w:color w:val="auto"/>
                <w:w w:val="84"/>
              </w:rPr>
              <w:t>Exercisable</w:t>
            </w:r>
          </w:p>
        </w:tc>
        <w:tc>
          <w:tcPr>
            <w:tcW w:w="740" w:type="dxa"/>
            <w:vAlign w:val="bottom"/>
          </w:tcPr>
          <w:p>
            <w:pPr>
              <w:spacing w:after="0"/>
              <w:rPr>
                <w:sz w:val="14"/>
                <w:szCs w:val="14"/>
                <w:color w:val="auto"/>
              </w:rPr>
            </w:pPr>
          </w:p>
        </w:tc>
        <w:tc>
          <w:tcPr>
            <w:tcW w:w="920" w:type="dxa"/>
            <w:vAlign w:val="bottom"/>
            <w:gridSpan w:val="3"/>
          </w:tcPr>
          <w:p>
            <w:pPr>
              <w:jc w:val="right"/>
              <w:ind w:right="100"/>
              <w:spacing w:after="0" w:line="148" w:lineRule="exact"/>
              <w:rPr>
                <w:sz w:val="20"/>
                <w:szCs w:val="20"/>
                <w:color w:val="auto"/>
              </w:rPr>
            </w:pPr>
            <w:r>
              <w:rPr>
                <w:rFonts w:ascii="Arial" w:cs="Arial" w:eastAsia="Arial" w:hAnsi="Arial"/>
                <w:sz w:val="14"/>
                <w:szCs w:val="14"/>
                <w:b w:val="1"/>
                <w:bCs w:val="1"/>
                <w:color w:val="auto"/>
                <w:w w:val="83"/>
              </w:rPr>
              <w:t>Exercise Price</w:t>
            </w:r>
          </w:p>
        </w:tc>
        <w:tc>
          <w:tcPr>
            <w:tcW w:w="0" w:type="dxa"/>
            <w:vAlign w:val="bottom"/>
          </w:tcPr>
          <w:p>
            <w:pPr>
              <w:spacing w:after="0"/>
              <w:rPr>
                <w:sz w:val="1"/>
                <w:szCs w:val="1"/>
                <w:color w:val="auto"/>
              </w:rPr>
            </w:pPr>
          </w:p>
        </w:tc>
      </w:tr>
      <w:tr>
        <w:trPr>
          <w:trHeight w:val="203"/>
        </w:trPr>
        <w:tc>
          <w:tcPr>
            <w:tcW w:w="4240" w:type="dxa"/>
            <w:vAlign w:val="bottom"/>
            <w:tcBorders>
              <w:top w:val="single" w:sz="8" w:color="CCEEFF"/>
            </w:tcBorders>
            <w:gridSpan w:val="2"/>
            <w:shd w:val="clear" w:color="auto" w:fill="CCEEFF"/>
          </w:tcPr>
          <w:p>
            <w:pPr>
              <w:jc w:val="right"/>
              <w:ind w:right="3100"/>
              <w:spacing w:after="0" w:line="202" w:lineRule="exact"/>
              <w:rPr>
                <w:sz w:val="20"/>
                <w:szCs w:val="20"/>
                <w:color w:val="auto"/>
              </w:rPr>
            </w:pPr>
            <w:r>
              <w:rPr>
                <w:rFonts w:ascii="Arial" w:cs="Arial" w:eastAsia="Arial" w:hAnsi="Arial"/>
                <w:sz w:val="18"/>
                <w:szCs w:val="18"/>
                <w:color w:val="auto"/>
                <w:w w:val="90"/>
              </w:rPr>
              <w:t>$ 0.38 — 19.12</w:t>
            </w: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840</w:t>
            </w:r>
          </w:p>
        </w:tc>
        <w:tc>
          <w:tcPr>
            <w:tcW w:w="10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5.76</w:t>
            </w:r>
          </w:p>
        </w:tc>
        <w:tc>
          <w:tcPr>
            <w:tcW w:w="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16.52</w:t>
            </w:r>
          </w:p>
        </w:tc>
        <w:tc>
          <w:tcPr>
            <w:tcW w:w="7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562</w:t>
            </w:r>
          </w:p>
        </w:tc>
        <w:tc>
          <w:tcPr>
            <w:tcW w:w="7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16.34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jc w:val="right"/>
              <w:ind w:right="3100"/>
              <w:spacing w:after="0"/>
              <w:rPr>
                <w:sz w:val="20"/>
                <w:szCs w:val="20"/>
                <w:color w:val="auto"/>
              </w:rPr>
            </w:pPr>
            <w:r>
              <w:rPr>
                <w:rFonts w:ascii="Arial" w:cs="Arial" w:eastAsia="Arial" w:hAnsi="Arial"/>
                <w:sz w:val="18"/>
                <w:szCs w:val="18"/>
                <w:color w:val="auto"/>
                <w:w w:val="94"/>
              </w:rPr>
              <w:t>19.94 — 26.38</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1,259</w:t>
            </w:r>
          </w:p>
        </w:tc>
        <w:tc>
          <w:tcPr>
            <w:tcW w:w="2440" w:type="dxa"/>
            <w:vAlign w:val="bottom"/>
            <w:gridSpan w:val="3"/>
          </w:tcPr>
          <w:p>
            <w:pPr>
              <w:jc w:val="right"/>
              <w:ind w:right="740"/>
              <w:spacing w:after="0"/>
              <w:rPr>
                <w:sz w:val="20"/>
                <w:szCs w:val="20"/>
                <w:color w:val="auto"/>
              </w:rPr>
            </w:pPr>
            <w:r>
              <w:rPr>
                <w:rFonts w:ascii="Arial" w:cs="Arial" w:eastAsia="Arial" w:hAnsi="Arial"/>
                <w:sz w:val="18"/>
                <w:szCs w:val="18"/>
                <w:color w:val="auto"/>
              </w:rPr>
              <w:t>3.95</w:t>
            </w:r>
          </w:p>
        </w:tc>
        <w:tc>
          <w:tcPr>
            <w:tcW w:w="10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23.32</w:t>
            </w:r>
          </w:p>
        </w:tc>
        <w:tc>
          <w:tcPr>
            <w:tcW w:w="680" w:type="dxa"/>
            <w:vAlign w:val="bottom"/>
          </w:tcPr>
          <w:p>
            <w:pPr>
              <w:jc w:val="right"/>
              <w:spacing w:after="0"/>
              <w:rPr>
                <w:sz w:val="20"/>
                <w:szCs w:val="20"/>
                <w:color w:val="auto"/>
              </w:rPr>
            </w:pPr>
            <w:r>
              <w:rPr>
                <w:rFonts w:ascii="Arial" w:cs="Arial" w:eastAsia="Arial" w:hAnsi="Arial"/>
                <w:sz w:val="18"/>
                <w:szCs w:val="18"/>
                <w:color w:val="auto"/>
              </w:rPr>
              <w:t>907</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jc w:val="right"/>
              <w:ind w:right="3100"/>
              <w:spacing w:after="0"/>
              <w:rPr>
                <w:sz w:val="20"/>
                <w:szCs w:val="20"/>
                <w:color w:val="auto"/>
              </w:rPr>
            </w:pPr>
            <w:r>
              <w:rPr>
                <w:rFonts w:ascii="Arial" w:cs="Arial" w:eastAsia="Arial" w:hAnsi="Arial"/>
                <w:sz w:val="18"/>
                <w:szCs w:val="18"/>
                <w:color w:val="auto"/>
                <w:w w:val="94"/>
              </w:rPr>
              <w:t>26.43 — 26.57</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w:t>
            </w:r>
          </w:p>
        </w:tc>
        <w:tc>
          <w:tcPr>
            <w:tcW w:w="2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26.56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jc w:val="right"/>
              <w:ind w:right="3100"/>
              <w:spacing w:after="0"/>
              <w:rPr>
                <w:sz w:val="20"/>
                <w:szCs w:val="20"/>
                <w:color w:val="auto"/>
              </w:rPr>
            </w:pPr>
            <w:r>
              <w:rPr>
                <w:rFonts w:ascii="Arial" w:cs="Arial" w:eastAsia="Arial" w:hAnsi="Arial"/>
                <w:sz w:val="18"/>
                <w:szCs w:val="18"/>
                <w:color w:val="auto"/>
                <w:w w:val="94"/>
              </w:rPr>
              <w:t>26.68 — 28.59</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2,655</w:t>
            </w:r>
          </w:p>
        </w:tc>
        <w:tc>
          <w:tcPr>
            <w:tcW w:w="2440" w:type="dxa"/>
            <w:vAlign w:val="bottom"/>
            <w:gridSpan w:val="3"/>
          </w:tcPr>
          <w:p>
            <w:pPr>
              <w:jc w:val="right"/>
              <w:ind w:right="740"/>
              <w:spacing w:after="0"/>
              <w:rPr>
                <w:sz w:val="20"/>
                <w:szCs w:val="20"/>
                <w:color w:val="auto"/>
              </w:rPr>
            </w:pPr>
            <w:r>
              <w:rPr>
                <w:rFonts w:ascii="Arial" w:cs="Arial" w:eastAsia="Arial" w:hAnsi="Arial"/>
                <w:sz w:val="18"/>
                <w:szCs w:val="18"/>
                <w:color w:val="auto"/>
              </w:rPr>
              <w:t>5.90</w:t>
            </w:r>
          </w:p>
        </w:tc>
        <w:tc>
          <w:tcPr>
            <w:tcW w:w="10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27.78</w:t>
            </w:r>
          </w:p>
        </w:tc>
        <w:tc>
          <w:tcPr>
            <w:tcW w:w="680" w:type="dxa"/>
            <w:vAlign w:val="bottom"/>
          </w:tcPr>
          <w:p>
            <w:pPr>
              <w:jc w:val="right"/>
              <w:spacing w:after="0"/>
              <w:rPr>
                <w:sz w:val="20"/>
                <w:szCs w:val="20"/>
                <w:color w:val="auto"/>
              </w:rPr>
            </w:pPr>
            <w:r>
              <w:rPr>
                <w:rFonts w:ascii="Arial" w:cs="Arial" w:eastAsia="Arial" w:hAnsi="Arial"/>
                <w:sz w:val="18"/>
                <w:szCs w:val="18"/>
                <w:color w:val="auto"/>
              </w:rPr>
              <w:t>1,542</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jc w:val="right"/>
              <w:ind w:right="3100"/>
              <w:spacing w:after="0"/>
              <w:rPr>
                <w:sz w:val="20"/>
                <w:szCs w:val="20"/>
                <w:color w:val="auto"/>
              </w:rPr>
            </w:pPr>
            <w:r>
              <w:rPr>
                <w:rFonts w:ascii="Arial" w:cs="Arial" w:eastAsia="Arial" w:hAnsi="Arial"/>
                <w:sz w:val="18"/>
                <w:szCs w:val="18"/>
                <w:color w:val="auto"/>
                <w:w w:val="94"/>
              </w:rPr>
              <w:t>28.66 — 29.14</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3,385</w:t>
            </w:r>
          </w:p>
        </w:tc>
        <w:tc>
          <w:tcPr>
            <w:tcW w:w="2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8.75</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28.89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jc w:val="right"/>
              <w:ind w:right="3100"/>
              <w:spacing w:after="0"/>
              <w:rPr>
                <w:sz w:val="20"/>
                <w:szCs w:val="20"/>
                <w:color w:val="auto"/>
              </w:rPr>
            </w:pPr>
            <w:r>
              <w:rPr>
                <w:rFonts w:ascii="Arial" w:cs="Arial" w:eastAsia="Arial" w:hAnsi="Arial"/>
                <w:sz w:val="18"/>
                <w:szCs w:val="18"/>
                <w:color w:val="auto"/>
                <w:w w:val="94"/>
              </w:rPr>
              <w:t>29.19 — 32.12</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2,792</w:t>
            </w:r>
          </w:p>
        </w:tc>
        <w:tc>
          <w:tcPr>
            <w:tcW w:w="2440" w:type="dxa"/>
            <w:vAlign w:val="bottom"/>
            <w:gridSpan w:val="3"/>
          </w:tcPr>
          <w:p>
            <w:pPr>
              <w:jc w:val="right"/>
              <w:ind w:right="740"/>
              <w:spacing w:after="0"/>
              <w:rPr>
                <w:sz w:val="20"/>
                <w:szCs w:val="20"/>
                <w:color w:val="auto"/>
              </w:rPr>
            </w:pPr>
            <w:r>
              <w:rPr>
                <w:rFonts w:ascii="Arial" w:cs="Arial" w:eastAsia="Arial" w:hAnsi="Arial"/>
                <w:sz w:val="18"/>
                <w:szCs w:val="18"/>
                <w:color w:val="auto"/>
              </w:rPr>
              <w:t>7.84</w:t>
            </w:r>
          </w:p>
        </w:tc>
        <w:tc>
          <w:tcPr>
            <w:tcW w:w="10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30.16</w:t>
            </w:r>
          </w:p>
        </w:tc>
        <w:tc>
          <w:tcPr>
            <w:tcW w:w="680" w:type="dxa"/>
            <w:vAlign w:val="bottom"/>
          </w:tcPr>
          <w:p>
            <w:pPr>
              <w:jc w:val="right"/>
              <w:spacing w:after="0"/>
              <w:rPr>
                <w:sz w:val="20"/>
                <w:szCs w:val="20"/>
                <w:color w:val="auto"/>
              </w:rPr>
            </w:pPr>
            <w:r>
              <w:rPr>
                <w:rFonts w:ascii="Arial" w:cs="Arial" w:eastAsia="Arial" w:hAnsi="Arial"/>
                <w:sz w:val="18"/>
                <w:szCs w:val="18"/>
                <w:color w:val="auto"/>
              </w:rPr>
              <w:t>789</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jc w:val="right"/>
              <w:ind w:right="3100"/>
              <w:spacing w:after="0"/>
              <w:rPr>
                <w:sz w:val="20"/>
                <w:szCs w:val="20"/>
                <w:color w:val="auto"/>
              </w:rPr>
            </w:pPr>
            <w:r>
              <w:rPr>
                <w:rFonts w:ascii="Arial" w:cs="Arial" w:eastAsia="Arial" w:hAnsi="Arial"/>
                <w:sz w:val="18"/>
                <w:szCs w:val="18"/>
                <w:color w:val="auto"/>
                <w:w w:val="94"/>
              </w:rPr>
              <w:t>32.15 — 33.16</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2,673</w:t>
            </w:r>
          </w:p>
        </w:tc>
        <w:tc>
          <w:tcPr>
            <w:tcW w:w="2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5.22</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33.07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tcPr>
          <w:p>
            <w:pPr>
              <w:jc w:val="right"/>
              <w:ind w:right="3100"/>
              <w:spacing w:after="0"/>
              <w:rPr>
                <w:sz w:val="20"/>
                <w:szCs w:val="20"/>
                <w:color w:val="auto"/>
              </w:rPr>
            </w:pPr>
            <w:r>
              <w:rPr>
                <w:rFonts w:ascii="Arial" w:cs="Arial" w:eastAsia="Arial" w:hAnsi="Arial"/>
                <w:sz w:val="18"/>
                <w:szCs w:val="18"/>
                <w:color w:val="auto"/>
                <w:w w:val="94"/>
              </w:rPr>
              <w:t>33.74 — 35.00</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1,285</w:t>
            </w:r>
          </w:p>
        </w:tc>
        <w:tc>
          <w:tcPr>
            <w:tcW w:w="2440" w:type="dxa"/>
            <w:vAlign w:val="bottom"/>
            <w:gridSpan w:val="3"/>
          </w:tcPr>
          <w:p>
            <w:pPr>
              <w:jc w:val="right"/>
              <w:ind w:right="740"/>
              <w:spacing w:after="0"/>
              <w:rPr>
                <w:sz w:val="20"/>
                <w:szCs w:val="20"/>
                <w:color w:val="auto"/>
              </w:rPr>
            </w:pPr>
            <w:r>
              <w:rPr>
                <w:rFonts w:ascii="Arial" w:cs="Arial" w:eastAsia="Arial" w:hAnsi="Arial"/>
                <w:sz w:val="18"/>
                <w:szCs w:val="18"/>
                <w:color w:val="auto"/>
              </w:rPr>
              <w:t>5.02</w:t>
            </w:r>
          </w:p>
        </w:tc>
        <w:tc>
          <w:tcPr>
            <w:tcW w:w="10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Arial" w:cs="Arial" w:eastAsia="Arial" w:hAnsi="Arial"/>
                <w:sz w:val="18"/>
                <w:szCs w:val="18"/>
                <w:color w:val="auto"/>
              </w:rPr>
              <w:t>34.81</w:t>
            </w:r>
          </w:p>
        </w:tc>
        <w:tc>
          <w:tcPr>
            <w:tcW w:w="680" w:type="dxa"/>
            <w:vAlign w:val="bottom"/>
          </w:tcPr>
          <w:p>
            <w:pPr>
              <w:jc w:val="right"/>
              <w:spacing w:after="0"/>
              <w:rPr>
                <w:sz w:val="20"/>
                <w:szCs w:val="20"/>
                <w:color w:val="auto"/>
              </w:rPr>
            </w:pPr>
            <w:r>
              <w:rPr>
                <w:rFonts w:ascii="Arial" w:cs="Arial" w:eastAsia="Arial" w:hAnsi="Arial"/>
                <w:sz w:val="18"/>
                <w:szCs w:val="18"/>
                <w:color w:val="auto"/>
              </w:rPr>
              <w:t>1,185</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gridSpan w:val="2"/>
            <w:shd w:val="clear" w:color="auto" w:fill="CCEEFF"/>
          </w:tcPr>
          <w:p>
            <w:pPr>
              <w:jc w:val="right"/>
              <w:ind w:right="3100"/>
              <w:spacing w:after="0"/>
              <w:rPr>
                <w:sz w:val="20"/>
                <w:szCs w:val="20"/>
                <w:color w:val="auto"/>
              </w:rPr>
            </w:pPr>
            <w:r>
              <w:rPr>
                <w:rFonts w:ascii="Arial" w:cs="Arial" w:eastAsia="Arial" w:hAnsi="Arial"/>
                <w:sz w:val="18"/>
                <w:szCs w:val="18"/>
                <w:color w:val="auto"/>
                <w:w w:val="94"/>
              </w:rPr>
              <w:t>35.45 — 39.60</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1,104</w:t>
            </w:r>
          </w:p>
        </w:tc>
        <w:tc>
          <w:tcPr>
            <w:tcW w:w="2440" w:type="dxa"/>
            <w:vAlign w:val="bottom"/>
            <w:gridSpan w:val="3"/>
            <w:shd w:val="clear" w:color="auto" w:fill="CCEEFF"/>
          </w:tcPr>
          <w:p>
            <w:pPr>
              <w:jc w:val="right"/>
              <w:ind w:right="740"/>
              <w:spacing w:after="0"/>
              <w:rPr>
                <w:sz w:val="20"/>
                <w:szCs w:val="20"/>
                <w:color w:val="auto"/>
              </w:rPr>
            </w:pPr>
            <w:r>
              <w:rPr>
                <w:rFonts w:ascii="Arial" w:cs="Arial" w:eastAsia="Arial" w:hAnsi="Arial"/>
                <w:sz w:val="18"/>
                <w:szCs w:val="18"/>
                <w:color w:val="auto"/>
              </w:rPr>
              <w:t>4.73</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36.62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aggregate intrinsic value of outstanding and exercisable stock options as of September 30, 2012 was $72,382 and $30,662, respectively.</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Employee equity-based compensation pre-tax expense for the years ended September 30, 2012, 2011 and 2010 was as follows:</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87"/>
              </w:rPr>
              <w:t>Year Ended September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2"/>
                <w:szCs w:val="12"/>
                <w:color w:val="auto"/>
              </w:rPr>
            </w:pPr>
          </w:p>
        </w:tc>
        <w:tc>
          <w:tcPr>
            <w:tcW w:w="1080" w:type="dxa"/>
            <w:vAlign w:val="bottom"/>
            <w:gridSpan w:val="2"/>
          </w:tcPr>
          <w:p>
            <w:pPr>
              <w:jc w:val="right"/>
              <w:ind w:right="72"/>
              <w:spacing w:after="0" w:line="142" w:lineRule="exact"/>
              <w:rPr>
                <w:sz w:val="20"/>
                <w:szCs w:val="20"/>
                <w:color w:val="auto"/>
              </w:rPr>
            </w:pPr>
            <w:r>
              <w:rPr>
                <w:rFonts w:ascii="Arial" w:cs="Arial" w:eastAsia="Arial" w:hAnsi="Arial"/>
                <w:sz w:val="14"/>
                <w:szCs w:val="14"/>
                <w:b w:val="1"/>
                <w:bCs w:val="1"/>
                <w:color w:val="auto"/>
              </w:rPr>
              <w:t>2011</w:t>
            </w:r>
          </w:p>
        </w:tc>
        <w:tc>
          <w:tcPr>
            <w:tcW w:w="500" w:type="dxa"/>
            <w:vAlign w:val="bottom"/>
          </w:tcPr>
          <w:p>
            <w:pPr>
              <w:spacing w:after="0"/>
              <w:rPr>
                <w:sz w:val="12"/>
                <w:szCs w:val="12"/>
                <w:color w:val="auto"/>
              </w:rPr>
            </w:pPr>
          </w:p>
        </w:tc>
        <w:tc>
          <w:tcPr>
            <w:tcW w:w="58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76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Cost of service</w:t>
            </w:r>
          </w:p>
        </w:tc>
        <w:tc>
          <w:tcPr>
            <w:tcW w:w="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$22,641</w:t>
            </w:r>
          </w:p>
        </w:tc>
        <w:tc>
          <w:tcPr>
            <w:tcW w:w="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$14,641</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$20,061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6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4,320</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color w:val="auto"/>
              </w:rPr>
              <w:t>2,701</w:t>
            </w:r>
          </w:p>
        </w:tc>
        <w:tc>
          <w:tcPr>
            <w:tcW w:w="580" w:type="dxa"/>
            <w:vAlign w:val="bottom"/>
          </w:tcPr>
          <w:p>
            <w:pPr>
              <w:jc w:val="right"/>
              <w:spacing w:after="0"/>
              <w:rPr>
                <w:sz w:val="20"/>
                <w:szCs w:val="20"/>
                <w:color w:val="auto"/>
              </w:rPr>
            </w:pPr>
            <w:r>
              <w:rPr>
                <w:rFonts w:ascii="Arial" w:cs="Arial" w:eastAsia="Arial" w:hAnsi="Arial"/>
                <w:sz w:val="18"/>
                <w:szCs w:val="18"/>
                <w:color w:val="auto"/>
              </w:rPr>
              <w:t>4,218</w:t>
            </w:r>
          </w:p>
        </w:tc>
        <w:tc>
          <w:tcPr>
            <w:tcW w:w="100" w:type="dxa"/>
            <w:vAlign w:val="bottom"/>
          </w:tcPr>
          <w:p>
            <w:pPr>
              <w:spacing w:after="0"/>
              <w:rPr>
                <w:sz w:val="18"/>
                <w:szCs w:val="18"/>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16,468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19,289</w:t>
            </w:r>
          </w:p>
        </w:tc>
        <w:tc>
          <w:tcPr>
            <w:tcW w:w="50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20,176</w:t>
            </w:r>
          </w:p>
        </w:tc>
        <w:tc>
          <w:tcPr>
            <w:tcW w:w="100" w:type="dxa"/>
            <w:vAlign w:val="bottom"/>
            <w:shd w:val="clear" w:color="auto" w:fill="CCEEFF"/>
          </w:tcPr>
          <w:p>
            <w:pPr>
              <w:spacing w:after="0"/>
              <w:rPr>
                <w:sz w:val="18"/>
                <w:szCs w:val="18"/>
                <w:color w:val="auto"/>
              </w:rPr>
            </w:pPr>
          </w:p>
        </w:tc>
      </w:tr>
      <w:tr>
        <w:trPr>
          <w:trHeight w:val="222"/>
        </w:trPr>
        <w:tc>
          <w:tcPr>
            <w:tcW w:w="7640" w:type="dxa"/>
            <w:vAlign w:val="bottom"/>
          </w:tcPr>
          <w:p>
            <w:pPr>
              <w:spacing w:after="0"/>
              <w:rPr>
                <w:sz w:val="20"/>
                <w:szCs w:val="20"/>
                <w:color w:val="auto"/>
              </w:rPr>
            </w:pPr>
            <w:r>
              <w:rPr>
                <w:rFonts w:ascii="Arial" w:cs="Arial" w:eastAsia="Arial" w:hAnsi="Arial"/>
                <w:sz w:val="18"/>
                <w:szCs w:val="18"/>
                <w:color w:val="auto"/>
              </w:rPr>
              <w:t>Total</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43,429</w:t>
            </w:r>
          </w:p>
        </w:tc>
        <w:tc>
          <w:tcPr>
            <w:tcW w:w="1580" w:type="dxa"/>
            <w:vAlign w:val="bottom"/>
            <w:gridSpan w:val="3"/>
          </w:tcPr>
          <w:p>
            <w:pPr>
              <w:jc w:val="right"/>
              <w:ind w:right="5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36,631</w:t>
            </w:r>
          </w:p>
        </w:tc>
        <w:tc>
          <w:tcPr>
            <w:tcW w:w="580" w:type="dxa"/>
            <w:vAlign w:val="bottom"/>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44,455</w:t>
            </w:r>
          </w:p>
        </w:tc>
        <w:tc>
          <w:tcPr>
            <w:tcW w:w="100" w:type="dxa"/>
            <w:vAlign w:val="bottom"/>
          </w:tcPr>
          <w:p>
            <w:pPr>
              <w:spacing w:after="0"/>
              <w:rPr>
                <w:sz w:val="19"/>
                <w:szCs w:val="19"/>
                <w:color w:val="auto"/>
              </w:rPr>
            </w:pPr>
          </w:p>
        </w:tc>
      </w:tr>
      <w:tr>
        <w:trPr>
          <w:trHeight w:val="20"/>
        </w:trPr>
        <w:tc>
          <w:tcPr>
            <w:tcW w:w="76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8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total income tax benefit recognized in the income statement for stock-based compensation (including restricted shares) for fiscal 2012, 2011 and 2010 was $6,254, $2,350 and $3,677, respectively.</w:t>
      </w:r>
    </w:p>
    <w:p>
      <w:pPr>
        <w:spacing w:after="0" w:line="51"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As of September 30, 2012, there was $41,911 of unrecognized compensation expense related to unvested stock options and unvested restricted stock awards. The Company recognizes compensation costs using the graded vesting attribution method, which results in a weighted average period of approximately one year over which the unrecognized compensation expense is expected to be recognized.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1"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The fair value of options granted was estimated on the date of grant using the Black-Scholes pricing model with the assumptions noted in the following table (all in weighted averages for options granted during the year):</w:t>
      </w:r>
    </w:p>
    <w:p>
      <w:pPr>
        <w:spacing w:after="0" w:line="11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0"/>
              </w:rPr>
              <w:t>Year Ended September 30,</w:t>
            </w: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4880" w:type="dxa"/>
            <w:vAlign w:val="bottom"/>
            <w:tcBorders>
              <w:bottom w:val="single" w:sz="8" w:color="CCEEFF"/>
            </w:tcBorders>
          </w:tcPr>
          <w:p>
            <w:pPr>
              <w:spacing w:after="0"/>
              <w:rPr>
                <w:sz w:val="12"/>
                <w:szCs w:val="12"/>
                <w:color w:val="auto"/>
              </w:rPr>
            </w:pPr>
          </w:p>
        </w:tc>
        <w:tc>
          <w:tcPr>
            <w:tcW w:w="256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2011</w:t>
            </w: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2010</w:t>
            </w:r>
          </w:p>
        </w:tc>
        <w:tc>
          <w:tcPr>
            <w:tcW w:w="200" w:type="dxa"/>
            <w:vAlign w:val="bottom"/>
            <w:tcBorders>
              <w:bottom w:val="single" w:sz="8" w:color="CCEEFF"/>
            </w:tcBorders>
          </w:tcPr>
          <w:p>
            <w:pPr>
              <w:spacing w:after="0"/>
              <w:rPr>
                <w:sz w:val="12"/>
                <w:szCs w:val="12"/>
                <w:color w:val="auto"/>
              </w:rPr>
            </w:pPr>
          </w:p>
        </w:tc>
      </w:tr>
      <w:tr>
        <w:trPr>
          <w:trHeight w:val="210"/>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Risk-free interest rate(1)</w:t>
            </w:r>
          </w:p>
        </w:tc>
        <w:tc>
          <w:tcPr>
            <w:tcW w:w="25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0.70%</w:t>
            </w:r>
          </w:p>
        </w:tc>
        <w:tc>
          <w:tcPr>
            <w:tcW w:w="5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Expected life of stock options(2)</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c>
          <w:tcPr>
            <w:tcW w:w="1020" w:type="dxa"/>
            <w:vAlign w:val="bottom"/>
            <w:gridSpan w:val="2"/>
          </w:tcPr>
          <w:p>
            <w:pPr>
              <w:ind w:left="720"/>
              <w:spacing w:after="0"/>
              <w:rPr>
                <w:sz w:val="20"/>
                <w:szCs w:val="20"/>
                <w:color w:val="auto"/>
              </w:rPr>
            </w:pPr>
            <w:r>
              <w:rPr>
                <w:rFonts w:ascii="Arial" w:cs="Arial" w:eastAsia="Arial" w:hAnsi="Arial"/>
                <w:sz w:val="18"/>
                <w:szCs w:val="18"/>
                <w:color w:val="auto"/>
                <w:w w:val="79"/>
              </w:rPr>
              <w:t>4.50</w:t>
            </w:r>
          </w:p>
        </w:tc>
        <w:tc>
          <w:tcPr>
            <w:tcW w:w="66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4.32</w:t>
            </w:r>
          </w:p>
        </w:tc>
        <w:tc>
          <w:tcPr>
            <w:tcW w:w="20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volatility(3)</w:t>
            </w:r>
          </w:p>
        </w:tc>
        <w:tc>
          <w:tcPr>
            <w:tcW w:w="31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28.5%</w:t>
            </w:r>
          </w:p>
        </w:tc>
        <w:tc>
          <w:tcPr>
            <w:tcW w:w="1680" w:type="dxa"/>
            <w:vAlign w:val="bottom"/>
            <w:gridSpan w:val="3"/>
            <w:shd w:val="clear" w:color="auto" w:fill="CCEEFF"/>
          </w:tcPr>
          <w:p>
            <w:pPr>
              <w:ind w:left="720"/>
              <w:spacing w:after="0"/>
              <w:rPr>
                <w:sz w:val="20"/>
                <w:szCs w:val="20"/>
                <w:color w:val="auto"/>
              </w:rPr>
            </w:pPr>
            <w:r>
              <w:rPr>
                <w:rFonts w:ascii="Arial" w:cs="Arial" w:eastAsia="Arial" w:hAnsi="Arial"/>
                <w:sz w:val="18"/>
                <w:szCs w:val="18"/>
                <w:color w:val="auto"/>
              </w:rPr>
              <w:t>30.5%</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31.5%</w:t>
            </w:r>
          </w:p>
        </w:tc>
      </w:tr>
      <w:tr>
        <w:trPr>
          <w:trHeight w:val="216"/>
        </w:trPr>
        <w:tc>
          <w:tcPr>
            <w:tcW w:w="4880" w:type="dxa"/>
            <w:vAlign w:val="bottom"/>
          </w:tcPr>
          <w:p>
            <w:pPr>
              <w:spacing w:after="0"/>
              <w:rPr>
                <w:sz w:val="20"/>
                <w:szCs w:val="20"/>
                <w:color w:val="auto"/>
              </w:rPr>
            </w:pPr>
            <w:r>
              <w:rPr>
                <w:rFonts w:ascii="Arial" w:cs="Arial" w:eastAsia="Arial" w:hAnsi="Arial"/>
                <w:sz w:val="18"/>
                <w:szCs w:val="18"/>
                <w:color w:val="auto"/>
              </w:rPr>
              <w:t>Expected dividend yield(4)</w:t>
            </w:r>
          </w:p>
        </w:tc>
        <w:tc>
          <w:tcPr>
            <w:tcW w:w="3160" w:type="dxa"/>
            <w:vAlign w:val="bottom"/>
            <w:gridSpan w:val="3"/>
          </w:tcPr>
          <w:p>
            <w:pPr>
              <w:jc w:val="right"/>
              <w:ind w:right="60"/>
              <w:spacing w:after="0"/>
              <w:rPr>
                <w:sz w:val="20"/>
                <w:szCs w:val="20"/>
                <w:color w:val="auto"/>
              </w:rPr>
            </w:pPr>
            <w:r>
              <w:rPr>
                <w:rFonts w:ascii="Arial" w:cs="Arial" w:eastAsia="Arial" w:hAnsi="Arial"/>
                <w:sz w:val="18"/>
                <w:szCs w:val="18"/>
                <w:color w:val="auto"/>
              </w:rPr>
              <w:t>0.02%</w:t>
            </w:r>
          </w:p>
        </w:tc>
        <w:tc>
          <w:tcPr>
            <w:tcW w:w="540" w:type="dxa"/>
            <w:vAlign w:val="bottom"/>
          </w:tcPr>
          <w:p>
            <w:pPr>
              <w:spacing w:after="0"/>
              <w:rPr>
                <w:sz w:val="18"/>
                <w:szCs w:val="18"/>
                <w:color w:val="auto"/>
              </w:rPr>
            </w:pPr>
          </w:p>
        </w:tc>
        <w:tc>
          <w:tcPr>
            <w:tcW w:w="1140" w:type="dxa"/>
            <w:vAlign w:val="bottom"/>
            <w:gridSpan w:val="2"/>
          </w:tcPr>
          <w:p>
            <w:pPr>
              <w:ind w:left="100"/>
              <w:spacing w:after="0"/>
              <w:rPr>
                <w:sz w:val="20"/>
                <w:szCs w:val="20"/>
                <w:color w:val="auto"/>
              </w:rPr>
            </w:pPr>
            <w:r>
              <w:rPr>
                <w:rFonts w:ascii="Arial" w:cs="Arial" w:eastAsia="Arial" w:hAnsi="Arial"/>
                <w:sz w:val="18"/>
                <w:szCs w:val="18"/>
                <w:color w:val="auto"/>
              </w:rPr>
              <w:t>None</w:t>
            </w:r>
          </w:p>
        </w:tc>
        <w:tc>
          <w:tcPr>
            <w:tcW w:w="100" w:type="dxa"/>
            <w:vAlign w:val="bottom"/>
          </w:tcPr>
          <w:p>
            <w:pPr>
              <w:spacing w:after="0"/>
              <w:rPr>
                <w:sz w:val="18"/>
                <w:szCs w:val="18"/>
                <w:color w:val="auto"/>
              </w:rPr>
            </w:pPr>
          </w:p>
        </w:tc>
        <w:tc>
          <w:tcPr>
            <w:tcW w:w="680" w:type="dxa"/>
            <w:vAlign w:val="bottom"/>
            <w:gridSpan w:val="2"/>
          </w:tcPr>
          <w:p>
            <w:pPr>
              <w:ind w:left="100"/>
              <w:spacing w:after="0"/>
              <w:rPr>
                <w:sz w:val="20"/>
                <w:szCs w:val="20"/>
                <w:color w:val="auto"/>
              </w:rPr>
            </w:pPr>
            <w:r>
              <w:rPr>
                <w:rFonts w:ascii="Arial" w:cs="Arial" w:eastAsia="Arial" w:hAnsi="Arial"/>
                <w:sz w:val="18"/>
                <w:szCs w:val="18"/>
                <w:color w:val="auto"/>
              </w:rPr>
              <w:t>None</w:t>
            </w:r>
          </w:p>
        </w:tc>
      </w:tr>
      <w:tr>
        <w:trPr>
          <w:trHeight w:val="216"/>
        </w:trPr>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2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$ 7.76</w:t>
            </w:r>
          </w:p>
        </w:tc>
        <w:tc>
          <w:tcPr>
            <w:tcW w:w="6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$ 7.66</w:t>
            </w:r>
          </w:p>
        </w:tc>
        <w:tc>
          <w:tcPr>
            <w:tcW w:w="2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94361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01"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Company’s employee stock options.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Expected volatility is based on blended volatility. Please see Note 2 to the consolidated financial statements.</w:t>
      </w:r>
    </w:p>
    <w:p>
      <w:pPr>
        <w:spacing w:after="0" w:line="63" w:lineRule="exact"/>
        <w:rPr>
          <w:rFonts w:ascii="Arial" w:cs="Arial" w:eastAsia="Arial" w:hAnsi="Arial"/>
          <w:sz w:val="18"/>
          <w:szCs w:val="18"/>
          <w:color w:val="auto"/>
        </w:rPr>
      </w:pPr>
    </w:p>
    <w:p>
      <w:pPr>
        <w:ind w:left="340" w:hanging="332"/>
        <w:spacing w:after="0"/>
        <w:tabs>
          <w:tab w:leader="none" w:pos="3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 Earnings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0"/>
              </w:rPr>
              <w:t>Year Ended September 30,</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2012</w:t>
            </w:r>
          </w:p>
        </w:tc>
        <w:tc>
          <w:tcPr>
            <w:tcW w:w="6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2011</w:t>
            </w: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Numerator for diluted earnings per share</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2"/>
              </w:rPr>
              <w:t>391,371</w:t>
            </w:r>
          </w:p>
        </w:tc>
        <w:tc>
          <w:tcPr>
            <w:tcW w:w="56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346,665</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343,906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w w:val="91"/>
              </w:rPr>
              <w:t>Denominator for basic earnings per share — weighted average number of shares outstanding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82"/>
              </w:rPr>
              <w:t>168,275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185,213</w:t>
            </w: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202,584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Effect of assumed conversion of 0.50% convertible notes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20" w:type="dxa"/>
            <w:vAlign w:val="bottom"/>
          </w:tcPr>
          <w:p>
            <w:pPr>
              <w:ind w:left="200"/>
              <w:spacing w:after="0"/>
              <w:rPr>
                <w:sz w:val="20"/>
                <w:szCs w:val="20"/>
                <w:color w:val="auto"/>
              </w:rPr>
            </w:pPr>
            <w:r>
              <w:rPr>
                <w:rFonts w:ascii="Arial" w:cs="Arial" w:eastAsia="Arial" w:hAnsi="Arial"/>
                <w:sz w:val="18"/>
                <w:szCs w:val="18"/>
                <w:color w:val="auto"/>
              </w:rPr>
              <w:t>Effect of dilutive stock options granted</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1,138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1,322</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w w:val="92"/>
              </w:rPr>
              <w:t>Denominator for dilutive earnings per share — adjusted weighted average shares and assumed</w:t>
            </w: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conversions</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2"/>
              </w:rPr>
              <w:t>169,437</w:t>
            </w: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6"/>
              </w:rPr>
              <w:t>186,559</w:t>
            </w:r>
          </w:p>
        </w:tc>
        <w:tc>
          <w:tcPr>
            <w:tcW w:w="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204,076</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share</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040" w:type="dxa"/>
            <w:vAlign w:val="bottom"/>
            <w:gridSpan w:val="2"/>
            <w:vMerge w:val="continue"/>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33</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87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r>
              <w:rPr>
                <w:rFonts w:ascii="Arial" w:cs="Arial" w:eastAsia="Arial" w:hAnsi="Arial"/>
                <w:sz w:val="18"/>
                <w:szCs w:val="18"/>
                <w:u w:val="single" w:color="auto"/>
                <w:color w:val="auto"/>
              </w:rPr>
              <w:t>31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86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weighted average effect of the repurchase of ordinary shares by the Company has been included in the calculation of basic earnings per share.</w:t>
      </w:r>
    </w:p>
    <w:p>
      <w:pPr>
        <w:spacing w:after="0" w:line="11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For the fiscal year ended September 30, 2012, 2011 and 2010, 12,313, 14,970 and 16,201 shares, respectively were attributable to antidilutive outstanding stock options and therefore were not included in the calculation of diluted earnings per share.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 Segment Information and Sales to Significant Customers</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Company and its subsidiaries operate in one operating segment, providing software products and services for the communications, media and entertainment industry service providers.</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80"/>
          </w:cols>
          <w:pgMar w:left="240" w:top="459" w:right="3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following is a summary of revenue and long-lived assets by geographic area. Revenue is attributed to geographic region based on the location of the customers.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b w:val="1"/>
                <w:bCs w:val="1"/>
                <w:color w:val="auto"/>
                <w:w w:val="92"/>
              </w:rPr>
              <w:t>Year Ended September 30,</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840" w:type="dxa"/>
            <w:vAlign w:val="bottom"/>
            <w:gridSpan w:val="3"/>
          </w:tcPr>
          <w:p>
            <w:pPr>
              <w:jc w:val="right"/>
              <w:ind w:right="222"/>
              <w:spacing w:after="0" w:line="142" w:lineRule="exact"/>
              <w:rPr>
                <w:sz w:val="20"/>
                <w:szCs w:val="20"/>
                <w:color w:val="auto"/>
              </w:rPr>
            </w:pPr>
            <w:r>
              <w:rPr>
                <w:rFonts w:ascii="Arial" w:cs="Arial" w:eastAsia="Arial" w:hAnsi="Arial"/>
                <w:sz w:val="14"/>
                <w:szCs w:val="14"/>
                <w:b w:val="1"/>
                <w:bCs w:val="1"/>
                <w:color w:val="auto"/>
              </w:rPr>
              <w:t>2012</w:t>
            </w: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3"/>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76"/>
        </w:trPr>
        <w:tc>
          <w:tcPr>
            <w:tcW w:w="460" w:type="dxa"/>
            <w:vAlign w:val="bottom"/>
          </w:tcPr>
          <w:p>
            <w:pPr>
              <w:spacing w:after="0"/>
              <w:rPr>
                <w:sz w:val="15"/>
                <w:szCs w:val="15"/>
                <w:color w:val="auto"/>
              </w:rPr>
            </w:pPr>
          </w:p>
        </w:tc>
        <w:tc>
          <w:tcPr>
            <w:tcW w:w="660" w:type="dxa"/>
            <w:vAlign w:val="bottom"/>
            <w:tcBorders>
              <w:top w:val="single" w:sz="8" w:color="CCEEFF"/>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Revenue</w:t>
            </w:r>
          </w:p>
        </w:tc>
        <w:tc>
          <w:tcPr>
            <w:tcW w:w="4100" w:type="dxa"/>
            <w:vAlign w:val="bottom"/>
            <w:tcBorders>
              <w:top w:val="single" w:sz="8" w:color="CCEEFF"/>
              <w:bottom w:val="single" w:sz="8" w:color="CCEEFF"/>
            </w:tcBorders>
            <w:gridSpan w:val="3"/>
            <w:shd w:val="clear" w:color="auto" w:fill="CCEEFF"/>
          </w:tcPr>
          <w:p>
            <w:pPr>
              <w:spacing w:after="0"/>
              <w:rPr>
                <w:sz w:val="15"/>
                <w:szCs w:val="15"/>
                <w:color w:val="auto"/>
              </w:rPr>
            </w:pPr>
          </w:p>
        </w:tc>
        <w:tc>
          <w:tcPr>
            <w:tcW w:w="206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2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CCEEFF"/>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North America (Mainly United States)</w:t>
            </w:r>
          </w:p>
        </w:tc>
        <w:tc>
          <w:tcPr>
            <w:tcW w:w="3260" w:type="dxa"/>
            <w:vAlign w:val="bottom"/>
            <w:gridSpan w:val="5"/>
          </w:tcPr>
          <w:p>
            <w:pPr>
              <w:jc w:val="right"/>
              <w:ind w:right="292"/>
              <w:spacing w:after="0"/>
              <w:rPr>
                <w:sz w:val="20"/>
                <w:szCs w:val="20"/>
                <w:color w:val="auto"/>
              </w:rPr>
            </w:pPr>
            <w:r>
              <w:rPr>
                <w:rFonts w:ascii="Arial" w:cs="Arial" w:eastAsia="Arial" w:hAnsi="Arial"/>
                <w:sz w:val="18"/>
                <w:szCs w:val="18"/>
                <w:color w:val="auto"/>
              </w:rPr>
              <w:t>$ 2,266,110</w:t>
            </w:r>
          </w:p>
        </w:tc>
        <w:tc>
          <w:tcPr>
            <w:tcW w:w="1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88"/>
              </w:rPr>
              <w:t>$ 2,333,096</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w w:val="92"/>
              </w:rPr>
              <w:t>$ 2,261,925</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Europe</w:t>
            </w:r>
          </w:p>
        </w:tc>
        <w:tc>
          <w:tcPr>
            <w:tcW w:w="3260" w:type="dxa"/>
            <w:vAlign w:val="bottom"/>
            <w:gridSpan w:val="5"/>
            <w:shd w:val="clear" w:color="auto" w:fill="CCEEFF"/>
          </w:tcPr>
          <w:p>
            <w:pPr>
              <w:jc w:val="right"/>
              <w:ind w:right="292"/>
              <w:spacing w:after="0"/>
              <w:rPr>
                <w:sz w:val="20"/>
                <w:szCs w:val="20"/>
                <w:color w:val="auto"/>
              </w:rPr>
            </w:pPr>
            <w:r>
              <w:rPr>
                <w:rFonts w:ascii="Arial" w:cs="Arial" w:eastAsia="Arial" w:hAnsi="Arial"/>
                <w:sz w:val="18"/>
                <w:szCs w:val="18"/>
                <w:color w:val="auto"/>
              </w:rPr>
              <w:t>441,731</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403,115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353,239</w:t>
            </w:r>
          </w:p>
        </w:tc>
        <w:tc>
          <w:tcPr>
            <w:tcW w:w="100" w:type="dxa"/>
            <w:vAlign w:val="bottom"/>
            <w:shd w:val="clear" w:color="auto" w:fill="CCEEFF"/>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Rest of the world</w:t>
            </w:r>
          </w:p>
        </w:tc>
        <w:tc>
          <w:tcPr>
            <w:tcW w:w="2060" w:type="dxa"/>
            <w:vAlign w:val="bottom"/>
          </w:tcPr>
          <w:p>
            <w:pPr>
              <w:spacing w:after="0"/>
              <w:rPr>
                <w:sz w:val="19"/>
                <w:szCs w:val="19"/>
                <w:color w:val="auto"/>
              </w:rPr>
            </w:pPr>
          </w:p>
        </w:tc>
        <w:tc>
          <w:tcPr>
            <w:tcW w:w="8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539,062</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441,517</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369,059</w:t>
            </w:r>
          </w:p>
        </w:tc>
        <w:tc>
          <w:tcPr>
            <w:tcW w:w="10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w:t>
            </w:r>
          </w:p>
        </w:tc>
        <w:tc>
          <w:tcPr>
            <w:tcW w:w="3260" w:type="dxa"/>
            <w:vAlign w:val="bottom"/>
            <w:gridSpan w:val="5"/>
            <w:shd w:val="clear" w:color="auto" w:fill="CCEEFF"/>
          </w:tcPr>
          <w:p>
            <w:pPr>
              <w:jc w:val="right"/>
              <w:ind w:right="292"/>
              <w:spacing w:after="0"/>
              <w:rPr>
                <w:sz w:val="20"/>
                <w:szCs w:val="20"/>
                <w:color w:val="auto"/>
              </w:rPr>
            </w:pPr>
            <w:r>
              <w:rPr>
                <w:rFonts w:ascii="Arial" w:cs="Arial" w:eastAsia="Arial" w:hAnsi="Arial"/>
                <w:sz w:val="18"/>
                <w:szCs w:val="18"/>
                <w:color w:val="auto"/>
              </w:rPr>
              <w:t>$ 3,246,903</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$ 3,177,728</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$ 2,984,223</w:t>
            </w:r>
          </w:p>
        </w:tc>
        <w:tc>
          <w:tcPr>
            <w:tcW w:w="100" w:type="dxa"/>
            <w:vAlign w:val="bottom"/>
            <w:shd w:val="clear" w:color="auto" w:fill="CCEEFF"/>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5"/>
        </w:trPr>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ind w:left="140"/>
              <w:spacing w:after="0"/>
              <w:rPr>
                <w:sz w:val="20"/>
                <w:szCs w:val="20"/>
                <w:color w:val="auto"/>
              </w:rPr>
            </w:pPr>
            <w:r>
              <w:rPr>
                <w:rFonts w:ascii="Arial" w:cs="Arial" w:eastAsia="Arial" w:hAnsi="Arial"/>
                <w:sz w:val="14"/>
                <w:szCs w:val="14"/>
                <w:b w:val="1"/>
                <w:bCs w:val="1"/>
                <w:color w:val="auto"/>
                <w:w w:val="87"/>
              </w:rPr>
              <w:t>As of September 30,</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620" w:type="dxa"/>
            <w:vAlign w:val="bottom"/>
            <w:gridSpan w:val="3"/>
          </w:tcPr>
          <w:p>
            <w:pPr>
              <w:spacing w:after="0"/>
              <w:rPr>
                <w:sz w:val="12"/>
                <w:szCs w:val="12"/>
                <w:color w:val="auto"/>
              </w:rPr>
            </w:pPr>
          </w:p>
        </w:tc>
        <w:tc>
          <w:tcPr>
            <w:tcW w:w="640" w:type="dxa"/>
            <w:vAlign w:val="bottom"/>
            <w:gridSpan w:val="2"/>
          </w:tcPr>
          <w:p>
            <w:pPr>
              <w:jc w:val="right"/>
              <w:ind w:right="132"/>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3"/>
          </w:tcPr>
          <w:p>
            <w:pPr>
              <w:jc w:val="right"/>
              <w:ind w:right="1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176"/>
        </w:trPr>
        <w:tc>
          <w:tcPr>
            <w:tcW w:w="460" w:type="dxa"/>
            <w:vAlign w:val="bottom"/>
          </w:tcPr>
          <w:p>
            <w:pPr>
              <w:spacing w:after="0"/>
              <w:rPr>
                <w:sz w:val="15"/>
                <w:szCs w:val="15"/>
                <w:color w:val="auto"/>
              </w:rPr>
            </w:pPr>
          </w:p>
        </w:tc>
        <w:tc>
          <w:tcPr>
            <w:tcW w:w="1540" w:type="dxa"/>
            <w:vAlign w:val="bottom"/>
            <w:tcBorders>
              <w:top w:val="single" w:sz="8" w:color="CCEEFF"/>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5"/>
              </w:rPr>
              <w:t>Long-lived Assets(1)</w:t>
            </w:r>
          </w:p>
        </w:tc>
        <w:tc>
          <w:tcPr>
            <w:tcW w:w="3220" w:type="dxa"/>
            <w:vAlign w:val="bottom"/>
            <w:tcBorders>
              <w:top w:val="single" w:sz="8" w:color="CCEEFF"/>
              <w:bottom w:val="single" w:sz="8" w:color="CCEEFF"/>
            </w:tcBorders>
            <w:shd w:val="clear" w:color="auto" w:fill="CCEEFF"/>
          </w:tcPr>
          <w:p>
            <w:pPr>
              <w:spacing w:after="0"/>
              <w:rPr>
                <w:sz w:val="15"/>
                <w:szCs w:val="15"/>
                <w:color w:val="auto"/>
              </w:rPr>
            </w:pPr>
          </w:p>
        </w:tc>
        <w:tc>
          <w:tcPr>
            <w:tcW w:w="206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CCEEFF"/>
            </w:tcBorders>
            <w:shd w:val="clear" w:color="auto" w:fill="CCEEFF"/>
          </w:tcPr>
          <w:p>
            <w:pPr>
              <w:spacing w:after="0"/>
              <w:rPr>
                <w:sz w:val="15"/>
                <w:szCs w:val="15"/>
                <w:color w:val="auto"/>
              </w:rPr>
            </w:pP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48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CCEEFF"/>
            </w:tcBorders>
            <w:shd w:val="clear" w:color="auto" w:fill="CCEEFF"/>
          </w:tcPr>
          <w:p>
            <w:pPr>
              <w:spacing w:after="0"/>
              <w:rPr>
                <w:sz w:val="15"/>
                <w:szCs w:val="15"/>
                <w:color w:val="auto"/>
              </w:rPr>
            </w:pP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North America (Mainly United States)</w:t>
            </w:r>
          </w:p>
        </w:tc>
        <w:tc>
          <w:tcPr>
            <w:tcW w:w="3260" w:type="dxa"/>
            <w:vAlign w:val="bottom"/>
            <w:gridSpan w:val="5"/>
          </w:tcPr>
          <w:p>
            <w:pPr>
              <w:jc w:val="right"/>
              <w:spacing w:after="0"/>
              <w:rPr>
                <w:sz w:val="20"/>
                <w:szCs w:val="20"/>
                <w:color w:val="auto"/>
              </w:rPr>
            </w:pPr>
            <w:r>
              <w:rPr>
                <w:rFonts w:ascii="Arial" w:cs="Arial" w:eastAsia="Arial" w:hAnsi="Arial"/>
                <w:sz w:val="18"/>
                <w:szCs w:val="18"/>
                <w:color w:val="auto"/>
              </w:rPr>
              <w:t>$ 83,645</w:t>
            </w:r>
          </w:p>
        </w:tc>
        <w:tc>
          <w:tcPr>
            <w:tcW w:w="140" w:type="dxa"/>
            <w:vAlign w:val="bottom"/>
          </w:tcPr>
          <w:p>
            <w:pPr>
              <w:spacing w:after="0"/>
              <w:rPr>
                <w:sz w:val="18"/>
                <w:szCs w:val="18"/>
                <w:color w:val="auto"/>
              </w:rPr>
            </w:pP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$102,739</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$129,929</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Europe</w:t>
            </w:r>
          </w:p>
        </w:tc>
        <w:tc>
          <w:tcPr>
            <w:tcW w:w="3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65,746</w:t>
            </w:r>
          </w:p>
        </w:tc>
        <w:tc>
          <w:tcPr>
            <w:tcW w:w="14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47,717</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35,353</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tcPr>
          <w:p>
            <w:pPr>
              <w:spacing w:after="0"/>
              <w:rPr>
                <w:sz w:val="20"/>
                <w:szCs w:val="20"/>
                <w:color w:val="auto"/>
              </w:rPr>
            </w:pPr>
            <w:r>
              <w:rPr>
                <w:rFonts w:ascii="Arial" w:cs="Arial" w:eastAsia="Arial" w:hAnsi="Arial"/>
                <w:sz w:val="18"/>
                <w:szCs w:val="18"/>
                <w:color w:val="auto"/>
              </w:rPr>
              <w:t>Rest of the world:</w:t>
            </w:r>
          </w:p>
        </w:tc>
        <w:tc>
          <w:tcPr>
            <w:tcW w:w="20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Israel</w:t>
            </w:r>
          </w:p>
        </w:tc>
        <w:tc>
          <w:tcPr>
            <w:tcW w:w="3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51,086</w:t>
            </w:r>
          </w:p>
        </w:tc>
        <w:tc>
          <w:tcPr>
            <w:tcW w:w="14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45,669</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40,717</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tcPr>
          <w:p>
            <w:pPr>
              <w:ind w:left="220"/>
              <w:spacing w:after="0"/>
              <w:rPr>
                <w:sz w:val="20"/>
                <w:szCs w:val="20"/>
                <w:color w:val="auto"/>
              </w:rPr>
            </w:pPr>
            <w:r>
              <w:rPr>
                <w:rFonts w:ascii="Arial" w:cs="Arial" w:eastAsia="Arial" w:hAnsi="Arial"/>
                <w:sz w:val="18"/>
                <w:szCs w:val="18"/>
                <w:color w:val="auto"/>
              </w:rPr>
              <w:t>India</w:t>
            </w:r>
          </w:p>
        </w:tc>
        <w:tc>
          <w:tcPr>
            <w:tcW w:w="3260" w:type="dxa"/>
            <w:vAlign w:val="bottom"/>
            <w:gridSpan w:val="5"/>
          </w:tcPr>
          <w:p>
            <w:pPr>
              <w:jc w:val="right"/>
              <w:spacing w:after="0"/>
              <w:rPr>
                <w:sz w:val="20"/>
                <w:szCs w:val="20"/>
                <w:color w:val="auto"/>
              </w:rPr>
            </w:pPr>
            <w:r>
              <w:rPr>
                <w:rFonts w:ascii="Arial" w:cs="Arial" w:eastAsia="Arial" w:hAnsi="Arial"/>
                <w:sz w:val="18"/>
                <w:szCs w:val="18"/>
                <w:color w:val="auto"/>
              </w:rPr>
              <w:t>29,401</w:t>
            </w:r>
          </w:p>
        </w:tc>
        <w:tc>
          <w:tcPr>
            <w:tcW w:w="140" w:type="dxa"/>
            <w:vAlign w:val="bottom"/>
          </w:tcPr>
          <w:p>
            <w:pPr>
              <w:spacing w:after="0"/>
              <w:rPr>
                <w:sz w:val="18"/>
                <w:szCs w:val="18"/>
                <w:color w:val="auto"/>
              </w:rPr>
            </w:pPr>
          </w:p>
        </w:tc>
        <w:tc>
          <w:tcPr>
            <w:tcW w:w="1340" w:type="dxa"/>
            <w:vAlign w:val="bottom"/>
            <w:gridSpan w:val="4"/>
          </w:tcPr>
          <w:p>
            <w:pPr>
              <w:jc w:val="right"/>
              <w:ind w:right="280"/>
              <w:spacing w:after="0"/>
              <w:rPr>
                <w:sz w:val="20"/>
                <w:szCs w:val="20"/>
                <w:color w:val="auto"/>
              </w:rPr>
            </w:pPr>
            <w:r>
              <w:rPr>
                <w:rFonts w:ascii="Arial" w:cs="Arial" w:eastAsia="Arial" w:hAnsi="Arial"/>
                <w:sz w:val="18"/>
                <w:szCs w:val="18"/>
                <w:color w:val="auto"/>
              </w:rPr>
              <w:t>35,071</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36,322</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476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Others</w:t>
            </w:r>
          </w:p>
        </w:tc>
        <w:tc>
          <w:tcPr>
            <w:tcW w:w="2620" w:type="dxa"/>
            <w:vAlign w:val="bottom"/>
            <w:gridSpan w:val="3"/>
            <w:shd w:val="clear" w:color="auto" w:fill="CCEEFF"/>
          </w:tcPr>
          <w:p>
            <w:pPr>
              <w:spacing w:after="0"/>
              <w:rPr>
                <w:sz w:val="18"/>
                <w:szCs w:val="18"/>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48,029</w:t>
            </w: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27,206</w:t>
            </w:r>
          </w:p>
        </w:tc>
        <w:tc>
          <w:tcPr>
            <w:tcW w:w="2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15,952</w:t>
            </w:r>
          </w:p>
        </w:tc>
        <w:tc>
          <w:tcPr>
            <w:tcW w:w="100" w:type="dxa"/>
            <w:vAlign w:val="bottom"/>
            <w:shd w:val="clear" w:color="auto" w:fill="CCEEFF"/>
          </w:tcPr>
          <w:p>
            <w:pPr>
              <w:spacing w:after="0"/>
              <w:rPr>
                <w:sz w:val="18"/>
                <w:szCs w:val="18"/>
                <w:color w:val="auto"/>
              </w:rPr>
            </w:pPr>
          </w:p>
        </w:tc>
      </w:tr>
      <w:tr>
        <w:trPr>
          <w:trHeight w:val="222"/>
        </w:trPr>
        <w:tc>
          <w:tcPr>
            <w:tcW w:w="5220" w:type="dxa"/>
            <w:vAlign w:val="bottom"/>
            <w:gridSpan w:val="5"/>
          </w:tcPr>
          <w:p>
            <w:pPr>
              <w:ind w:left="460"/>
              <w:spacing w:after="0"/>
              <w:rPr>
                <w:sz w:val="20"/>
                <w:szCs w:val="20"/>
                <w:color w:val="auto"/>
              </w:rPr>
            </w:pPr>
            <w:r>
              <w:rPr>
                <w:rFonts w:ascii="Arial" w:cs="Arial" w:eastAsia="Arial" w:hAnsi="Arial"/>
                <w:sz w:val="18"/>
                <w:szCs w:val="18"/>
                <w:color w:val="auto"/>
              </w:rPr>
              <w:t>Total</w:t>
            </w:r>
          </w:p>
        </w:tc>
        <w:tc>
          <w:tcPr>
            <w:tcW w:w="32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277,907</w:t>
            </w:r>
          </w:p>
        </w:tc>
        <w:tc>
          <w:tcPr>
            <w:tcW w:w="140" w:type="dxa"/>
            <w:vAlign w:val="bottom"/>
          </w:tcPr>
          <w:p>
            <w:pPr>
              <w:spacing w:after="0"/>
              <w:rPr>
                <w:sz w:val="19"/>
                <w:szCs w:val="19"/>
                <w:color w:val="auto"/>
              </w:rPr>
            </w:pPr>
          </w:p>
        </w:tc>
        <w:tc>
          <w:tcPr>
            <w:tcW w:w="1340" w:type="dxa"/>
            <w:vAlign w:val="bottom"/>
            <w:gridSpan w:val="4"/>
          </w:tcPr>
          <w:p>
            <w:pPr>
              <w:jc w:val="right"/>
              <w:ind w:right="2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258,402</w:t>
            </w:r>
          </w:p>
        </w:tc>
        <w:tc>
          <w:tcPr>
            <w:tcW w:w="900" w:type="dxa"/>
            <w:vAlign w:val="bottom"/>
            <w:gridSpan w:val="3"/>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258,273</w:t>
            </w:r>
          </w:p>
        </w:tc>
        <w:tc>
          <w:tcPr>
            <w:tcW w:w="100" w:type="dxa"/>
            <w:vAlign w:val="bottom"/>
          </w:tcPr>
          <w:p>
            <w:pPr>
              <w:spacing w:after="0"/>
              <w:rPr>
                <w:sz w:val="19"/>
                <w:szCs w:val="19"/>
                <w:color w:val="auto"/>
              </w:rPr>
            </w:pPr>
          </w:p>
        </w:tc>
      </w:tr>
      <w:tr>
        <w:trPr>
          <w:trHeight w:val="20"/>
        </w:trPr>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3"/>
        </w:trPr>
        <w:tc>
          <w:tcPr>
            <w:tcW w:w="4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0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r>
    </w:tbl>
    <w:p>
      <w:pPr>
        <w:spacing w:after="0" w:line="19"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Includes equipment and leasehold improvements.</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Revenue and Customer Information</w:t>
      </w:r>
    </w:p>
    <w:p>
      <w:pPr>
        <w:spacing w:after="0" w:line="90"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Customer experience systems include the following offerings: revenue management (convergent charging and billing, mediation, and partner relationship management), customer management (customer care, and sales and ordering), operations support systems (OSS) (network planning, service fulfillment, service assurance, inventory and discovery, service order management and OSS systems integration services), service delivery (convergent service platform, digital services and convergent applications), portfolio enablers and network control. Customer experience systems also include a comprehensive line of services such as consulting, delivery and managed services, system implementation, integration, modification, consolidation, modernization and ongoing support, enhancement and maintenance. Directory includes comprehensive set of products and services for local marketing service providers and search and directory publishers.</w:t>
      </w:r>
    </w:p>
    <w:p>
      <w:pPr>
        <w:spacing w:after="0" w:line="8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w w:val="89"/>
              </w:rPr>
              <w:t>Year Ended September 30,</w:t>
            </w: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840" w:type="dxa"/>
            <w:vAlign w:val="bottom"/>
          </w:tcPr>
          <w:p>
            <w:pPr>
              <w:jc w:val="right"/>
              <w:ind w:right="219"/>
              <w:spacing w:after="0" w:line="142" w:lineRule="exact"/>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2"/>
                <w:szCs w:val="12"/>
                <w:color w:val="auto"/>
              </w:rPr>
            </w:pPr>
          </w:p>
        </w:tc>
        <w:tc>
          <w:tcPr>
            <w:tcW w:w="128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2011</w:t>
            </w:r>
          </w:p>
        </w:tc>
        <w:tc>
          <w:tcPr>
            <w:tcW w:w="420" w:type="dxa"/>
            <w:vAlign w:val="bottom"/>
          </w:tcPr>
          <w:p>
            <w:pPr>
              <w:spacing w:after="0"/>
              <w:rPr>
                <w:sz w:val="12"/>
                <w:szCs w:val="12"/>
                <w:color w:val="auto"/>
              </w:rPr>
            </w:pPr>
          </w:p>
        </w:tc>
        <w:tc>
          <w:tcPr>
            <w:tcW w:w="960" w:type="dxa"/>
            <w:vAlign w:val="bottom"/>
            <w:gridSpan w:val="2"/>
          </w:tcPr>
          <w:p>
            <w:pPr>
              <w:jc w:val="right"/>
              <w:ind w:right="212"/>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58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Customer experience systems</w:t>
            </w:r>
          </w:p>
        </w:tc>
        <w:tc>
          <w:tcPr>
            <w:tcW w:w="3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$ 3,066,170</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$ 2,978,288</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$ 2,775,271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Directory</w:t>
            </w:r>
          </w:p>
        </w:tc>
        <w:tc>
          <w:tcPr>
            <w:tcW w:w="32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180,733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199,440</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208,952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1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$ 3,246,903</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$ 3,177,728</w:t>
            </w:r>
          </w:p>
        </w:tc>
        <w:tc>
          <w:tcPr>
            <w:tcW w:w="42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8"/>
              </w:rPr>
              <w:t>$ 2,984,223</w:t>
            </w:r>
          </w:p>
        </w:tc>
      </w:tr>
      <w:tr>
        <w:trPr>
          <w:trHeight w:val="20"/>
        </w:trPr>
        <w:tc>
          <w:tcPr>
            <w:tcW w:w="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4140" w:type="dxa"/>
            <w:vAlign w:val="bottom"/>
            <w:gridSpan w:val="3"/>
          </w:tcPr>
          <w:p>
            <w:pPr>
              <w:ind w:left="1480"/>
              <w:spacing w:after="0"/>
              <w:rPr>
                <w:sz w:val="20"/>
                <w:szCs w:val="20"/>
                <w:color w:val="auto"/>
              </w:rPr>
            </w:pPr>
            <w:r>
              <w:rPr>
                <w:rFonts w:ascii="Arial" w:cs="Arial" w:eastAsia="Arial" w:hAnsi="Arial"/>
                <w:sz w:val="18"/>
                <w:szCs w:val="18"/>
                <w:color w:val="auto"/>
              </w:rPr>
              <w:t>F-34</w:t>
            </w: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AMDOCS LIMITED</w:t>
      </w:r>
    </w:p>
    <w:p>
      <w:pPr>
        <w:spacing w:after="0" w:line="9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NOTES TO THE CONSOLIDATED FINANCIAL STATEMENTS — (Continued)</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and share amounts in thousands, except per share data)</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Significant Customers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the percentage of sales to significant customer groups (when they amount to at least 10 percent of total revenue for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year).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w w:val="87"/>
              </w:rPr>
              <w:t>Year Ended September 30,</w:t>
            </w: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60" w:type="dxa"/>
            <w:vAlign w:val="bottom"/>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43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6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2012</w:t>
            </w:r>
          </w:p>
        </w:tc>
        <w:tc>
          <w:tcPr>
            <w:tcW w:w="180" w:type="dxa"/>
            <w:vAlign w:val="bottom"/>
            <w:tcBorders>
              <w:bottom w:val="single" w:sz="8" w:color="CCEEFF"/>
            </w:tcBorders>
          </w:tcPr>
          <w:p>
            <w:pPr>
              <w:spacing w:after="0"/>
              <w:rPr>
                <w:sz w:val="12"/>
                <w:szCs w:val="12"/>
                <w:color w:val="auto"/>
              </w:rPr>
            </w:pPr>
          </w:p>
        </w:tc>
        <w:tc>
          <w:tcPr>
            <w:tcW w:w="6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w w:val="83"/>
              </w:rPr>
              <w:t>2011</w:t>
            </w:r>
          </w:p>
        </w:tc>
        <w:tc>
          <w:tcPr>
            <w:tcW w:w="3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2010</w:t>
            </w: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460" w:type="dxa"/>
            <w:vAlign w:val="bottom"/>
          </w:tcPr>
          <w:p>
            <w:pPr>
              <w:spacing w:after="0"/>
              <w:rPr>
                <w:sz w:val="18"/>
                <w:szCs w:val="18"/>
                <w:color w:val="auto"/>
              </w:rPr>
            </w:pPr>
          </w:p>
        </w:tc>
        <w:tc>
          <w:tcPr>
            <w:tcW w:w="5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Customer 1</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6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w w:val="99"/>
              </w:rPr>
              <w:t>29%</w:t>
            </w:r>
          </w:p>
        </w:tc>
      </w:tr>
      <w:tr>
        <w:trPr>
          <w:trHeight w:val="216"/>
        </w:trPr>
        <w:tc>
          <w:tcPr>
            <w:tcW w:w="460" w:type="dxa"/>
            <w:vAlign w:val="bottom"/>
          </w:tcPr>
          <w:p>
            <w:pPr>
              <w:spacing w:after="0"/>
              <w:rPr>
                <w:sz w:val="18"/>
                <w:szCs w:val="18"/>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Customer 2</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920" w:type="dxa"/>
            <w:vAlign w:val="bottom"/>
            <w:gridSpan w:val="3"/>
          </w:tcPr>
          <w:p>
            <w:pPr>
              <w:ind w:left="740"/>
              <w:spacing w:after="0"/>
              <w:rPr>
                <w:sz w:val="20"/>
                <w:szCs w:val="20"/>
                <w:color w:val="auto"/>
              </w:rPr>
            </w:pPr>
            <w:r>
              <w:rPr>
                <w:rFonts w:ascii="Arial" w:cs="Arial" w:eastAsia="Arial" w:hAnsi="Arial"/>
                <w:sz w:val="18"/>
                <w:szCs w:val="18"/>
                <w:color w:val="auto"/>
                <w:w w:val="79"/>
              </w:rPr>
              <w:t>11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ind w:left="300"/>
              <w:spacing w:after="0"/>
              <w:rPr>
                <w:sz w:val="20"/>
                <w:szCs w:val="20"/>
                <w:color w:val="auto"/>
              </w:rPr>
            </w:pPr>
            <w:r>
              <w:rPr>
                <w:rFonts w:ascii="Arial" w:cs="Arial" w:eastAsia="Arial" w:hAnsi="Arial"/>
                <w:sz w:val="18"/>
                <w:szCs w:val="18"/>
                <w:color w:val="auto"/>
                <w:w w:val="79"/>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3</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w w:val="79"/>
              </w:rPr>
              <w:t>10</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08"/>
        </w:trPr>
        <w:tc>
          <w:tcPr>
            <w:tcW w:w="1500" w:type="dxa"/>
            <w:vAlign w:val="bottom"/>
            <w:tcBorders>
              <w:bottom w:val="single" w:sz="8" w:color="auto"/>
            </w:tcBorders>
            <w:gridSpan w:val="2"/>
          </w:tcPr>
          <w:p>
            <w:pPr>
              <w:spacing w:after="0"/>
              <w:rPr>
                <w:sz w:val="9"/>
                <w:szCs w:val="9"/>
                <w:color w:val="auto"/>
              </w:rPr>
            </w:pPr>
          </w:p>
        </w:tc>
        <w:tc>
          <w:tcPr>
            <w:tcW w:w="4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35"/>
        </w:trPr>
        <w:tc>
          <w:tcPr>
            <w:tcW w:w="5820" w:type="dxa"/>
            <w:vAlign w:val="bottom"/>
            <w:gridSpan w:val="3"/>
          </w:tcPr>
          <w:p>
            <w:pPr>
              <w:spacing w:after="0"/>
              <w:rPr>
                <w:sz w:val="20"/>
                <w:szCs w:val="20"/>
                <w:color w:val="auto"/>
              </w:rPr>
            </w:pPr>
            <w:r>
              <w:rPr>
                <w:rFonts w:ascii="Arial" w:cs="Arial" w:eastAsia="Arial" w:hAnsi="Arial"/>
                <w:sz w:val="18"/>
                <w:szCs w:val="18"/>
                <w:color w:val="auto"/>
              </w:rPr>
              <w:t>*  Represents an amount of less than 10%.</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78"/>
        </w:trPr>
        <w:tc>
          <w:tcPr>
            <w:tcW w:w="5820" w:type="dxa"/>
            <w:vAlign w:val="bottom"/>
            <w:gridSpan w:val="3"/>
          </w:tcPr>
          <w:p>
            <w:pPr>
              <w:spacing w:after="0"/>
              <w:rPr>
                <w:sz w:val="20"/>
                <w:szCs w:val="20"/>
                <w:color w:val="auto"/>
              </w:rPr>
            </w:pPr>
            <w:r>
              <w:rPr>
                <w:rFonts w:ascii="Arial" w:cs="Arial" w:eastAsia="Arial" w:hAnsi="Arial"/>
                <w:sz w:val="18"/>
                <w:szCs w:val="18"/>
                <w:b w:val="1"/>
                <w:bCs w:val="1"/>
                <w:color w:val="auto"/>
              </w:rPr>
              <w:t>Note 22 — Selected Quarterly Results of Operations (Unaudited)</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8700" w:type="dxa"/>
            <w:vAlign w:val="bottom"/>
            <w:gridSpan w:val="10"/>
          </w:tcPr>
          <w:p>
            <w:pPr>
              <w:ind w:left="460"/>
              <w:spacing w:after="0"/>
              <w:rPr>
                <w:sz w:val="20"/>
                <w:szCs w:val="20"/>
                <w:color w:val="auto"/>
              </w:rPr>
            </w:pPr>
            <w:r>
              <w:rPr>
                <w:rFonts w:ascii="Arial" w:cs="Arial" w:eastAsia="Arial" w:hAnsi="Arial"/>
                <w:sz w:val="18"/>
                <w:szCs w:val="18"/>
                <w:color w:val="auto"/>
              </w:rPr>
              <w:t>The following are details of the unaudited quarterly results of operations for the three months ended:</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9"/>
        </w:trPr>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52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36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w w:val="99"/>
              </w:rPr>
              <w:t>June 30,</w:t>
            </w:r>
          </w:p>
        </w:tc>
        <w:tc>
          <w:tcPr>
            <w:tcW w:w="1220" w:type="dxa"/>
            <w:vAlign w:val="bottom"/>
            <w:gridSpan w:val="4"/>
          </w:tcPr>
          <w:p>
            <w:pPr>
              <w:ind w:left="4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24"/>
                <w:szCs w:val="24"/>
                <w:color w:val="auto"/>
              </w:rPr>
            </w:pPr>
          </w:p>
        </w:tc>
        <w:tc>
          <w:tcPr>
            <w:tcW w:w="90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December 31,</w:t>
            </w:r>
          </w:p>
        </w:tc>
      </w:tr>
      <w:tr>
        <w:trPr>
          <w:trHeight w:val="196"/>
        </w:trPr>
        <w:tc>
          <w:tcPr>
            <w:tcW w:w="460" w:type="dxa"/>
            <w:vAlign w:val="bottom"/>
          </w:tcPr>
          <w:p>
            <w:pPr>
              <w:spacing w:after="0"/>
              <w:rPr>
                <w:sz w:val="17"/>
                <w:szCs w:val="17"/>
                <w:color w:val="auto"/>
              </w:rPr>
            </w:pPr>
          </w:p>
        </w:tc>
        <w:tc>
          <w:tcPr>
            <w:tcW w:w="1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2012</w:t>
            </w:r>
          </w:p>
        </w:tc>
        <w:tc>
          <w:tcPr>
            <w:tcW w:w="4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5360" w:type="dxa"/>
            <w:vAlign w:val="bottom"/>
            <w:gridSpan w:val="2"/>
          </w:tcPr>
          <w:p>
            <w:pPr>
              <w:ind w:left="44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822,128</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$808,837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$808,928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807,010</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113,501</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110,051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109,872</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6"/>
              </w:rPr>
              <w:t>109,048</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60" w:type="dxa"/>
            <w:vAlign w:val="bottom"/>
            <w:gridSpan w:val="2"/>
          </w:tcPr>
          <w:p>
            <w:pPr>
              <w:ind w:left="4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98,021</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98,749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101,870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92,731</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Basic earnings per share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60" w:type="dxa"/>
            <w:vAlign w:val="bottom"/>
            <w:gridSpan w:val="2"/>
          </w:tcPr>
          <w:p>
            <w:pPr>
              <w:ind w:left="44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0.60</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0.60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2011</w:t>
            </w:r>
          </w:p>
        </w:tc>
        <w:tc>
          <w:tcPr>
            <w:tcW w:w="4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60" w:type="dxa"/>
            <w:vAlign w:val="bottom"/>
            <w:gridSpan w:val="2"/>
          </w:tcPr>
          <w:p>
            <w:pPr>
              <w:ind w:left="440"/>
              <w:spacing w:after="0"/>
              <w:rPr>
                <w:sz w:val="20"/>
                <w:szCs w:val="20"/>
                <w:color w:val="auto"/>
              </w:rPr>
            </w:pPr>
            <w:r>
              <w:rPr>
                <w:rFonts w:ascii="Arial" w:cs="Arial" w:eastAsia="Arial" w:hAnsi="Arial"/>
                <w:sz w:val="18"/>
                <w:szCs w:val="18"/>
                <w:color w:val="auto"/>
              </w:rPr>
              <w:t>Revenue</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8"/>
              </w:rPr>
              <w:t>812,203</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7"/>
              </w:rPr>
              <w:t>$801,409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7"/>
              </w:rPr>
              <w:t>$788,935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w w:val="86"/>
              </w:rPr>
              <w:t>775,181</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Operating income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104,552</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105,672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106,556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87,584</w:t>
            </w:r>
          </w:p>
        </w:tc>
        <w:tc>
          <w:tcPr>
            <w:tcW w:w="100" w:type="dxa"/>
            <w:vAlign w:val="bottom"/>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60" w:type="dxa"/>
            <w:vAlign w:val="bottom"/>
            <w:gridSpan w:val="2"/>
          </w:tcPr>
          <w:p>
            <w:pPr>
              <w:ind w:left="440"/>
              <w:spacing w:after="0"/>
              <w:rPr>
                <w:sz w:val="20"/>
                <w:szCs w:val="20"/>
                <w:color w:val="auto"/>
              </w:rPr>
            </w:pPr>
            <w:r>
              <w:rPr>
                <w:rFonts w:ascii="Arial" w:cs="Arial" w:eastAsia="Arial" w:hAnsi="Arial"/>
                <w:sz w:val="18"/>
                <w:szCs w:val="18"/>
                <w:color w:val="auto"/>
              </w:rPr>
              <w:t>Net income</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87,379</w:t>
            </w:r>
          </w:p>
        </w:tc>
        <w:tc>
          <w:tcPr>
            <w:tcW w:w="6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91,785</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94,110</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73,391</w:t>
            </w:r>
          </w:p>
        </w:tc>
        <w:tc>
          <w:tcPr>
            <w:tcW w:w="10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3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Basic earnings per share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00" w:type="dxa"/>
            <w:vAlign w:val="bottom"/>
            <w:shd w:val="clear" w:color="auto" w:fill="CCEEFF"/>
          </w:tcPr>
          <w:p>
            <w:pPr>
              <w:spacing w:after="0"/>
              <w:rPr>
                <w:sz w:val="18"/>
                <w:szCs w:val="18"/>
                <w:color w:val="auto"/>
              </w:rPr>
            </w:pPr>
          </w:p>
        </w:tc>
      </w:tr>
      <w:tr>
        <w:trPr>
          <w:trHeight w:val="222"/>
        </w:trPr>
        <w:tc>
          <w:tcPr>
            <w:tcW w:w="460" w:type="dxa"/>
            <w:vAlign w:val="bottom"/>
          </w:tcPr>
          <w:p>
            <w:pPr>
              <w:spacing w:after="0"/>
              <w:rPr>
                <w:sz w:val="19"/>
                <w:szCs w:val="19"/>
                <w:color w:val="auto"/>
              </w:rPr>
            </w:pPr>
          </w:p>
        </w:tc>
        <w:tc>
          <w:tcPr>
            <w:tcW w:w="5360" w:type="dxa"/>
            <w:vAlign w:val="bottom"/>
            <w:gridSpan w:val="2"/>
          </w:tcPr>
          <w:p>
            <w:pPr>
              <w:ind w:left="440"/>
              <w:spacing w:after="0"/>
              <w:rPr>
                <w:sz w:val="20"/>
                <w:szCs w:val="20"/>
                <w:color w:val="auto"/>
              </w:rPr>
            </w:pPr>
            <w:r>
              <w:rPr>
                <w:rFonts w:ascii="Arial" w:cs="Arial" w:eastAsia="Arial" w:hAnsi="Arial"/>
                <w:sz w:val="18"/>
                <w:szCs w:val="18"/>
                <w:color w:val="auto"/>
              </w:rPr>
              <w:t>Diluted earnings per share</w:t>
            </w:r>
          </w:p>
        </w:tc>
        <w:tc>
          <w:tcPr>
            <w:tcW w:w="1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0.49</w:t>
            </w:r>
          </w:p>
        </w:tc>
        <w:tc>
          <w:tcPr>
            <w:tcW w:w="6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0.50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0.50</w:t>
            </w: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0.38</w:t>
            </w:r>
          </w:p>
        </w:tc>
        <w:tc>
          <w:tcPr>
            <w:tcW w:w="100" w:type="dxa"/>
            <w:vAlign w:val="bottom"/>
          </w:tcPr>
          <w:p>
            <w:pPr>
              <w:spacing w:after="0"/>
              <w:rPr>
                <w:sz w:val="19"/>
                <w:szCs w:val="19"/>
                <w:color w:val="auto"/>
              </w:rPr>
            </w:pP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 Subsequent Event</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On July 31, 2012, the Company’s shareholders approved the institution of a quarterly cash dividend program at the rate of $0.13 per share. On August 1, 2012, the Company’s board of directors authorized the first payment, in the aggregate amount of $21,120, which was paid on October 19, 2012. On November 6, 2012, the Company’s board of directors approved another dividend payment, in the rate of $0.13 per share, and set December 31, 2012, as the record date for determining the shareholders entitled to receive the dividend, which is payable on January 18, 2013.</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340"/>
          </w:cols>
          <w:pgMar w:left="240" w:top="459" w:right="31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VALUATION AND QUALIFYING ACCOUNTS</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6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Valuation Allowances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320" w:type="dxa"/>
            <w:vAlign w:val="bottom"/>
            <w:gridSpan w:val="3"/>
          </w:tcPr>
          <w:p>
            <w:pPr>
              <w:jc w:val="right"/>
              <w:ind w:right="1740"/>
              <w:spacing w:after="0" w:line="149" w:lineRule="exact"/>
              <w:rPr>
                <w:sz w:val="20"/>
                <w:szCs w:val="20"/>
                <w:color w:val="auto"/>
              </w:rPr>
            </w:pPr>
            <w:r>
              <w:rPr>
                <w:rFonts w:ascii="Arial" w:cs="Arial" w:eastAsia="Arial" w:hAnsi="Arial"/>
                <w:sz w:val="14"/>
                <w:szCs w:val="14"/>
                <w:b w:val="1"/>
                <w:bCs w:val="1"/>
                <w:color w:val="auto"/>
                <w:w w:val="87"/>
              </w:rPr>
              <w:t>Accounts</w:t>
            </w:r>
          </w:p>
        </w:tc>
        <w:tc>
          <w:tcPr>
            <w:tcW w:w="160" w:type="dxa"/>
            <w:vAlign w:val="bottom"/>
          </w:tcPr>
          <w:p>
            <w:pPr>
              <w:spacing w:after="0"/>
              <w:rPr>
                <w:sz w:val="12"/>
                <w:szCs w:val="12"/>
                <w:color w:val="auto"/>
              </w:rPr>
            </w:pPr>
          </w:p>
        </w:tc>
        <w:tc>
          <w:tcPr>
            <w:tcW w:w="14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7"/>
              </w:rPr>
              <w:t>on Net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3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Receivable</w:t>
            </w:r>
          </w:p>
        </w:tc>
        <w:tc>
          <w:tcPr>
            <w:tcW w:w="160" w:type="dxa"/>
            <w:vAlign w:val="bottom"/>
          </w:tcPr>
          <w:p>
            <w:pPr>
              <w:spacing w:after="0"/>
              <w:rPr>
                <w:sz w:val="12"/>
                <w:szCs w:val="12"/>
                <w:color w:val="auto"/>
              </w:rPr>
            </w:pPr>
          </w:p>
        </w:tc>
        <w:tc>
          <w:tcPr>
            <w:tcW w:w="148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Deferred Tax</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320" w:type="dxa"/>
            <w:vAlign w:val="bottom"/>
            <w:gridSpan w:val="3"/>
          </w:tcPr>
          <w:p>
            <w:pPr>
              <w:spacing w:after="0"/>
              <w:rPr>
                <w:sz w:val="20"/>
                <w:szCs w:val="20"/>
                <w:color w:val="auto"/>
              </w:rPr>
            </w:pPr>
            <w:r>
              <w:rPr>
                <w:rFonts w:ascii="Arial" w:cs="Arial" w:eastAsia="Arial" w:hAnsi="Arial"/>
                <w:sz w:val="14"/>
                <w:szCs w:val="14"/>
                <w:b w:val="1"/>
                <w:bCs w:val="1"/>
                <w:color w:val="auto"/>
              </w:rPr>
              <w:t>Allowances</w:t>
            </w:r>
          </w:p>
        </w:tc>
        <w:tc>
          <w:tcPr>
            <w:tcW w:w="160" w:type="dxa"/>
            <w:vAlign w:val="bottom"/>
          </w:tcPr>
          <w:p>
            <w:pPr>
              <w:spacing w:after="0"/>
              <w:rPr>
                <w:sz w:val="14"/>
                <w:szCs w:val="14"/>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78"/>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Balance as of October 1, 2009</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9,878</w:t>
            </w:r>
          </w:p>
        </w:tc>
        <w:tc>
          <w:tcPr>
            <w:tcW w:w="1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82,780</w:t>
            </w:r>
          </w:p>
        </w:tc>
        <w:tc>
          <w:tcPr>
            <w:tcW w:w="4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Charged to costs and expenses</w:t>
            </w:r>
          </w:p>
        </w:tc>
        <w:tc>
          <w:tcPr>
            <w:tcW w:w="140" w:type="dxa"/>
            <w:vAlign w:val="bottom"/>
          </w:tcPr>
          <w:p>
            <w:pPr>
              <w:spacing w:after="0"/>
              <w:rPr>
                <w:sz w:val="18"/>
                <w:szCs w:val="18"/>
                <w:color w:val="auto"/>
              </w:rPr>
            </w:pPr>
          </w:p>
        </w:tc>
        <w:tc>
          <w:tcPr>
            <w:tcW w:w="2180" w:type="dxa"/>
            <w:vAlign w:val="bottom"/>
            <w:gridSpan w:val="2"/>
          </w:tcPr>
          <w:p>
            <w:pPr>
              <w:jc w:val="right"/>
              <w:ind w:right="1660"/>
              <w:spacing w:after="0"/>
              <w:rPr>
                <w:sz w:val="20"/>
                <w:szCs w:val="20"/>
                <w:color w:val="auto"/>
              </w:rPr>
            </w:pPr>
            <w:r>
              <w:rPr>
                <w:rFonts w:ascii="Arial" w:cs="Arial" w:eastAsia="Arial" w:hAnsi="Arial"/>
                <w:sz w:val="18"/>
                <w:szCs w:val="18"/>
                <w:color w:val="auto"/>
              </w:rPr>
              <w:t>2,710</w:t>
            </w:r>
          </w:p>
        </w:tc>
        <w:tc>
          <w:tcPr>
            <w:tcW w:w="1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18,344(1)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Charged to other accounts</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2,832(3)</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15,601(2)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Deductions</w:t>
            </w:r>
          </w:p>
        </w:tc>
        <w:tc>
          <w:tcPr>
            <w:tcW w:w="140" w:type="dxa"/>
            <w:vAlign w:val="bottom"/>
          </w:tcPr>
          <w:p>
            <w:pPr>
              <w:spacing w:after="0"/>
              <w:rPr>
                <w:sz w:val="18"/>
                <w:szCs w:val="18"/>
                <w:color w:val="auto"/>
              </w:rPr>
            </w:pPr>
          </w:p>
        </w:tc>
        <w:tc>
          <w:tcPr>
            <w:tcW w:w="2180" w:type="dxa"/>
            <w:vAlign w:val="bottom"/>
            <w:gridSpan w:val="2"/>
          </w:tcPr>
          <w:p>
            <w:pPr>
              <w:jc w:val="right"/>
              <w:ind w:right="1600"/>
              <w:spacing w:after="0"/>
              <w:rPr>
                <w:sz w:val="20"/>
                <w:szCs w:val="20"/>
                <w:color w:val="auto"/>
              </w:rPr>
            </w:pPr>
            <w:r>
              <w:rPr>
                <w:rFonts w:ascii="Arial" w:cs="Arial" w:eastAsia="Arial" w:hAnsi="Arial"/>
                <w:sz w:val="18"/>
                <w:szCs w:val="18"/>
                <w:color w:val="auto"/>
                <w:w w:val="98"/>
              </w:rPr>
              <w:t>(3,992)</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(9,982)(4)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2010</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660"/>
              <w:spacing w:after="0"/>
              <w:rPr>
                <w:sz w:val="20"/>
                <w:szCs w:val="20"/>
                <w:color w:val="auto"/>
              </w:rPr>
            </w:pPr>
            <w:r>
              <w:rPr>
                <w:rFonts w:ascii="Arial" w:cs="Arial" w:eastAsia="Arial" w:hAnsi="Arial"/>
                <w:sz w:val="18"/>
                <w:szCs w:val="18"/>
                <w:color w:val="auto"/>
                <w:w w:val="90"/>
              </w:rPr>
              <w:t>11,428</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106,743</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Charged to costs and expenses</w:t>
            </w:r>
          </w:p>
        </w:tc>
        <w:tc>
          <w:tcPr>
            <w:tcW w:w="140" w:type="dxa"/>
            <w:vAlign w:val="bottom"/>
          </w:tcPr>
          <w:p>
            <w:pPr>
              <w:spacing w:after="0"/>
              <w:rPr>
                <w:sz w:val="18"/>
                <w:szCs w:val="18"/>
                <w:color w:val="auto"/>
              </w:rPr>
            </w:pPr>
          </w:p>
        </w:tc>
        <w:tc>
          <w:tcPr>
            <w:tcW w:w="2180" w:type="dxa"/>
            <w:vAlign w:val="bottom"/>
            <w:gridSpan w:val="2"/>
          </w:tcPr>
          <w:p>
            <w:pPr>
              <w:jc w:val="right"/>
              <w:ind w:right="1660"/>
              <w:spacing w:after="0"/>
              <w:rPr>
                <w:sz w:val="20"/>
                <w:szCs w:val="20"/>
                <w:color w:val="auto"/>
              </w:rPr>
            </w:pPr>
            <w:r>
              <w:rPr>
                <w:rFonts w:ascii="Arial" w:cs="Arial" w:eastAsia="Arial" w:hAnsi="Arial"/>
                <w:sz w:val="18"/>
                <w:szCs w:val="18"/>
                <w:color w:val="auto"/>
              </w:rPr>
              <w:t>7,602</w:t>
            </w:r>
          </w:p>
        </w:tc>
        <w:tc>
          <w:tcPr>
            <w:tcW w:w="1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24,372(5)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Charged to other accounts</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3,620(7)</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16,685(6)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Deductions</w:t>
            </w:r>
          </w:p>
        </w:tc>
        <w:tc>
          <w:tcPr>
            <w:tcW w:w="140" w:type="dxa"/>
            <w:vAlign w:val="bottom"/>
          </w:tcPr>
          <w:p>
            <w:pPr>
              <w:spacing w:after="0"/>
              <w:rPr>
                <w:sz w:val="18"/>
                <w:szCs w:val="18"/>
                <w:color w:val="auto"/>
              </w:rPr>
            </w:pPr>
          </w:p>
        </w:tc>
        <w:tc>
          <w:tcPr>
            <w:tcW w:w="2180" w:type="dxa"/>
            <w:vAlign w:val="bottom"/>
            <w:gridSpan w:val="2"/>
          </w:tcPr>
          <w:p>
            <w:pPr>
              <w:jc w:val="right"/>
              <w:ind w:right="1600"/>
              <w:spacing w:after="0"/>
              <w:rPr>
                <w:sz w:val="20"/>
                <w:szCs w:val="20"/>
                <w:color w:val="auto"/>
              </w:rPr>
            </w:pPr>
            <w:r>
              <w:rPr>
                <w:rFonts w:ascii="Arial" w:cs="Arial" w:eastAsia="Arial" w:hAnsi="Arial"/>
                <w:sz w:val="18"/>
                <w:szCs w:val="18"/>
                <w:color w:val="auto"/>
                <w:w w:val="98"/>
              </w:rPr>
              <w:t>(7,084)</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(9,964)(8)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2011</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660"/>
              <w:spacing w:after="0"/>
              <w:rPr>
                <w:sz w:val="20"/>
                <w:szCs w:val="20"/>
                <w:color w:val="auto"/>
              </w:rPr>
            </w:pPr>
            <w:r>
              <w:rPr>
                <w:rFonts w:ascii="Arial" w:cs="Arial" w:eastAsia="Arial" w:hAnsi="Arial"/>
                <w:sz w:val="18"/>
                <w:szCs w:val="18"/>
                <w:color w:val="auto"/>
                <w:w w:val="90"/>
              </w:rPr>
              <w:t>15,566</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137,836</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Charged to costs and expenses</w:t>
            </w:r>
          </w:p>
        </w:tc>
        <w:tc>
          <w:tcPr>
            <w:tcW w:w="140" w:type="dxa"/>
            <w:vAlign w:val="bottom"/>
          </w:tcPr>
          <w:p>
            <w:pPr>
              <w:spacing w:after="0"/>
              <w:rPr>
                <w:sz w:val="18"/>
                <w:szCs w:val="18"/>
                <w:color w:val="auto"/>
              </w:rPr>
            </w:pPr>
          </w:p>
        </w:tc>
        <w:tc>
          <w:tcPr>
            <w:tcW w:w="2180" w:type="dxa"/>
            <w:vAlign w:val="bottom"/>
            <w:gridSpan w:val="2"/>
          </w:tcPr>
          <w:p>
            <w:pPr>
              <w:jc w:val="right"/>
              <w:ind w:right="1660"/>
              <w:spacing w:after="0"/>
              <w:rPr>
                <w:sz w:val="20"/>
                <w:szCs w:val="20"/>
                <w:color w:val="auto"/>
              </w:rPr>
            </w:pPr>
            <w:r>
              <w:rPr>
                <w:rFonts w:ascii="Arial" w:cs="Arial" w:eastAsia="Arial" w:hAnsi="Arial"/>
                <w:sz w:val="18"/>
                <w:szCs w:val="18"/>
                <w:color w:val="auto"/>
              </w:rPr>
              <w:t>4,498</w:t>
            </w:r>
          </w:p>
        </w:tc>
        <w:tc>
          <w:tcPr>
            <w:tcW w:w="1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23,708(9)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Charged to other accounts</w:t>
            </w:r>
          </w:p>
        </w:tc>
        <w:tc>
          <w:tcPr>
            <w:tcW w:w="1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440"/>
              <w:spacing w:after="0"/>
              <w:rPr>
                <w:sz w:val="20"/>
                <w:szCs w:val="20"/>
                <w:color w:val="auto"/>
              </w:rPr>
            </w:pPr>
            <w:r>
              <w:rPr>
                <w:rFonts w:ascii="Arial" w:cs="Arial" w:eastAsia="Arial" w:hAnsi="Arial"/>
                <w:sz w:val="18"/>
                <w:szCs w:val="18"/>
                <w:color w:val="auto"/>
              </w:rPr>
              <w:t>1,659(7)</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200"/>
              <w:spacing w:after="0"/>
              <w:rPr>
                <w:sz w:val="20"/>
                <w:szCs w:val="20"/>
                <w:color w:val="auto"/>
              </w:rPr>
            </w:pPr>
            <w:r>
              <w:rPr>
                <w:rFonts w:ascii="Arial" w:cs="Arial" w:eastAsia="Arial" w:hAnsi="Arial"/>
                <w:sz w:val="18"/>
                <w:szCs w:val="18"/>
                <w:color w:val="auto"/>
              </w:rPr>
              <w:t>Deductions</w:t>
            </w:r>
          </w:p>
        </w:tc>
        <w:tc>
          <w:tcPr>
            <w:tcW w:w="140" w:type="dxa"/>
            <w:vAlign w:val="bottom"/>
          </w:tcPr>
          <w:p>
            <w:pPr>
              <w:spacing w:after="0"/>
              <w:rPr>
                <w:sz w:val="18"/>
                <w:szCs w:val="18"/>
                <w:color w:val="auto"/>
              </w:rPr>
            </w:pPr>
          </w:p>
        </w:tc>
        <w:tc>
          <w:tcPr>
            <w:tcW w:w="2180" w:type="dxa"/>
            <w:vAlign w:val="bottom"/>
            <w:gridSpan w:val="2"/>
          </w:tcPr>
          <w:p>
            <w:pPr>
              <w:jc w:val="right"/>
              <w:ind w:right="1600"/>
              <w:spacing w:after="0"/>
              <w:rPr>
                <w:sz w:val="20"/>
                <w:szCs w:val="20"/>
                <w:color w:val="auto"/>
              </w:rPr>
            </w:pPr>
            <w:r>
              <w:rPr>
                <w:rFonts w:ascii="Arial" w:cs="Arial" w:eastAsia="Arial" w:hAnsi="Arial"/>
                <w:sz w:val="18"/>
                <w:szCs w:val="18"/>
                <w:color w:val="auto"/>
                <w:w w:val="98"/>
              </w:rPr>
              <w:t>(5,159)</w:t>
            </w:r>
          </w:p>
        </w:tc>
        <w:tc>
          <w:tcPr>
            <w:tcW w:w="16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Arial" w:cs="Arial" w:eastAsia="Arial" w:hAnsi="Arial"/>
                <w:sz w:val="18"/>
                <w:szCs w:val="18"/>
                <w:color w:val="auto"/>
              </w:rPr>
              <w:t>(44,533)(10)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2012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180" w:type="dxa"/>
            <w:vAlign w:val="bottom"/>
            <w:gridSpan w:val="2"/>
            <w:shd w:val="clear" w:color="auto" w:fill="CCEEFF"/>
          </w:tcPr>
          <w:p>
            <w:pPr>
              <w:jc w:val="right"/>
              <w:ind w:right="1660"/>
              <w:spacing w:after="0"/>
              <w:rPr>
                <w:sz w:val="20"/>
                <w:szCs w:val="20"/>
                <w:color w:val="auto"/>
              </w:rPr>
            </w:pPr>
            <w:r>
              <w:rPr>
                <w:rFonts w:ascii="Arial" w:cs="Arial" w:eastAsia="Arial" w:hAnsi="Arial"/>
                <w:sz w:val="18"/>
                <w:szCs w:val="18"/>
                <w:color w:val="auto"/>
                <w:w w:val="90"/>
              </w:rPr>
              <w:t>16,564</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117,011</w:t>
            </w: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94361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215"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Valuation allowances on deferred tax assets incurred during fiscal 2010.</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valuation allowances on deferred tax assets incurred in connection with 2010 small acquisitions.</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$1,503 of accounts receivable allowances were acquired as part of 2010 small acquisitions and were charged to other accounts during fiscal 2010.</w:t>
      </w:r>
    </w:p>
    <w:p>
      <w:pPr>
        <w:spacing w:after="0" w:line="86"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$5,060 of valuation allowances on deferred tax assets were written off against the related deferred tax assets, and the remaining deductions in the valuation allowances on net deferred tax assets were released to earnings.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Valuation allowances on deferred tax assets incurred during fiscal 2011.</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Includes valuation allowances on deferred tax assets incurred in connection with 2011 small acquisition.</w:t>
      </w:r>
    </w:p>
    <w:p>
      <w:pPr>
        <w:spacing w:after="0" w:line="63"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$1,488 and $640 were related to 2011 small acquisition and were charged to other accounts during fiscal 2011 and 2012, respectively.</w:t>
      </w:r>
    </w:p>
    <w:p>
      <w:pPr>
        <w:spacing w:after="0" w:line="63" w:lineRule="exact"/>
        <w:rPr>
          <w:rFonts w:ascii="Arial" w:cs="Arial" w:eastAsia="Arial" w:hAnsi="Arial"/>
          <w:sz w:val="18"/>
          <w:szCs w:val="18"/>
          <w:color w:val="auto"/>
        </w:rPr>
      </w:pPr>
    </w:p>
    <w:p>
      <w:pPr>
        <w:ind w:left="460" w:hanging="452"/>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$4,060 of valuation allowances on deferred tax assets were written off against the related deferred tax assets, and the remaining deductions in the valuation allowances on net deferred tax assets were released to earnings.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Valuation allowances on deferred tax assets incurred during fiscal 2012.</w:t>
      </w:r>
    </w:p>
    <w:p>
      <w:pPr>
        <w:spacing w:after="0" w:line="63" w:lineRule="exact"/>
        <w:rPr>
          <w:rFonts w:ascii="Arial" w:cs="Arial" w:eastAsia="Arial" w:hAnsi="Arial"/>
          <w:sz w:val="18"/>
          <w:szCs w:val="18"/>
          <w:color w:val="auto"/>
        </w:rPr>
      </w:pPr>
    </w:p>
    <w:p>
      <w:pPr>
        <w:ind w:left="460" w:right="280" w:hanging="452"/>
        <w:spacing w:after="0" w:line="268" w:lineRule="auto"/>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$38,268 of valuation allowances on deferred tax assets were written off against the related deferred tax assets which expired unused, and the remaining deductions in the valuation allowances on net deferred tax assets were released to earnings.</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340"/>
          </w:cols>
          <w:pgMar w:left="240" w:top="459" w:right="31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28"/>
        </w:trPr>
        <w:tc>
          <w:tcPr>
            <w:tcW w:w="14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0" w:type="dxa"/>
            <w:vAlign w:val="bottom"/>
            <w:gridSpan w:val="2"/>
          </w:tcPr>
          <w:p>
            <w:pPr>
              <w:ind w:left="1300"/>
              <w:spacing w:after="0"/>
              <w:rPr>
                <w:sz w:val="20"/>
                <w:szCs w:val="20"/>
                <w:color w:val="auto"/>
              </w:rPr>
            </w:pPr>
            <w:r>
              <w:rPr>
                <w:rFonts w:ascii="Arial" w:cs="Arial" w:eastAsia="Arial" w:hAnsi="Arial"/>
                <w:sz w:val="18"/>
                <w:szCs w:val="18"/>
                <w:b w:val="1"/>
                <w:bCs w:val="1"/>
                <w:color w:val="auto"/>
                <w:w w:val="90"/>
              </w:rPr>
              <w:t>Exhibit 8</w:t>
            </w:r>
          </w:p>
        </w:tc>
      </w:tr>
      <w:tr>
        <w:trPr>
          <w:trHeight w:val="378"/>
        </w:trPr>
        <w:tc>
          <w:tcPr>
            <w:tcW w:w="14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5580" w:type="dxa"/>
            <w:vAlign w:val="bottom"/>
            <w:gridSpan w:val="3"/>
          </w:tcPr>
          <w:p>
            <w:pPr>
              <w:ind w:left="220"/>
              <w:spacing w:after="0"/>
              <w:rPr>
                <w:sz w:val="20"/>
                <w:szCs w:val="20"/>
                <w:color w:val="auto"/>
              </w:rPr>
            </w:pPr>
            <w:r>
              <w:rPr>
                <w:rFonts w:ascii="Arial" w:cs="Arial" w:eastAsia="Arial" w:hAnsi="Arial"/>
                <w:sz w:val="18"/>
                <w:szCs w:val="18"/>
                <w:b w:val="1"/>
                <w:bCs w:val="1"/>
                <w:color w:val="auto"/>
              </w:rPr>
              <w:t>Significant Subsidiaries of Amdocs Limited</w:t>
            </w: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0"/>
        </w:trPr>
        <w:tc>
          <w:tcPr>
            <w:tcW w:w="148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2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84"/>
              </w:rPr>
              <w:t>Jurisdiction of</w:t>
            </w: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49"/>
        </w:trPr>
        <w:tc>
          <w:tcPr>
            <w:tcW w:w="14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42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0"/>
              </w:rPr>
              <w:t>Incorporation or</w:t>
            </w:r>
          </w:p>
        </w:tc>
        <w:tc>
          <w:tcPr>
            <w:tcW w:w="198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1"/>
        </w:trPr>
        <w:tc>
          <w:tcPr>
            <w:tcW w:w="1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List of the Subsidiaries*</w:t>
            </w:r>
          </w:p>
        </w:tc>
        <w:tc>
          <w:tcPr>
            <w:tcW w:w="238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42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1"/>
              </w:rPr>
              <w:t>Organization</w:t>
            </w:r>
          </w:p>
        </w:tc>
        <w:tc>
          <w:tcPr>
            <w:tcW w:w="2000" w:type="dxa"/>
            <w:vAlign w:val="bottom"/>
            <w:gridSpan w:val="2"/>
          </w:tcPr>
          <w:p>
            <w:pPr>
              <w:ind w:left="560"/>
              <w:spacing w:after="0"/>
              <w:rPr>
                <w:sz w:val="20"/>
                <w:szCs w:val="20"/>
                <w:color w:val="auto"/>
              </w:rPr>
            </w:pPr>
            <w:r>
              <w:rPr>
                <w:rFonts w:ascii="Arial" w:cs="Arial" w:eastAsia="Arial" w:hAnsi="Arial"/>
                <w:sz w:val="14"/>
                <w:szCs w:val="14"/>
                <w:b w:val="1"/>
                <w:bCs w:val="1"/>
                <w:color w:val="auto"/>
              </w:rPr>
              <w:t>Business Name</w:t>
            </w:r>
          </w:p>
        </w:tc>
      </w:tr>
      <w:tr>
        <w:trPr>
          <w:trHeight w:val="195"/>
        </w:trPr>
        <w:tc>
          <w:tcPr>
            <w:tcW w:w="3860" w:type="dxa"/>
            <w:vAlign w:val="bottom"/>
            <w:gridSpan w:val="2"/>
          </w:tcPr>
          <w:p>
            <w:pPr>
              <w:spacing w:after="0" w:line="195" w:lineRule="exact"/>
              <w:rPr>
                <w:sz w:val="20"/>
                <w:szCs w:val="20"/>
                <w:color w:val="auto"/>
              </w:rPr>
            </w:pPr>
            <w:r>
              <w:rPr>
                <w:rFonts w:ascii="Arial" w:cs="Arial" w:eastAsia="Arial" w:hAnsi="Arial"/>
                <w:sz w:val="18"/>
                <w:szCs w:val="18"/>
                <w:color w:val="auto"/>
              </w:rPr>
              <w:t>Amdocs Astrum Limited</w:t>
            </w:r>
          </w:p>
        </w:tc>
        <w:tc>
          <w:tcPr>
            <w:tcW w:w="1380" w:type="dxa"/>
            <w:vAlign w:val="bottom"/>
          </w:tcPr>
          <w:p>
            <w:pPr>
              <w:spacing w:after="0"/>
              <w:rPr>
                <w:sz w:val="16"/>
                <w:szCs w:val="16"/>
                <w:color w:val="auto"/>
              </w:rPr>
            </w:pPr>
          </w:p>
        </w:tc>
        <w:tc>
          <w:tcPr>
            <w:tcW w:w="35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Ireland</w:t>
            </w:r>
          </w:p>
        </w:tc>
        <w:tc>
          <w:tcPr>
            <w:tcW w:w="660" w:type="dxa"/>
            <w:vAlign w:val="bottom"/>
          </w:tcPr>
          <w:p>
            <w:pPr>
              <w:spacing w:after="0"/>
              <w:rPr>
                <w:sz w:val="16"/>
                <w:szCs w:val="16"/>
                <w:color w:val="auto"/>
              </w:rPr>
            </w:pPr>
          </w:p>
        </w:tc>
        <w:tc>
          <w:tcPr>
            <w:tcW w:w="1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Amdocs Astrum Limited</w:t>
            </w:r>
          </w:p>
        </w:tc>
        <w:tc>
          <w:tcPr>
            <w:tcW w:w="20" w:type="dxa"/>
            <w:vAlign w:val="bottom"/>
          </w:tcPr>
          <w:p>
            <w:pPr>
              <w:spacing w:after="0"/>
              <w:rPr>
                <w:sz w:val="16"/>
                <w:szCs w:val="16"/>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Amdocs Canadian Managed Services, Inc.</w:t>
            </w:r>
          </w:p>
        </w:tc>
        <w:tc>
          <w:tcPr>
            <w:tcW w:w="13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Amdocs Canadian</w:t>
            </w:r>
          </w:p>
        </w:tc>
      </w:tr>
      <w:tr>
        <w:trPr>
          <w:trHeight w:val="216"/>
        </w:trPr>
        <w:tc>
          <w:tcPr>
            <w:tcW w:w="1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Managed</w:t>
            </w:r>
          </w:p>
        </w:tc>
      </w:tr>
      <w:tr>
        <w:trPr>
          <w:trHeight w:val="216"/>
        </w:trPr>
        <w:tc>
          <w:tcPr>
            <w:tcW w:w="1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580" w:type="dxa"/>
            <w:vAlign w:val="bottom"/>
            <w:gridSpan w:val="3"/>
          </w:tcPr>
          <w:p>
            <w:pPr>
              <w:ind w:left="1380"/>
              <w:spacing w:after="0"/>
              <w:rPr>
                <w:sz w:val="20"/>
                <w:szCs w:val="20"/>
                <w:color w:val="auto"/>
              </w:rPr>
            </w:pPr>
            <w:r>
              <w:rPr>
                <w:rFonts w:ascii="Arial" w:cs="Arial" w:eastAsia="Arial" w:hAnsi="Arial"/>
                <w:sz w:val="18"/>
                <w:szCs w:val="18"/>
                <w:color w:val="auto"/>
              </w:rPr>
              <w:t>Canada</w:t>
            </w:r>
          </w:p>
        </w:tc>
        <w:tc>
          <w:tcPr>
            <w:tcW w:w="2000" w:type="dxa"/>
            <w:vAlign w:val="bottom"/>
            <w:gridSpan w:val="2"/>
          </w:tcPr>
          <w:p>
            <w:pPr>
              <w:spacing w:after="0"/>
              <w:rPr>
                <w:sz w:val="20"/>
                <w:szCs w:val="20"/>
                <w:color w:val="auto"/>
              </w:rPr>
            </w:pPr>
            <w:r>
              <w:rPr>
                <w:rFonts w:ascii="Arial" w:cs="Arial" w:eastAsia="Arial" w:hAnsi="Arial"/>
                <w:sz w:val="18"/>
                <w:szCs w:val="18"/>
                <w:color w:val="auto"/>
              </w:rPr>
              <w:t>Services Inc.</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Amdocs (Denmark) ApS</w:t>
            </w:r>
          </w:p>
        </w:tc>
        <w:tc>
          <w:tcPr>
            <w:tcW w:w="5580" w:type="dxa"/>
            <w:vAlign w:val="bottom"/>
            <w:gridSpan w:val="3"/>
          </w:tcPr>
          <w:p>
            <w:pPr>
              <w:ind w:left="1380"/>
              <w:spacing w:after="0"/>
              <w:rPr>
                <w:sz w:val="20"/>
                <w:szCs w:val="20"/>
                <w:color w:val="auto"/>
              </w:rPr>
            </w:pPr>
            <w:r>
              <w:rPr>
                <w:rFonts w:ascii="Arial" w:cs="Arial" w:eastAsia="Arial" w:hAnsi="Arial"/>
                <w:sz w:val="18"/>
                <w:szCs w:val="18"/>
                <w:color w:val="auto"/>
              </w:rPr>
              <w:t>Denmark</w:t>
            </w:r>
          </w:p>
        </w:tc>
        <w:tc>
          <w:tcPr>
            <w:tcW w:w="2000" w:type="dxa"/>
            <w:vAlign w:val="bottom"/>
            <w:gridSpan w:val="2"/>
          </w:tcPr>
          <w:p>
            <w:pPr>
              <w:spacing w:after="0"/>
              <w:rPr>
                <w:sz w:val="20"/>
                <w:szCs w:val="20"/>
                <w:color w:val="auto"/>
              </w:rPr>
            </w:pPr>
            <w:r>
              <w:rPr>
                <w:rFonts w:ascii="Arial" w:cs="Arial" w:eastAsia="Arial" w:hAnsi="Arial"/>
                <w:sz w:val="18"/>
                <w:szCs w:val="18"/>
                <w:color w:val="auto"/>
              </w:rPr>
              <w:t>Amdocs (Denmark) ApS</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w w:val="95"/>
              </w:rPr>
              <w:t>Amdocs Development Centre India Private Limited</w:t>
            </w:r>
          </w:p>
        </w:tc>
        <w:tc>
          <w:tcPr>
            <w:tcW w:w="13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Amdocs Development</w:t>
            </w:r>
          </w:p>
        </w:tc>
      </w:tr>
      <w:tr>
        <w:trPr>
          <w:trHeight w:val="216"/>
        </w:trPr>
        <w:tc>
          <w:tcPr>
            <w:tcW w:w="1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Centre</w:t>
            </w:r>
          </w:p>
        </w:tc>
      </w:tr>
      <w:tr>
        <w:trPr>
          <w:trHeight w:val="216"/>
        </w:trPr>
        <w:tc>
          <w:tcPr>
            <w:tcW w:w="1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580" w:type="dxa"/>
            <w:vAlign w:val="bottom"/>
            <w:gridSpan w:val="3"/>
          </w:tcPr>
          <w:p>
            <w:pPr>
              <w:ind w:left="1380"/>
              <w:spacing w:after="0"/>
              <w:rPr>
                <w:sz w:val="20"/>
                <w:szCs w:val="20"/>
                <w:color w:val="auto"/>
              </w:rPr>
            </w:pPr>
            <w:r>
              <w:rPr>
                <w:rFonts w:ascii="Arial" w:cs="Arial" w:eastAsia="Arial" w:hAnsi="Arial"/>
                <w:sz w:val="18"/>
                <w:szCs w:val="18"/>
                <w:color w:val="auto"/>
              </w:rPr>
              <w:t>India</w:t>
            </w:r>
          </w:p>
        </w:tc>
        <w:tc>
          <w:tcPr>
            <w:tcW w:w="2000" w:type="dxa"/>
            <w:vAlign w:val="bottom"/>
            <w:gridSpan w:val="2"/>
          </w:tcPr>
          <w:p>
            <w:pPr>
              <w:spacing w:after="0"/>
              <w:rPr>
                <w:sz w:val="20"/>
                <w:szCs w:val="20"/>
                <w:color w:val="auto"/>
              </w:rPr>
            </w:pPr>
            <w:r>
              <w:rPr>
                <w:rFonts w:ascii="Arial" w:cs="Arial" w:eastAsia="Arial" w:hAnsi="Arial"/>
                <w:sz w:val="18"/>
                <w:szCs w:val="18"/>
                <w:color w:val="auto"/>
              </w:rPr>
              <w:t>India Private Limited</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Amdocs Development Limited</w:t>
            </w:r>
          </w:p>
        </w:tc>
        <w:tc>
          <w:tcPr>
            <w:tcW w:w="13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Amdocs Development</w:t>
            </w:r>
          </w:p>
        </w:tc>
      </w:tr>
      <w:tr>
        <w:trPr>
          <w:trHeight w:val="216"/>
        </w:trPr>
        <w:tc>
          <w:tcPr>
            <w:tcW w:w="1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580" w:type="dxa"/>
            <w:vAlign w:val="bottom"/>
            <w:gridSpan w:val="3"/>
          </w:tcPr>
          <w:p>
            <w:pPr>
              <w:ind w:left="1380"/>
              <w:spacing w:after="0"/>
              <w:rPr>
                <w:sz w:val="20"/>
                <w:szCs w:val="20"/>
                <w:color w:val="auto"/>
              </w:rPr>
            </w:pPr>
            <w:r>
              <w:rPr>
                <w:rFonts w:ascii="Arial" w:cs="Arial" w:eastAsia="Arial" w:hAnsi="Arial"/>
                <w:sz w:val="18"/>
                <w:szCs w:val="18"/>
                <w:color w:val="auto"/>
              </w:rPr>
              <w:t>Republic of Cyprus</w:t>
            </w:r>
          </w:p>
        </w:tc>
        <w:tc>
          <w:tcPr>
            <w:tcW w:w="2000" w:type="dxa"/>
            <w:vAlign w:val="bottom"/>
            <w:gridSpan w:val="2"/>
          </w:tcPr>
          <w:p>
            <w:pPr>
              <w:spacing w:after="0"/>
              <w:rPr>
                <w:sz w:val="20"/>
                <w:szCs w:val="20"/>
                <w:color w:val="auto"/>
              </w:rPr>
            </w:pPr>
            <w:r>
              <w:rPr>
                <w:rFonts w:ascii="Arial" w:cs="Arial" w:eastAsia="Arial" w:hAnsi="Arial"/>
                <w:sz w:val="18"/>
                <w:szCs w:val="18"/>
                <w:color w:val="auto"/>
              </w:rPr>
              <w:t>Limited</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Amdocs Holdings ULC</w:t>
            </w:r>
          </w:p>
        </w:tc>
        <w:tc>
          <w:tcPr>
            <w:tcW w:w="5580" w:type="dxa"/>
            <w:vAlign w:val="bottom"/>
            <w:gridSpan w:val="3"/>
          </w:tcPr>
          <w:p>
            <w:pPr>
              <w:ind w:left="1380"/>
              <w:spacing w:after="0"/>
              <w:rPr>
                <w:sz w:val="20"/>
                <w:szCs w:val="20"/>
                <w:color w:val="auto"/>
              </w:rPr>
            </w:pPr>
            <w:r>
              <w:rPr>
                <w:rFonts w:ascii="Arial" w:cs="Arial" w:eastAsia="Arial" w:hAnsi="Arial"/>
                <w:sz w:val="18"/>
                <w:szCs w:val="18"/>
                <w:color w:val="auto"/>
              </w:rPr>
              <w:t>Canada</w:t>
            </w:r>
          </w:p>
        </w:tc>
        <w:tc>
          <w:tcPr>
            <w:tcW w:w="2000" w:type="dxa"/>
            <w:vAlign w:val="bottom"/>
            <w:gridSpan w:val="2"/>
          </w:tcPr>
          <w:p>
            <w:pPr>
              <w:spacing w:after="0"/>
              <w:rPr>
                <w:sz w:val="20"/>
                <w:szCs w:val="20"/>
                <w:color w:val="auto"/>
              </w:rPr>
            </w:pPr>
            <w:r>
              <w:rPr>
                <w:rFonts w:ascii="Arial" w:cs="Arial" w:eastAsia="Arial" w:hAnsi="Arial"/>
                <w:sz w:val="18"/>
                <w:szCs w:val="18"/>
                <w:color w:val="auto"/>
              </w:rPr>
              <w:t>Amdocs Holdings ULC</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Amdocs, Inc.</w:t>
            </w:r>
          </w:p>
        </w:tc>
        <w:tc>
          <w:tcPr>
            <w:tcW w:w="5580" w:type="dxa"/>
            <w:vAlign w:val="bottom"/>
            <w:gridSpan w:val="3"/>
          </w:tcPr>
          <w:p>
            <w:pPr>
              <w:ind w:left="1380"/>
              <w:spacing w:after="0"/>
              <w:rPr>
                <w:sz w:val="20"/>
                <w:szCs w:val="20"/>
                <w:color w:val="auto"/>
              </w:rPr>
            </w:pPr>
            <w:r>
              <w:rPr>
                <w:rFonts w:ascii="Arial" w:cs="Arial" w:eastAsia="Arial" w:hAnsi="Arial"/>
                <w:sz w:val="18"/>
                <w:szCs w:val="18"/>
                <w:color w:val="auto"/>
              </w:rPr>
              <w:t>State of Delaware</w:t>
            </w:r>
          </w:p>
        </w:tc>
        <w:tc>
          <w:tcPr>
            <w:tcW w:w="2000" w:type="dxa"/>
            <w:vAlign w:val="bottom"/>
            <w:gridSpan w:val="2"/>
          </w:tcPr>
          <w:p>
            <w:pPr>
              <w:spacing w:after="0"/>
              <w:rPr>
                <w:sz w:val="20"/>
                <w:szCs w:val="20"/>
                <w:color w:val="auto"/>
              </w:rPr>
            </w:pPr>
            <w:r>
              <w:rPr>
                <w:rFonts w:ascii="Arial" w:cs="Arial" w:eastAsia="Arial" w:hAnsi="Arial"/>
                <w:sz w:val="18"/>
                <w:szCs w:val="18"/>
                <w:color w:val="auto"/>
              </w:rPr>
              <w:t>Amdocs, Inc.</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Amdocs International GmbH</w:t>
            </w:r>
          </w:p>
        </w:tc>
        <w:tc>
          <w:tcPr>
            <w:tcW w:w="13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Amdocs International</w:t>
            </w:r>
          </w:p>
        </w:tc>
      </w:tr>
      <w:tr>
        <w:trPr>
          <w:trHeight w:val="216"/>
        </w:trPr>
        <w:tc>
          <w:tcPr>
            <w:tcW w:w="1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580" w:type="dxa"/>
            <w:vAlign w:val="bottom"/>
            <w:gridSpan w:val="3"/>
          </w:tcPr>
          <w:p>
            <w:pPr>
              <w:ind w:left="1380"/>
              <w:spacing w:after="0"/>
              <w:rPr>
                <w:sz w:val="20"/>
                <w:szCs w:val="20"/>
                <w:color w:val="auto"/>
              </w:rPr>
            </w:pPr>
            <w:r>
              <w:rPr>
                <w:rFonts w:ascii="Arial" w:cs="Arial" w:eastAsia="Arial" w:hAnsi="Arial"/>
                <w:sz w:val="18"/>
                <w:szCs w:val="18"/>
                <w:color w:val="auto"/>
              </w:rPr>
              <w:t>Switzerland</w:t>
            </w:r>
          </w:p>
        </w:tc>
        <w:tc>
          <w:tcPr>
            <w:tcW w:w="2000" w:type="dxa"/>
            <w:vAlign w:val="bottom"/>
            <w:gridSpan w:val="2"/>
          </w:tcPr>
          <w:p>
            <w:pPr>
              <w:spacing w:after="0"/>
              <w:rPr>
                <w:sz w:val="20"/>
                <w:szCs w:val="20"/>
                <w:color w:val="auto"/>
              </w:rPr>
            </w:pPr>
            <w:r>
              <w:rPr>
                <w:rFonts w:ascii="Arial" w:cs="Arial" w:eastAsia="Arial" w:hAnsi="Arial"/>
                <w:sz w:val="18"/>
                <w:szCs w:val="18"/>
                <w:color w:val="auto"/>
              </w:rPr>
              <w:t>GmbH</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Amdocs (Israel) Limited</w:t>
            </w:r>
          </w:p>
        </w:tc>
        <w:tc>
          <w:tcPr>
            <w:tcW w:w="5580" w:type="dxa"/>
            <w:vAlign w:val="bottom"/>
            <w:gridSpan w:val="3"/>
          </w:tcPr>
          <w:p>
            <w:pPr>
              <w:ind w:left="1380"/>
              <w:spacing w:after="0"/>
              <w:rPr>
                <w:sz w:val="20"/>
                <w:szCs w:val="20"/>
                <w:color w:val="auto"/>
              </w:rPr>
            </w:pPr>
            <w:r>
              <w:rPr>
                <w:rFonts w:ascii="Arial" w:cs="Arial" w:eastAsia="Arial" w:hAnsi="Arial"/>
                <w:sz w:val="18"/>
                <w:szCs w:val="18"/>
                <w:color w:val="auto"/>
              </w:rPr>
              <w:t>Israel</w:t>
            </w:r>
          </w:p>
        </w:tc>
        <w:tc>
          <w:tcPr>
            <w:tcW w:w="2000" w:type="dxa"/>
            <w:vAlign w:val="bottom"/>
            <w:gridSpan w:val="2"/>
          </w:tcPr>
          <w:p>
            <w:pPr>
              <w:spacing w:after="0"/>
              <w:rPr>
                <w:sz w:val="20"/>
                <w:szCs w:val="20"/>
                <w:color w:val="auto"/>
              </w:rPr>
            </w:pPr>
            <w:r>
              <w:rPr>
                <w:rFonts w:ascii="Arial" w:cs="Arial" w:eastAsia="Arial" w:hAnsi="Arial"/>
                <w:sz w:val="18"/>
                <w:szCs w:val="18"/>
                <w:color w:val="auto"/>
              </w:rPr>
              <w:t>Amdocs (Israel) Limited</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Amdocs Management Limited</w:t>
            </w:r>
          </w:p>
        </w:tc>
        <w:tc>
          <w:tcPr>
            <w:tcW w:w="13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Amdocs Management</w:t>
            </w:r>
          </w:p>
        </w:tc>
      </w:tr>
      <w:tr>
        <w:trPr>
          <w:trHeight w:val="216"/>
        </w:trPr>
        <w:tc>
          <w:tcPr>
            <w:tcW w:w="1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580" w:type="dxa"/>
            <w:vAlign w:val="bottom"/>
            <w:gridSpan w:val="3"/>
          </w:tcPr>
          <w:p>
            <w:pPr>
              <w:ind w:left="1380"/>
              <w:spacing w:after="0"/>
              <w:rPr>
                <w:sz w:val="20"/>
                <w:szCs w:val="20"/>
                <w:color w:val="auto"/>
              </w:rPr>
            </w:pPr>
            <w:r>
              <w:rPr>
                <w:rFonts w:ascii="Arial" w:cs="Arial" w:eastAsia="Arial" w:hAnsi="Arial"/>
                <w:sz w:val="18"/>
                <w:szCs w:val="18"/>
                <w:color w:val="auto"/>
              </w:rPr>
              <w:t>United Kingdom</w:t>
            </w:r>
          </w:p>
        </w:tc>
        <w:tc>
          <w:tcPr>
            <w:tcW w:w="2000" w:type="dxa"/>
            <w:vAlign w:val="bottom"/>
            <w:gridSpan w:val="2"/>
          </w:tcPr>
          <w:p>
            <w:pPr>
              <w:spacing w:after="0"/>
              <w:rPr>
                <w:sz w:val="20"/>
                <w:szCs w:val="20"/>
                <w:color w:val="auto"/>
              </w:rPr>
            </w:pPr>
            <w:r>
              <w:rPr>
                <w:rFonts w:ascii="Arial" w:cs="Arial" w:eastAsia="Arial" w:hAnsi="Arial"/>
                <w:sz w:val="18"/>
                <w:szCs w:val="18"/>
                <w:color w:val="auto"/>
              </w:rPr>
              <w:t>Limited</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Amdocs Software Solutions Kft</w:t>
            </w:r>
          </w:p>
        </w:tc>
        <w:tc>
          <w:tcPr>
            <w:tcW w:w="13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w w:val="89"/>
              </w:rPr>
              <w:t>Amdocs Software Solutions</w:t>
            </w:r>
          </w:p>
        </w:tc>
      </w:tr>
      <w:tr>
        <w:trPr>
          <w:trHeight w:val="216"/>
        </w:trPr>
        <w:tc>
          <w:tcPr>
            <w:tcW w:w="1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580" w:type="dxa"/>
            <w:vAlign w:val="bottom"/>
            <w:gridSpan w:val="3"/>
          </w:tcPr>
          <w:p>
            <w:pPr>
              <w:ind w:left="1380"/>
              <w:spacing w:after="0"/>
              <w:rPr>
                <w:sz w:val="20"/>
                <w:szCs w:val="20"/>
                <w:color w:val="auto"/>
              </w:rPr>
            </w:pPr>
            <w:r>
              <w:rPr>
                <w:rFonts w:ascii="Arial" w:cs="Arial" w:eastAsia="Arial" w:hAnsi="Arial"/>
                <w:sz w:val="18"/>
                <w:szCs w:val="18"/>
                <w:color w:val="auto"/>
              </w:rPr>
              <w:t>Hungary</w:t>
            </w:r>
          </w:p>
        </w:tc>
        <w:tc>
          <w:tcPr>
            <w:tcW w:w="2000" w:type="dxa"/>
            <w:vAlign w:val="bottom"/>
            <w:gridSpan w:val="2"/>
          </w:tcPr>
          <w:p>
            <w:pPr>
              <w:spacing w:after="0"/>
              <w:rPr>
                <w:sz w:val="20"/>
                <w:szCs w:val="20"/>
                <w:color w:val="auto"/>
              </w:rPr>
            </w:pPr>
            <w:r>
              <w:rPr>
                <w:rFonts w:ascii="Arial" w:cs="Arial" w:eastAsia="Arial" w:hAnsi="Arial"/>
                <w:sz w:val="18"/>
                <w:szCs w:val="18"/>
                <w:color w:val="auto"/>
                <w:w w:val="96"/>
              </w:rPr>
              <w:t>Limited Liability Company</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Amdocs Software Systems Ltd.</w:t>
            </w:r>
          </w:p>
        </w:tc>
        <w:tc>
          <w:tcPr>
            <w:tcW w:w="13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w w:val="92"/>
              </w:rPr>
              <w:t>Amdocs Software Systems</w:t>
            </w:r>
          </w:p>
        </w:tc>
      </w:tr>
      <w:tr>
        <w:trPr>
          <w:trHeight w:val="216"/>
        </w:trPr>
        <w:tc>
          <w:tcPr>
            <w:tcW w:w="1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580" w:type="dxa"/>
            <w:vAlign w:val="bottom"/>
            <w:gridSpan w:val="3"/>
          </w:tcPr>
          <w:p>
            <w:pPr>
              <w:ind w:left="1380"/>
              <w:spacing w:after="0"/>
              <w:rPr>
                <w:sz w:val="20"/>
                <w:szCs w:val="20"/>
                <w:color w:val="auto"/>
              </w:rPr>
            </w:pPr>
            <w:r>
              <w:rPr>
                <w:rFonts w:ascii="Arial" w:cs="Arial" w:eastAsia="Arial" w:hAnsi="Arial"/>
                <w:sz w:val="18"/>
                <w:szCs w:val="18"/>
                <w:color w:val="auto"/>
              </w:rPr>
              <w:t>Ireland</w:t>
            </w:r>
          </w:p>
        </w:tc>
        <w:tc>
          <w:tcPr>
            <w:tcW w:w="2000" w:type="dxa"/>
            <w:vAlign w:val="bottom"/>
            <w:gridSpan w:val="2"/>
          </w:tcPr>
          <w:p>
            <w:pPr>
              <w:spacing w:after="0"/>
              <w:rPr>
                <w:sz w:val="20"/>
                <w:szCs w:val="20"/>
                <w:color w:val="auto"/>
              </w:rPr>
            </w:pPr>
            <w:r>
              <w:rPr>
                <w:rFonts w:ascii="Arial" w:cs="Arial" w:eastAsia="Arial" w:hAnsi="Arial"/>
                <w:sz w:val="18"/>
                <w:szCs w:val="18"/>
                <w:color w:val="auto"/>
              </w:rPr>
              <w:t>Ltd.</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Amdocs (UK) Limited</w:t>
            </w:r>
          </w:p>
        </w:tc>
        <w:tc>
          <w:tcPr>
            <w:tcW w:w="5580" w:type="dxa"/>
            <w:vAlign w:val="bottom"/>
            <w:gridSpan w:val="3"/>
          </w:tcPr>
          <w:p>
            <w:pPr>
              <w:ind w:left="1380"/>
              <w:spacing w:after="0"/>
              <w:rPr>
                <w:sz w:val="20"/>
                <w:szCs w:val="20"/>
                <w:color w:val="auto"/>
              </w:rPr>
            </w:pPr>
            <w:r>
              <w:rPr>
                <w:rFonts w:ascii="Arial" w:cs="Arial" w:eastAsia="Arial" w:hAnsi="Arial"/>
                <w:sz w:val="18"/>
                <w:szCs w:val="18"/>
                <w:color w:val="auto"/>
              </w:rPr>
              <w:t>United Kingdom</w:t>
            </w:r>
          </w:p>
        </w:tc>
        <w:tc>
          <w:tcPr>
            <w:tcW w:w="2000" w:type="dxa"/>
            <w:vAlign w:val="bottom"/>
            <w:gridSpan w:val="2"/>
          </w:tcPr>
          <w:p>
            <w:pPr>
              <w:spacing w:after="0"/>
              <w:rPr>
                <w:sz w:val="20"/>
                <w:szCs w:val="20"/>
                <w:color w:val="auto"/>
              </w:rPr>
            </w:pPr>
            <w:r>
              <w:rPr>
                <w:rFonts w:ascii="Arial" w:cs="Arial" w:eastAsia="Arial" w:hAnsi="Arial"/>
                <w:sz w:val="18"/>
                <w:szCs w:val="18"/>
                <w:color w:val="auto"/>
              </w:rPr>
              <w:t>Amdocs (UK) Limited</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European Software Marketing Ltd.</w:t>
            </w:r>
          </w:p>
        </w:tc>
        <w:tc>
          <w:tcPr>
            <w:tcW w:w="13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European Software</w:t>
            </w:r>
          </w:p>
        </w:tc>
      </w:tr>
      <w:tr>
        <w:trPr>
          <w:trHeight w:val="216"/>
        </w:trPr>
        <w:tc>
          <w:tcPr>
            <w:tcW w:w="1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0" w:type="dxa"/>
            <w:vAlign w:val="bottom"/>
            <w:gridSpan w:val="2"/>
          </w:tcPr>
          <w:p>
            <w:pPr>
              <w:spacing w:after="0"/>
              <w:rPr>
                <w:sz w:val="20"/>
                <w:szCs w:val="20"/>
                <w:color w:val="auto"/>
              </w:rPr>
            </w:pPr>
            <w:r>
              <w:rPr>
                <w:rFonts w:ascii="Arial" w:cs="Arial" w:eastAsia="Arial" w:hAnsi="Arial"/>
                <w:sz w:val="18"/>
                <w:szCs w:val="18"/>
                <w:color w:val="auto"/>
              </w:rPr>
              <w:t>Marketing</w:t>
            </w:r>
          </w:p>
        </w:tc>
      </w:tr>
      <w:tr>
        <w:trPr>
          <w:trHeight w:val="216"/>
        </w:trPr>
        <w:tc>
          <w:tcPr>
            <w:tcW w:w="14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580" w:type="dxa"/>
            <w:vAlign w:val="bottom"/>
            <w:gridSpan w:val="3"/>
          </w:tcPr>
          <w:p>
            <w:pPr>
              <w:ind w:left="1380"/>
              <w:spacing w:after="0"/>
              <w:rPr>
                <w:sz w:val="20"/>
                <w:szCs w:val="20"/>
                <w:color w:val="auto"/>
              </w:rPr>
            </w:pPr>
            <w:r>
              <w:rPr>
                <w:rFonts w:ascii="Arial" w:cs="Arial" w:eastAsia="Arial" w:hAnsi="Arial"/>
                <w:sz w:val="18"/>
                <w:szCs w:val="18"/>
                <w:color w:val="auto"/>
              </w:rPr>
              <w:t>Island of Guernsey, Channel Islands</w:t>
            </w:r>
          </w:p>
        </w:tc>
        <w:tc>
          <w:tcPr>
            <w:tcW w:w="2000" w:type="dxa"/>
            <w:vAlign w:val="bottom"/>
            <w:gridSpan w:val="2"/>
          </w:tcPr>
          <w:p>
            <w:pPr>
              <w:spacing w:after="0"/>
              <w:rPr>
                <w:sz w:val="20"/>
                <w:szCs w:val="20"/>
                <w:color w:val="auto"/>
              </w:rPr>
            </w:pPr>
            <w:r>
              <w:rPr>
                <w:rFonts w:ascii="Arial" w:cs="Arial" w:eastAsia="Arial" w:hAnsi="Arial"/>
                <w:sz w:val="18"/>
                <w:szCs w:val="18"/>
                <w:color w:val="auto"/>
              </w:rPr>
              <w:t>Ltd.</w:t>
            </w: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color w:val="auto"/>
              </w:rPr>
              <w:t>Sypress, Inc.</w:t>
            </w:r>
          </w:p>
        </w:tc>
        <w:tc>
          <w:tcPr>
            <w:tcW w:w="5580" w:type="dxa"/>
            <w:vAlign w:val="bottom"/>
            <w:gridSpan w:val="3"/>
          </w:tcPr>
          <w:p>
            <w:pPr>
              <w:ind w:left="1380"/>
              <w:spacing w:after="0"/>
              <w:rPr>
                <w:sz w:val="20"/>
                <w:szCs w:val="20"/>
                <w:color w:val="auto"/>
              </w:rPr>
            </w:pPr>
            <w:r>
              <w:rPr>
                <w:rFonts w:ascii="Arial" w:cs="Arial" w:eastAsia="Arial" w:hAnsi="Arial"/>
                <w:sz w:val="18"/>
                <w:szCs w:val="18"/>
                <w:color w:val="auto"/>
              </w:rPr>
              <w:t>State of Delaware</w:t>
            </w:r>
          </w:p>
        </w:tc>
        <w:tc>
          <w:tcPr>
            <w:tcW w:w="2000" w:type="dxa"/>
            <w:vAlign w:val="bottom"/>
            <w:gridSpan w:val="2"/>
          </w:tcPr>
          <w:p>
            <w:pPr>
              <w:spacing w:after="0"/>
              <w:rPr>
                <w:sz w:val="20"/>
                <w:szCs w:val="20"/>
                <w:color w:val="auto"/>
              </w:rPr>
            </w:pPr>
            <w:r>
              <w:rPr>
                <w:rFonts w:ascii="Arial" w:cs="Arial" w:eastAsia="Arial" w:hAnsi="Arial"/>
                <w:sz w:val="18"/>
                <w:szCs w:val="18"/>
                <w:color w:val="auto"/>
              </w:rPr>
              <w:t>Sypress,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94361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  Each subsidiary listed is directly or indirectly wholly-owned by Amdocs Limited.</w:t>
      </w:r>
    </w:p>
    <w:p>
      <w:pPr>
        <w:sectPr>
          <w:pgSz w:w="11900" w:h="16838" w:orient="portrait"/>
          <w:cols w:equalWidth="0" w:num="1">
            <w:col w:w="11420"/>
          </w:cols>
          <w:pgMar w:left="240" w:top="125"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12.1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I, Eli Gelman, certify that:</w:t>
      </w:r>
    </w:p>
    <w:p>
      <w:pPr>
        <w:spacing w:after="0" w:line="90" w:lineRule="exact"/>
        <w:rPr>
          <w:sz w:val="20"/>
          <w:szCs w:val="20"/>
          <w:color w:val="auto"/>
        </w:rPr>
      </w:pPr>
    </w:p>
    <w:p>
      <w:pPr>
        <w:ind w:left="640" w:hanging="176"/>
        <w:spacing w:after="0"/>
        <w:tabs>
          <w:tab w:leader="none" w:pos="6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Amdocs Limited;</w:t>
      </w:r>
    </w:p>
    <w:p>
      <w:pPr>
        <w:spacing w:after="0" w:line="90" w:lineRule="exact"/>
        <w:rPr>
          <w:rFonts w:ascii="Arial" w:cs="Arial" w:eastAsia="Arial" w:hAnsi="Arial"/>
          <w:sz w:val="18"/>
          <w:szCs w:val="18"/>
          <w:color w:val="auto"/>
        </w:rPr>
      </w:pPr>
    </w:p>
    <w:p>
      <w:pPr>
        <w:ind w:right="560" w:firstLine="464"/>
        <w:spacing w:after="0" w:line="357" w:lineRule="auto"/>
        <w:tabs>
          <w:tab w:leader="none" w:pos="632" w:val="left"/>
        </w:tabs>
        <w:numPr>
          <w:ilvl w:val="0"/>
          <w:numId w:val="66"/>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464"/>
        <w:spacing w:after="0" w:line="332" w:lineRule="auto"/>
        <w:tabs>
          <w:tab w:leader="none" w:pos="632" w:val="left"/>
        </w:tabs>
        <w:numPr>
          <w:ilvl w:val="0"/>
          <w:numId w:val="6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40" w:firstLine="443"/>
        <w:spacing w:after="0" w:line="332" w:lineRule="auto"/>
        <w:tabs>
          <w:tab w:leader="none" w:pos="1137" w:val="left"/>
        </w:tabs>
        <w:numPr>
          <w:ilvl w:val="1"/>
          <w:numId w:val="6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440" w:firstLine="443"/>
        <w:spacing w:after="0" w:line="332" w:lineRule="auto"/>
        <w:tabs>
          <w:tab w:leader="none" w:pos="1147" w:val="left"/>
        </w:tabs>
        <w:numPr>
          <w:ilvl w:val="1"/>
          <w:numId w:val="66"/>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4" w:lineRule="exact"/>
        <w:rPr>
          <w:rFonts w:ascii="Arial" w:cs="Arial" w:eastAsia="Arial" w:hAnsi="Arial"/>
          <w:sz w:val="16"/>
          <w:szCs w:val="16"/>
          <w:color w:val="auto"/>
        </w:rPr>
      </w:pPr>
    </w:p>
    <w:p>
      <w:pPr>
        <w:ind w:right="300" w:firstLine="464"/>
        <w:spacing w:after="0" w:line="332" w:lineRule="auto"/>
        <w:tabs>
          <w:tab w:leader="none" w:pos="629"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460" w:right="200" w:firstLine="443"/>
        <w:spacing w:after="0" w:line="268" w:lineRule="auto"/>
        <w:tabs>
          <w:tab w:leader="none" w:pos="1137" w:val="left"/>
        </w:tabs>
        <w:numPr>
          <w:ilvl w:val="1"/>
          <w:numId w:val="6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 Gelman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Management Limited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11, 2012</w:t>
      </w:r>
    </w:p>
    <w:p>
      <w:pPr>
        <w:sectPr>
          <w:pgSz w:w="11900" w:h="16838" w:orient="portrait"/>
          <w:cols w:equalWidth="0" w:num="1">
            <w:col w:w="11420"/>
          </w:cols>
          <w:pgMar w:left="240" w:top="125"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12.2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Tamar Rapaport-Dagim, certify that:</w:t>
      </w:r>
    </w:p>
    <w:p>
      <w:pPr>
        <w:spacing w:after="0" w:line="90" w:lineRule="exact"/>
        <w:rPr>
          <w:sz w:val="20"/>
          <w:szCs w:val="20"/>
          <w:color w:val="auto"/>
        </w:rPr>
      </w:pPr>
    </w:p>
    <w:p>
      <w:pPr>
        <w:ind w:left="640" w:hanging="17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Amdocs Limited;</w:t>
      </w:r>
    </w:p>
    <w:p>
      <w:pPr>
        <w:spacing w:after="0" w:line="90" w:lineRule="exact"/>
        <w:rPr>
          <w:rFonts w:ascii="Arial" w:cs="Arial" w:eastAsia="Arial" w:hAnsi="Arial"/>
          <w:sz w:val="18"/>
          <w:szCs w:val="18"/>
          <w:color w:val="auto"/>
        </w:rPr>
      </w:pPr>
    </w:p>
    <w:p>
      <w:pPr>
        <w:ind w:right="560" w:firstLine="464"/>
        <w:spacing w:after="0" w:line="357" w:lineRule="auto"/>
        <w:tabs>
          <w:tab w:leader="none" w:pos="632" w:val="left"/>
        </w:tabs>
        <w:numPr>
          <w:ilvl w:val="0"/>
          <w:numId w:val="6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40" w:firstLine="464"/>
        <w:spacing w:after="0" w:line="332" w:lineRule="auto"/>
        <w:tabs>
          <w:tab w:leader="none" w:pos="632" w:val="left"/>
        </w:tabs>
        <w:numPr>
          <w:ilvl w:val="0"/>
          <w:numId w:val="6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4" w:lineRule="exact"/>
        <w:rPr>
          <w:rFonts w:ascii="Arial" w:cs="Arial" w:eastAsia="Arial" w:hAnsi="Arial"/>
          <w:sz w:val="16"/>
          <w:szCs w:val="16"/>
          <w:color w:val="auto"/>
        </w:rPr>
      </w:pPr>
    </w:p>
    <w:p>
      <w:pPr>
        <w:ind w:right="280" w:firstLine="464"/>
        <w:spacing w:after="0" w:line="259" w:lineRule="auto"/>
        <w:tabs>
          <w:tab w:leader="none" w:pos="62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59"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1160" w:hanging="257"/>
        <w:spacing w:after="0"/>
        <w:tabs>
          <w:tab w:leader="none" w:pos="1160" w:val="left"/>
        </w:tabs>
        <w:numPr>
          <w:ilvl w:val="1"/>
          <w:numId w:val="67"/>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w:t>
      </w:r>
    </w:p>
    <w:p>
      <w:pPr>
        <w:spacing w:after="0" w:line="38" w:lineRule="exact"/>
        <w:rPr>
          <w:rFonts w:ascii="Arial" w:cs="Arial" w:eastAsia="Arial" w:hAnsi="Arial"/>
          <w:sz w:val="16"/>
          <w:szCs w:val="16"/>
          <w:color w:val="auto"/>
        </w:rPr>
      </w:pPr>
    </w:p>
    <w:p>
      <w:pPr>
        <w:ind w:left="460" w:right="20"/>
        <w:spacing w:after="0" w:line="261" w:lineRule="auto"/>
        <w:rPr>
          <w:rFonts w:ascii="Arial" w:cs="Arial" w:eastAsia="Arial" w:hAnsi="Arial"/>
          <w:sz w:val="16"/>
          <w:szCs w:val="16"/>
          <w:color w:val="auto"/>
        </w:rPr>
      </w:pPr>
      <w:r>
        <w:rPr>
          <w:rFonts w:ascii="Arial" w:cs="Arial" w:eastAsia="Arial" w:hAnsi="Arial"/>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56" w:lineRule="exact"/>
        <w:rPr>
          <w:rFonts w:ascii="Arial" w:cs="Arial" w:eastAsia="Arial" w:hAnsi="Arial"/>
          <w:sz w:val="16"/>
          <w:szCs w:val="16"/>
          <w:color w:val="auto"/>
        </w:rPr>
      </w:pPr>
    </w:p>
    <w:p>
      <w:pPr>
        <w:ind w:left="460" w:right="840" w:firstLine="443"/>
        <w:spacing w:after="0" w:line="332" w:lineRule="auto"/>
        <w:tabs>
          <w:tab w:leader="none" w:pos="1137"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440" w:firstLine="443"/>
        <w:spacing w:after="0" w:line="332" w:lineRule="auto"/>
        <w:tabs>
          <w:tab w:leader="none" w:pos="1147" w:val="left"/>
        </w:tabs>
        <w:numPr>
          <w:ilvl w:val="1"/>
          <w:numId w:val="67"/>
        </w:numPr>
        <w:rPr>
          <w:rFonts w:ascii="Arial" w:cs="Arial" w:eastAsia="Arial" w:hAnsi="Arial"/>
          <w:sz w:val="16"/>
          <w:szCs w:val="16"/>
          <w:color w:val="auto"/>
        </w:rPr>
      </w:pPr>
      <w:r>
        <w:rPr>
          <w:rFonts w:ascii="Arial" w:cs="Arial" w:eastAsia="Arial" w:hAnsi="Arial"/>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4" w:lineRule="exact"/>
        <w:rPr>
          <w:rFonts w:ascii="Arial" w:cs="Arial" w:eastAsia="Arial" w:hAnsi="Arial"/>
          <w:sz w:val="16"/>
          <w:szCs w:val="16"/>
          <w:color w:val="auto"/>
        </w:rPr>
      </w:pPr>
    </w:p>
    <w:p>
      <w:pPr>
        <w:ind w:right="300" w:firstLine="464"/>
        <w:spacing w:after="0" w:line="332" w:lineRule="auto"/>
        <w:tabs>
          <w:tab w:leader="none" w:pos="629" w:val="left"/>
        </w:tabs>
        <w:numPr>
          <w:ilvl w:val="0"/>
          <w:numId w:val="67"/>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27"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50" w:lineRule="exact"/>
        <w:rPr>
          <w:rFonts w:ascii="Arial" w:cs="Arial" w:eastAsia="Arial" w:hAnsi="Arial"/>
          <w:sz w:val="18"/>
          <w:szCs w:val="18"/>
          <w:color w:val="auto"/>
        </w:rPr>
      </w:pPr>
    </w:p>
    <w:p>
      <w:pPr>
        <w:ind w:left="460" w:right="200" w:firstLine="443"/>
        <w:spacing w:after="0" w:line="268" w:lineRule="auto"/>
        <w:tabs>
          <w:tab w:leader="none" w:pos="1137"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38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Management Limited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 December 11, 2012</w:t>
      </w:r>
    </w:p>
    <w:p>
      <w:pPr>
        <w:sectPr>
          <w:pgSz w:w="11900" w:h="16838" w:orient="portrait"/>
          <w:cols w:equalWidth="0" w:num="1">
            <w:col w:w="11420"/>
          </w:cols>
          <w:pgMar w:left="240" w:top="125"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13.1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connection with the annual report on Form 20-F of Amdocs Limited (the “Company”) for the period ended September 30, 2012 as filed with the Securities and Exchange Commission on the date hereof (the “Report”), the undersigned, Eli Gelman, Chief Executive Officer of the Company, hereby certifies, pursuant to 18 U.S.C. Section 1350, that to the best of his knowledge and belief:</w:t>
      </w:r>
    </w:p>
    <w:p>
      <w:pPr>
        <w:spacing w:after="0" w:line="59" w:lineRule="exact"/>
        <w:rPr>
          <w:sz w:val="20"/>
          <w:szCs w:val="20"/>
          <w:color w:val="auto"/>
        </w:rPr>
      </w:pPr>
    </w:p>
    <w:p>
      <w:pPr>
        <w:ind w:left="1160" w:hanging="257"/>
        <w:spacing w:after="0"/>
        <w:tabs>
          <w:tab w:leader="none" w:pos="11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Eli Gelman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Eli Gelman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Management Limited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11, 2012</w:t>
      </w:r>
    </w:p>
    <w:p>
      <w:pPr>
        <w:sectPr>
          <w:pgSz w:w="11900" w:h="16838" w:orient="portrait"/>
          <w:cols w:equalWidth="0" w:num="1">
            <w:col w:w="11420"/>
          </w:cols>
          <w:pgMar w:left="240" w:top="125"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13.2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84" w:lineRule="exact"/>
        <w:rPr>
          <w:sz w:val="20"/>
          <w:szCs w:val="20"/>
          <w:color w:val="auto"/>
        </w:rPr>
      </w:pPr>
    </w:p>
    <w:p>
      <w:pPr>
        <w:ind w:right="500" w:firstLine="456"/>
        <w:spacing w:after="0" w:line="259" w:lineRule="auto"/>
        <w:rPr>
          <w:sz w:val="20"/>
          <w:szCs w:val="20"/>
          <w:color w:val="auto"/>
        </w:rPr>
      </w:pPr>
      <w:r>
        <w:rPr>
          <w:rFonts w:ascii="Arial" w:cs="Arial" w:eastAsia="Arial" w:hAnsi="Arial"/>
          <w:sz w:val="18"/>
          <w:szCs w:val="18"/>
          <w:color w:val="auto"/>
        </w:rPr>
        <w:t>In connection with the annual report on Form 20-F of Amdocs Limited (the “Company”) for the period ended September 30, 2012 as filed with the Securities and Exchange Commission on the date hereof (the “Report”), the undersigned, Tamar Rapaport-Dagim, Chief Financial Officer of the Company, hereby certifies, pursuant to 18 U.S.C. Section 1350, that to the best of her knowledge and belief:</w:t>
      </w:r>
    </w:p>
    <w:p>
      <w:pPr>
        <w:spacing w:after="0" w:line="59" w:lineRule="exact"/>
        <w:rPr>
          <w:sz w:val="20"/>
          <w:szCs w:val="20"/>
          <w:color w:val="auto"/>
        </w:rPr>
      </w:pPr>
    </w:p>
    <w:p>
      <w:pPr>
        <w:ind w:left="1160" w:hanging="257"/>
        <w:spacing w:after="0"/>
        <w:tabs>
          <w:tab w:leader="none" w:pos="11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Tamar Rapaport-Dagim</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Amdocs Management Limited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11, 2012</w:t>
      </w:r>
    </w:p>
    <w:p>
      <w:pPr>
        <w:sectPr>
          <w:pgSz w:w="11900" w:h="16838" w:orient="portrait"/>
          <w:cols w:equalWidth="0" w:num="1">
            <w:col w:w="11420"/>
          </w:cols>
          <w:pgMar w:left="240" w:top="125"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14.1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We consent to the reference to our firm in the head note to Item 3. Key Information — Selected Financial Data included in this Annual Report (Form 20-F)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Amdocs Limited and to the incorporation by reference in the following Registration Statements:</w:t>
      </w:r>
    </w:p>
    <w:p>
      <w:pPr>
        <w:spacing w:after="0" w:line="16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Form S-8, No. 333-91847</w:t>
      </w:r>
    </w:p>
    <w:p>
      <w:pPr>
        <w:spacing w:after="0" w:line="15"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Form S-8, No. 333-92705</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Form S-8, No. 333-31506</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Form S-8, No. 333-34104</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Form S-8, No. 333-58454</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333-114077</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333-132968</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333-135320</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333-137617</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333-139310</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333-140728</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Form S-8, No. 333-159163</w:t>
      </w:r>
    </w:p>
    <w:p>
      <w:pPr>
        <w:spacing w:after="0" w:line="165"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of our reports dated December 11, 2012, with respect to the consolidated financial statements and schedule of Amdocs Limited and the effectiveness of internal control over financial reporting of Amdocs Limited, included in this Annual Report (Form 20-F) of Amdocs Limited for the year ended September 30,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December 11, 2012</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1)"/>
      <w:numFmt w:val="decimal"/>
      <w:start w:val="1"/>
    </w:lvl>
  </w:abstractNum>
  <w:abstractNum w:abstractNumId="4">
    <w:nsid w:val="77465F01"/>
    <w:multiLevelType w:val="hybridMultilevel"/>
    <w:lvl w:ilvl="0">
      <w:lvlJc w:val="left"/>
      <w:lvlText w:val="(%1)"/>
      <w:numFmt w:val="decimal"/>
      <w:start w:val="1"/>
    </w:lvl>
  </w:abstractNum>
  <w:abstractNum w:abstractNumId="5">
    <w:nsid w:val="7724C67E"/>
    <w:multiLevelType w:val="hybridMultilevel"/>
    <w:lvl w:ilvl="0">
      <w:lvlJc w:val="left"/>
      <w:lvlText w:val="(%1)"/>
      <w:numFmt w:val="decimal"/>
      <w:start w:val="3"/>
    </w:lvl>
  </w:abstractNum>
  <w:abstractNum w:abstractNumId="6">
    <w:nsid w:val="5C482A97"/>
    <w:multiLevelType w:val="hybridMultilevel"/>
    <w:lvl w:ilvl="0">
      <w:lvlJc w:val="left"/>
      <w:lvlText w:val="(%1)"/>
      <w:numFmt w:val="decimal"/>
      <w:start w:val="1"/>
    </w:lvl>
  </w:abstractNum>
  <w:abstractNum w:abstractNumId="7">
    <w:nsid w:val="2463B9EA"/>
    <w:multiLevelType w:val="hybridMultilevel"/>
    <w:lvl w:ilvl="0">
      <w:lvlJc w:val="left"/>
      <w:lvlText w:val="•"/>
      <w:numFmt w:val="bullet"/>
      <w:start w:val="1"/>
    </w:lvl>
  </w:abstractNum>
  <w:abstractNum w:abstractNumId="8">
    <w:nsid w:val="5E884ADC"/>
    <w:multiLevelType w:val="hybridMultilevel"/>
    <w:lvl w:ilvl="0">
      <w:lvlJc w:val="left"/>
      <w:lvlText w:val="•"/>
      <w:numFmt w:val="bullet"/>
      <w:start w:val="1"/>
    </w:lvl>
  </w:abstractNum>
  <w:abstractNum w:abstractNumId="9">
    <w:nsid w:val="51EAD36B"/>
    <w:multiLevelType w:val="hybridMultilevel"/>
    <w:lvl w:ilvl="0">
      <w:lvlJc w:val="left"/>
      <w:lvlText w:val="•"/>
      <w:numFmt w:val="bullet"/>
      <w:start w:val="1"/>
    </w:lvl>
  </w:abstractNum>
  <w:abstractNum w:abstractNumId="10">
    <w:nsid w:val="2D517796"/>
    <w:multiLevelType w:val="hybridMultilevel"/>
    <w:lvl w:ilvl="0">
      <w:lvlJc w:val="left"/>
      <w:lvlText w:val="•"/>
      <w:numFmt w:val="bullet"/>
      <w:start w:val="1"/>
    </w:lvl>
  </w:abstractNum>
  <w:abstractNum w:abstractNumId="11">
    <w:nsid w:val="580BD78F"/>
    <w:multiLevelType w:val="hybridMultilevel"/>
    <w:lvl w:ilvl="0">
      <w:lvlJc w:val="left"/>
      <w:lvlText w:val="•"/>
      <w:numFmt w:val="bullet"/>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
      <w:numFmt w:val="bullet"/>
      <w:start w:val="1"/>
    </w:lvl>
  </w:abstractNum>
  <w:abstractNum w:abstractNumId="15">
    <w:nsid w:val="6A2342EC"/>
    <w:multiLevelType w:val="hybridMultilevel"/>
    <w:lvl w:ilvl="0">
      <w:lvlJc w:val="left"/>
      <w:lvlText w:val="•"/>
      <w:numFmt w:val="bullet"/>
      <w:start w:val="1"/>
    </w:lvl>
  </w:abstractNum>
  <w:abstractNum w:abstractNumId="16">
    <w:nsid w:val="2A487CB0"/>
    <w:multiLevelType w:val="hybridMultilevel"/>
    <w:lvl w:ilvl="0">
      <w:lvlJc w:val="left"/>
      <w:lvlText w:val="•"/>
      <w:numFmt w:val="bullet"/>
      <w:start w:val="1"/>
    </w:lvl>
  </w:abstractNum>
  <w:abstractNum w:abstractNumId="17">
    <w:nsid w:val="1D4ED43B"/>
    <w:multiLevelType w:val="hybridMultilevel"/>
    <w:lvl w:ilvl="0">
      <w:lvlJc w:val="left"/>
      <w:lvlText w:val="•"/>
      <w:numFmt w:val="bullet"/>
      <w:start w:val="1"/>
    </w:lvl>
  </w:abstractNum>
  <w:abstractNum w:abstractNumId="18">
    <w:nsid w:val="725A06FB"/>
    <w:multiLevelType w:val="hybridMultilevel"/>
    <w:lvl w:ilvl="0">
      <w:lvlJc w:val="left"/>
      <w:lvlText w:val="•"/>
      <w:numFmt w:val="bullet"/>
      <w:start w:val="1"/>
    </w:lvl>
    <w:lvl w:ilvl="1">
      <w:lvlJc w:val="left"/>
      <w:lvlText w:val="•"/>
      <w:numFmt w:val="bullet"/>
      <w:start w:val="1"/>
    </w:lvl>
  </w:abstractNum>
  <w:abstractNum w:abstractNumId="19">
    <w:nsid w:val="2CD89A32"/>
    <w:multiLevelType w:val="hybridMultilevel"/>
    <w:lvl w:ilvl="0">
      <w:lvlJc w:val="left"/>
      <w:lvlText w:val="•"/>
      <w:numFmt w:val="bullet"/>
      <w:start w:val="1"/>
    </w:lvl>
    <w:lvl w:ilvl="1">
      <w:lvlJc w:val="left"/>
      <w:lvlText w:val="•"/>
      <w:numFmt w:val="bullet"/>
      <w:start w:val="1"/>
    </w:lvl>
  </w:abstractNum>
  <w:abstractNum w:abstractNumId="20">
    <w:nsid w:val="57E4CCAF"/>
    <w:multiLevelType w:val="hybridMultilevel"/>
    <w:lvl w:ilvl="0">
      <w:lvlJc w:val="left"/>
      <w:lvlText w:val="•"/>
      <w:numFmt w:val="bullet"/>
      <w:start w:val="1"/>
    </w:lvl>
    <w:lvl w:ilvl="1">
      <w:lvlJc w:val="left"/>
      <w:lvlText w:val="•"/>
      <w:numFmt w:val="bullet"/>
      <w:start w:val="1"/>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
      <w:numFmt w:val="bullet"/>
      <w:start w:val="1"/>
    </w:lvl>
  </w:abstractNum>
  <w:abstractNum w:abstractNumId="24">
    <w:nsid w:val="6DE91B18"/>
    <w:multiLevelType w:val="hybridMultilevel"/>
    <w:lvl w:ilvl="0">
      <w:lvlJc w:val="left"/>
      <w:lvlText w:val="•"/>
      <w:numFmt w:val="bullet"/>
      <w:start w:val="1"/>
    </w:lvl>
  </w:abstractNum>
  <w:abstractNum w:abstractNumId="25">
    <w:nsid w:val="38437FDB"/>
    <w:multiLevelType w:val="hybridMultilevel"/>
    <w:lvl w:ilvl="0">
      <w:lvlJc w:val="left"/>
      <w:lvlText w:val="•"/>
      <w:numFmt w:val="bullet"/>
      <w:start w:val="1"/>
    </w:lvl>
  </w:abstractNum>
  <w:abstractNum w:abstractNumId="26">
    <w:nsid w:val="7644A45C"/>
    <w:multiLevelType w:val="hybridMultilevel"/>
    <w:lvl w:ilvl="0">
      <w:lvlJc w:val="left"/>
      <w:lvlText w:val="•"/>
      <w:numFmt w:val="bullet"/>
      <w:start w:val="1"/>
    </w:lvl>
  </w:abstractNum>
  <w:abstractNum w:abstractNumId="27">
    <w:nsid w:val="32FFF902"/>
    <w:multiLevelType w:val="hybridMultilevel"/>
    <w:lvl w:ilvl="0">
      <w:lvlJc w:val="left"/>
      <w:lvlText w:val="•"/>
      <w:numFmt w:val="bullet"/>
      <w:start w:val="1"/>
    </w:lvl>
  </w:abstractNum>
  <w:abstractNum w:abstractNumId="28">
    <w:nsid w:val="684A481A"/>
    <w:multiLevelType w:val="hybridMultilevel"/>
    <w:lvl w:ilvl="0">
      <w:lvlJc w:val="left"/>
      <w:lvlText w:val="(*)"/>
      <w:numFmt w:val="bullet"/>
      <w:start w:val="1"/>
    </w:lvl>
  </w:abstractNum>
  <w:abstractNum w:abstractNumId="29">
    <w:nsid w:val="579478FE"/>
    <w:multiLevelType w:val="hybridMultilevel"/>
    <w:lvl w:ilvl="0">
      <w:lvlJc w:val="left"/>
      <w:lvlText w:val="(**)"/>
      <w:numFmt w:val="bullet"/>
      <w:start w:val="1"/>
    </w:lvl>
  </w:abstractNum>
  <w:abstractNum w:abstractNumId="30">
    <w:nsid w:val="749ABB43"/>
    <w:multiLevelType w:val="hybridMultilevel"/>
    <w:lvl w:ilvl="0">
      <w:lvlJc w:val="left"/>
      <w:lvlText w:val="•"/>
      <w:numFmt w:val="bullet"/>
      <w:start w:val="1"/>
    </w:lvl>
  </w:abstractNum>
  <w:abstractNum w:abstractNumId="31">
    <w:nsid w:val="3DC240FB"/>
    <w:multiLevelType w:val="hybridMultilevel"/>
    <w:lvl w:ilvl="0">
      <w:lvlJc w:val="left"/>
      <w:lvlText w:val="•"/>
      <w:numFmt w:val="bullet"/>
      <w:start w:val="1"/>
    </w:lvl>
  </w:abstractNum>
  <w:abstractNum w:abstractNumId="32">
    <w:nsid w:val="1BA026FA"/>
    <w:multiLevelType w:val="hybridMultilevel"/>
    <w:lvl w:ilvl="0">
      <w:lvlJc w:val="left"/>
      <w:lvlText w:val="•"/>
      <w:numFmt w:val="bullet"/>
      <w:start w:val="1"/>
    </w:lvl>
    <w:lvl w:ilvl="1">
      <w:lvlJc w:val="left"/>
      <w:lvlText w:val="•"/>
      <w:numFmt w:val="bullet"/>
      <w:start w:val="1"/>
    </w:lvl>
  </w:abstractNum>
  <w:abstractNum w:abstractNumId="33">
    <w:nsid w:val="79A1DEAA"/>
    <w:multiLevelType w:val="hybridMultilevel"/>
    <w:lvl w:ilvl="0">
      <w:lvlJc w:val="left"/>
      <w:lvlText w:val="•"/>
      <w:numFmt w:val="bullet"/>
      <w:start w:val="1"/>
    </w:lvl>
    <w:lvl w:ilvl="1">
      <w:lvlJc w:val="left"/>
      <w:lvlText w:val="•"/>
      <w:numFmt w:val="bullet"/>
      <w:start w:val="1"/>
    </w:lvl>
  </w:abstractNum>
  <w:abstractNum w:abstractNumId="34">
    <w:nsid w:val="75C6C33A"/>
    <w:multiLevelType w:val="hybridMultilevel"/>
    <w:lvl w:ilvl="0">
      <w:lvlJc w:val="left"/>
      <w:lvlText w:val="(%1)"/>
      <w:numFmt w:val="decimal"/>
      <w:start w:val="1"/>
    </w:lvl>
  </w:abstractNum>
  <w:abstractNum w:abstractNumId="35">
    <w:nsid w:val="12E685FB"/>
    <w:multiLevelType w:val="hybridMultilevel"/>
    <w:lvl w:ilvl="0">
      <w:lvlJc w:val="left"/>
      <w:lvlText w:val="•"/>
      <w:numFmt w:val="bullet"/>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1)"/>
      <w:numFmt w:val="decimal"/>
      <w:start w:val="1"/>
    </w:lvl>
  </w:abstractNum>
  <w:abstractNum w:abstractNumId="38">
    <w:nsid w:val="374A3FE6"/>
    <w:multiLevelType w:val="hybridMultilevel"/>
    <w:lvl w:ilvl="0">
      <w:lvlJc w:val="left"/>
      <w:lvlText w:val="(%1)"/>
      <w:numFmt w:val="decimal"/>
      <w:start w:val="1"/>
    </w:lvl>
  </w:abstractNum>
  <w:abstractNum w:abstractNumId="39">
    <w:nsid w:val="4F4EF005"/>
    <w:multiLevelType w:val="hybridMultilevel"/>
    <w:lvl w:ilvl="0">
      <w:lvlJc w:val="left"/>
      <w:lvlText w:val="(%1)"/>
      <w:numFmt w:val="decimal"/>
      <w:start w:val="2"/>
    </w:lvl>
  </w:abstractNum>
  <w:abstractNum w:abstractNumId="40">
    <w:nsid w:val="23F9C13C"/>
    <w:multiLevelType w:val="hybridMultilevel"/>
    <w:lvl w:ilvl="0">
      <w:lvlJc w:val="left"/>
      <w:lvlText w:val="•"/>
      <w:numFmt w:val="bullet"/>
      <w:start w:val="1"/>
    </w:lvl>
  </w:abstractNum>
  <w:abstractNum w:abstractNumId="41">
    <w:nsid w:val="649BB77C"/>
    <w:multiLevelType w:val="hybridMultilevel"/>
    <w:lvl w:ilvl="0">
      <w:lvlJc w:val="left"/>
      <w:lvlText w:val="•"/>
      <w:numFmt w:val="bullet"/>
      <w:start w:val="1"/>
    </w:lvl>
  </w:abstractNum>
  <w:abstractNum w:abstractNumId="42">
    <w:nsid w:val="275AC794"/>
    <w:multiLevelType w:val="hybridMultilevel"/>
    <w:lvl w:ilvl="0">
      <w:lvlJc w:val="left"/>
      <w:lvlText w:val="•"/>
      <w:numFmt w:val="bullet"/>
      <w:start w:val="1"/>
    </w:lvl>
  </w:abstractNum>
  <w:abstractNum w:abstractNumId="43">
    <w:nsid w:val="39386575"/>
    <w:multiLevelType w:val="hybridMultilevel"/>
    <w:lvl w:ilvl="0">
      <w:lvlJc w:val="left"/>
      <w:lvlText w:val="•"/>
      <w:numFmt w:val="bullet"/>
      <w:start w:val="1"/>
    </w:lvl>
  </w:abstractNum>
  <w:abstractNum w:abstractNumId="44">
    <w:nsid w:val="1CF10FD8"/>
    <w:multiLevelType w:val="hybridMultilevel"/>
    <w:lvl w:ilvl="0">
      <w:lvlJc w:val="left"/>
      <w:lvlText w:val="•"/>
      <w:numFmt w:val="bullet"/>
      <w:start w:val="1"/>
    </w:lvl>
  </w:abstractNum>
  <w:abstractNum w:abstractNumId="45">
    <w:nsid w:val="180115BE"/>
    <w:multiLevelType w:val="hybridMultilevel"/>
    <w:lvl w:ilvl="0">
      <w:lvlJc w:val="left"/>
      <w:lvlText w:val="•"/>
      <w:numFmt w:val="bullet"/>
      <w:start w:val="1"/>
    </w:lvl>
  </w:abstractNum>
  <w:abstractNum w:abstractNumId="46">
    <w:nsid w:val="235BA861"/>
    <w:multiLevelType w:val="hybridMultilevel"/>
    <w:lvl w:ilvl="0">
      <w:lvlJc w:val="left"/>
      <w:lvlText w:val="•"/>
      <w:numFmt w:val="bullet"/>
      <w:start w:val="1"/>
    </w:lvl>
  </w:abstractNum>
  <w:abstractNum w:abstractNumId="47">
    <w:nsid w:val="47398C89"/>
    <w:multiLevelType w:val="hybridMultilevel"/>
    <w:lvl w:ilvl="0">
      <w:lvlJc w:val="left"/>
      <w:lvlText w:val="(%1)"/>
      <w:numFmt w:val="lowerRoman"/>
      <w:start w:val="1"/>
    </w:lvl>
  </w:abstractNum>
  <w:abstractNum w:abstractNumId="48">
    <w:nsid w:val="354FE9F9"/>
    <w:multiLevelType w:val="hybridMultilevel"/>
    <w:lvl w:ilvl="0">
      <w:lvlJc w:val="left"/>
      <w:lvlText w:val="(*)"/>
      <w:numFmt w:val="bullet"/>
      <w:start w:val="1"/>
    </w:lvl>
  </w:abstractNum>
  <w:abstractNum w:abstractNumId="49">
    <w:nsid w:val="15B5AF5C"/>
    <w:multiLevelType w:val="hybridMultilevel"/>
    <w:lvl w:ilvl="0">
      <w:lvlJc w:val="left"/>
      <w:lvlText w:val="(%1)"/>
      <w:numFmt w:val="decimal"/>
      <w:start w:val="1"/>
    </w:lvl>
  </w:abstractNum>
  <w:abstractNum w:abstractNumId="50">
    <w:nsid w:val="741226BB"/>
    <w:multiLevelType w:val="hybridMultilevel"/>
    <w:lvl w:ilvl="0">
      <w:lvlJc w:val="left"/>
      <w:lvlText w:val="8"/>
      <w:numFmt w:val="bullet"/>
      <w:start w:val="1"/>
    </w:lvl>
  </w:abstractNum>
  <w:abstractNum w:abstractNumId="51">
    <w:nsid w:val="D34B6A8"/>
    <w:multiLevelType w:val="hybridMultilevel"/>
    <w:lvl w:ilvl="0">
      <w:lvlJc w:val="left"/>
      <w:lvlText w:val="•"/>
      <w:numFmt w:val="bullet"/>
      <w:start w:val="1"/>
    </w:lvl>
  </w:abstractNum>
  <w:abstractNum w:abstractNumId="52">
    <w:nsid w:val="10233C99"/>
    <w:multiLevelType w:val="hybridMultilevel"/>
    <w:lvl w:ilvl="0">
      <w:lvlJc w:val="left"/>
      <w:lvlText w:val="(%1)"/>
      <w:numFmt w:val="lowerRoman"/>
      <w:start w:val="1"/>
    </w:lvl>
  </w:abstractNum>
  <w:abstractNum w:abstractNumId="53">
    <w:nsid w:val="3F6AB60F"/>
    <w:multiLevelType w:val="hybridMultilevel"/>
    <w:lvl w:ilvl="0">
      <w:lvlJc w:val="left"/>
      <w:lvlText w:val="(%1)"/>
      <w:numFmt w:val="decimal"/>
      <w:start w:val="1"/>
    </w:lvl>
  </w:abstractNum>
  <w:abstractNum w:abstractNumId="54">
    <w:nsid w:val="61574095"/>
    <w:multiLevelType w:val="hybridMultilevel"/>
    <w:lvl w:ilvl="0">
      <w:lvlJc w:val="left"/>
      <w:lvlText w:val="(%1)"/>
      <w:numFmt w:val="decimal"/>
      <w:start w:val="2"/>
    </w:lvl>
  </w:abstractNum>
  <w:abstractNum w:abstractNumId="55">
    <w:nsid w:val="7E0C57B1"/>
    <w:multiLevelType w:val="hybridMultilevel"/>
    <w:lvl w:ilvl="0">
      <w:lvlJc w:val="left"/>
      <w:lvlText w:val="(*)"/>
      <w:numFmt w:val="bullet"/>
      <w:start w:val="1"/>
    </w:lvl>
  </w:abstractNum>
  <w:abstractNum w:abstractNumId="56">
    <w:nsid w:val="77AE35EB"/>
    <w:multiLevelType w:val="hybridMultilevel"/>
    <w:lvl w:ilvl="0">
      <w:lvlJc w:val="left"/>
      <w:lvlText w:val="(%1)"/>
      <w:numFmt w:val="decimal"/>
      <w:start w:val="1"/>
    </w:lvl>
  </w:abstractNum>
  <w:abstractNum w:abstractNumId="57">
    <w:nsid w:val="579BE4F1"/>
    <w:multiLevelType w:val="hybridMultilevel"/>
    <w:lvl w:ilvl="0">
      <w:lvlJc w:val="left"/>
      <w:lvlText w:val="(%1)"/>
      <w:numFmt w:val="decimal"/>
      <w:start w:val="1"/>
    </w:lvl>
  </w:abstractNum>
  <w:abstractNum w:abstractNumId="58">
    <w:nsid w:val="310C50B3"/>
    <w:multiLevelType w:val="hybridMultilevel"/>
    <w:lvl w:ilvl="0">
      <w:lvlJc w:val="left"/>
      <w:lvlText w:val="(%1)"/>
      <w:numFmt w:val="decimal"/>
      <w:start w:val="1"/>
    </w:lvl>
  </w:abstractNum>
  <w:abstractNum w:abstractNumId="59">
    <w:nsid w:val="5FF87E05"/>
    <w:multiLevelType w:val="hybridMultilevel"/>
    <w:lvl w:ilvl="0">
      <w:lvlJc w:val="left"/>
      <w:lvlText w:val="(%1)"/>
      <w:numFmt w:val="decimal"/>
      <w:start w:val="1"/>
    </w:lvl>
  </w:abstractNum>
  <w:abstractNum w:abstractNumId="60">
    <w:nsid w:val="2F305DEF"/>
    <w:multiLevelType w:val="hybridMultilevel"/>
    <w:lvl w:ilvl="0">
      <w:lvlJc w:val="left"/>
      <w:lvlText w:val="(%1)"/>
      <w:numFmt w:val="decimal"/>
      <w:start w:val="1"/>
    </w:lvl>
  </w:abstractNum>
  <w:abstractNum w:abstractNumId="61">
    <w:nsid w:val="25A70BF7"/>
    <w:multiLevelType w:val="hybridMultilevel"/>
    <w:lvl w:ilvl="0">
      <w:lvlJc w:val="left"/>
      <w:lvlText w:val="(%1)"/>
      <w:numFmt w:val="decimal"/>
      <w:start w:val="1"/>
    </w:lvl>
  </w:abstractNum>
  <w:abstractNum w:abstractNumId="62">
    <w:nsid w:val="1DBABF00"/>
    <w:multiLevelType w:val="hybridMultilevel"/>
    <w:lvl w:ilvl="0">
      <w:lvlJc w:val="left"/>
      <w:lvlText w:val="(%1)"/>
      <w:numFmt w:val="decimal"/>
      <w:start w:val="1"/>
    </w:lvl>
  </w:abstractNum>
  <w:abstractNum w:abstractNumId="63">
    <w:nsid w:val="4AD084E9"/>
    <w:multiLevelType w:val="hybridMultilevel"/>
    <w:lvl w:ilvl="0">
      <w:lvlJc w:val="left"/>
      <w:lvlText w:val="(%1)"/>
      <w:numFmt w:val="decimal"/>
      <w:start w:val="1"/>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decimal"/>
      <w:start w:val="1"/>
    </w:lvl>
    <w:lvl w:ilvl="1">
      <w:lvlJc w:val="left"/>
      <w:lvlText w:val="(%2)"/>
      <w:numFmt w:val="lowerLetter"/>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2019-12-09T12:25:56Z</dcterms:created>
  <dcterms:modified xsi:type="dcterms:W3CDTF">2019-12-09T12:25:56Z</dcterms:modified>
</cp:coreProperties>
</file>