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FORM 6-K</w:t>
      </w:r>
    </w:p>
    <w:p>
      <w:pPr>
        <w:spacing w:after="0" w:line="210"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REPORT OF FOREIGN PRIVATE ISSUER</w:t>
      </w:r>
    </w:p>
    <w:p>
      <w:pPr>
        <w:spacing w:after="0" w:line="9"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PURSUANT TO RULE 13A-16 OR 15D-16 UNDER</w:t>
      </w:r>
    </w:p>
    <w:p>
      <w:pPr>
        <w:spacing w:after="0" w:line="9"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10"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For the month of January 2009.</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Commission File Number 1-14840</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AMDOCS LIMITED</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Suite 5, Tower Hill House Le Bordage</w:t>
      </w:r>
    </w:p>
    <w:p>
      <w:pPr>
        <w:spacing w:after="0" w:line="9"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Amdocs, Inc.</w:t>
      </w:r>
    </w:p>
    <w:p>
      <w:pPr>
        <w:spacing w:after="0" w:line="9"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10" w:lineRule="exact"/>
        <w:rPr>
          <w:sz w:val="24"/>
          <w:szCs w:val="24"/>
          <w:color w:val="auto"/>
        </w:rPr>
      </w:pPr>
    </w:p>
    <w:p>
      <w:pPr>
        <w:jc w:val="center"/>
        <w:ind w:right="1939"/>
        <w:spacing w:after="0" w:line="257"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1780"/>
        <w:spacing w:after="0"/>
        <w:tabs>
          <w:tab w:leader="none" w:pos="3020" w:val="left"/>
          <w:tab w:leader="none" w:pos="4900" w:val="left"/>
        </w:tabs>
        <w:rPr>
          <w:sz w:val="20"/>
          <w:szCs w:val="20"/>
          <w:color w:val="auto"/>
        </w:rPr>
      </w:pPr>
      <w:r>
        <w:rPr>
          <w:rFonts w:ascii="Courier New" w:cs="Courier New" w:eastAsia="Courier New" w:hAnsi="Courier New"/>
          <w:sz w:val="17"/>
          <w:szCs w:val="17"/>
          <w:color w:val="auto"/>
        </w:rPr>
        <w:t>FORM 20-F</w:t>
        <w:tab/>
        <w:t>X</w:t>
      </w:r>
      <w:r>
        <w:rPr>
          <w:sz w:val="20"/>
          <w:szCs w:val="20"/>
          <w:color w:val="auto"/>
        </w:rPr>
        <w:tab/>
      </w:r>
      <w:r>
        <w:rPr>
          <w:rFonts w:ascii="Courier New" w:cs="Courier New" w:eastAsia="Courier New" w:hAnsi="Courier New"/>
          <w:sz w:val="17"/>
          <w:szCs w:val="17"/>
          <w:color w:val="auto"/>
        </w:rPr>
        <w:t>FORM 40-F</w:t>
      </w:r>
    </w:p>
    <w:p>
      <w:pPr>
        <w:spacing w:after="0" w:line="9" w:lineRule="exact"/>
        <w:rPr>
          <w:sz w:val="24"/>
          <w:szCs w:val="24"/>
          <w:color w:val="auto"/>
        </w:rPr>
      </w:pPr>
    </w:p>
    <w:p>
      <w:pPr>
        <w:ind w:left="2840"/>
        <w:spacing w:after="0"/>
        <w:tabs>
          <w:tab w:leader="none" w:pos="59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9" w:lineRule="exact"/>
        <w:rPr>
          <w:sz w:val="24"/>
          <w:szCs w:val="24"/>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101(b)(1):</w:t>
      </w:r>
    </w:p>
    <w:p>
      <w:pPr>
        <w:ind w:left="45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101(b)(7):</w:t>
      </w:r>
    </w:p>
    <w:p>
      <w:pPr>
        <w:ind w:left="45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52" w:right="1440" w:bottom="1440" w:gutter="0" w:footer="0" w:header="0"/>
        </w:sectPr>
      </w:pPr>
    </w:p>
    <w:p>
      <w:pPr>
        <w:spacing w:after="0" w:line="194"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4759"/>
        <w:spacing w:after="0"/>
        <w:rPr>
          <w:sz w:val="20"/>
          <w:szCs w:val="20"/>
          <w:color w:val="auto"/>
        </w:rPr>
      </w:pPr>
      <w:r>
        <w:rPr>
          <w:rFonts w:ascii="Courier New" w:cs="Courier New" w:eastAsia="Courier New" w:hAnsi="Courier New"/>
          <w:sz w:val="17"/>
          <w:szCs w:val="17"/>
          <w:color w:val="auto"/>
        </w:rPr>
        <w:t>X</w:t>
      </w:r>
    </w:p>
    <w:p>
      <w:pPr>
        <w:spacing w:after="0" w:line="9" w:lineRule="exact"/>
        <w:rPr>
          <w:sz w:val="24"/>
          <w:szCs w:val="24"/>
          <w:color w:val="auto"/>
        </w:rPr>
      </w:pPr>
    </w:p>
    <w:p>
      <w:pPr>
        <w:jc w:val="center"/>
        <w:ind w:right="475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4">
            <w:col w:w="3140" w:space="120"/>
            <w:col w:w="540" w:space="720"/>
            <w:col w:w="200" w:space="200"/>
            <w:col w:w="5299"/>
          </w:cols>
          <w:pgMar w:left="240" w:top="652" w:right="1440" w:bottom="1440" w:gutter="0" w:footer="0" w:header="0"/>
          <w:type w:val="continuous"/>
        </w:sectPr>
      </w:pPr>
    </w:p>
    <w:bookmarkStart w:id="1" w:name="page2"/>
    <w:bookmarkEnd w:id="1"/>
    <w:p>
      <w:pPr>
        <w:ind w:right="1839" w:firstLine="524"/>
        <w:spacing w:after="0" w:line="253" w:lineRule="auto"/>
        <w:rPr>
          <w:sz w:val="20"/>
          <w:szCs w:val="20"/>
          <w:color w:val="auto"/>
        </w:rPr>
      </w:pPr>
      <w:r>
        <w:rPr>
          <w:rFonts w:ascii="Courier New" w:cs="Courier New" w:eastAsia="Courier New" w:hAnsi="Courier New"/>
          <w:sz w:val="17"/>
          <w:szCs w:val="17"/>
          <w:color w:val="auto"/>
        </w:rPr>
        <w:t>On January 21, 2009, Amdocs Limited ("Amdocs") issued a press release announcing financial results for the quarter ended December 31, 2009. A copy of the press release is furnished as Exhibit 99.1 to this Report of Foreign Private Issuer on Form 6-K.</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921" w:right="1440" w:bottom="1440" w:gutter="0" w:footer="0" w:header="0"/>
        </w:sectPr>
      </w:pPr>
    </w:p>
    <w:bookmarkStart w:id="2" w:name="page3"/>
    <w:bookmarkEnd w:id="2"/>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jc w:val="both"/>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spacing w:after="0" w:line="212"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/s/ Thomas G. O'Brien</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Thomas G. O'Brien</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Treasurer and Secretary</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Authorized U.S. Representative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January 21, 2009</w:t>
      </w:r>
    </w:p>
    <w:p>
      <w:pPr>
        <w:sectPr>
          <w:pgSz w:w="11900" w:h="16838" w:orient="portrait"/>
          <w:cols w:equalWidth="0" w:num="1">
            <w:col w:w="10219"/>
          </w:cols>
          <w:pgMar w:left="240" w:top="921" w:right="1440" w:bottom="1440" w:gutter="0" w:footer="0" w:header="0"/>
        </w:sectPr>
      </w:pPr>
    </w:p>
    <w:bookmarkStart w:id="3" w:name="page4"/>
    <w:bookmarkEnd w:id="3"/>
    <w:p>
      <w:pPr>
        <w:ind w:left="346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 Press Release dated January 21, 2009.</w:t>
      </w:r>
    </w:p>
    <w:p>
      <w:pPr>
        <w:sectPr>
          <w:pgSz w:w="11900" w:h="16838" w:orient="portrait"/>
          <w:cols w:equalWidth="0" w:num="2">
            <w:col w:w="1360" w:space="420"/>
            <w:col w:w="8439"/>
          </w:cols>
          <w:pgMar w:left="240" w:top="719" w:right="1440" w:bottom="1440" w:gutter="0" w:footer="0" w:header="0"/>
          <w:type w:val="continuous"/>
        </w:sectPr>
      </w:pPr>
    </w:p>
    <w:bookmarkStart w:id="4" w:name="page5"/>
    <w:bookmarkEnd w:id="4"/>
    <w:p>
      <w:pPr>
        <w:ind w:left="7120"/>
        <w:spacing w:after="0"/>
        <w:rPr>
          <w:sz w:val="20"/>
          <w:szCs w:val="20"/>
          <w:color w:val="auto"/>
        </w:rPr>
      </w:pPr>
      <w:r>
        <w:rPr>
          <w:rFonts w:ascii="Courier New" w:cs="Courier New" w:eastAsia="Courier New" w:hAnsi="Courier New"/>
          <w:sz w:val="17"/>
          <w:szCs w:val="17"/>
          <w:color w:val="auto"/>
        </w:rPr>
        <w:t>Exhibit 99.1</w:t>
      </w:r>
    </w:p>
    <w:p>
      <w:pPr>
        <w:spacing w:after="0" w:line="210" w:lineRule="exact"/>
        <w:rPr>
          <w:sz w:val="20"/>
          <w:szCs w:val="20"/>
          <w:color w:val="auto"/>
        </w:rPr>
      </w:pPr>
    </w:p>
    <w:p>
      <w:pPr>
        <w:spacing w:after="0"/>
        <w:tabs>
          <w:tab w:leader="none" w:pos="7000" w:val="left"/>
        </w:tabs>
        <w:rPr>
          <w:sz w:val="20"/>
          <w:szCs w:val="20"/>
          <w:color w:val="auto"/>
        </w:rPr>
      </w:pPr>
      <w:r>
        <w:rPr>
          <w:rFonts w:ascii="Courier New" w:cs="Courier New" w:eastAsia="Courier New" w:hAnsi="Courier New"/>
          <w:sz w:val="17"/>
          <w:szCs w:val="17"/>
          <w:color w:val="auto"/>
        </w:rPr>
        <w:t>PRESS RELEASE</w:t>
      </w:r>
      <w:r>
        <w:rPr>
          <w:sz w:val="20"/>
          <w:szCs w:val="20"/>
          <w:color w:val="auto"/>
        </w:rPr>
        <w:tab/>
      </w:r>
      <w:r>
        <w:rPr>
          <w:rFonts w:ascii="Courier New" w:cs="Courier New" w:eastAsia="Courier New" w:hAnsi="Courier New"/>
          <w:sz w:val="17"/>
          <w:szCs w:val="17"/>
          <w:color w:val="auto"/>
        </w:rPr>
        <w:t>[Amdocs LOGO]</w:t>
      </w:r>
    </w:p>
    <w:p>
      <w:pPr>
        <w:spacing w:after="0" w:line="2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AMDOCS LIMITED REPORTS QUARTERLY REVENUE OF $754 MILLION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highlights:</w:t>
      </w:r>
    </w:p>
    <w:p>
      <w:pPr>
        <w:spacing w:after="0" w:line="210" w:lineRule="exact"/>
        <w:rPr>
          <w:sz w:val="20"/>
          <w:szCs w:val="20"/>
          <w:color w:val="auto"/>
        </w:rPr>
      </w:pPr>
    </w:p>
    <w:p>
      <w:pPr>
        <w:ind w:left="1060" w:right="1839" w:hanging="529"/>
        <w:spacing w:after="0" w:line="257"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quarter revenue of $754 million increased by 1.6% over the prior year's first quarter, below guidance of $785-$810 million</w:t>
      </w:r>
    </w:p>
    <w:p>
      <w:pPr>
        <w:spacing w:after="0" w:line="191" w:lineRule="exact"/>
        <w:rPr>
          <w:rFonts w:ascii="Courier New" w:cs="Courier New" w:eastAsia="Courier New" w:hAnsi="Courier New"/>
          <w:sz w:val="17"/>
          <w:szCs w:val="17"/>
          <w:color w:val="auto"/>
        </w:rPr>
      </w:pPr>
    </w:p>
    <w:p>
      <w:pPr>
        <w:ind w:left="1060" w:right="2359" w:hanging="529"/>
        <w:spacing w:after="0" w:line="254"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quarter non-GAAP operating income of $136 million; non-GAAP operating margin of 18.0%, up 30 basis points compared to first quarter fiscal 2008</w:t>
      </w:r>
    </w:p>
    <w:p>
      <w:pPr>
        <w:spacing w:after="0" w:line="194" w:lineRule="exact"/>
        <w:rPr>
          <w:rFonts w:ascii="Courier New" w:cs="Courier New" w:eastAsia="Courier New" w:hAnsi="Courier New"/>
          <w:sz w:val="17"/>
          <w:szCs w:val="17"/>
          <w:color w:val="auto"/>
        </w:rPr>
      </w:pPr>
    </w:p>
    <w:p>
      <w:pPr>
        <w:ind w:left="1060" w:right="1939" w:hanging="529"/>
        <w:spacing w:after="0" w:line="253"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quarter diluted non-GAAP EPS of $0.55, excluding acquisition-related costs, restructuring and in-process R&amp;D charges and equity-based compensation expense, net of related tax effects, in line with guidance</w:t>
      </w:r>
    </w:p>
    <w:p>
      <w:pPr>
        <w:spacing w:after="0" w:line="195" w:lineRule="exact"/>
        <w:rPr>
          <w:rFonts w:ascii="Courier New" w:cs="Courier New" w:eastAsia="Courier New" w:hAnsi="Courier New"/>
          <w:sz w:val="17"/>
          <w:szCs w:val="17"/>
          <w:color w:val="auto"/>
        </w:rPr>
      </w:pPr>
    </w:p>
    <w:p>
      <w:pPr>
        <w:ind w:left="1060" w:right="1839" w:hanging="529"/>
        <w:spacing w:after="0" w:line="254"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GAAP EPS of $0.35 for the quarter, which included an $0.08 per share impact related to a restructuring charge and an in-process R&amp;D write-off</w:t>
      </w:r>
    </w:p>
    <w:p>
      <w:pPr>
        <w:spacing w:after="0" w:line="194" w:lineRule="exact"/>
        <w:rPr>
          <w:rFonts w:ascii="Courier New" w:cs="Courier New" w:eastAsia="Courier New" w:hAnsi="Courier New"/>
          <w:sz w:val="17"/>
          <w:szCs w:val="17"/>
          <w:color w:val="auto"/>
        </w:rPr>
      </w:pPr>
    </w:p>
    <w:p>
      <w:pPr>
        <w:ind w:left="1060" w:right="2139" w:hanging="529"/>
        <w:spacing w:after="0" w:line="254"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Strong free cash flow of $111 million for the quarter, comprised of cash flow from operations of $141 million less $30 million in net capital expenditures</w:t>
      </w:r>
    </w:p>
    <w:p>
      <w:pPr>
        <w:spacing w:after="0" w:line="194"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12-month backlog of $2.40 billion at the end of the first quarter</w:t>
      </w:r>
    </w:p>
    <w:p>
      <w:pPr>
        <w:spacing w:after="0" w:line="210" w:lineRule="exact"/>
        <w:rPr>
          <w:rFonts w:ascii="Courier New" w:cs="Courier New" w:eastAsia="Courier New" w:hAnsi="Courier New"/>
          <w:sz w:val="17"/>
          <w:szCs w:val="17"/>
          <w:color w:val="auto"/>
        </w:rPr>
      </w:pPr>
    </w:p>
    <w:p>
      <w:pPr>
        <w:ind w:left="1060" w:right="1839" w:hanging="529"/>
        <w:spacing w:after="0" w:line="252"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quarter fiscal 2009 guidance: Expected revenue of approximately $700-$720 million and diluted non-GAAP EPS of $0.47-$0.51, excluding acquisition-related costs and approximately $0.05-$0.06 per share of equity-based compensation expense, net of related tax effects. Diluted GAAP EPS is expected to be approximately $0.34-$0.39</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ST. LOUIS, MO - JANUARY 21, 2009 - Amdocs Limited (NYSE: DOX) today reported that for its fiscal first quarter ended December 31, 2008, revenue was $753.8 million, an increase of 1.6% from last year's first quarter. Net income on a non-GAAP basis was $116.3 million, or $0.55 per diluted share, compared to non-GAAP net income of $123.3 million, or $0.56 per diluted share, in the first quarter of fiscal 2008. Non-GAAP net income excludes amortization of purchased intangible assets, equity-based compensation expenses, the write-off of acquired in-process research and development and restructuring charges of $42 million, net of related tax effects, in the first quarter of fiscal 2009 and excludes such amortization and equity-based compensation expenses of $27.6 million, net of related tax effects, in the first quarter of fiscal 2008. The Company's GAAP net income for the first quarter of fiscal 2009 was $74.2 million, or $0.35 per diluted share, compared to GAAP net income of $95.7 million, or $0.44 per diluted share, in the prior year's first quarter.</w:t>
      </w:r>
    </w:p>
    <w:p>
      <w:pPr>
        <w:sectPr>
          <w:pgSz w:w="11900" w:h="16838" w:orient="portrait"/>
          <w:cols w:equalWidth="0" w:num="1">
            <w:col w:w="10219"/>
          </w:cols>
          <w:pgMar w:left="240" w:top="545" w:right="1440" w:bottom="1440" w:gutter="0" w:footer="0" w:header="0"/>
        </w:sectPr>
      </w:pPr>
    </w:p>
    <w:bookmarkStart w:id="5" w:name="page6"/>
    <w:bookmarkEnd w:id="5"/>
    <w:p>
      <w:pPr>
        <w:ind w:right="1839"/>
        <w:spacing w:after="0" w:line="251" w:lineRule="auto"/>
        <w:rPr>
          <w:sz w:val="20"/>
          <w:szCs w:val="20"/>
          <w:color w:val="auto"/>
        </w:rPr>
      </w:pPr>
      <w:r>
        <w:rPr>
          <w:rFonts w:ascii="Courier New" w:cs="Courier New" w:eastAsia="Courier New" w:hAnsi="Courier New"/>
          <w:sz w:val="17"/>
          <w:szCs w:val="17"/>
          <w:color w:val="auto"/>
        </w:rPr>
        <w:t>"The first quarter of fiscal 2009 was a difficult start for Amdocs as macro-economic conditions continued to worsen and sales cycles lengthened across our business," said Dov Baharav, chief executive officer of Amdocs Management Limited. "Service providers reacted more quickly than we expected as the quarter progressed by reducing their spending and delaying some new projects. Additionally, foreign exchange remains a headwind in fiscal 2009, and was slightly more of a drag on revenue in the first quarter than we had anticipated. As a result, our revenue in the first quarter was up only 1.6% over the prior year's first quarter and we are disappointed with this relative to our expectations. We believe the Company made prudent decisions to control costs over the course of the quarter and, as a result, Amdocs delivered on our operating margin, non-GAAP earnings per share and cash flow targets."</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Baharav continued, "To date, we are not experiencing project cancellations, but the pace of deal signings has slowed and we expect the market will remain difficult until global spending trends in communications and credit market conditions stabilize. For the second quarter of fiscal 2009, Amdocs expects that revenue will be approximately $700-$720 million which anticipates slower close rates on new projects and mostly stable trends in our recurring base of business. This outlook assumes foreign exchange rates observed in early January persist throughout the quarter and that economic conditions continue to weaken but do not deteriorate materially from what we see today. While we cannot give guidance for the second half of fiscal 2009 at this time, we are managing our expenses under the assumption that revenue for the year could be down as much as 9%-12% relative to fiscal year 2008, with foreign currency effects contributing roughly 3% of the decline."</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Baharav concluded, "These are difficult times for our industry and for Amdocs, but we remain encouraged by our long-term prospects. We serve the largest, strongest service providers in the world, supporting their mission-critical activities in long-term relationships including managed services. Service providers are continuing to invest in their businesses and commit to new projects, although at a relatively slower pace today. In the meantime, we are managing with discipline to protect margins and cash flow, and we continue to invest in the growth drivers that will strengthen our market-leading position as the economy recovers."</w:t>
      </w:r>
    </w:p>
    <w:p>
      <w:pPr>
        <w:sectPr>
          <w:pgSz w:w="11900" w:h="16838" w:orient="portrait"/>
          <w:cols w:equalWidth="0" w:num="1">
            <w:col w:w="10219"/>
          </w:cols>
          <w:pgMar w:left="240" w:top="719" w:right="1440" w:bottom="1440" w:gutter="0" w:footer="0" w:header="0"/>
        </w:sectPr>
      </w:pPr>
    </w:p>
    <w:bookmarkStart w:id="6" w:name="page7"/>
    <w:bookmarkEnd w:id="6"/>
    <w:p>
      <w:pPr>
        <w:ind w:right="1839"/>
        <w:spacing w:after="0" w:line="253" w:lineRule="auto"/>
        <w:rPr>
          <w:sz w:val="20"/>
          <w:szCs w:val="20"/>
          <w:color w:val="auto"/>
        </w:rPr>
      </w:pPr>
      <w:r>
        <w:rPr>
          <w:rFonts w:ascii="Courier New" w:cs="Courier New" w:eastAsia="Courier New" w:hAnsi="Courier New"/>
          <w:sz w:val="17"/>
          <w:szCs w:val="17"/>
          <w:color w:val="auto"/>
        </w:rPr>
        <w:t>In the first quarter Amdocs had several wins across lines of business and geographies. These wins include new business in each of our four focus areas for growth: cable/satellite, managed services, emerging markets and OSS, including the examples below.</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Cable/satellite</w:t>
      </w:r>
    </w:p>
    <w:p>
      <w:pPr>
        <w:spacing w:after="0" w:line="210" w:lineRule="exact"/>
        <w:rPr>
          <w:sz w:val="20"/>
          <w:szCs w:val="20"/>
          <w:color w:val="auto"/>
        </w:rPr>
      </w:pPr>
    </w:p>
    <w:p>
      <w:pPr>
        <w:ind w:left="1060" w:right="1839" w:hanging="529"/>
        <w:spacing w:after="0" w:line="252" w:lineRule="auto"/>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signed a multi-year contract with Rogers Communications Inc. to deploy new products and services from the Amdocs CES 7.5 portfolio to support its quad-play operations, including cable. This new agreement expands the relationship to include an enterprise-wide billing, ordering, and service management platform. Over a 10-year relationship with Rogers, Amdocs has supported Rogers' wireless billing system and also recently completed an enterprise-wide CRM deployment.</w:t>
      </w:r>
    </w:p>
    <w:p>
      <w:pPr>
        <w:spacing w:after="0" w:line="195" w:lineRule="exact"/>
        <w:rPr>
          <w:rFonts w:ascii="Courier New" w:cs="Courier New" w:eastAsia="Courier New" w:hAnsi="Courier New"/>
          <w:sz w:val="17"/>
          <w:szCs w:val="17"/>
          <w:color w:val="auto"/>
        </w:rPr>
      </w:pPr>
    </w:p>
    <w:p>
      <w:pPr>
        <w:ind w:left="1060" w:right="1839" w:hanging="529"/>
        <w:spacing w:after="0" w:line="257" w:lineRule="auto"/>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Another North American cable provider enhanced its billing system with Amdocs Document Designer.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Managed Services</w:t>
      </w:r>
    </w:p>
    <w:p>
      <w:pPr>
        <w:spacing w:after="0" w:line="210" w:lineRule="exact"/>
        <w:rPr>
          <w:sz w:val="20"/>
          <w:szCs w:val="20"/>
          <w:color w:val="auto"/>
        </w:rPr>
      </w:pPr>
    </w:p>
    <w:p>
      <w:pPr>
        <w:ind w:left="1060" w:right="1839" w:hanging="529"/>
        <w:spacing w:after="0" w:line="254" w:lineRule="auto"/>
        <w:tabs>
          <w:tab w:leader="none" w:pos="10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signed a new, four-year managed services agreement with a North American wireless customer to support and maintain an existing Amdocs installation.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Emerging markets and OSS</w:t>
      </w:r>
    </w:p>
    <w:p>
      <w:pPr>
        <w:spacing w:after="0" w:line="210" w:lineRule="exact"/>
        <w:rPr>
          <w:sz w:val="20"/>
          <w:szCs w:val="20"/>
          <w:color w:val="auto"/>
        </w:rPr>
      </w:pPr>
    </w:p>
    <w:p>
      <w:pPr>
        <w:ind w:left="1060" w:right="1839" w:hanging="529"/>
        <w:spacing w:after="0" w:line="252" w:lineRule="auto"/>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quarter, Amdocs won new contracts to provide solutions in the following product categories and geographic regions: OSS for a new customer in Latin America; CRM for a customer in the Commonwealth of Independent States region; and pre-paid billing for a new customer in Asia Pacific.</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As reported, GAAP EPS per diluted share for the first quarter of fiscal 2009 was $0.35. Non-GAAP EPS per diluted share was $0.55 for the quarter (excluding acquisition-related costs which include amortization of purchased intangible assets, and excluding restructuring charges, the write-off of acquired in-process research and development and equity-based compensation expense, net of related tax effects). The restructuring charges consist primarily of severance and other employment-related obligations incurred in connection with Amdocs' measures designed to align its operational structure to its expected future activities and to improve efficiency. In addition to this charge, there was an in-process research and development write-off of $5.6 million related to the acquisition of ChangingWorlds. The strengthening of the U.S. dollar against other currencies in the</w:t>
      </w:r>
    </w:p>
    <w:p>
      <w:pPr>
        <w:sectPr>
          <w:pgSz w:w="11900" w:h="16838" w:orient="portrait"/>
          <w:cols w:equalWidth="0" w:num="1">
            <w:col w:w="10219"/>
          </w:cols>
          <w:pgMar w:left="240" w:top="719" w:right="1440" w:bottom="1440" w:gutter="0" w:footer="0" w:header="0"/>
        </w:sectPr>
      </w:pPr>
    </w:p>
    <w:bookmarkStart w:id="7" w:name="page8"/>
    <w:bookmarkEnd w:id="7"/>
    <w:p>
      <w:pPr>
        <w:ind w:right="2039"/>
        <w:spacing w:after="0" w:line="257" w:lineRule="auto"/>
        <w:rPr>
          <w:sz w:val="20"/>
          <w:szCs w:val="20"/>
          <w:color w:val="auto"/>
        </w:rPr>
      </w:pPr>
      <w:r>
        <w:rPr>
          <w:rFonts w:ascii="Courier New" w:cs="Courier New" w:eastAsia="Courier New" w:hAnsi="Courier New"/>
          <w:sz w:val="17"/>
          <w:szCs w:val="17"/>
          <w:color w:val="auto"/>
        </w:rPr>
        <w:t>quarter was responsible for approximately $30 million of the decrease in first quarter revenue as compared to revenue in the fourth quarter of fiscal 2008.</w:t>
      </w:r>
    </w:p>
    <w:p>
      <w:pPr>
        <w:spacing w:after="0" w:line="192"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12-month backlog, which includes anticipated revenue related to contracts, estimated revenue from managed services contracts, letters of intent, maintenance and estimated on-going support activities, was $2.40 billion at the end of the first quarter of fiscal 2009.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OUTLOOK</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Amdocs expects that revenue for the second quarter of fiscal 2009 will be approximately $700-$720 million. Amdocs expects diluted earnings per share on a non-GAAP basis for the second quarter to be $0.47-$0.51, excluding acquisition-related costs and approximately $0.05-$0.06 per share of equity-based compensation expense, net of related tax effects. Amdocs estimates GAAP diluted earnings per share for the second quarter will be $0.34-$0.39.</w:t>
      </w:r>
    </w:p>
    <w:p>
      <w:pPr>
        <w:spacing w:after="0" w:line="197"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Amdocs will host a conference call on January 21, 2009 at 5 p.m. Eastern Time to discuss the Company's first quarter results. The call will be carried live on the Internet via www.InvestorCalendar.com and the Amdocs website, www.amdocs.com.</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NON-GAAP FINANCIAL MEASURES</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197" w:lineRule="exact"/>
        <w:rPr>
          <w:sz w:val="20"/>
          <w:szCs w:val="20"/>
          <w:color w:val="auto"/>
        </w:rPr>
      </w:pPr>
    </w:p>
    <w:p>
      <w:pPr>
        <w:ind w:left="1060" w:hanging="529"/>
        <w:spacing w:after="0"/>
        <w:tabs>
          <w:tab w:leader="none" w:pos="10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 of purchased intangible assets;</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in-process research and development write-off;</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 charges;</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equity-based compensation expense; and</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effects related to the above.</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These non-GAAP financial measures are not in accordance with, or an alternative for, generally accepted accounting principles and may be different from non-GAAP financial measures used by other companies. In addition, these non-GAAP financial measures are</w:t>
      </w:r>
    </w:p>
    <w:p>
      <w:pPr>
        <w:sectPr>
          <w:pgSz w:w="11900" w:h="16838" w:orient="portrait"/>
          <w:cols w:equalWidth="0" w:num="1">
            <w:col w:w="10219"/>
          </w:cols>
          <w:pgMar w:left="240" w:top="719" w:right="1440" w:bottom="1440" w:gutter="0" w:footer="0" w:header="0"/>
        </w:sectPr>
      </w:pPr>
    </w:p>
    <w:bookmarkStart w:id="8" w:name="page9"/>
    <w:bookmarkEnd w:id="8"/>
    <w:p>
      <w:pPr>
        <w:ind w:right="1939"/>
        <w:spacing w:after="0" w:line="252" w:lineRule="auto"/>
        <w:rPr>
          <w:sz w:val="20"/>
          <w:szCs w:val="20"/>
          <w:color w:val="auto"/>
        </w:rPr>
      </w:pPr>
      <w:r>
        <w:rPr>
          <w:rFonts w:ascii="Courier New" w:cs="Courier New" w:eastAsia="Courier New" w:hAnsi="Courier New"/>
          <w:sz w:val="17"/>
          <w:szCs w:val="17"/>
          <w:color w:val="auto"/>
        </w:rPr>
        <w:t>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200" w:lineRule="exact"/>
        <w:rPr>
          <w:sz w:val="20"/>
          <w:szCs w:val="20"/>
          <w:color w:val="auto"/>
        </w:rPr>
      </w:pPr>
    </w:p>
    <w:p>
      <w:pPr>
        <w:spacing w:after="0" w:line="20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and other,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ectPr>
          <w:pgSz w:w="11900" w:h="16838" w:orient="portrait"/>
          <w:cols w:equalWidth="0" w:num="1">
            <w:col w:w="10219"/>
          </w:cols>
          <w:pgMar w:left="240" w:top="719" w:right="1440" w:bottom="1440" w:gutter="0" w:footer="0" w:header="0"/>
        </w:sectPr>
      </w:pPr>
    </w:p>
    <w:bookmarkStart w:id="9" w:name="page10"/>
    <w:bookmarkEnd w:id="9"/>
    <w:p>
      <w:pPr>
        <w:ind w:right="2139"/>
        <w:spacing w:after="0" w:line="257" w:lineRule="auto"/>
        <w:rPr>
          <w:sz w:val="20"/>
          <w:szCs w:val="20"/>
          <w:color w:val="auto"/>
        </w:rPr>
      </w:pPr>
      <w:r>
        <w:rPr>
          <w:rFonts w:ascii="Courier New" w:cs="Courier New" w:eastAsia="Courier New" w:hAnsi="Courier New"/>
          <w:sz w:val="17"/>
          <w:szCs w:val="17"/>
          <w:color w:val="auto"/>
        </w:rPr>
        <w:t>Please refer to the Reconciliation of Selected Financial Metrics from GAAP to Non-GAAP tables below.</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AMDOCS</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Amdocs is the market leader in customer experience systems innovation, enabling world-leading service providers to deliver an integrated, innovative and the intentional customer experience(TM)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$3.16 billion in fiscal 2008, Amdocs has more than 17,000 employees and serves customers in more than 50 countries around the world. For more information, visit Amdocs at www.amdocs.com.</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2008 filed on December 8, 2008.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G. O'Brien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Vice President of Investor Relations</w:t>
      </w:r>
    </w:p>
    <w:p>
      <w:pPr>
        <w:sectPr>
          <w:pgSz w:w="11900" w:h="16838" w:orient="portrait"/>
          <w:cols w:equalWidth="0" w:num="1">
            <w:col w:w="10219"/>
          </w:cols>
          <w:pgMar w:left="240" w:top="7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314-212-8328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dox_info@amdocs.com</w:t>
      </w:r>
    </w:p>
    <w:p>
      <w:pPr>
        <w:sectPr>
          <w:pgSz w:w="11900" w:h="16838" w:orient="portrait"/>
          <w:cols w:equalWidth="0" w:num="1">
            <w:col w:w="10219"/>
          </w:cols>
          <w:pgMar w:left="240" w:top="719" w:right="1440" w:bottom="1440" w:gutter="0" w:footer="0" w:header="0"/>
        </w:sectPr>
      </w:pPr>
    </w:p>
    <w:bookmarkStart w:id="11" w:name="page12"/>
    <w:bookmarkEnd w:id="11"/>
    <w:p>
      <w:pPr>
        <w:ind w:left="3460"/>
        <w:spacing w:after="0"/>
        <w:rPr>
          <w:sz w:val="20"/>
          <w:szCs w:val="20"/>
          <w:color w:val="auto"/>
        </w:rPr>
      </w:pPr>
      <w:r>
        <w:rPr>
          <w:rFonts w:ascii="Courier New" w:cs="Courier New" w:eastAsia="Courier New" w:hAnsi="Courier New"/>
          <w:sz w:val="17"/>
          <w:szCs w:val="17"/>
          <w:color w:val="auto"/>
        </w:rPr>
        <w:t>AMDOCS LIMITED</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THREE MONTHS ENDED</w:t>
            </w:r>
          </w:p>
        </w:tc>
      </w:tr>
      <w:tr>
        <w:trPr>
          <w:trHeight w:val="201"/>
        </w:trPr>
        <w:tc>
          <w:tcPr>
            <w:tcW w:w="5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598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2008</w:t>
            </w:r>
          </w:p>
        </w:tc>
        <w:tc>
          <w:tcPr>
            <w:tcW w:w="26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2007</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9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License</w:t>
            </w: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$ 44,601</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$ 26,217</w:t>
            </w: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Service</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709,238</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716,033</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753,839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742,250</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991</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774</w:t>
            </w: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484,051</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470,741</w:t>
            </w: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56,229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56,015</w:t>
            </w: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 administrative</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90,265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97,665</w:t>
            </w: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 intangible assets</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20,254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21,753</w:t>
            </w:r>
          </w:p>
        </w:tc>
      </w:tr>
      <w:tr>
        <w:trPr>
          <w:trHeight w:val="201"/>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 and in-process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980" w:type="dxa"/>
            <w:vAlign w:val="bottom"/>
          </w:tcPr>
          <w:p>
            <w:pPr>
              <w:ind w:left="640"/>
              <w:spacing w:after="0"/>
              <w:rPr>
                <w:sz w:val="20"/>
                <w:szCs w:val="20"/>
                <w:color w:val="auto"/>
              </w:rPr>
            </w:pPr>
            <w:r>
              <w:rPr>
                <w:rFonts w:ascii="Courier New" w:cs="Courier New" w:eastAsia="Courier New" w:hAnsi="Courier New"/>
                <w:sz w:val="17"/>
                <w:szCs w:val="17"/>
                <w:color w:val="auto"/>
              </w:rPr>
              <w:t>research and development (1)</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20,780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672,570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646,948</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81,269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95,302</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2,235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8,816</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83,504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104,118</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9,257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8,454</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$ 74,247</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$ 95,664</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0.46</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Diluted earnings per share (2)</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0.44</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 shares outstanding</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202,454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208,109</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8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 shares outstanding</w:t>
            </w:r>
          </w:p>
        </w:tc>
        <w:tc>
          <w:tcPr>
            <w:tcW w:w="5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212,271</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222,039</w:t>
            </w:r>
          </w:p>
        </w:tc>
      </w:tr>
      <w:tr>
        <w:trPr>
          <w:trHeight w:val="201"/>
        </w:trPr>
        <w:tc>
          <w:tcPr>
            <w:tcW w:w="59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1839" w:hanging="533"/>
        <w:spacing w:after="0" w:line="254" w:lineRule="auto"/>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 charges and in-process research and development for the three months ended December 31, 2008 includes restructuring charges of $15,140, and in-process research and development of $5,640.</w:t>
      </w:r>
    </w:p>
    <w:p>
      <w:pPr>
        <w:spacing w:after="0" w:line="194"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impact of assumed conversion of the convertible notes, $864 and $985, representing interest expense and amortization of issuance costs, were added back to net income for the three months ended December 31, 2008 and 2007 respectively, for the purpose of computing diluted earnings per share.</w:t>
      </w:r>
    </w:p>
    <w:p>
      <w:pPr>
        <w:sectPr>
          <w:pgSz w:w="11900" w:h="16838" w:orient="portrait"/>
          <w:cols w:equalWidth="0" w:num="1">
            <w:col w:w="10219"/>
          </w:cols>
          <w:pgMar w:left="240" w:top="719" w:right="1440" w:bottom="1440" w:gutter="0" w:footer="0" w:header="0"/>
        </w:sectPr>
      </w:pPr>
    </w:p>
    <w:bookmarkStart w:id="12" w:name="page13"/>
    <w:bookmarkEnd w:id="12"/>
    <w:p>
      <w:pPr>
        <w:jc w:val="center"/>
        <w:ind w:right="183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SELECTED FINANCIAL METRICS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ind w:left="2320"/>
              <w:spacing w:after="0"/>
              <w:rPr>
                <w:sz w:val="20"/>
                <w:szCs w:val="20"/>
                <w:color w:val="auto"/>
              </w:rPr>
            </w:pPr>
            <w:r>
              <w:rPr>
                <w:rFonts w:ascii="Courier New" w:cs="Courier New" w:eastAsia="Courier New" w:hAnsi="Courier New"/>
                <w:sz w:val="17"/>
                <w:szCs w:val="17"/>
                <w:color w:val="auto"/>
              </w:rPr>
              <w:t>(IN THOUSANDS, EXCEPT PER SHARE DATA)</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806"/>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THREE MONTHS ENDED</w:t>
            </w:r>
          </w:p>
        </w:tc>
      </w:tr>
      <w:tr>
        <w:trPr>
          <w:trHeight w:val="201"/>
        </w:trPr>
        <w:tc>
          <w:tcPr>
            <w:tcW w:w="6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6300" w:type="dxa"/>
            <w:vAlign w:val="bottom"/>
          </w:tcPr>
          <w:p>
            <w:pPr>
              <w:spacing w:after="0"/>
              <w:rPr>
                <w:sz w:val="17"/>
                <w:szCs w:val="17"/>
                <w:color w:val="auto"/>
              </w:rPr>
            </w:pPr>
          </w:p>
        </w:tc>
        <w:tc>
          <w:tcPr>
            <w:tcW w:w="20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2008</w:t>
            </w:r>
          </w:p>
        </w:tc>
        <w:tc>
          <w:tcPr>
            <w:tcW w:w="26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2007</w:t>
            </w:r>
          </w:p>
        </w:tc>
      </w:tr>
      <w:tr>
        <w:trPr>
          <w:trHeight w:val="201"/>
        </w:trPr>
        <w:tc>
          <w:tcPr>
            <w:tcW w:w="6300" w:type="dxa"/>
            <w:vAlign w:val="bottom"/>
          </w:tcPr>
          <w:p>
            <w:pPr>
              <w:spacing w:after="0"/>
              <w:rPr>
                <w:sz w:val="17"/>
                <w:szCs w:val="17"/>
                <w:color w:val="auto"/>
              </w:rPr>
            </w:pPr>
          </w:p>
        </w:tc>
        <w:tc>
          <w:tcPr>
            <w:tcW w:w="11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63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753,839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742,250</w:t>
            </w:r>
          </w:p>
        </w:tc>
      </w:tr>
      <w:tr>
        <w:trPr>
          <w:trHeight w:val="201"/>
        </w:trPr>
        <w:tc>
          <w:tcPr>
            <w:tcW w:w="6300" w:type="dxa"/>
            <w:vAlign w:val="bottom"/>
          </w:tcPr>
          <w:p>
            <w:pPr>
              <w:spacing w:after="0"/>
              <w:rPr>
                <w:sz w:val="20"/>
                <w:szCs w:val="20"/>
                <w:color w:val="auto"/>
              </w:rPr>
            </w:pPr>
            <w:r>
              <w:rPr>
                <w:rFonts w:ascii="Courier New" w:cs="Courier New" w:eastAsia="Courier New" w:hAnsi="Courier New"/>
                <w:sz w:val="17"/>
                <w:szCs w:val="17"/>
                <w:color w:val="auto"/>
              </w:rPr>
              <w:t>Non-GAAP operating income</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135,720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131,271</w:t>
            </w:r>
          </w:p>
        </w:tc>
      </w:tr>
      <w:tr>
        <w:trPr>
          <w:trHeight w:val="201"/>
        </w:trPr>
        <w:tc>
          <w:tcPr>
            <w:tcW w:w="6300" w:type="dxa"/>
            <w:vAlign w:val="bottom"/>
          </w:tcPr>
          <w:p>
            <w:pPr>
              <w:spacing w:after="0"/>
              <w:rPr>
                <w:sz w:val="20"/>
                <w:szCs w:val="20"/>
                <w:color w:val="auto"/>
              </w:rPr>
            </w:pPr>
            <w:r>
              <w:rPr>
                <w:rFonts w:ascii="Courier New" w:cs="Courier New" w:eastAsia="Courier New" w:hAnsi="Courier New"/>
                <w:sz w:val="17"/>
                <w:szCs w:val="17"/>
                <w:color w:val="auto"/>
              </w:rPr>
              <w:t>Non-GAAP net income</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116,250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123,290</w:t>
            </w:r>
          </w:p>
        </w:tc>
      </w:tr>
      <w:tr>
        <w:trPr>
          <w:trHeight w:val="201"/>
        </w:trPr>
        <w:tc>
          <w:tcPr>
            <w:tcW w:w="6300" w:type="dxa"/>
            <w:vAlign w:val="bottom"/>
          </w:tcPr>
          <w:p>
            <w:pPr>
              <w:spacing w:after="0"/>
              <w:rPr>
                <w:sz w:val="20"/>
                <w:szCs w:val="20"/>
                <w:color w:val="auto"/>
              </w:rPr>
            </w:pPr>
            <w:r>
              <w:rPr>
                <w:rFonts w:ascii="Courier New" w:cs="Courier New" w:eastAsia="Courier New" w:hAnsi="Courier New"/>
                <w:sz w:val="17"/>
                <w:szCs w:val="17"/>
                <w:color w:val="auto"/>
              </w:rPr>
              <w:t>Non-GAAP diluted earnings per share (1)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0.55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0.56</w:t>
            </w:r>
          </w:p>
        </w:tc>
      </w:tr>
      <w:tr>
        <w:trPr>
          <w:trHeight w:val="201"/>
        </w:trPr>
        <w:tc>
          <w:tcPr>
            <w:tcW w:w="630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 shares outstanding</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212,271</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222,039</w:t>
            </w:r>
          </w:p>
        </w:tc>
      </w:tr>
    </w:tbl>
    <w:p>
      <w:pPr>
        <w:spacing w:after="0" w:line="200" w:lineRule="exact"/>
        <w:rPr>
          <w:sz w:val="20"/>
          <w:szCs w:val="20"/>
          <w:color w:val="auto"/>
        </w:rPr>
      </w:pPr>
    </w:p>
    <w:p>
      <w:pPr>
        <w:spacing w:after="0" w:line="207" w:lineRule="exact"/>
        <w:rPr>
          <w:sz w:val="20"/>
          <w:szCs w:val="20"/>
          <w:color w:val="auto"/>
        </w:rPr>
      </w:pPr>
    </w:p>
    <w:p>
      <w:pPr>
        <w:ind w:left="540" w:right="1839" w:hanging="533"/>
        <w:spacing w:after="0" w:line="252" w:lineRule="auto"/>
        <w:tabs>
          <w:tab w:leader="none" w:pos="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impact of assumed conversion of the convertible notes, $864 and $985, representing interest expense and amortization of issuance costs, were added back to net income for the three months ended December 31, 2008 and 2007 respectively, for the purpose of computing diluted earnings per share.</w:t>
      </w:r>
    </w:p>
    <w:p>
      <w:pPr>
        <w:sectPr>
          <w:pgSz w:w="11900" w:h="16838" w:orient="portrait"/>
          <w:cols w:equalWidth="0" w:num="1">
            <w:col w:w="10219"/>
          </w:cols>
          <w:pgMar w:left="240" w:top="719" w:right="1440" w:bottom="1440" w:gutter="0" w:footer="0" w:header="0"/>
        </w:sectPr>
      </w:pPr>
    </w:p>
    <w:bookmarkStart w:id="13" w:name="page14"/>
    <w:bookmarkEnd w:id="13"/>
    <w:p>
      <w:pPr>
        <w:jc w:val="center"/>
        <w:ind w:right="3120"/>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RECONCILIATION OF SELECTED FINANCIAL METRICS FROM GAAP TO NON-GAAP</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gridSpan w:val="3"/>
          </w:tcPr>
          <w:p>
            <w:pPr>
              <w:jc w:val="right"/>
              <w:ind w:right="713"/>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gridSpan w:val="3"/>
          </w:tcPr>
          <w:p>
            <w:pPr>
              <w:jc w:val="right"/>
              <w:ind w:right="713"/>
              <w:spacing w:after="0"/>
              <w:rPr>
                <w:sz w:val="20"/>
                <w:szCs w:val="20"/>
                <w:color w:val="auto"/>
              </w:rPr>
            </w:pPr>
            <w:r>
              <w:rPr>
                <w:rFonts w:ascii="Courier New" w:cs="Courier New" w:eastAsia="Courier New" w:hAnsi="Courier New"/>
                <w:sz w:val="17"/>
                <w:szCs w:val="17"/>
                <w:color w:val="auto"/>
              </w:rPr>
              <w:t>DECEMBER 31, 2008</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8380" w:type="dxa"/>
            <w:vAlign w:val="bottom"/>
            <w:gridSpan w:val="1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gridSpan w:val="3"/>
          </w:tcPr>
          <w:p>
            <w:pPr>
              <w:jc w:val="right"/>
              <w:ind w:right="593"/>
              <w:spacing w:after="0"/>
              <w:rPr>
                <w:sz w:val="20"/>
                <w:szCs w:val="20"/>
                <w:color w:val="auto"/>
              </w:rPr>
            </w:pPr>
            <w:r>
              <w:rPr>
                <w:rFonts w:ascii="Courier New" w:cs="Courier New" w:eastAsia="Courier New" w:hAnsi="Courier New"/>
                <w:sz w:val="17"/>
                <w:szCs w:val="17"/>
                <w:color w:val="auto"/>
              </w:rPr>
              <w:t>RECONCILIATION ITEMS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180" w:type="dxa"/>
            <w:vAlign w:val="bottom"/>
            <w:gridSpan w:val="8"/>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RESTRUCTURING</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CHARGES AND</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w w:val="97"/>
              </w:rPr>
              <w:t>EQUITY</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16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IN-PROCESS</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BASED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RESEARCH AND</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COMPENSATION</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GAAP</w:t>
            </w:r>
          </w:p>
        </w:tc>
        <w:tc>
          <w:tcPr>
            <w:tcW w:w="460" w:type="dxa"/>
            <w:vAlign w:val="bottom"/>
          </w:tcPr>
          <w:p>
            <w:pPr>
              <w:spacing w:after="0"/>
              <w:rPr>
                <w:sz w:val="17"/>
                <w:szCs w:val="17"/>
                <w:color w:val="auto"/>
              </w:rPr>
            </w:pPr>
          </w:p>
        </w:tc>
        <w:tc>
          <w:tcPr>
            <w:tcW w:w="1100" w:type="dxa"/>
            <w:vAlign w:val="bottom"/>
          </w:tcPr>
          <w:p>
            <w:pPr>
              <w:jc w:val="center"/>
              <w:ind w:right="373"/>
              <w:spacing w:after="0"/>
              <w:rPr>
                <w:sz w:val="20"/>
                <w:szCs w:val="20"/>
                <w:color w:val="auto"/>
              </w:rPr>
            </w:pPr>
            <w:r>
              <w:rPr>
                <w:rFonts w:ascii="Courier New" w:cs="Courier New" w:eastAsia="Courier New" w:hAnsi="Courier New"/>
                <w:sz w:val="17"/>
                <w:szCs w:val="17"/>
                <w:color w:val="auto"/>
              </w:rPr>
              <w:t>ASSETS</w:t>
            </w: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DEVELOPMENT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EXPENSE</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9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7"/>
              </w:rPr>
              <w:t>NON-GAAP</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4820" w:type="dxa"/>
            <w:vAlign w:val="bottom"/>
            <w:gridSpan w:val="6"/>
          </w:tcPr>
          <w:p>
            <w:pPr>
              <w:jc w:val="right"/>
              <w:ind w:right="73"/>
              <w:spacing w:after="0"/>
              <w:rPr>
                <w:sz w:val="20"/>
                <w:szCs w:val="20"/>
                <w:color w:val="auto"/>
              </w:rPr>
            </w:pPr>
            <w:r>
              <w:rPr>
                <w:rFonts w:ascii="Courier New" w:cs="Courier New" w:eastAsia="Courier New" w:hAnsi="Courier New"/>
                <w:sz w:val="17"/>
                <w:szCs w:val="17"/>
                <w:color w:val="auto"/>
              </w:rPr>
              <w:t>------------   -------------   ------------</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991</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484,051</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(5,711)</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478,340</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56,229</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(1,062)</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55,167</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90,265</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(6,644)</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83,621</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ind w:left="640"/>
              <w:spacing w:after="0"/>
              <w:rPr>
                <w:sz w:val="20"/>
                <w:szCs w:val="20"/>
                <w:color w:val="auto"/>
              </w:rPr>
            </w:pPr>
            <w:r>
              <w:rPr>
                <w:rFonts w:ascii="Courier New" w:cs="Courier New" w:eastAsia="Courier New" w:hAnsi="Courier New"/>
                <w:sz w:val="17"/>
                <w:szCs w:val="17"/>
                <w:color w:val="auto"/>
              </w:rPr>
              <w:t>intangible assets</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20,254</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(20,254)</w:t>
            </w:r>
          </w:p>
        </w:tc>
        <w:tc>
          <w:tcPr>
            <w:tcW w:w="4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ind w:left="640"/>
              <w:spacing w:after="0"/>
              <w:rPr>
                <w:sz w:val="20"/>
                <w:szCs w:val="20"/>
                <w:color w:val="auto"/>
              </w:rPr>
            </w:pPr>
            <w:r>
              <w:rPr>
                <w:rFonts w:ascii="Courier New" w:cs="Courier New" w:eastAsia="Courier New" w:hAnsi="Courier New"/>
                <w:sz w:val="17"/>
                <w:szCs w:val="17"/>
                <w:color w:val="auto"/>
              </w:rPr>
              <w:t>and in-process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ind w:left="640"/>
              <w:spacing w:after="0"/>
              <w:rPr>
                <w:sz w:val="20"/>
                <w:szCs w:val="20"/>
                <w:color w:val="auto"/>
              </w:rPr>
            </w:pPr>
            <w:r>
              <w:rPr>
                <w:rFonts w:ascii="Courier New" w:cs="Courier New" w:eastAsia="Courier New" w:hAnsi="Courier New"/>
                <w:sz w:val="17"/>
                <w:szCs w:val="17"/>
                <w:color w:val="auto"/>
              </w:rPr>
              <w:t>research and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314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20,780</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(20,780)</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672,570</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(20,254)</w:t>
            </w:r>
          </w:p>
        </w:tc>
        <w:tc>
          <w:tcPr>
            <w:tcW w:w="480" w:type="dxa"/>
            <w:vAlign w:val="bottom"/>
          </w:tcPr>
          <w:p>
            <w:pPr>
              <w:spacing w:after="0"/>
              <w:rPr>
                <w:sz w:val="17"/>
                <w:szCs w:val="17"/>
                <w:color w:val="auto"/>
              </w:rPr>
            </w:pP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(20,780)</w:t>
            </w:r>
          </w:p>
        </w:tc>
        <w:tc>
          <w:tcPr>
            <w:tcW w:w="480" w:type="dxa"/>
            <w:vAlign w:val="bottom"/>
          </w:tcPr>
          <w:p>
            <w:pPr>
              <w:spacing w:after="0"/>
              <w:rPr>
                <w:sz w:val="17"/>
                <w:szCs w:val="17"/>
                <w:color w:val="auto"/>
              </w:rPr>
            </w:pPr>
          </w:p>
        </w:tc>
        <w:tc>
          <w:tcPr>
            <w:tcW w:w="11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(13,417)</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618,119</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81,269</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20,254</w:t>
            </w:r>
          </w:p>
        </w:tc>
        <w:tc>
          <w:tcPr>
            <w:tcW w:w="4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20,780</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13,417</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135,720</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9,257</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12,448</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21,705</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74,247</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$ 20,254</w:t>
            </w:r>
          </w:p>
        </w:tc>
        <w:tc>
          <w:tcPr>
            <w:tcW w:w="16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$ 20,780</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$ 13,417</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$(12,448)</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$116,250</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THREE MONTHS ENDED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DECEMBER 31,</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2008</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6920" w:type="dxa"/>
            <w:vAlign w:val="bottom"/>
            <w:gridSpan w:val="11"/>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RECONCILIATION</w:t>
            </w:r>
          </w:p>
        </w:tc>
        <w:tc>
          <w:tcPr>
            <w:tcW w:w="520" w:type="dxa"/>
            <w:vAlign w:val="bottom"/>
          </w:tcPr>
          <w:p>
            <w:pPr>
              <w:spacing w:after="0"/>
              <w:rPr>
                <w:sz w:val="20"/>
                <w:szCs w:val="20"/>
                <w:color w:val="auto"/>
              </w:rPr>
            </w:pPr>
            <w:r>
              <w:rPr>
                <w:rFonts w:ascii="Courier New" w:cs="Courier New" w:eastAsia="Courier New" w:hAnsi="Courier New"/>
                <w:sz w:val="17"/>
                <w:szCs w:val="17"/>
                <w:color w:val="auto"/>
                <w:w w:val="97"/>
              </w:rPr>
              <w:t>ITEMS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60" w:type="dxa"/>
            <w:vAlign w:val="bottom"/>
            <w:gridSpan w:val="7"/>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2"/>
          </w:tcPr>
          <w:p>
            <w:pPr>
              <w:jc w:val="center"/>
              <w:ind w:left="73"/>
              <w:spacing w:after="0"/>
              <w:rPr>
                <w:sz w:val="20"/>
                <w:szCs w:val="20"/>
                <w:color w:val="auto"/>
              </w:rPr>
            </w:pPr>
            <w:r>
              <w:rPr>
                <w:rFonts w:ascii="Courier New" w:cs="Courier New" w:eastAsia="Courier New" w:hAnsi="Courier New"/>
                <w:sz w:val="17"/>
                <w:szCs w:val="17"/>
                <w:color w:val="auto"/>
              </w:rPr>
              <w:t>AMORTIZATION</w:t>
            </w:r>
          </w:p>
        </w:tc>
        <w:tc>
          <w:tcPr>
            <w:tcW w:w="6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EQUITY-</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2"/>
          </w:tcPr>
          <w:p>
            <w:pPr>
              <w:jc w:val="center"/>
              <w:ind w:left="73"/>
              <w:spacing w:after="0"/>
              <w:rPr>
                <w:sz w:val="20"/>
                <w:szCs w:val="20"/>
                <w:color w:val="auto"/>
              </w:rPr>
            </w:pPr>
            <w:r>
              <w:rPr>
                <w:rFonts w:ascii="Courier New" w:cs="Courier New" w:eastAsia="Courier New" w:hAnsi="Courier New"/>
                <w:sz w:val="17"/>
                <w:szCs w:val="17"/>
                <w:color w:val="auto"/>
              </w:rPr>
              <w:t>OF PURCHASED</w:t>
            </w:r>
          </w:p>
        </w:tc>
        <w:tc>
          <w:tcPr>
            <w:tcW w:w="64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BASED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2"/>
          </w:tcPr>
          <w:p>
            <w:pPr>
              <w:jc w:val="center"/>
              <w:ind w:left="73"/>
              <w:spacing w:after="0"/>
              <w:rPr>
                <w:sz w:val="20"/>
                <w:szCs w:val="20"/>
                <w:color w:val="auto"/>
              </w:rPr>
            </w:pPr>
            <w:r>
              <w:rPr>
                <w:rFonts w:ascii="Courier New" w:cs="Courier New" w:eastAsia="Courier New" w:hAnsi="Courier New"/>
                <w:sz w:val="17"/>
                <w:szCs w:val="17"/>
                <w:color w:val="auto"/>
              </w:rPr>
              <w:t>INTANGIBLE</w:t>
            </w:r>
          </w:p>
        </w:tc>
        <w:tc>
          <w:tcPr>
            <w:tcW w:w="200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COMPENSATION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GAAP</w:t>
            </w:r>
          </w:p>
        </w:tc>
        <w:tc>
          <w:tcPr>
            <w:tcW w:w="460" w:type="dxa"/>
            <w:vAlign w:val="bottom"/>
          </w:tcPr>
          <w:p>
            <w:pPr>
              <w:spacing w:after="0"/>
              <w:rPr>
                <w:sz w:val="17"/>
                <w:szCs w:val="17"/>
                <w:color w:val="auto"/>
              </w:rPr>
            </w:pPr>
          </w:p>
        </w:tc>
        <w:tc>
          <w:tcPr>
            <w:tcW w:w="94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ASSETS</w:t>
            </w:r>
          </w:p>
        </w:tc>
        <w:tc>
          <w:tcPr>
            <w:tcW w:w="6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EXPENSE</w:t>
            </w:r>
          </w:p>
        </w:tc>
        <w:tc>
          <w:tcPr>
            <w:tcW w:w="520" w:type="dxa"/>
            <w:vAlign w:val="bottom"/>
          </w:tcPr>
          <w:p>
            <w:pPr>
              <w:spacing w:after="0"/>
              <w:rPr>
                <w:sz w:val="17"/>
                <w:szCs w:val="17"/>
                <w:color w:val="auto"/>
              </w:rPr>
            </w:pPr>
          </w:p>
        </w:tc>
        <w:tc>
          <w:tcPr>
            <w:tcW w:w="12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9"/>
              </w:rPr>
              <w:t>TAX EFFECT</w:t>
            </w:r>
          </w:p>
        </w:tc>
        <w:tc>
          <w:tcPr>
            <w:tcW w:w="1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NON-GAAP</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center"/>
              <w:ind w:left="73"/>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774</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470,741</w:t>
            </w:r>
          </w:p>
        </w:tc>
        <w:tc>
          <w:tcPr>
            <w:tcW w:w="4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(6,282)</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464,459</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56,015</w:t>
            </w:r>
          </w:p>
        </w:tc>
        <w:tc>
          <w:tcPr>
            <w:tcW w:w="4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(1,376)</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54,639</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97,665</w:t>
            </w:r>
          </w:p>
        </w:tc>
        <w:tc>
          <w:tcPr>
            <w:tcW w:w="4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(6,558)</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91,107</w:t>
            </w:r>
          </w:p>
        </w:tc>
      </w:tr>
      <w:tr>
        <w:trPr>
          <w:trHeight w:val="201"/>
        </w:trPr>
        <w:tc>
          <w:tcPr>
            <w:tcW w:w="314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3140" w:type="dxa"/>
            <w:vAlign w:val="bottom"/>
          </w:tcPr>
          <w:p>
            <w:pPr>
              <w:ind w:left="640"/>
              <w:spacing w:after="0"/>
              <w:rPr>
                <w:sz w:val="20"/>
                <w:szCs w:val="20"/>
                <w:color w:val="auto"/>
              </w:rPr>
            </w:pPr>
            <w:r>
              <w:rPr>
                <w:rFonts w:ascii="Courier New" w:cs="Courier New" w:eastAsia="Courier New" w:hAnsi="Courier New"/>
                <w:sz w:val="17"/>
                <w:szCs w:val="17"/>
                <w:color w:val="auto"/>
              </w:rPr>
              <w:t>intangible assets</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21,753</w:t>
            </w:r>
          </w:p>
        </w:tc>
        <w:tc>
          <w:tcPr>
            <w:tcW w:w="4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(21,753)</w:t>
            </w:r>
          </w:p>
        </w:tc>
        <w:tc>
          <w:tcPr>
            <w:tcW w:w="6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646,948</w:t>
            </w:r>
          </w:p>
        </w:tc>
        <w:tc>
          <w:tcPr>
            <w:tcW w:w="4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(21,753)</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(14,216)</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610,979</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95,302</w:t>
            </w:r>
          </w:p>
        </w:tc>
        <w:tc>
          <w:tcPr>
            <w:tcW w:w="4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21,753</w:t>
            </w:r>
          </w:p>
        </w:tc>
        <w:tc>
          <w:tcPr>
            <w:tcW w:w="6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14,216</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131,271</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3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8,454</w:t>
            </w:r>
          </w:p>
        </w:tc>
        <w:tc>
          <w:tcPr>
            <w:tcW w:w="4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8,343</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16,797</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1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95,664</w:t>
            </w:r>
          </w:p>
        </w:tc>
        <w:tc>
          <w:tcPr>
            <w:tcW w:w="14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$ 21,753</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$ 14,216</w:t>
            </w:r>
          </w:p>
        </w:tc>
        <w:tc>
          <w:tcPr>
            <w:tcW w:w="520" w:type="dxa"/>
            <w:vAlign w:val="bottom"/>
          </w:tcPr>
          <w:p>
            <w:pPr>
              <w:spacing w:after="0"/>
              <w:rPr>
                <w:sz w:val="17"/>
                <w:szCs w:val="17"/>
                <w:color w:val="auto"/>
              </w:rPr>
            </w:pP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$(8,343)</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$123,290</w:t>
            </w:r>
          </w:p>
        </w:tc>
      </w:tr>
      <w:tr>
        <w:trPr>
          <w:trHeight w:val="201"/>
        </w:trPr>
        <w:tc>
          <w:tcPr>
            <w:tcW w:w="3140" w:type="dxa"/>
            <w:vAlign w:val="bottom"/>
          </w:tcPr>
          <w:p>
            <w:pPr>
              <w:spacing w:after="0"/>
              <w:rPr>
                <w:sz w:val="17"/>
                <w:szCs w:val="17"/>
                <w:color w:val="auto"/>
              </w:rPr>
            </w:pPr>
          </w:p>
        </w:tc>
        <w:tc>
          <w:tcPr>
            <w:tcW w:w="12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719" w:right="139" w:bottom="1440" w:gutter="0" w:footer="0" w:header="0"/>
        </w:sectPr>
      </w:pPr>
    </w:p>
    <w:bookmarkStart w:id="14" w:name="page15"/>
    <w:bookmarkEnd w:id="14"/>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ind w:left="3460"/>
              <w:spacing w:after="0"/>
              <w:rPr>
                <w:sz w:val="20"/>
                <w:szCs w:val="20"/>
                <w:color w:val="auto"/>
              </w:rPr>
            </w:pPr>
            <w:r>
              <w:rPr>
                <w:rFonts w:ascii="Courier New" w:cs="Courier New" w:eastAsia="Courier New" w:hAnsi="Courier New"/>
                <w:sz w:val="17"/>
                <w:szCs w:val="17"/>
                <w:color w:val="auto"/>
              </w:rPr>
              <w:t>(IN THOUSANDS)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06"/>
        </w:trPr>
        <w:tc>
          <w:tcPr>
            <w:tcW w:w="7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AS OF</w:t>
            </w:r>
          </w:p>
        </w:tc>
        <w:tc>
          <w:tcPr>
            <w:tcW w:w="1040" w:type="dxa"/>
            <w:vAlign w:val="bottom"/>
          </w:tcPr>
          <w:p>
            <w:pPr>
              <w:spacing w:after="0"/>
              <w:rPr>
                <w:sz w:val="24"/>
                <w:szCs w:val="24"/>
                <w:color w:val="auto"/>
              </w:rPr>
            </w:pPr>
          </w:p>
        </w:tc>
      </w:tr>
      <w:tr>
        <w:trPr>
          <w:trHeight w:val="201"/>
        </w:trPr>
        <w:tc>
          <w:tcPr>
            <w:tcW w:w="7180" w:type="dxa"/>
            <w:vAlign w:val="bottom"/>
          </w:tcPr>
          <w:p>
            <w:pPr>
              <w:spacing w:after="0"/>
              <w:rPr>
                <w:sz w:val="17"/>
                <w:szCs w:val="17"/>
                <w:color w:val="auto"/>
              </w:rPr>
            </w:pPr>
          </w:p>
        </w:tc>
        <w:tc>
          <w:tcPr>
            <w:tcW w:w="28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DECEMBER</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201"/>
        </w:trPr>
        <w:tc>
          <w:tcPr>
            <w:tcW w:w="7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2008</w:t>
            </w:r>
          </w:p>
        </w:tc>
        <w:tc>
          <w:tcPr>
            <w:tcW w:w="58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2008</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71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Cash, cash equivalents and short-term interest-bearing investments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$1,279,827</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$1,244,378</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Accounts receivable, net, including unbilled of $54,926 and $48,264</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respectively</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539,968</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573,764</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93,932</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84,515</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104,506</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102,930</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Total current assets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2,018,233</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2,005,587</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302,941</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317,081</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1,831,449</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1,796,922</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441,720</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459,473</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$4,594,343</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$4,579,063</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Accounts payable and accruals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608,591</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600,285</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Short-term portion of capital lease obligations and other financing</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arrangements</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4,435</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1,660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revenue</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150,368</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197,851</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payable</w:t>
            </w: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40,022</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30,228</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803,416</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830,024</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0.50% Convertible notes</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350,000</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450,000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Long-term loan</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100,000</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Noncurrent liabilities and other</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467,324</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493,848</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2,873,603</w:t>
            </w:r>
          </w:p>
        </w:tc>
        <w:tc>
          <w:tcPr>
            <w:tcW w:w="5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2,805,191</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$4,594,343</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$4,579,063</w:t>
            </w:r>
          </w:p>
        </w:tc>
      </w:tr>
      <w:tr>
        <w:trPr>
          <w:trHeight w:val="201"/>
        </w:trPr>
        <w:tc>
          <w:tcPr>
            <w:tcW w:w="7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1440" w:gutter="0" w:footer="0" w:header="0"/>
        </w:sectPr>
      </w:pPr>
    </w:p>
    <w:bookmarkStart w:id="15" w:name="page16"/>
    <w:bookmarkEnd w:id="15"/>
    <w:p>
      <w:pPr>
        <w:jc w:val="center"/>
        <w:ind w:right="1880"/>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0" w:type="dxa"/>
            <w:vAlign w:val="bottom"/>
          </w:tcPr>
          <w:p>
            <w:pPr>
              <w:ind w:left="3460"/>
              <w:spacing w:after="0"/>
              <w:rPr>
                <w:sz w:val="20"/>
                <w:szCs w:val="20"/>
                <w:color w:val="auto"/>
              </w:rPr>
            </w:pPr>
            <w:r>
              <w:rPr>
                <w:rFonts w:ascii="Courier New" w:cs="Courier New" w:eastAsia="Courier New" w:hAnsi="Courier New"/>
                <w:sz w:val="17"/>
                <w:szCs w:val="17"/>
                <w:color w:val="auto"/>
              </w:rPr>
              <w:t>(IN THOUSANDS)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06"/>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THREE MONTHS ENDED</w:t>
            </w:r>
          </w:p>
        </w:tc>
      </w:tr>
      <w:tr>
        <w:trPr>
          <w:trHeight w:val="201"/>
        </w:trPr>
        <w:tc>
          <w:tcPr>
            <w:tcW w:w="7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right"/>
              <w:ind w:right="453"/>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7800" w:type="dxa"/>
            <w:vAlign w:val="bottom"/>
          </w:tcPr>
          <w:p>
            <w:pPr>
              <w:spacing w:after="0"/>
              <w:rPr>
                <w:sz w:val="17"/>
                <w:szCs w:val="17"/>
                <w:color w:val="auto"/>
              </w:rPr>
            </w:pPr>
          </w:p>
        </w:tc>
        <w:tc>
          <w:tcPr>
            <w:tcW w:w="248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2008</w:t>
            </w:r>
          </w:p>
        </w:tc>
        <w:tc>
          <w:tcPr>
            <w:tcW w:w="200" w:type="dxa"/>
            <w:vAlign w:val="bottom"/>
          </w:tcPr>
          <w:p>
            <w:pPr>
              <w:spacing w:after="0"/>
              <w:rPr>
                <w:sz w:val="17"/>
                <w:szCs w:val="17"/>
                <w:color w:val="auto"/>
              </w:rPr>
            </w:pPr>
          </w:p>
        </w:tc>
        <w:tc>
          <w:tcPr>
            <w:tcW w:w="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2007</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7800" w:type="dxa"/>
            <w:vAlign w:val="bottom"/>
          </w:tcPr>
          <w:p>
            <w:pPr>
              <w:spacing w:after="0"/>
              <w:rPr>
                <w:sz w:val="20"/>
                <w:szCs w:val="20"/>
                <w:color w:val="auto"/>
              </w:rPr>
            </w:pPr>
            <w:r>
              <w:rPr>
                <w:rFonts w:ascii="Courier New" w:cs="Courier New" w:eastAsia="Courier New" w:hAnsi="Courier New"/>
                <w:sz w:val="17"/>
                <w:szCs w:val="17"/>
                <w:color w:val="auto"/>
              </w:rPr>
              <w:t>CASH FLOW FROM OPERATING ACTIVITIES: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74,247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95,664</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Reconciliation of net income to net cash provided by operating</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48,762</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46,706</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 development</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5,640</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(Gain) loss  on sale of equipment</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106</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Equity-based compensation expense</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13,417</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14,216</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744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(9,192)</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Gain on repurchase of convertible notes</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(2,112)</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Excess tax benefit from equity-based compensation</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Loss (gain) from short-term interest-bearing investments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1,442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(332)</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Net changes in operating assets and liabilities, net of amounts acquired: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34,495</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(64,121)</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900</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(2,449)</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Other noncurrent assets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18,461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(7,345)</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 accrued expenses and accrued personnel</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24,885</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4,516</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Deferred revenue</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(50,011)</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17,168</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Income taxes payable</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(4,614)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(5,560)</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Noncurrent liabilities and other</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(24,928)</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3,834</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141,286</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93,146</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CASH FLOW FROM INVESTING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Proceeds from sale of equipment, vehicles and leasehold improvements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123</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284</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Payments for purchase of equipment, vehicles and leasehold</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(30,235)</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(34,509)</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improvements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Proceeds from sale of short-term interest-bearing investments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113,570</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155,018</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Purchase of short-term interest-bearing investments</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(248,538)</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(176,149)</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Net cash paid for acquisition</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(55,543)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(9,069)</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(220,623)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(64,425)</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CASH FLOW FROM FINANCING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Borrowing under long-term financing arrangements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100,000</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Repurchase of convertible notes</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(97,888)</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Repurchase of shares</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(20,014)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(69,332)</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Proceeds from employee stock options exercised</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1,109</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6,444</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Borrowing under short-term financing arrangements</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540</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Excess tax benefit from equity-based compensation</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65</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Net cash used in financing activities</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(16,252)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(62,823)</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Net decrease in cash and cash equivalents</w:t>
            </w:r>
          </w:p>
        </w:tc>
        <w:tc>
          <w:tcPr>
            <w:tcW w:w="28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(95,589)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(34,102)</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718,850</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615,501</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$ 623,261</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$ 581,399</w:t>
            </w:r>
          </w:p>
        </w:tc>
      </w:tr>
      <w:tr>
        <w:trPr>
          <w:trHeight w:val="201"/>
        </w:trPr>
        <w:tc>
          <w:tcPr>
            <w:tcW w:w="7800" w:type="dxa"/>
            <w:vAlign w:val="bottom"/>
          </w:tcPr>
          <w:p>
            <w:pPr>
              <w:spacing w:after="0"/>
              <w:rPr>
                <w:sz w:val="17"/>
                <w:szCs w:val="17"/>
                <w:color w:val="auto"/>
              </w:rPr>
            </w:pPr>
          </w:p>
        </w:tc>
        <w:tc>
          <w:tcPr>
            <w:tcW w:w="13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SUPPLEMENTARY CASH FLOW INFORMATION</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spacing w:after="0"/>
              <w:rPr>
                <w:sz w:val="20"/>
                <w:szCs w:val="20"/>
                <w:color w:val="auto"/>
              </w:rPr>
            </w:pPr>
            <w:r>
              <w:rPr>
                <w:rFonts w:ascii="Courier New" w:cs="Courier New" w:eastAsia="Courier New" w:hAnsi="Courier New"/>
                <w:sz w:val="17"/>
                <w:szCs w:val="17"/>
                <w:color w:val="auto"/>
              </w:rPr>
              <w:t>Cash paid for:</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Income taxes, net of refunds</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9,730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22,118</w:t>
            </w:r>
          </w:p>
        </w:tc>
      </w:tr>
      <w:tr>
        <w:trPr>
          <w:trHeight w:val="201"/>
        </w:trPr>
        <w:tc>
          <w:tcPr>
            <w:tcW w:w="7800" w:type="dxa"/>
            <w:vAlign w:val="bottom"/>
          </w:tcPr>
          <w:p>
            <w:pPr>
              <w:ind w:left="320"/>
              <w:spacing w:after="0"/>
              <w:rPr>
                <w:sz w:val="20"/>
                <w:szCs w:val="20"/>
                <w:color w:val="auto"/>
              </w:rPr>
            </w:pPr>
            <w:r>
              <w:rPr>
                <w:rFonts w:ascii="Courier New" w:cs="Courier New" w:eastAsia="Courier New" w:hAnsi="Courier New"/>
                <w:sz w:val="17"/>
                <w:szCs w:val="17"/>
                <w:color w:val="auto"/>
              </w:rPr>
              <w:t>Interest</w:t>
            </w:r>
          </w:p>
        </w:tc>
        <w:tc>
          <w:tcPr>
            <w:tcW w:w="2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267</w:t>
            </w:r>
          </w:p>
        </w:tc>
        <w:tc>
          <w:tcPr>
            <w:tcW w:w="200" w:type="dxa"/>
            <w:vAlign w:val="bottom"/>
          </w:tcPr>
          <w:p>
            <w:pPr>
              <w:spacing w:after="0"/>
              <w:rPr>
                <w:sz w:val="17"/>
                <w:szCs w:val="17"/>
                <w:color w:val="auto"/>
              </w:rPr>
            </w:pP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537</w:t>
            </w:r>
          </w:p>
        </w:tc>
      </w:tr>
    </w:tbl>
    <w:p>
      <w:pPr>
        <w:sectPr>
          <w:pgSz w:w="11900" w:h="16838" w:orient="portrait"/>
          <w:cols w:equalWidth="0" w:num="1">
            <w:col w:w="10280"/>
          </w:cols>
          <w:pgMar w:left="240" w:top="719" w:right="1379" w:bottom="1440" w:gutter="0" w:footer="0" w:header="0"/>
        </w:sectPr>
      </w:pPr>
    </w:p>
    <w:bookmarkStart w:id="16" w:name="page17"/>
    <w:bookmarkEnd w:id="16"/>
    <w:p>
      <w:pPr>
        <w:ind w:left="3460"/>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SUPPLEMENTARY INFORMATION</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7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DECEMBER 31,</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JUNE 30,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2008</w:t>
            </w:r>
          </w:p>
        </w:tc>
        <w:tc>
          <w:tcPr>
            <w:tcW w:w="16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2008</w:t>
            </w: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2008</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2008</w:t>
            </w:r>
          </w:p>
        </w:tc>
        <w:tc>
          <w:tcPr>
            <w:tcW w:w="14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2007</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North America</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$561.6</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$558.7</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$570.5</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$541.5</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$500.6</w:t>
            </w:r>
          </w:p>
        </w:tc>
      </w:tr>
      <w:tr>
        <w:trPr>
          <w:trHeight w:val="201"/>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Europe</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111.4</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150.9</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133.0</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135.8</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128.4</w:t>
            </w:r>
          </w:p>
        </w:tc>
      </w:tr>
      <w:tr>
        <w:trPr>
          <w:trHeight w:val="201"/>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Rest of World</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80.8</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115.7</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116.8</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97.0</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113.3</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Total Revenue</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$753.8</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$825.3</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$820.3</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$774.3</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$742.3</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1007"/>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1"/>
        </w:trPr>
        <w:tc>
          <w:tcPr>
            <w:tcW w:w="2460" w:type="dxa"/>
            <w:vAlign w:val="bottom"/>
          </w:tcPr>
          <w:p>
            <w:pPr>
              <w:spacing w:after="0"/>
              <w:rPr>
                <w:sz w:val="17"/>
                <w:szCs w:val="17"/>
                <w:color w:val="auto"/>
              </w:rPr>
            </w:pPr>
          </w:p>
        </w:tc>
        <w:tc>
          <w:tcPr>
            <w:tcW w:w="7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DECEMBER 31,</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JUNE 30,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2008</w:t>
            </w:r>
          </w:p>
        </w:tc>
        <w:tc>
          <w:tcPr>
            <w:tcW w:w="16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2008</w:t>
            </w: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2008</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2008</w:t>
            </w:r>
          </w:p>
        </w:tc>
        <w:tc>
          <w:tcPr>
            <w:tcW w:w="14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2007</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Customer Experience</w:t>
            </w: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1"/>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Systems</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$701.0</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$756.5</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$756.9</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$708.2</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$672.8</w:t>
            </w:r>
          </w:p>
        </w:tc>
      </w:tr>
      <w:tr>
        <w:trPr>
          <w:trHeight w:val="201"/>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Directory</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52.8</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68.8</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63.4</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66.1</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69.5</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ind w:left="120"/>
              <w:spacing w:after="0"/>
              <w:rPr>
                <w:sz w:val="20"/>
                <w:szCs w:val="20"/>
                <w:color w:val="auto"/>
              </w:rPr>
            </w:pPr>
            <w:r>
              <w:rPr>
                <w:rFonts w:ascii="Courier New" w:cs="Courier New" w:eastAsia="Courier New" w:hAnsi="Courier New"/>
                <w:sz w:val="17"/>
                <w:szCs w:val="17"/>
                <w:color w:val="auto"/>
              </w:rPr>
              <w:t>Total Revenue</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$753.8</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$825.3</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$820.3</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$774.3</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$742.3</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806"/>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AS OF</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1"/>
        </w:trPr>
        <w:tc>
          <w:tcPr>
            <w:tcW w:w="2460" w:type="dxa"/>
            <w:vAlign w:val="bottom"/>
          </w:tcPr>
          <w:p>
            <w:pPr>
              <w:spacing w:after="0"/>
              <w:rPr>
                <w:sz w:val="17"/>
                <w:szCs w:val="17"/>
                <w:color w:val="auto"/>
              </w:rPr>
            </w:pPr>
          </w:p>
        </w:tc>
        <w:tc>
          <w:tcPr>
            <w:tcW w:w="7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DECEMBER 31,</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JUNE 30,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2008</w:t>
            </w:r>
          </w:p>
        </w:tc>
        <w:tc>
          <w:tcPr>
            <w:tcW w:w="16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2008</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2008</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2008</w:t>
            </w:r>
          </w:p>
        </w:tc>
        <w:tc>
          <w:tcPr>
            <w:tcW w:w="14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2007</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460" w:type="dxa"/>
            <w:vAlign w:val="bottom"/>
          </w:tcPr>
          <w:p>
            <w:pPr>
              <w:spacing w:after="0"/>
              <w:rPr>
                <w:sz w:val="20"/>
                <w:szCs w:val="20"/>
                <w:color w:val="auto"/>
              </w:rPr>
            </w:pPr>
            <w:r>
              <w:rPr>
                <w:rFonts w:ascii="Courier New" w:cs="Courier New" w:eastAsia="Courier New" w:hAnsi="Courier New"/>
                <w:sz w:val="17"/>
                <w:szCs w:val="17"/>
                <w:color w:val="auto"/>
              </w:rPr>
              <w:t>12-Month Backlog</w:t>
            </w: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$2,400</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$2,420</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$2,420</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$2,360</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$2,300</w:t>
            </w:r>
          </w:p>
        </w:tc>
      </w:tr>
      <w:tr>
        <w:trPr>
          <w:trHeight w:val="201"/>
        </w:trPr>
        <w:tc>
          <w:tcPr>
            <w:tcW w:w="2460" w:type="dxa"/>
            <w:vAlign w:val="bottom"/>
          </w:tcPr>
          <w:p>
            <w:pPr>
              <w:spacing w:after="0"/>
              <w:rPr>
                <w:sz w:val="17"/>
                <w:szCs w:val="17"/>
                <w:color w:val="auto"/>
              </w:rPr>
            </w:pPr>
          </w:p>
        </w:tc>
        <w:tc>
          <w:tcPr>
            <w:tcW w:w="15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bl>
    <w:p>
      <w:pPr>
        <w:spacing w:after="0" w:line="1" w:lineRule="exact"/>
        <w:rPr>
          <w:sz w:val="20"/>
          <w:szCs w:val="20"/>
          <w:color w:val="auto"/>
        </w:rPr>
      </w:pPr>
    </w:p>
    <w:sectPr>
      <w:pgSz w:w="11900" w:h="16838" w:orient="portrait"/>
      <w:cols w:equalWidth="0" w:num="1">
        <w:col w:w="10219"/>
      </w:cols>
      <w:pgMar w:left="240"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2019-12-10T17:47:48Z</dcterms:created>
  <dcterms:modified xsi:type="dcterms:W3CDTF">2019-12-10T17:47:48Z</dcterms:modified>
</cp:coreProperties>
</file>