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38" w:lineRule="auto"/>
        <w:rPr>
          <w:sz w:val="20"/>
          <w:szCs w:val="20"/>
          <w:color w:val="auto"/>
        </w:rPr>
      </w:pPr>
      <w:r>
        <w:rPr>
          <w:rFonts w:ascii="Courier New" w:cs="Courier New" w:eastAsia="Courier New" w:hAnsi="Courier New"/>
          <w:sz w:val="18"/>
          <w:szCs w:val="18"/>
          <w:color w:val="auto"/>
        </w:rPr>
        <w:t>AMDOCS LIMITED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#G02602103</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#G02602103</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1100" w:type="dxa"/>
            <w:vAlign w:val="bottom"/>
          </w:tcPr>
          <w:p>
            <w:pPr>
              <w:ind w:left="260"/>
              <w:spacing w:after="0"/>
              <w:rPr>
                <w:sz w:val="20"/>
                <w:szCs w:val="20"/>
                <w:color w:val="auto"/>
              </w:rPr>
            </w:pPr>
            <w:r>
              <w:rPr>
                <w:rFonts w:ascii="Courier New" w:cs="Courier New" w:eastAsia="Courier New" w:hAnsi="Courier New"/>
                <w:sz w:val="18"/>
                <w:szCs w:val="18"/>
                <w:color w:val="auto"/>
              </w:rPr>
              <w:t>(a)</w:t>
            </w: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 ]</w:t>
            </w:r>
          </w:p>
        </w:tc>
      </w:tr>
      <w:tr>
        <w:trPr>
          <w:trHeight w:val="203"/>
        </w:trPr>
        <w:tc>
          <w:tcPr>
            <w:tcW w:w="22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Delaware</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454,322</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11,569,364</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11,569,364</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7.121%</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HC</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#G02602103</w:t>
            </w:r>
          </w:p>
        </w:tc>
        <w:tc>
          <w:tcPr>
            <w:tcW w:w="110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Reporting Person - Edward C. Johnson 3d</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2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11,569,364</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11,569,364</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7.121%</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#G02602103</w:t>
            </w:r>
          </w:p>
        </w:tc>
        <w:tc>
          <w:tcPr>
            <w:tcW w:w="110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2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11,569,364</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11,569,364</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7.121%</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w:t>
            </w:r>
          </w:p>
        </w:tc>
        <w:tc>
          <w:tcPr>
            <w:tcW w:w="5580" w:type="dxa"/>
            <w:vAlign w:val="bottom"/>
          </w:tcPr>
          <w:p>
            <w:pPr>
              <w:spacing w:after="0"/>
              <w:rPr>
                <w:sz w:val="17"/>
                <w:szCs w:val="17"/>
                <w:color w:val="auto"/>
              </w:rPr>
            </w:pP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66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AMDOCS LIMITED</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6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SUITE 5, TOWER HILL HOUSE LE BORDAGE</w:t>
            </w:r>
          </w:p>
        </w:tc>
      </w:tr>
      <w:tr>
        <w:trPr>
          <w:trHeight w:val="203"/>
        </w:trPr>
        <w:tc>
          <w:tcPr>
            <w:tcW w:w="2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ST PETER PORT, ISLAND OF GUERNSEY X0 GY1 3QT</w:t>
            </w:r>
          </w:p>
        </w:tc>
      </w:tr>
      <w:tr>
        <w:trPr>
          <w:trHeight w:val="203"/>
        </w:trPr>
        <w:tc>
          <w:tcPr>
            <w:tcW w:w="2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England</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FMR LLC</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Address or Principal Business Office or, if None,</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110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245 Summer Street, Boston, Massachusetts 02210</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Citizenship:</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Not applicable</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Title of Class of Securities:</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COMMON STOCK</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CUSIP Number:</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G02602103</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68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or (c) and the</w:t>
            </w:r>
          </w:p>
        </w:tc>
        <w:tc>
          <w:tcPr>
            <w:tcW w:w="1100" w:type="dxa"/>
            <w:vAlign w:val="bottom"/>
          </w:tcPr>
          <w:p>
            <w:pPr>
              <w:spacing w:after="0"/>
              <w:rPr>
                <w:sz w:val="17"/>
                <w:szCs w:val="17"/>
                <w:color w:val="auto"/>
              </w:rPr>
            </w:pPr>
          </w:p>
        </w:tc>
        <w:tc>
          <w:tcPr>
            <w:tcW w:w="5580" w:type="dxa"/>
            <w:vAlign w:val="bottom"/>
          </w:tcPr>
          <w:p>
            <w:pPr>
              <w:spacing w:after="0"/>
              <w:rPr>
                <w:sz w:val="17"/>
                <w:szCs w:val="17"/>
                <w:color w:val="auto"/>
              </w:rPr>
            </w:pPr>
          </w:p>
        </w:tc>
      </w:tr>
    </w:tbl>
    <w:p>
      <w:pPr>
        <w:sectPr>
          <w:pgSz w:w="11900" w:h="16855" w:orient="portrait"/>
          <w:cols w:equalWidth="0" w:num="1">
            <w:col w:w="10219"/>
          </w:cols>
          <w:pgMar w:left="240" w:top="244" w:right="1440" w:bottom="0" w:gutter="0" w:footer="0" w:header="0"/>
        </w:sectPr>
      </w:pPr>
    </w:p>
    <w:bookmarkStart w:id="1" w:name="page2"/>
    <w:bookmarkEnd w:id="1"/>
    <w:p>
      <w:pPr>
        <w:ind w:right="2839"/>
        <w:spacing w:after="0" w:line="235" w:lineRule="auto"/>
        <w:rPr>
          <w:sz w:val="20"/>
          <w:szCs w:val="20"/>
          <w:color w:val="auto"/>
        </w:rPr>
      </w:pPr>
      <w:r>
        <w:rPr>
          <w:rFonts w:ascii="Courier New" w:cs="Courier New" w:eastAsia="Courier New" w:hAnsi="Courier New"/>
          <w:sz w:val="18"/>
          <w:szCs w:val="18"/>
          <w:color w:val="auto"/>
        </w:rPr>
        <w:t>person filing, FMR LLC, is a parent holding company in accordance with Section 240.13d-1(b)(1)(ii)(G). (Note: See Exhibit A).</w:t>
      </w:r>
    </w:p>
    <w:p>
      <w:pPr>
        <w:spacing w:after="0" w:line="203"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tbl>
      <w:tblPr>
        <w:tblLayout w:type="fixed"/>
        <w:tblInd w:w="2540" w:type="dxa"/>
        <w:tblCellMar>
          <w:top w:w="0" w:type="dxa"/>
          <w:left w:w="0" w:type="dxa"/>
          <w:bottom w:w="0" w:type="dxa"/>
          <w:right w:w="0" w:type="dxa"/>
        </w:tblCellMar>
      </w:tblPr>
      <w:tr>
        <w:trPr>
          <w:trHeight w:val="204"/>
        </w:trPr>
        <w:tc>
          <w:tcPr>
            <w:tcW w:w="52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Amount Beneficially Owned:</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11,569,364</w:t>
            </w:r>
          </w:p>
        </w:tc>
      </w:tr>
      <w:tr>
        <w:trPr>
          <w:trHeight w:val="405"/>
        </w:trPr>
        <w:tc>
          <w:tcPr>
            <w:tcW w:w="52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20"/>
              <w:spacing w:after="0"/>
              <w:rPr>
                <w:sz w:val="20"/>
                <w:szCs w:val="20"/>
                <w:color w:val="auto"/>
              </w:rPr>
            </w:pPr>
            <w:r>
              <w:rPr>
                <w:rFonts w:ascii="Courier New" w:cs="Courier New" w:eastAsia="Courier New" w:hAnsi="Courier New"/>
                <w:sz w:val="18"/>
                <w:szCs w:val="18"/>
                <w:color w:val="auto"/>
              </w:rPr>
              <w:t>Percent of Class:</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7.121%</w:t>
            </w:r>
          </w:p>
        </w:tc>
        <w:tc>
          <w:tcPr>
            <w:tcW w:w="1160" w:type="dxa"/>
            <w:vAlign w:val="bottom"/>
          </w:tcPr>
          <w:p>
            <w:pPr>
              <w:spacing w:after="0"/>
              <w:rPr>
                <w:sz w:val="24"/>
                <w:szCs w:val="24"/>
                <w:color w:val="auto"/>
              </w:rPr>
            </w:pPr>
          </w:p>
        </w:tc>
      </w:tr>
    </w:tbl>
    <w:p>
      <w:pPr>
        <w:spacing w:after="0" w:line="201" w:lineRule="exact"/>
        <w:rPr>
          <w:sz w:val="20"/>
          <w:szCs w:val="20"/>
          <w:color w:val="auto"/>
        </w:rPr>
      </w:pPr>
    </w:p>
    <w:p>
      <w:pPr>
        <w:ind w:left="3280" w:hanging="743"/>
        <w:spacing w:after="0"/>
        <w:tabs>
          <w:tab w:leader="none" w:pos="3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4020" w:hanging="746"/>
        <w:spacing w:after="0"/>
        <w:tabs>
          <w:tab w:leader="none" w:pos="40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tbl>
      <w:tblPr>
        <w:tblLayout w:type="fixed"/>
        <w:tblInd w:w="0" w:type="dxa"/>
        <w:tblCellMar>
          <w:top w:w="0" w:type="dxa"/>
          <w:left w:w="0" w:type="dxa"/>
          <w:bottom w:w="0" w:type="dxa"/>
          <w:right w:w="0" w:type="dxa"/>
        </w:tblCellMar>
      </w:tblP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454,322</w:t>
            </w:r>
          </w:p>
        </w:tc>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48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11,569,364</w:t>
            </w: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480"/>
              <w:spacing w:after="0"/>
              <w:rPr>
                <w:sz w:val="20"/>
                <w:szCs w:val="20"/>
                <w:color w:val="auto"/>
              </w:rPr>
            </w:pPr>
            <w:r>
              <w:rPr>
                <w:rFonts w:ascii="Courier New" w:cs="Courier New" w:eastAsia="Courier New" w:hAnsi="Courier New"/>
                <w:sz w:val="18"/>
                <w:szCs w:val="18"/>
                <w:color w:val="auto"/>
                <w:w w:val="96"/>
              </w:rPr>
              <w:t>Not applicable.</w:t>
            </w:r>
          </w:p>
        </w:tc>
        <w:tc>
          <w:tcPr>
            <w:tcW w:w="2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More than Five Percent on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Behalf of Another</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13, 2015</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Scott C. Goebel</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Scott C. Goebel</w:t>
      </w:r>
    </w:p>
    <w:p>
      <w:pPr>
        <w:spacing w:after="0" w:line="4"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519" w:firstLine="8"/>
        <w:spacing w:after="0" w:line="236"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B to the Schedule 13G filed by FMR LLC on June 10, 2014, accession number: 0000315066-14-003512.</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A</w:t>
      </w:r>
    </w:p>
    <w:p>
      <w:pPr>
        <w:sectPr>
          <w:pgSz w:w="11900" w:h="16838" w:orient="portrait"/>
          <w:cols w:equalWidth="0" w:num="1">
            <w:col w:w="10219"/>
          </w:cols>
          <w:pgMar w:left="240" w:top="142" w:right="1440" w:bottom="0" w:gutter="0" w:footer="0" w:header="0"/>
          <w:type w:val="continuous"/>
        </w:sectPr>
      </w:pPr>
    </w:p>
    <w:bookmarkStart w:id="2" w:name="page3"/>
    <w:bookmarkEnd w:id="2"/>
    <w:p>
      <w:pPr>
        <w:ind w:right="2619" w:firstLine="179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Entity  ITEM 3</w:t>
            </w:r>
          </w:p>
        </w:tc>
        <w:tc>
          <w:tcPr>
            <w:tcW w:w="1680" w:type="dxa"/>
            <w:vAlign w:val="bottom"/>
          </w:tcPr>
          <w:p>
            <w:pPr>
              <w:ind w:left="40"/>
              <w:spacing w:after="0"/>
              <w:rPr>
                <w:sz w:val="20"/>
                <w:szCs w:val="20"/>
                <w:color w:val="auto"/>
              </w:rPr>
            </w:pPr>
            <w:r>
              <w:rPr>
                <w:rFonts w:ascii="Courier New" w:cs="Courier New" w:eastAsia="Courier New" w:hAnsi="Courier New"/>
                <w:sz w:val="18"/>
                <w:szCs w:val="18"/>
                <w:color w:val="auto"/>
              </w:rPr>
              <w:t>Classification</w:t>
            </w: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48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FIDELITY INVESTMENTS MONEY MANAGEMENT, INC.</w:t>
            </w:r>
          </w:p>
        </w:tc>
        <w:tc>
          <w:tcPr>
            <w:tcW w:w="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IA</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FMR CO., INC *</w:t>
            </w:r>
          </w:p>
        </w:tc>
        <w:tc>
          <w:tcPr>
            <w:tcW w:w="1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IA</w:t>
            </w: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PYRAMIS GLOBAL</w:t>
            </w:r>
          </w:p>
        </w:tc>
        <w:tc>
          <w:tcPr>
            <w:tcW w:w="25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ADVISORS (CANADA) ULC</w:t>
            </w:r>
          </w:p>
        </w:tc>
        <w:tc>
          <w:tcPr>
            <w:tcW w:w="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FI</w:t>
            </w:r>
          </w:p>
        </w:tc>
        <w:tc>
          <w:tcPr>
            <w:tcW w:w="48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PYRAMIS GLOBAL</w:t>
            </w:r>
          </w:p>
        </w:tc>
        <w:tc>
          <w:tcPr>
            <w:tcW w:w="25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ADVISORS TRUST COMPANY</w:t>
            </w:r>
          </w:p>
        </w:tc>
        <w:tc>
          <w:tcPr>
            <w:tcW w:w="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BK</w:t>
            </w:r>
          </w:p>
        </w:tc>
        <w:tc>
          <w:tcPr>
            <w:tcW w:w="480" w:type="dxa"/>
            <w:vAlign w:val="bottom"/>
          </w:tcPr>
          <w:p>
            <w:pPr>
              <w:spacing w:after="0"/>
              <w:rPr>
                <w:sz w:val="17"/>
                <w:szCs w:val="17"/>
                <w:color w:val="auto"/>
              </w:rPr>
            </w:pPr>
          </w:p>
        </w:tc>
      </w:tr>
      <w:tr>
        <w:trPr>
          <w:trHeight w:val="203"/>
        </w:trPr>
        <w:tc>
          <w:tcPr>
            <w:tcW w:w="3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STRATEGIC ADVISERS, INC.</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IA</w:t>
            </w: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2519" w:firstLine="8"/>
        <w:spacing w:after="0" w:line="235"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419" w:firstLine="1685"/>
        <w:spacing w:after="0" w:line="236" w:lineRule="auto"/>
        <w:rPr>
          <w:sz w:val="20"/>
          <w:szCs w:val="20"/>
          <w:color w:val="auto"/>
        </w:rPr>
      </w:pPr>
      <w:r>
        <w:rPr>
          <w:rFonts w:ascii="Courier New" w:cs="Courier New" w:eastAsia="Courier New" w:hAnsi="Courier New"/>
          <w:sz w:val="18"/>
          <w:szCs w:val="18"/>
          <w:color w:val="auto"/>
        </w:rPr>
        <w:t>Edward C. Johnson 3d is a Director and the Chairman of FMR LLC and Abigail P. Johnson is a Director, the Vice Chairman, the Chief Executive Officer and the President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68" w:lineRule="auto"/>
        <w:rPr>
          <w:sz w:val="20"/>
          <w:szCs w:val="20"/>
          <w:color w:val="auto"/>
        </w:rPr>
      </w:pPr>
      <w:r>
        <w:rPr>
          <w:rFonts w:ascii="Courier New" w:cs="Courier New" w:eastAsia="Courier New" w:hAnsi="Courier New"/>
          <w:sz w:val="16"/>
          <w:szCs w:val="16"/>
          <w:color w:val="auto"/>
        </w:rPr>
        <w:t>Members of the family of Edward C. Johnson 3d,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235" w:lineRule="auto"/>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Edward C. Johnson 3d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619" w:firstLine="1685"/>
        <w:spacing w:after="0" w:line="237" w:lineRule="auto"/>
        <w:rPr>
          <w:sz w:val="20"/>
          <w:szCs w:val="20"/>
          <w:color w:val="auto"/>
        </w:rPr>
      </w:pPr>
      <w:r>
        <w:rPr>
          <w:rFonts w:ascii="Courier New" w:cs="Courier New" w:eastAsia="Courier New" w:hAnsi="Courier New"/>
          <w:sz w:val="18"/>
          <w:szCs w:val="18"/>
          <w:color w:val="auto"/>
        </w:rPr>
        <w:t>The undersigned persons, on February 13, 2015, agree and consent to the joint filing on their behalf of this Schedule 13G in connection with their beneficial ownership of the COMMON STOCK of AMDOCS LIMITED at December 31, 2014.</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ectPr>
          <w:pgSz w:w="11900" w:h="16838" w:orient="portrait"/>
          <w:cols w:equalWidth="0" w:num="1">
            <w:col w:w="10219"/>
          </w:cols>
          <w:pgMar w:left="240" w:top="547" w:right="1440" w:bottom="0" w:gutter="0" w:footer="0" w:header="0"/>
        </w:sectPr>
      </w:pPr>
    </w:p>
    <w:bookmarkStart w:id="3" w:name="page4"/>
    <w:bookmarkEnd w:id="3"/>
    <w:p>
      <w:pPr>
        <w:ind w:right="177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Edward C. Johnson 3d*</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187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April 24, 2014,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519" w:firstLine="8"/>
        <w:spacing w:after="0" w:line="236" w:lineRule="auto"/>
        <w:tabs>
          <w:tab w:leader="none" w:pos="21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B to the Schedule 13G filed by FMR LLC on June 10, 2014, accession number: 0000315066-14-003512.</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Roman"/>
      <w:start w:val="10"/>
    </w:lvl>
  </w:abstractNum>
  <w:abstractNum w:abstractNumId="1">
    <w:nsid w:val="2AE8944A"/>
    <w:multiLevelType w:val="hybridMultilevel"/>
    <w:lvl w:ilvl="0">
      <w:lvlJc w:val="left"/>
      <w:lvlText w:val="(%1)"/>
      <w:numFmt w:val="lowerLetter"/>
      <w:start w:val="3"/>
    </w:lvl>
    <w:lvl w:ilvl="1">
      <w:lvlJc w:val="left"/>
      <w:lvlText w:val="(%2)"/>
      <w:numFmt w:val="lowerLetter"/>
      <w:start w:val="9"/>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2019-12-07T04:42:51Z</dcterms:created>
  <dcterms:modified xsi:type="dcterms:W3CDTF">2019-12-07T04:42:51Z</dcterms:modified>
</cp:coreProperties>
</file>