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REPORT OF FOREIGN PRIVATE ISSUER</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RULE 13A-16 OR 15D-16 OF</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37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April, 2000</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Tower Hill House Le Bordage</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1"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218" w:right="1440" w:bottom="161" w:gutter="0" w:footer="0" w:header="0"/>
        </w:sectPr>
      </w:pPr>
    </w:p>
    <w:p>
      <w:pPr>
        <w:spacing w:after="0" w:line="221"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FORM 20 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 F</w:t>
      </w:r>
    </w:p>
    <w:p>
      <w:pPr>
        <w:spacing w:after="0" w:line="115" w:lineRule="exact"/>
        <w:rPr>
          <w:sz w:val="24"/>
          <w:szCs w:val="24"/>
          <w:color w:val="auto"/>
        </w:rPr>
      </w:pPr>
    </w:p>
    <w:p>
      <w:pPr>
        <w:sectPr>
          <w:pgSz w:w="11900" w:h="16838" w:orient="portrait"/>
          <w:cols w:equalWidth="0" w:num="3">
            <w:col w:w="3800" w:space="420"/>
            <w:col w:w="660" w:space="720"/>
            <w:col w:w="4619"/>
          </w:cols>
          <w:pgMar w:left="240" w:top="218" w:right="1440" w:bottom="161" w:gutter="0" w:footer="0" w:header="0"/>
          <w:type w:val="continuous"/>
        </w:sect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920" w:space="720"/>
            <w:col w:w="3579"/>
          </w:cols>
          <w:pgMar w:left="240" w:top="218" w:right="1440" w:bottom="161" w:gutter="0" w:footer="0" w:header="0"/>
          <w:type w:val="continuous"/>
        </w:sectPr>
      </w:pPr>
    </w:p>
    <w:p>
      <w:pPr>
        <w:spacing w:after="0" w:line="133" w:lineRule="exact"/>
        <w:rPr>
          <w:sz w:val="24"/>
          <w:szCs w:val="24"/>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84" w:lineRule="exact"/>
        <w:rPr>
          <w:sz w:val="24"/>
          <w:szCs w:val="24"/>
          <w:color w:val="auto"/>
        </w:rPr>
      </w:pPr>
    </w:p>
    <w:p>
      <w:pPr>
        <w:ind w:left="2860"/>
        <w:spacing w:after="0"/>
        <w:tabs>
          <w:tab w:leader="none" w:pos="6520" w:val="left"/>
          <w:tab w:leader="none" w:pos="704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0" w:lineRule="exact"/>
        <w:rPr>
          <w:sz w:val="24"/>
          <w:szCs w:val="24"/>
          <w:color w:val="auto"/>
        </w:rPr>
      </w:pPr>
    </w:p>
    <w:p>
      <w:pPr>
        <w:spacing w:after="0" w:line="204" w:lineRule="exact"/>
        <w:rPr>
          <w:sz w:val="24"/>
          <w:szCs w:val="24"/>
          <w:color w:val="auto"/>
        </w:rPr>
      </w:pPr>
    </w:p>
    <w:p>
      <w:pPr>
        <w:jc w:val="both"/>
        <w:ind w:right="1779" w:firstLine="1896"/>
        <w:spacing w:after="0" w:line="260" w:lineRule="auto"/>
        <w:rPr>
          <w:sz w:val="20"/>
          <w:szCs w:val="20"/>
          <w:color w:val="auto"/>
        </w:rPr>
      </w:pPr>
      <w:r>
        <w:rPr>
          <w:rFonts w:ascii="Courier New" w:cs="Courier New" w:eastAsia="Courier New" w:hAnsi="Courier New"/>
          <w:sz w:val="18"/>
          <w:szCs w:val="18"/>
          <w:color w:val="auto"/>
        </w:rPr>
        <w:t>On April 5, 2000, pursuant to a Combination Agreement, dated as of February 28, 2000 (the "Combination Agreement"), by and among Amdocs Limited, a Guernsey corporation ("Amdocs"), Amdocs (Denmark) ApS., a Danish corporation., Amdocs Holdings ULC, a Nova Scotia unlimited liability company and Solect Technology Group Inc., a New Brunswick corporation ("Solect"), Amdocs acquired Solect.</w:t>
      </w:r>
    </w:p>
    <w:p>
      <w:pPr>
        <w:spacing w:after="0" w:line="93" w:lineRule="exact"/>
        <w:rPr>
          <w:sz w:val="24"/>
          <w:szCs w:val="24"/>
          <w:color w:val="auto"/>
        </w:rPr>
      </w:pPr>
    </w:p>
    <w:p>
      <w:pPr>
        <w:jc w:val="both"/>
        <w:ind w:right="1779" w:firstLine="2002"/>
        <w:spacing w:after="0" w:line="282" w:lineRule="auto"/>
        <w:rPr>
          <w:sz w:val="20"/>
          <w:szCs w:val="20"/>
          <w:color w:val="auto"/>
        </w:rPr>
      </w:pPr>
      <w:r>
        <w:rPr>
          <w:rFonts w:ascii="Courier New" w:cs="Courier New" w:eastAsia="Courier New" w:hAnsi="Courier New"/>
          <w:sz w:val="16"/>
          <w:szCs w:val="16"/>
          <w:color w:val="auto"/>
        </w:rPr>
        <w:t>The acquisition was completed by means of a business combination in which each outstanding share of Solect was converted into the right to receive .57281 (the "Exchange Ratio") shares of Solect exchangeable shares ("Exchangeable Shares") exchangeable at any time for Amdocs ordinary shares ("Ordinary Shares") and each outstanding option to purchase Solect common shares was converted into an option ("Options") to purchase Ordinary Shares, with appropriate adjustments to the number of shares and exercise price based on the Exchange Ratio. An aggregate of 15.5 million Ordinary Shares are issuable upon the exchange of Exchangeable Shares and Options. Certain shareholders representing over 80% of Solect's outstanding share capital have agreed not to sell portions of their shares in Amdocs for periods ranging from three months to one year following the closing of the acquisition.</w:t>
      </w:r>
    </w:p>
    <w:p>
      <w:pPr>
        <w:spacing w:after="0" w:line="291" w:lineRule="exact"/>
        <w:rPr>
          <w:sz w:val="24"/>
          <w:szCs w:val="24"/>
          <w:color w:val="auto"/>
        </w:rPr>
      </w:pPr>
    </w:p>
    <w:p>
      <w:pPr>
        <w:ind w:right="1879" w:firstLine="1896"/>
        <w:spacing w:after="0" w:line="347" w:lineRule="auto"/>
        <w:rPr>
          <w:sz w:val="20"/>
          <w:szCs w:val="20"/>
          <w:color w:val="auto"/>
        </w:rPr>
      </w:pPr>
      <w:r>
        <w:rPr>
          <w:rFonts w:ascii="Courier New" w:cs="Courier New" w:eastAsia="Courier New" w:hAnsi="Courier New"/>
          <w:sz w:val="18"/>
          <w:szCs w:val="18"/>
          <w:color w:val="auto"/>
        </w:rPr>
        <w:t>Attached as Exhibit 99.1 and incorporated herein by reference in its entirety is a copy of the press release dated April 6, 2000.</w:t>
      </w:r>
    </w:p>
    <w:p>
      <w:pPr>
        <w:spacing w:after="0" w:line="18" w:lineRule="exact"/>
        <w:rPr>
          <w:sz w:val="24"/>
          <w:szCs w:val="24"/>
          <w:color w:val="auto"/>
        </w:rPr>
      </w:pPr>
    </w:p>
    <w:p>
      <w:pPr>
        <w:ind w:left="960" w:right="3679" w:hanging="947"/>
        <w:spacing w:after="0" w:line="347" w:lineRule="auto"/>
        <w:tabs>
          <w:tab w:leader="none" w:pos="940" w:val="left"/>
        </w:tabs>
        <w:rPr>
          <w:sz w:val="20"/>
          <w:szCs w:val="20"/>
          <w:color w:val="auto"/>
        </w:rPr>
      </w:pPr>
      <w:r>
        <w:rPr>
          <w:rFonts w:ascii="Courier New" w:cs="Courier New" w:eastAsia="Courier New" w:hAnsi="Courier New"/>
          <w:sz w:val="18"/>
          <w:szCs w:val="18"/>
          <w:color w:val="auto"/>
        </w:rPr>
        <w:t>ITEM 7.</w:t>
        <w:tab/>
        <w:t>FINANCIAL STATEMENTS, PRO FORMA FINANCIAL INFORMATION AND EXHIBITS</w:t>
      </w:r>
    </w:p>
    <w:p>
      <w:pPr>
        <w:spacing w:after="0" w:line="18" w:lineRule="exact"/>
        <w:rPr>
          <w:sz w:val="24"/>
          <w:szCs w:val="24"/>
          <w:color w:val="auto"/>
        </w:rPr>
      </w:pPr>
    </w:p>
    <w:p>
      <w:pPr>
        <w:jc w:val="both"/>
        <w:ind w:right="1779" w:firstLine="1896"/>
        <w:spacing w:after="0" w:line="274" w:lineRule="auto"/>
        <w:rPr>
          <w:sz w:val="20"/>
          <w:szCs w:val="20"/>
          <w:color w:val="auto"/>
        </w:rPr>
      </w:pPr>
      <w:r>
        <w:rPr>
          <w:rFonts w:ascii="Courier New" w:cs="Courier New" w:eastAsia="Courier New" w:hAnsi="Courier New"/>
          <w:sz w:val="18"/>
          <w:szCs w:val="18"/>
          <w:color w:val="auto"/>
        </w:rPr>
        <w:t>The financial statements of Solect and the unaudited pro forma condensed consolidated financial information are not included in this report. Such financial information will be filed by amendment not later than June 5, 2000.</w:t>
      </w:r>
    </w:p>
    <w:p>
      <w:pPr>
        <w:sectPr>
          <w:pgSz w:w="11900" w:h="16838" w:orient="portrait"/>
          <w:cols w:equalWidth="0" w:num="1">
            <w:col w:w="10219"/>
          </w:cols>
          <w:pgMar w:left="240" w:top="218" w:right="1440" w:bottom="161"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ind w:left="220"/>
        <w:spacing w:after="0"/>
        <w:tabs>
          <w:tab w:leader="none" w:pos="178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DESCRIPTION</w:t>
      </w:r>
    </w:p>
    <w:p>
      <w:pPr>
        <w:spacing w:after="0" w:line="169"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Amdocs Press Release dated April 6, 2000</w:t>
      </w:r>
    </w:p>
    <w:p>
      <w:pPr>
        <w:sectPr>
          <w:pgSz w:w="11900" w:h="16838" w:orient="portrait"/>
          <w:cols w:equalWidth="0" w:num="1">
            <w:col w:w="10219"/>
          </w:cols>
          <w:pgMar w:left="240" w:top="89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6"/>
          <w:szCs w:val="16"/>
          <w:color w:val="auto"/>
        </w:rPr>
        <w:t>SIGNATURES</w:t>
      </w:r>
    </w:p>
    <w:p>
      <w:pPr>
        <w:sectPr>
          <w:pgSz w:w="11900" w:h="16838" w:orient="portrait"/>
          <w:cols w:equalWidth="0" w:num="1">
            <w:col w:w="10219"/>
          </w:cols>
          <w:pgMar w:left="240" w:top="893" w:right="1440" w:bottom="1440" w:gutter="0" w:footer="0" w:header="0"/>
        </w:sectPr>
      </w:pPr>
    </w:p>
    <w:p>
      <w:pPr>
        <w:spacing w:after="0" w:line="224" w:lineRule="exact"/>
        <w:rPr>
          <w:sz w:val="20"/>
          <w:szCs w:val="20"/>
          <w:color w:val="auto"/>
        </w:rPr>
      </w:pPr>
    </w:p>
    <w:p>
      <w:pPr>
        <w:jc w:val="both"/>
        <w:spacing w:after="0" w:line="292"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779" w:firstLine="105"/>
        <w:spacing w:after="0" w:line="347"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220" w:lineRule="exact"/>
        <w:rPr>
          <w:sz w:val="20"/>
          <w:szCs w:val="20"/>
          <w:color w:val="auto"/>
        </w:rPr>
      </w:pPr>
    </w:p>
    <w:p>
      <w:pPr>
        <w:sectPr>
          <w:pgSz w:w="11900" w:h="16838" w:orient="portrait"/>
          <w:cols w:equalWidth="0" w:num="2">
            <w:col w:w="5280" w:space="100"/>
            <w:col w:w="4839"/>
          </w:cols>
          <w:pgMar w:left="240" w:top="893" w:right="1440" w:bottom="1440" w:gutter="0" w:footer="0" w:header="0"/>
          <w:type w:val="continuous"/>
        </w:sectPr>
      </w:pPr>
    </w:p>
    <w:p>
      <w:pPr>
        <w:ind w:left="528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spacing w:after="0"/>
        <w:tabs>
          <w:tab w:leader="none" w:pos="5260" w:val="left"/>
        </w:tabs>
        <w:rPr>
          <w:sz w:val="20"/>
          <w:szCs w:val="20"/>
          <w:color w:val="auto"/>
        </w:rPr>
      </w:pPr>
      <w:r>
        <w:rPr>
          <w:rFonts w:ascii="Courier New" w:cs="Courier New" w:eastAsia="Courier New" w:hAnsi="Courier New"/>
          <w:sz w:val="18"/>
          <w:szCs w:val="18"/>
          <w:color w:val="auto"/>
        </w:rPr>
        <w:t>Date: April 11, 2000</w:t>
      </w:r>
      <w:r>
        <w:rPr>
          <w:sz w:val="20"/>
          <w:szCs w:val="20"/>
          <w:color w:val="auto"/>
        </w:rPr>
        <w:tab/>
      </w:r>
      <w:r>
        <w:rPr>
          <w:rFonts w:ascii="Courier New" w:cs="Courier New" w:eastAsia="Courier New" w:hAnsi="Courier New"/>
          <w:sz w:val="16"/>
          <w:szCs w:val="16"/>
          <w:color w:val="auto"/>
        </w:rPr>
        <w:t>/s/ Thomas G. O'Brien</w:t>
      </w:r>
    </w:p>
    <w:p>
      <w:pPr>
        <w:spacing w:after="0" w:line="29"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t>
      </w:r>
    </w:p>
    <w:p>
      <w:pPr>
        <w:ind w:left="5280"/>
        <w:spacing w:after="0" w:line="238" w:lineRule="auto"/>
        <w:rPr>
          <w:sz w:val="20"/>
          <w:szCs w:val="20"/>
          <w:color w:val="auto"/>
        </w:rPr>
      </w:pPr>
      <w:r>
        <w:rPr>
          <w:rFonts w:ascii="Courier New" w:cs="Courier New" w:eastAsia="Courier New" w:hAnsi="Courier New"/>
          <w:sz w:val="18"/>
          <w:szCs w:val="18"/>
          <w:color w:val="auto"/>
        </w:rPr>
        <w:t>Thomas G. O'Brien</w:t>
      </w:r>
    </w:p>
    <w:p>
      <w:pPr>
        <w:ind w:left="5280"/>
        <w:spacing w:after="0"/>
        <w:rPr>
          <w:sz w:val="20"/>
          <w:szCs w:val="20"/>
          <w:color w:val="auto"/>
        </w:rPr>
      </w:pPr>
      <w:r>
        <w:rPr>
          <w:rFonts w:ascii="Courier New" w:cs="Courier New" w:eastAsia="Courier New" w:hAnsi="Courier New"/>
          <w:sz w:val="18"/>
          <w:szCs w:val="18"/>
          <w:color w:val="auto"/>
        </w:rPr>
        <w:t>Treasurer and Secretary</w:t>
      </w:r>
    </w:p>
    <w:p>
      <w:pPr>
        <w:ind w:left="5280"/>
        <w:spacing w:after="0"/>
        <w:rPr>
          <w:sz w:val="20"/>
          <w:szCs w:val="20"/>
          <w:color w:val="auto"/>
        </w:rPr>
      </w:pPr>
      <w:r>
        <w:rPr>
          <w:rFonts w:ascii="Courier New" w:cs="Courier New" w:eastAsia="Courier New" w:hAnsi="Courier New"/>
          <w:sz w:val="16"/>
          <w:szCs w:val="16"/>
          <w:color w:val="auto"/>
        </w:rPr>
        <w:t>Authorized U.S. Representative</w:t>
      </w:r>
    </w:p>
    <w:p>
      <w:pPr>
        <w:sectPr>
          <w:pgSz w:w="11900" w:h="16838" w:orient="portrait"/>
          <w:cols w:equalWidth="0" w:num="1">
            <w:col w:w="10219"/>
          </w:cols>
          <w:pgMar w:left="240" w:top="893"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1320" w:type="dxa"/>
            <w:vAlign w:val="bottom"/>
          </w:tcPr>
          <w:p>
            <w:pPr>
              <w:spacing w:after="0"/>
              <w:rPr>
                <w:sz w:val="24"/>
                <w:szCs w:val="24"/>
                <w:color w:val="auto"/>
              </w:rPr>
            </w:pPr>
          </w:p>
        </w:tc>
        <w:tc>
          <w:tcPr>
            <w:tcW w:w="4800" w:type="dxa"/>
            <w:vAlign w:val="bottom"/>
          </w:tcPr>
          <w:p>
            <w:pPr>
              <w:ind w:left="2260"/>
              <w:spacing w:after="0"/>
              <w:rPr>
                <w:sz w:val="20"/>
                <w:szCs w:val="20"/>
                <w:color w:val="auto"/>
              </w:rPr>
            </w:pPr>
            <w:r>
              <w:rPr>
                <w:rFonts w:ascii="Courier New" w:cs="Courier New" w:eastAsia="Courier New" w:hAnsi="Courier New"/>
                <w:sz w:val="18"/>
                <w:szCs w:val="18"/>
                <w:color w:val="auto"/>
              </w:rPr>
              <w:t>EXHIBIT INDEX</w:t>
            </w:r>
          </w:p>
        </w:tc>
        <w:tc>
          <w:tcPr>
            <w:tcW w:w="0" w:type="dxa"/>
            <w:vAlign w:val="bottom"/>
          </w:tcPr>
          <w:p>
            <w:pPr>
              <w:spacing w:after="0"/>
              <w:rPr>
                <w:sz w:val="1"/>
                <w:szCs w:val="1"/>
                <w:color w:val="auto"/>
              </w:rPr>
            </w:pPr>
          </w:p>
        </w:tc>
      </w:tr>
      <w:tr>
        <w:trPr>
          <w:trHeight w:val="514"/>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8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96"/>
        </w:trPr>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NO.</w:t>
            </w:r>
          </w:p>
        </w:tc>
        <w:tc>
          <w:tcPr>
            <w:tcW w:w="4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4800" w:type="dxa"/>
            <w:vAlign w:val="bottom"/>
          </w:tcPr>
          <w:p>
            <w:pPr>
              <w:ind w:left="580"/>
              <w:spacing w:after="0"/>
              <w:rPr>
                <w:sz w:val="20"/>
                <w:szCs w:val="20"/>
                <w:color w:val="auto"/>
              </w:rPr>
            </w:pPr>
            <w:r>
              <w:rPr>
                <w:rFonts w:ascii="Courier New" w:cs="Courier New" w:eastAsia="Courier New" w:hAnsi="Courier New"/>
                <w:sz w:val="18"/>
                <w:szCs w:val="18"/>
                <w:color w:val="auto"/>
                <w:w w:val="97"/>
              </w:rPr>
              <w:t>Amdocs Press Release dated April 6, 2000</w:t>
            </w:r>
          </w:p>
        </w:tc>
        <w:tc>
          <w:tcPr>
            <w:tcW w:w="0" w:type="dxa"/>
            <w:vAlign w:val="bottom"/>
          </w:tcPr>
          <w:p>
            <w:pPr>
              <w:spacing w:after="0"/>
              <w:rPr>
                <w:sz w:val="1"/>
                <w:szCs w:val="1"/>
                <w:color w:val="auto"/>
              </w:rPr>
            </w:pPr>
          </w:p>
        </w:tc>
      </w:tr>
    </w:tbl>
    <w:p>
      <w:pPr>
        <w:sectPr>
          <w:pgSz w:w="11900" w:h="16838" w:orient="portrait"/>
          <w:cols w:equalWidth="0" w:num="1">
            <w:col w:w="10219"/>
          </w:cols>
          <w:pgMar w:left="240" w:top="893" w:right="1440" w:bottom="1440" w:gutter="0" w:footer="0" w:header="0"/>
        </w:sectPr>
      </w:pPr>
    </w:p>
    <w:bookmarkStart w:id="4" w:name="page5"/>
    <w:bookmarkEnd w:id="4"/>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 Completes Acquisition of Solect</w:t>
      </w:r>
    </w:p>
    <w:p>
      <w:pPr>
        <w:spacing w:after="0" w:line="169"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Combination Creates Unmatched Business Systems Solution for Communications and Internet Services</w:t>
      </w:r>
    </w:p>
    <w:p>
      <w:pPr>
        <w:spacing w:after="0" w:line="18"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ST. LOUIS, Miss.--(BUSINESS WIRE)--April 6, 2000--Amdocs Limited (NYSE:DOX - news), the leader in customer care, billing and order management solutions for the communications industry, today announced the completion of its previously announced acquisition of Solect Technology Group Inc., a leading provider of IP customer care and billing software.</w:t>
      </w:r>
    </w:p>
    <w:p>
      <w:pPr>
        <w:spacing w:after="0" w:line="90" w:lineRule="exact"/>
        <w:rPr>
          <w:sz w:val="20"/>
          <w:szCs w:val="20"/>
          <w:color w:val="auto"/>
        </w:rPr>
      </w:pPr>
    </w:p>
    <w:p>
      <w:pPr>
        <w:jc w:val="both"/>
        <w:ind w:right="1779"/>
        <w:spacing w:after="0" w:line="293" w:lineRule="auto"/>
        <w:rPr>
          <w:sz w:val="20"/>
          <w:szCs w:val="20"/>
          <w:color w:val="auto"/>
        </w:rPr>
      </w:pPr>
      <w:r>
        <w:rPr>
          <w:rFonts w:ascii="Courier New" w:cs="Courier New" w:eastAsia="Courier New" w:hAnsi="Courier New"/>
          <w:sz w:val="16"/>
          <w:szCs w:val="16"/>
          <w:color w:val="auto"/>
        </w:rPr>
        <w:t>Avi Naor, CEO of Amdocs Management Limited, commented, "This merger establishes the industry's most complete business systems solution for communications and Internet service providers. Amdocs' expanded solution covers all wireline, wireless, IP and convergence services, provides full scalability, and includes comprehensive project delivery and service capabilities. The uniqueness of this offering is generating tremendous interest in the market, and has already resulted in important new customer wins."</w:t>
      </w:r>
    </w:p>
    <w:p>
      <w:pPr>
        <w:spacing w:after="0" w:line="72" w:lineRule="exact"/>
        <w:rPr>
          <w:sz w:val="20"/>
          <w:szCs w:val="20"/>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Naor added, "The integration of Amdocs and Solect is progressing smoothly. Solect's employees have outstanding knowledge of IP systems, and this is already having a significant impact as we plan together to meet our future business goals. Teams from both companies are working very closely and positively together. There is an excellent fit in corporate cultures, which we see reflected in the enthusiasm of Solect employees as they respond to the new professional challenges and opportunities for growth that are continually emerging when working for a highly successful market leader like Amdocs."</w:t>
      </w:r>
    </w:p>
    <w:p>
      <w:pPr>
        <w:spacing w:after="0" w:line="104"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As a result of the merger, which was approved by Solect's shareholders at a special meeting, Solect has become a subsidiary of Amdocs. The holders of Solect's common shares have received a new class of exchangeable shares of Solect that are exchangeable at any time, share for share, for ordinary common shares of Amdocs. Certain shareholders representing over 80% of Solect's outstanding share capital have agreed not to sell portions of their shares in Amdocs for periods ranging three months to one year after closing.</w:t>
      </w:r>
    </w:p>
    <w:p>
      <w:pPr>
        <w:spacing w:after="0" w:line="98"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Solect's IAF Horizon is the world's leading carrier-grade billing, customer care and service management software for next generation service providers including wireless and ASPs. Solect has over 60 installations globally for ISP, ASP and broadband players.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1" w:lineRule="exact"/>
        <w:rPr>
          <w:sz w:val="20"/>
          <w:szCs w:val="20"/>
          <w:color w:val="auto"/>
        </w:rPr>
      </w:pPr>
    </w:p>
    <w:p>
      <w:pPr>
        <w:jc w:val="both"/>
        <w:ind w:right="1779"/>
        <w:spacing w:after="0" w:line="293" w:lineRule="auto"/>
        <w:rPr>
          <w:sz w:val="20"/>
          <w:szCs w:val="20"/>
          <w:color w:val="auto"/>
        </w:rPr>
      </w:pPr>
      <w:r>
        <w:rPr>
          <w:rFonts w:ascii="Courier New" w:cs="Courier New" w:eastAsia="Courier New" w:hAnsi="Courier New"/>
          <w:sz w:val="16"/>
          <w:szCs w:val="16"/>
          <w:color w:val="auto"/>
        </w:rPr>
        <w:t>Amdocs is a leading provider of customer care, billing and order management solutions for communications and Internet services. Amdocs has an unparalleled success record in project delivery of its mission-critical products. Human resources of more than 5,600 information systems professionals are exclusively dedicated to the communications industry. Amdocs has an installed base of more than 300 successful projects in more than 75 major communications companies throughout the world. For more information visit our Web site at www.amdocs.com.</w:t>
      </w:r>
    </w:p>
    <w:p>
      <w:pPr>
        <w:spacing w:after="0" w:line="72"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This news release may contain certain forward-looking statements relating to the future performance of Amdocs Ltd. and ITDS. The forward-looking information is within the meaning of Section 27A of the Securities Act of 1933 and Section 21E of the Securities Act of 1934, and subject to certain risks and uncertainties, and actual results may differ materially. These risks and uncertainties are described in greater detail in Amdocs' filings with the Securities and Exchange Commission.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Amdocs Limited</w:t>
      </w:r>
    </w:p>
    <w:p>
      <w:pPr>
        <w:spacing w:after="0" w:line="2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Thomas G. O'Brien, 314/212-8328</w:t>
      </w:r>
    </w:p>
    <w:p>
      <w:pPr>
        <w:ind w:left="540"/>
        <w:spacing w:after="0" w:line="238" w:lineRule="auto"/>
        <w:rPr>
          <w:sz w:val="20"/>
          <w:szCs w:val="20"/>
          <w:color w:val="auto"/>
        </w:rPr>
      </w:pPr>
      <w:r>
        <w:rPr>
          <w:rFonts w:ascii="Courier New" w:cs="Courier New" w:eastAsia="Courier New" w:hAnsi="Courier New"/>
          <w:sz w:val="18"/>
          <w:szCs w:val="18"/>
          <w:color w:val="auto"/>
        </w:rPr>
        <w:t>info@amdocs.com</w:t>
      </w:r>
    </w:p>
    <w:p>
      <w:pPr>
        <w:ind w:left="960"/>
        <w:spacing w:after="0"/>
        <w:rPr>
          <w:sz w:val="20"/>
          <w:szCs w:val="20"/>
          <w:color w:val="auto"/>
        </w:rPr>
      </w:pPr>
      <w:r>
        <w:rPr>
          <w:rFonts w:ascii="Courier New" w:cs="Courier New" w:eastAsia="Courier New" w:hAnsi="Courier New"/>
          <w:sz w:val="18"/>
          <w:szCs w:val="18"/>
          <w:color w:val="auto"/>
        </w:rPr>
        <w:t>or</w:t>
      </w:r>
    </w:p>
    <w:p>
      <w:pPr>
        <w:ind w:left="540"/>
        <w:spacing w:after="0" w:line="238" w:lineRule="auto"/>
        <w:rPr>
          <w:sz w:val="20"/>
          <w:szCs w:val="20"/>
          <w:color w:val="auto"/>
        </w:rPr>
      </w:pPr>
      <w:r>
        <w:rPr>
          <w:rFonts w:ascii="Courier New" w:cs="Courier New" w:eastAsia="Courier New" w:hAnsi="Courier New"/>
          <w:sz w:val="18"/>
          <w:szCs w:val="18"/>
          <w:color w:val="auto"/>
        </w:rPr>
        <w:t>Porter Novelli</w:t>
      </w:r>
    </w:p>
    <w:p>
      <w:pPr>
        <w:ind w:left="540"/>
        <w:spacing w:after="0"/>
        <w:rPr>
          <w:sz w:val="20"/>
          <w:szCs w:val="20"/>
          <w:color w:val="auto"/>
        </w:rPr>
      </w:pPr>
      <w:r>
        <w:rPr>
          <w:rFonts w:ascii="Courier New" w:cs="Courier New" w:eastAsia="Courier New" w:hAnsi="Courier New"/>
          <w:sz w:val="18"/>
          <w:szCs w:val="18"/>
          <w:color w:val="auto"/>
        </w:rPr>
        <w:t>Dan Ginsburg, 212/601-8020</w:t>
      </w:r>
    </w:p>
    <w:p>
      <w:pPr>
        <w:ind w:left="540"/>
        <w:spacing w:after="0" w:line="238" w:lineRule="auto"/>
        <w:rPr>
          <w:sz w:val="20"/>
          <w:szCs w:val="20"/>
          <w:color w:val="auto"/>
        </w:rPr>
      </w:pPr>
      <w:r>
        <w:rPr>
          <w:rFonts w:ascii="Courier New" w:cs="Courier New" w:eastAsia="Courier New" w:hAnsi="Courier New"/>
          <w:sz w:val="18"/>
          <w:szCs w:val="18"/>
          <w:color w:val="auto"/>
        </w:rPr>
        <w:t>212/601-8101 (fax)</w:t>
      </w:r>
    </w:p>
    <w:p>
      <w:pPr>
        <w:ind w:left="540"/>
        <w:spacing w:after="0"/>
        <w:rPr>
          <w:sz w:val="20"/>
          <w:szCs w:val="20"/>
          <w:color w:val="auto"/>
        </w:rPr>
      </w:pPr>
      <w:r>
        <w:rPr>
          <w:rFonts w:ascii="Courier New" w:cs="Courier New" w:eastAsia="Courier New" w:hAnsi="Courier New"/>
          <w:sz w:val="18"/>
          <w:szCs w:val="18"/>
          <w:color w:val="auto"/>
        </w:rPr>
        <w:t>dginsburg@porternovelli.com</w:t>
      </w:r>
    </w:p>
    <w:sectPr>
      <w:pgSz w:w="11900" w:h="16838" w:orient="portrait"/>
      <w:cols w:equalWidth="0" w:num="1">
        <w:col w:w="10219"/>
      </w:cols>
      <w:pgMar w:left="24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2019-12-14T20:57:37Z</dcterms:created>
  <dcterms:modified xsi:type="dcterms:W3CDTF">2019-12-14T20:57:37Z</dcterms:modified>
</cp:coreProperties>
</file>