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175895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37" w:lineRule="exact"/>
        <w:rPr>
          <w:sz w:val="24"/>
          <w:szCs w:val="24"/>
          <w:color w:val="auto"/>
        </w:rPr>
      </w:pPr>
    </w:p>
    <w:p>
      <w:pPr>
        <w:ind w:left="5580" w:right="1400" w:hanging="5572"/>
        <w:spacing w:after="0" w:line="282"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7" w:lineRule="exact"/>
        <w:rPr>
          <w:sz w:val="24"/>
          <w:szCs w:val="24"/>
          <w:color w:val="auto"/>
        </w:rPr>
      </w:pPr>
    </w:p>
    <w:p>
      <w:pPr>
        <w:ind w:left="4040" w:right="2400" w:hanging="4032"/>
        <w:spacing w:after="0" w:line="29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2014</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580" w:right="2040" w:hanging="5572"/>
        <w:spacing w:after="0" w:line="289" w:lineRule="auto"/>
        <w:tabs>
          <w:tab w:leader="none" w:pos="451"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13"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Date of event requiring this shell company report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560" w:type="dxa"/>
            <w:vAlign w:val="bottom"/>
          </w:tcPr>
          <w:p>
            <w:pPr>
              <w:ind w:left="3260"/>
              <w:spacing w:after="0" w:line="190" w:lineRule="exact"/>
              <w:rPr>
                <w:sz w:val="20"/>
                <w:szCs w:val="20"/>
                <w:color w:val="auto"/>
              </w:rPr>
            </w:pPr>
            <w:r>
              <w:rPr>
                <w:rFonts w:ascii="Arial" w:cs="Arial" w:eastAsia="Arial" w:hAnsi="Arial"/>
                <w:sz w:val="18"/>
                <w:szCs w:val="18"/>
                <w:b w:val="1"/>
                <w:bCs w:val="1"/>
                <w:color w:val="auto"/>
                <w:w w:val="90"/>
              </w:rPr>
              <w:t>For the transition period from</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0" w:lineRule="exact"/>
              <w:rPr>
                <w:sz w:val="20"/>
                <w:szCs w:val="20"/>
                <w:color w:val="auto"/>
              </w:rPr>
            </w:pPr>
            <w:r>
              <w:rPr>
                <w:rFonts w:ascii="Arial" w:cs="Arial" w:eastAsia="Arial" w:hAnsi="Arial"/>
                <w:sz w:val="18"/>
                <w:szCs w:val="18"/>
                <w:b w:val="1"/>
                <w:bCs w:val="1"/>
                <w:color w:val="auto"/>
                <w:w w:val="93"/>
              </w:rPr>
              <w:t>to</w:t>
            </w:r>
          </w:p>
        </w:tc>
        <w:tc>
          <w:tcPr>
            <w:tcW w:w="680" w:type="dxa"/>
            <w:vAlign w:val="bottom"/>
            <w:tcBorders>
              <w:bottom w:val="single" w:sz="8" w:color="auto"/>
            </w:tcBorders>
          </w:tcPr>
          <w:p>
            <w:pPr>
              <w:spacing w:after="0"/>
              <w:rPr>
                <w:sz w:val="16"/>
                <w:szCs w:val="16"/>
                <w:color w:val="auto"/>
              </w:rPr>
            </w:pPr>
          </w:p>
        </w:tc>
        <w:tc>
          <w:tcPr>
            <w:tcW w:w="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78"/>
              </w:rPr>
              <w:t>.</w:t>
            </w:r>
          </w:p>
        </w:tc>
      </w:tr>
      <w:tr>
        <w:trPr>
          <w:trHeight w:val="196"/>
        </w:trPr>
        <w:tc>
          <w:tcPr>
            <w:tcW w:w="6520" w:type="dxa"/>
            <w:vAlign w:val="bottom"/>
            <w:gridSpan w:val="4"/>
          </w:tcPr>
          <w:p>
            <w:pPr>
              <w:ind w:left="3980"/>
              <w:spacing w:after="0" w:line="196" w:lineRule="exact"/>
              <w:rPr>
                <w:sz w:val="20"/>
                <w:szCs w:val="20"/>
                <w:color w:val="auto"/>
              </w:rPr>
            </w:pPr>
            <w:r>
              <w:rPr>
                <w:rFonts w:ascii="Arial" w:cs="Arial" w:eastAsia="Arial" w:hAnsi="Arial"/>
                <w:sz w:val="18"/>
                <w:szCs w:val="18"/>
                <w:b w:val="1"/>
                <w:bCs w:val="1"/>
                <w:color w:val="auto"/>
                <w:w w:val="86"/>
              </w:rPr>
              <w:t>Commission File Number 1-14840</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197485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AMDOCS LIMITED</w:t>
      </w:r>
    </w:p>
    <w:p>
      <w:pPr>
        <w:spacing w:after="0" w:line="49"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4"/>
          <w:szCs w:val="14"/>
          <w:b w:val="1"/>
          <w:bCs w:val="1"/>
          <w:u w:val="single" w:color="auto"/>
          <w:color w:val="auto"/>
        </w:rPr>
        <w:t>Island of Guernsey</w:t>
      </w:r>
    </w:p>
    <w:p>
      <w:pPr>
        <w:jc w:val="center"/>
        <w:ind w:right="-19"/>
        <w:spacing w:after="0" w:line="223"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St. Peter Port, Island of Guernsey, GY1 2NG</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Elizabeth W. McDermon</w:t>
      </w:r>
    </w:p>
    <w:p>
      <w:pPr>
        <w:jc w:val="center"/>
        <w:ind w:right="-19"/>
        <w:spacing w:after="0" w:line="223"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2"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gridSpan w:val="2"/>
          </w:tcPr>
          <w:p>
            <w:pPr>
              <w:jc w:val="right"/>
              <w:ind w:right="4092"/>
              <w:spacing w:after="0"/>
              <w:rPr>
                <w:sz w:val="20"/>
                <w:szCs w:val="20"/>
                <w:color w:val="auto"/>
              </w:rPr>
            </w:pPr>
            <w:r>
              <w:rPr>
                <w:rFonts w:ascii="Arial" w:cs="Arial" w:eastAsia="Arial" w:hAnsi="Arial"/>
                <w:sz w:val="14"/>
                <w:szCs w:val="14"/>
                <w:b w:val="1"/>
                <w:bCs w:val="1"/>
                <w:color w:val="auto"/>
                <w:w w:val="85"/>
              </w:rPr>
              <w:t>Title of Each Class</w:t>
            </w: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w w:val="78"/>
              </w:rPr>
              <w:t>Ordinary</w:t>
            </w: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78"/>
              </w:rPr>
              <w:t>Shares, par value</w:t>
            </w:r>
          </w:p>
        </w:tc>
        <w:tc>
          <w:tcPr>
            <w:tcW w:w="4220" w:type="dxa"/>
            <w:vAlign w:val="bottom"/>
          </w:tcPr>
          <w:p>
            <w:pPr>
              <w:jc w:val="right"/>
              <w:ind w:right="3772"/>
              <w:spacing w:after="0" w:line="155" w:lineRule="exact"/>
              <w:rPr>
                <w:sz w:val="20"/>
                <w:szCs w:val="20"/>
                <w:color w:val="auto"/>
              </w:rPr>
            </w:pPr>
            <w:r>
              <w:rPr>
                <w:rFonts w:ascii="Arial" w:cs="Arial" w:eastAsia="Arial" w:hAnsi="Arial"/>
                <w:sz w:val="14"/>
                <w:szCs w:val="14"/>
                <w:color w:val="auto"/>
              </w:rPr>
              <w:t>£0.01</w:t>
            </w:r>
          </w:p>
        </w:tc>
        <w:tc>
          <w:tcPr>
            <w:tcW w:w="216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Nasdaq Global Select Market</w:t>
            </w:r>
          </w:p>
        </w:tc>
        <w:tc>
          <w:tcPr>
            <w:tcW w:w="160" w:type="dxa"/>
            <w:vAlign w:val="bottom"/>
          </w:tcPr>
          <w:p>
            <w:pPr>
              <w:spacing w:after="0"/>
              <w:rPr>
                <w:sz w:val="14"/>
                <w:szCs w:val="14"/>
                <w:color w:val="auto"/>
              </w:rPr>
            </w:pP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120650</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jc w:val="center"/>
        <w:ind w:right="1700"/>
        <w:spacing w:after="0"/>
        <w:rPr>
          <w:sz w:val="20"/>
          <w:szCs w:val="20"/>
          <w:color w:val="auto"/>
        </w:rPr>
      </w:pPr>
      <w:r>
        <w:rPr>
          <w:rFonts w:ascii="Arial" w:cs="Arial" w:eastAsia="Arial" w:hAnsi="Arial"/>
          <w:sz w:val="12"/>
          <w:szCs w:val="12"/>
          <w:color w:val="auto"/>
        </w:rPr>
        <w:t>Ordinary Shares, par value £0.01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220"/>
        <w:spacing w:after="0"/>
        <w:rPr>
          <w:sz w:val="20"/>
          <w:szCs w:val="20"/>
          <w:color w:val="auto"/>
        </w:rPr>
      </w:pPr>
      <w:r>
        <w:rPr>
          <w:rFonts w:ascii="Arial" w:cs="Arial" w:eastAsia="Arial" w:hAnsi="Arial"/>
          <w:sz w:val="14"/>
          <w:szCs w:val="14"/>
          <w:color w:val="auto"/>
        </w:rPr>
        <w:t>156,704,355(1)</w:t>
      </w:r>
    </w:p>
    <w:p>
      <w:pPr>
        <w:jc w:val="center"/>
        <w:ind w:right="2220"/>
        <w:spacing w:after="0"/>
        <w:rPr>
          <w:sz w:val="20"/>
          <w:szCs w:val="20"/>
          <w:color w:val="auto"/>
        </w:rPr>
      </w:pPr>
      <w:r>
        <w:rPr>
          <w:rFonts w:ascii="Arial" w:cs="Arial" w:eastAsia="Arial" w:hAnsi="Arial"/>
          <w:sz w:val="12"/>
          <w:szCs w:val="12"/>
          <w:color w:val="auto"/>
        </w:rPr>
        <w:t>(Number of shares)</w:t>
      </w:r>
    </w:p>
    <w:p>
      <w:pPr>
        <w:spacing w:after="0" w:line="23"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85" w:lineRule="exact"/>
        <w:rPr>
          <w:sz w:val="24"/>
          <w:szCs w:val="24"/>
          <w:color w:val="auto"/>
        </w:rPr>
      </w:pPr>
    </w:p>
    <w:p>
      <w:pPr>
        <w:sectPr>
          <w:pgSz w:w="11900" w:h="16838" w:orient="portrait"/>
          <w:cols w:equalWidth="0" w:num="5">
            <w:col w:w="6700" w:space="120"/>
            <w:col w:w="200" w:space="60"/>
            <w:col w:w="120" w:space="140"/>
            <w:col w:w="160" w:space="80"/>
            <w:col w:w="3840"/>
          </w:cols>
          <w:pgMar w:left="240" w:top="230" w:right="239" w:bottom="1440" w:gutter="0" w:footer="0" w:header="0"/>
          <w:type w:val="continuous"/>
        </w:sectPr>
      </w:pPr>
    </w:p>
    <w:p>
      <w:pPr>
        <w:ind w:right="1340" w:firstLine="342"/>
        <w:spacing w:after="0" w:line="16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5" w:lineRule="exact"/>
        <w:rPr>
          <w:sz w:val="24"/>
          <w:szCs w:val="24"/>
          <w:color w:val="auto"/>
        </w:rPr>
      </w:pPr>
    </w:p>
    <w:p>
      <w:pPr>
        <w:spacing w:after="0" w:line="161" w:lineRule="exact"/>
        <w:tabs>
          <w:tab w:leader="none" w:pos="6560" w:val="left"/>
          <w:tab w:leader="none" w:pos="10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230" w:right="239" w:bottom="1440" w:gutter="0" w:footer="0" w:header="0"/>
          <w:type w:val="continuous"/>
        </w:sectPr>
      </w:pPr>
    </w:p>
    <w:p>
      <w:pPr>
        <w:spacing w:after="0" w:line="42" w:lineRule="exact"/>
        <w:rPr>
          <w:sz w:val="24"/>
          <w:szCs w:val="24"/>
          <w:color w:val="auto"/>
        </w:rPr>
      </w:pPr>
    </w:p>
    <w:p>
      <w:pPr>
        <w:ind w:left="920"/>
        <w:spacing w:after="0"/>
        <w:rPr>
          <w:sz w:val="20"/>
          <w:szCs w:val="20"/>
          <w:color w:val="auto"/>
        </w:rPr>
      </w:pPr>
      <w:r>
        <w:rPr>
          <w:rFonts w:ascii="Arial" w:cs="Arial" w:eastAsia="Arial" w:hAnsi="Arial"/>
          <w:sz w:val="12"/>
          <w:szCs w:val="12"/>
          <w:color w:val="auto"/>
        </w:rPr>
        <w:t>U.S. GAAP</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right"/>
        <w:spacing w:after="0" w:line="283" w:lineRule="auto"/>
        <w:rPr>
          <w:sz w:val="20"/>
          <w:szCs w:val="20"/>
          <w:color w:val="auto"/>
        </w:rPr>
      </w:pPr>
      <w:r>
        <w:rPr>
          <w:rFonts w:ascii="Arial" w:cs="Arial" w:eastAsia="Arial" w:hAnsi="Arial"/>
          <w:sz w:val="12"/>
          <w:szCs w:val="12"/>
          <w:color w:val="auto"/>
        </w:rPr>
        <w:t>International Financial Reporting Standards as issued by the International Accounting Standards Board</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color w:val="auto"/>
        </w:rPr>
        <w:t>Other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6">
            <w:col w:w="1560" w:space="80"/>
            <w:col w:w="2080" w:space="720"/>
            <w:col w:w="2880" w:space="60"/>
            <w:col w:w="1900" w:space="720"/>
            <w:col w:w="320" w:space="60"/>
            <w:col w:w="1040"/>
          </w:cols>
          <w:pgMar w:left="240" w:top="230" w:right="239" w:bottom="1440" w:gutter="0" w:footer="0" w:header="0"/>
          <w:type w:val="continuous"/>
        </w:sectPr>
      </w:pPr>
    </w:p>
    <w:p>
      <w:pPr>
        <w:spacing w:after="0" w:line="25"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5">
            <w:col w:w="7900" w:space="120"/>
            <w:col w:w="200" w:space="80"/>
            <w:col w:w="120" w:space="140"/>
            <w:col w:w="160" w:space="60"/>
            <w:col w:w="2640"/>
          </w:cols>
          <w:pgMar w:left="240" w:top="230" w:right="239" w:bottom="1440" w:gutter="0" w:footer="0" w:header="0"/>
          <w:type w:val="continuous"/>
        </w:sectPr>
      </w:pPr>
    </w:p>
    <w:p>
      <w:pPr>
        <w:ind w:left="340" w:right="80" w:hanging="332"/>
        <w:spacing w:after="0" w:line="31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of 108,030,485 shares held in treasury. Does not include (a) 9,623,741 ordinary shares reserved for issuance upon exercise of stock options and vesting of restricted stock units granted under our stock option plan or by companies we have acquired, and (b) 14,434 ordinary shares reserved for issuance upon conversion of outstanding convertible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66040</wp:posOffset>
            </wp:positionV>
            <wp:extent cx="1311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3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20-F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 FOR THE FISCAL YEAR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58420</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Identity of Directors, Senior Management and Advisers</w:t>
              </w:r>
            </w:hyperlink>
          </w:p>
        </w:tc>
        <w:tc>
          <w:tcPr>
            <w:tcW w:w="340" w:type="dxa"/>
            <w:vAlign w:val="bottom"/>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42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Offer Statistics and Expected Timetable</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1460" w:type="dxa"/>
            <w:vAlign w:val="bottom"/>
            <w:gridSpan w:val="6"/>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Information on the Company</w:t>
              </w:r>
            </w:hyperlink>
          </w:p>
        </w:tc>
        <w:tc>
          <w:tcPr>
            <w:tcW w:w="2200" w:type="dxa"/>
            <w:vAlign w:val="bottom"/>
            <w:gridSpan w:val="7"/>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42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Operating and Financial Review and Prospects</w:t>
              </w:r>
            </w:hyperlink>
          </w:p>
        </w:tc>
        <w:tc>
          <w:tcPr>
            <w:tcW w:w="940" w:type="dxa"/>
            <w:vAlign w:val="bottom"/>
            <w:gridSpan w:val="4"/>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Directors, Senior Management and Employees</w:t>
              </w:r>
            </w:hyperlink>
          </w:p>
        </w:tc>
        <w:tc>
          <w:tcPr>
            <w:tcW w:w="960" w:type="dxa"/>
            <w:vAlign w:val="bottom"/>
            <w:gridSpan w:val="5"/>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7.</w:t>
            </w:r>
          </w:p>
        </w:tc>
        <w:tc>
          <w:tcPr>
            <w:tcW w:w="426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Major Shareholders and Related Party Transactions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Financial Information</w:t>
              </w:r>
            </w:hyperlink>
          </w:p>
        </w:tc>
        <w:tc>
          <w:tcPr>
            <w:tcW w:w="2060" w:type="dxa"/>
            <w:vAlign w:val="bottom"/>
            <w:tcBorders>
              <w:top w:val="single" w:sz="8" w:color="0000EE"/>
            </w:tcBorders>
            <w:gridSpan w:val="7"/>
          </w:tcPr>
          <w:p>
            <w:pPr>
              <w:spacing w:after="0"/>
              <w:rPr>
                <w:sz w:val="17"/>
                <w:szCs w:val="17"/>
                <w:color w:val="auto"/>
              </w:rPr>
            </w:pPr>
          </w:p>
        </w:tc>
        <w:tc>
          <w:tcPr>
            <w:tcW w:w="640" w:type="dxa"/>
            <w:vAlign w:val="bottom"/>
            <w:gridSpan w:val="3"/>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426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The Offer and Listing</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1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Additional Information</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11.</w:t>
            </w:r>
          </w:p>
        </w:tc>
        <w:tc>
          <w:tcPr>
            <w:tcW w:w="1640" w:type="dxa"/>
            <w:vAlign w:val="bottom"/>
            <w:gridSpan w:val="4"/>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Quantitative and Qualitative Disclosures About Market Risk</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Description of Securities Other than Equity Securities</w:t>
              </w:r>
            </w:hyperlink>
          </w:p>
        </w:tc>
        <w:tc>
          <w:tcPr>
            <w:tcW w:w="460" w:type="dxa"/>
            <w:vAlign w:val="bottom"/>
            <w:gridSpan w:val="2"/>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40" w:type="dxa"/>
            <w:vAlign w:val="bottom"/>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w:t>
              </w:r>
            </w:hyperlink>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2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Defaults, Dividend Arrearages and Delinquencies</w:t>
              </w:r>
            </w:hyperlink>
          </w:p>
        </w:tc>
        <w:tc>
          <w:tcPr>
            <w:tcW w:w="64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14.</w:t>
            </w: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5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Material Modifications to the Rights of Security Holders and Use of Proceeds</w:t>
              </w:r>
            </w:hyperlink>
          </w:p>
        </w:tc>
        <w:tc>
          <w:tcPr>
            <w:tcW w:w="22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Controls and Procedures</w:t>
              </w:r>
            </w:hyperlink>
          </w:p>
        </w:tc>
        <w:tc>
          <w:tcPr>
            <w:tcW w:w="6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7760" w:type="dxa"/>
            <w:vAlign w:val="bottom"/>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Audit Committee Financial Expert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3"/>
          </w:tcPr>
          <w:p>
            <w:pPr>
              <w:spacing w:after="0"/>
              <w:rPr>
                <w:sz w:val="17"/>
                <w:szCs w:val="17"/>
                <w:color w:val="auto"/>
              </w:rPr>
            </w:pPr>
          </w:p>
        </w:tc>
        <w:tc>
          <w:tcPr>
            <w:tcW w:w="532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Principal Accountant Fees and Services</w:t>
              </w:r>
            </w:hyperlink>
          </w:p>
        </w:tc>
        <w:tc>
          <w:tcPr>
            <w:tcW w:w="496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Exemptions from the Listing Standards for Audit Committees</w:t>
              </w:r>
            </w:hyperlink>
          </w:p>
        </w:tc>
        <w:tc>
          <w:tcPr>
            <w:tcW w:w="340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Purchases of Equity Securities by the Issuer and Affiliated Purchasers</w:t>
              </w:r>
            </w:hyperlink>
          </w:p>
        </w:tc>
        <w:tc>
          <w:tcPr>
            <w:tcW w:w="28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7760" w:type="dxa"/>
            <w:vAlign w:val="bottom"/>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Change in Registrant’s Certifying Accountant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3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Corporate Governance</w:t>
              </w:r>
            </w:hyperlink>
          </w:p>
        </w:tc>
        <w:tc>
          <w:tcPr>
            <w:tcW w:w="454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16H.</w:t>
            </w:r>
          </w:p>
        </w:tc>
        <w:tc>
          <w:tcPr>
            <w:tcW w:w="1600" w:type="dxa"/>
            <w:vAlign w:val="bottom"/>
            <w:gridSpan w:val="2"/>
            <w:shd w:val="clear" w:color="auto" w:fill="0000EE"/>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776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 w:type="dxa"/>
            <w:vAlign w:val="bottom"/>
            <w:tcBorders>
              <w:bottom w:val="single" w:sz="8" w:color="0000EE"/>
            </w:tcBorders>
          </w:tcPr>
          <w:p>
            <w:pPr>
              <w:jc w:val="right"/>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III</w:t>
              </w:r>
            </w:hyperlink>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Financial Statements</w:t>
              </w:r>
            </w:hyperlink>
          </w:p>
        </w:tc>
        <w:tc>
          <w:tcPr>
            <w:tcW w:w="2700" w:type="dxa"/>
            <w:vAlign w:val="bottom"/>
            <w:gridSpan w:val="2"/>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Financial Statements</w:t>
              </w:r>
            </w:hyperlink>
          </w:p>
        </w:tc>
        <w:tc>
          <w:tcPr>
            <w:tcW w:w="2720" w:type="dxa"/>
            <w:vAlign w:val="bottom"/>
            <w:gridSpan w:val="3"/>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3600" w:type="dxa"/>
            <w:vAlign w:val="bottom"/>
            <w:gridSpan w:val="4"/>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320" w:type="dxa"/>
            <w:vAlign w:val="bottom"/>
            <w:gridSpan w:val="6"/>
          </w:tcPr>
          <w:p>
            <w:pPr>
              <w:spacing w:after="0" w:line="19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Index to Consolidated Financial Statements</w:t>
              </w:r>
            </w:hyperlink>
          </w:p>
        </w:tc>
        <w:tc>
          <w:tcPr>
            <w:tcW w:w="700" w:type="dxa"/>
            <w:vAlign w:val="bottom"/>
          </w:tcPr>
          <w:p>
            <w:pPr>
              <w:spacing w:after="0"/>
              <w:rPr>
                <w:sz w:val="17"/>
                <w:szCs w:val="17"/>
                <w:color w:val="auto"/>
              </w:rPr>
            </w:pPr>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1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2014 as “fiscal 2014.”</w:t>
      </w:r>
    </w:p>
    <w:p>
      <w:pPr>
        <w:spacing w:after="0" w:line="6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 and CES™ among others.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2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2014 is derived from our consolidated financial statements, which have been audited by Ernst &amp; Young LLP, our independent registered public accounting firm. You should read the information presented below in conjunction with those statements.</w:t>
      </w:r>
    </w:p>
    <w:p>
      <w:pPr>
        <w:spacing w:after="0" w:line="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$ 3,563,637</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$ 3,345,854</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$ 3,246,903</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$ 3,177,728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$ 2,984,223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495,648</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481,552</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442,472</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404,364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410,433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422,122</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412,439</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391,371</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346,665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343,906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2.56</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2.33</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2.53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2.31</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1.86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0.595</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0.520</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0.130</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1"/>
        </w:trPr>
        <w:tc>
          <w:tcPr>
            <w:tcW w:w="51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4"/>
              </w:rPr>
              <w:t>Cash, cash equivalents and short-term interest-bearing investments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$ 1,424,465</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$ 1,326,380</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$ 1,118,177</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$ 1,173,470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$ 1,433,299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5,185,277</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4,925,813</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4,645,223</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4,636,572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4,820,604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obligations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1,020</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3,395,836</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3,274,783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3,033,202</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3,023,301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3,229,380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fourth quarter of fiscal 2012, we instituted a discretionary quarterly cash dividend program in the amount of $0.13 per share, with the first payment in the first quarter of fiscal 2013. On January 30, 2014, our shareholders approved an increase in the rate of the quarterly cash dividend from $0.13 per share to $0.155 per share. In November 2014, our Board of Directors approved a $0.155 per share quarterly cash dividend to be paid on January 16, 2015, and further approved, subject to shareholder approval at the January 2015 annual general meeting of shareholders, an increase in the rate of the quarterly cash dividend to $0.17 per share, with the first payment anticipated to be paid in April 2015.</w:t>
      </w:r>
    </w:p>
    <w:p>
      <w:pPr>
        <w:spacing w:after="0" w:line="2" w:lineRule="exact"/>
        <w:rPr>
          <w:rFonts w:ascii="Arial" w:cs="Arial" w:eastAsia="Arial" w:hAnsi="Arial"/>
          <w:sz w:val="16"/>
          <w:szCs w:val="16"/>
          <w:color w:val="auto"/>
        </w:rPr>
      </w:pPr>
    </w:p>
    <w:p>
      <w:pPr>
        <w:ind w:left="460" w:right="82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fiscal 2014, we purchased for cash $0.4 million aggregate principal amount of our convertible notes due 2024 tendered by holders. As of September 30, 2014, $0.6 million principal amount of the notes remained outstanding.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58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Ordinary Shares</w:t>
            </w:r>
          </w:p>
        </w:tc>
        <w:tc>
          <w:tcPr>
            <w:tcW w:w="44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Additional</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Paid-In</w:t>
            </w:r>
          </w:p>
        </w:tc>
        <w:tc>
          <w:tcPr>
            <w:tcW w:w="420" w:type="dxa"/>
            <w:vAlign w:val="bottom"/>
          </w:tcPr>
          <w:p>
            <w:pPr>
              <w:spacing w:after="0"/>
              <w:rPr>
                <w:sz w:val="8"/>
                <w:szCs w:val="8"/>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as of September 30, 2010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193,049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$2,402,163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$(1,309,161)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(21,866)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36,631</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174,692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2,495,211</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(1,933,402)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86,610</w:t>
            </w:r>
          </w:p>
        </w:tc>
        <w:tc>
          <w:tcPr>
            <w:tcW w:w="4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465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as of September 30, 2012</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3"/>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162,454</w:t>
            </w: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4,077</w:t>
            </w: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2,625,250</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213,308</w:t>
            </w:r>
          </w:p>
        </w:tc>
        <w:tc>
          <w:tcPr>
            <w:tcW w:w="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(10,370)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40,340</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160,062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2,878,898</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(2,785,071)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128,063</w:t>
            </w:r>
          </w:p>
        </w:tc>
        <w:tc>
          <w:tcPr>
            <w:tcW w:w="4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Tax benefit from equity-based awards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3,241</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44,578</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156,704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3,054,780</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(3,157,085)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On November 6, 2012, our Board of Directors adopted a share repurchase plan authorizing the repurchase of up to $500.0 million of our outstanding ordinary shares and on April 30, 2014, adopted another share repurchase plan authorizing the repurchase of up to $750.0 million of our outstanding ordinary shares. These authorizations have no expiration date and permit us to purchase our ordinary shares in open market or privately negotiated transactions at times and prices that we consider appropriate. In August 2014, we completed the repurchase of the remaining authorized amount under the November 2012 plan and began executing repurchases under the April 2014 plan. In fiscal 2014, we repurchased 8.4 million ordinary shares at an average price of $44.14 per share (excluding broker and transaction fees). As of September 30, 2014, we had remaining authority to repurchase up to $714.0 million of our outstanding ordinary shares under the April 2014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general global economic and market conditions, particularly those impacting the communications industry.</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Industry consolidation involving our customers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economic recovery in recent years may have adverse consequences for our customers and our business.</w:t>
      </w:r>
    </w:p>
    <w:p>
      <w:pPr>
        <w:spacing w:after="0" w:line="3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discretionary spending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18"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If we do not continually enhance our products and service offerings and introduce new products and features, we may have difficulty retaining existing customers and attracting new customers.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services and to introduce new products, services and features to meet the requirements of our customers in a rapidly developing and evolving market. We devote significant resources to refining and expanding our base software modules and to developing our customer experience solutions. Our present or future products and services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16"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33% of our revenue in fiscal 2014 and 28% in fiscal 2013. Aggregate revenue derived from the multiple business arrangements we have with the ten largest of our significant customers accounted for approximately 73% of our revenue in fiscal 2014 and 70% in fiscal 2013. The loss of any significant customer, a significant decrease in business from any such customer or a reduction in customer revenue due to adverse changes in the terms of our contractual arrangements or other factors could harm our results of operations and financial condition. Revenue from individual customers may fluctuate from time to time based on the commencement and completion of projects, the timing of which may be affected by market conditions.</w:t>
      </w:r>
    </w:p>
    <w:p>
      <w:pPr>
        <w:spacing w:after="0" w:line="3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13"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solutions.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may seek to acquire companies or technologies that could disrupt our ongoing business, divert the attention of our management and employees and adversely affect our results of operations.</w:t>
      </w:r>
    </w:p>
    <w:p>
      <w:pPr>
        <w:spacing w:after="0" w:line="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the future, we may acquire other companies that we believe will advance our business strategy. We may not be able to identify suitable future acquisition candidates, consummate acquisitions on favorable terms or complete otherwise favorable acquisitions because of antitrust or other regulatory concerns.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cannot assure you that the acquisitions we have completed, or any future acquisitions that we may make, will enhance our products and services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1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While we have never experienced an organized labor dispute, strike or work stoppage, any such dispute in the future could have a negative impact on our business.</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times, we have experienced fluctuations in our quarterly operating results and anticipate that such movements may continue to occur. Fluctuations may result from many factors, including:</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by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penetration of new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16"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1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59"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Restructurings and cost reduction measures that we have implemented, from time to time, have reduced the size of our operations and workforce. Reductions in personnel can result in significant severance, administrative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Acquisitions, organic growth and absorption of significant numbers of customers’ employees in connection with managed services projects have, from time to time, increased our headcount. Our total workforce, which includes employees and consultants, has increased from 17,244 at the end of fiscal 2009 to 22,546 as of September 30, 2014.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cash, cash equivalents and short-term interest-bearing investments totaled $1,214 million, net of short-term debt, as of September 30, 2014. Our policy is to retain sufficient cash balances in order to support our growth. Our short-term investments consist primarily of money market funds, U.S. government treasuries, corporate bonds and U.S. agency securities. Although we believe that we generally adhere to conservative investment guidelines, adverse market conditions have resulted in immaterial impairments during the last three fiscal years of the carrying value of certain of our investment assets. Future adverse market conditions may lead to additional impairments. Realized or unrealized losses in our investments or in our other financial assets may adversely affect our financial condition.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weakened markets.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typically sell our software and related services as part of long-term projects. During the life of a project, a customer’s budgeting constraints can impact the scope of a project and the customer’s ability to make required payments. In addition, adverse general business conditions may degrade the creditworthiness of our customers over time, and we can be adversely affected by bankruptcies or other business failures.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legal and economic conditions worldwide.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affected by risks associated with conducting business internationally. We maintain development facilities in Brazil, Canada, Cyprus, India, Ireland, Israel, the United Kingdom and the United States, and have operations in North America, Europe, Israel, Latin America and the Asia-Pacific region. Although a substantial majority of our revenue is derived from customers in North America and Europe, we obtain significant revenue from customers in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39"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collecting accounts receivable and withholding taxes that limit the repatriation of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and privacy regulations,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threats of terrorism,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or more of these factors could have a material adverse effect on our operations, which could harm our results of operations and financial condition.</w:t>
      </w:r>
    </w:p>
    <w:p>
      <w:pPr>
        <w:spacing w:after="0" w:line="194"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we continue to expand our business internationally, including in emerging markets such as those in Latin America,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dollars, each of which could have a material adverse effect on our results of operations and financial condition.</w:t>
      </w:r>
    </w:p>
    <w:p>
      <w:pPr>
        <w:spacing w:after="0" w:line="3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w:t>
      </w:r>
    </w:p>
    <w:p>
      <w:pPr>
        <w:spacing w:after="0" w:line="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imposition of exchange or price controls, devaluation policies, restrictions on withdrawal of foreign exchange, or other restrictions on the conversion of foreign currencies could also have a material adverse effect on our business, results of operations and financial condition.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21%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Implementation of these plans could disrupt our operations and cause us to incur significant additional expenditures, which could adversely affect our business and results of operations.</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Conflicts in North Africa and the Middle East, including in Egypt and Syria which border Israel, have resulted in continued political uncertainty and violence in the region. Reports of Iran’s continuing nuclear development program have seriously strained relations between Israel and Iran. In addition, efforts to improve Israel’s relationship with the Palestinian Authority have failed to result in a permanent solution, and there have been numerous periods of hostility in recent years involving, in particular, Gaza. Further deterioration of relations with the Palestinian Authority or other countries in the Middle East might require increased military reserve service by some of our workforce, which may have a material adverse effect on our business.</w:t>
      </w:r>
    </w:p>
    <w:p>
      <w:pPr>
        <w:spacing w:after="0" w:line="3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38%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3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spacing w:after="0" w:line="147"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System disruptions and failures or security and privacy breaches may result in customer dissatisfaction, customer loss or both, which could materially and adversely affect our reputation and business.</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to serve our customers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attacks, break-ins and similar disruptions from unauthorized tampering. Although we maintain insurance that we believe is appropriate for our business and industry, such coverage may not be sufficient to compensate for any significant losses that may occur as a result of any of these events.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cyber-attack or other security incident were to result in unauthorized access to or modification of our customers’ data or our own data or our IT systems or in disruption of the services we provide to our customers, or if our products or services are perceived as having security vulnerabilities, we could suffer significant damage to our business and reputation.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types of security incidents could also lead to lawsuits, regulatory investigations and claims and increased legal liability.</w:t>
      </w:r>
    </w:p>
    <w:p>
      <w:pPr>
        <w:spacing w:after="0" w:line="120" w:lineRule="exact"/>
        <w:rPr>
          <w:sz w:val="20"/>
          <w:szCs w:val="20"/>
          <w:color w:val="auto"/>
        </w:rPr>
      </w:pPr>
    </w:p>
    <w:p>
      <w:pPr>
        <w:ind w:left="240" w:right="720"/>
        <w:spacing w:after="0" w:line="357" w:lineRule="auto"/>
        <w:rPr>
          <w:sz w:val="20"/>
          <w:szCs w:val="20"/>
          <w:color w:val="auto"/>
        </w:rPr>
      </w:pPr>
      <w:r>
        <w:rPr>
          <w:rFonts w:ascii="Arial" w:cs="Arial" w:eastAsia="Arial" w:hAnsi="Arial"/>
          <w:sz w:val="15"/>
          <w:szCs w:val="15"/>
          <w:b w:val="1"/>
          <w:bCs w:val="1"/>
          <w:i w:val="1"/>
          <w:iCs w:val="1"/>
          <w:color w:val="auto"/>
        </w:rPr>
        <w:t>Changes in the tax policies and regulations imposed by the jurisdictions in which we operate, the termination or reduction of certain government programs and tax benefits, or challenges by tax authorities of our tax positions could adversely affect our overall effective tax rate.</w:t>
      </w:r>
    </w:p>
    <w:p>
      <w:pPr>
        <w:ind w:right="40" w:firstLine="456"/>
        <w:spacing w:after="0" w:line="298" w:lineRule="auto"/>
        <w:rPr>
          <w:sz w:val="20"/>
          <w:szCs w:val="20"/>
          <w:color w:val="auto"/>
        </w:rPr>
      </w:pPr>
      <w:r>
        <w:rPr>
          <w:rFonts w:ascii="Arial" w:cs="Arial" w:eastAsia="Arial" w:hAnsi="Arial"/>
          <w:sz w:val="16"/>
          <w:szCs w:val="16"/>
          <w:color w:val="auto"/>
        </w:rPr>
        <w:t>There can be no assurance that our effective tax rate of 13.8% for the year ended September 30, 2014 will not change over time as a result of changes in corporate income tax rates or other changes in the tax laws of Guernsey, the jurisdiction in which our holding company is organized, or of the various countries in which we operate. There is growing pressure in many jurisdictions and from multinational organizations such as the OECD and EU to amend existing international taxation rules in order to align the tax regimes with current global business practices and thereby generate more tax revenue.</w:t>
      </w:r>
    </w:p>
    <w:p>
      <w:pPr>
        <w:spacing w:after="0" w:line="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benefited or currently benefit from a variety of government programs and tax benefits that generally carry conditions that we must meet in order to be eligible to obtain any benefit. For example, through a subsidiary, we operate development centers and a business processing operations center in India. In 2014, the effective corporate tax rate applicable in India on trading activities was 33.99%. Our subsidiary in India operates under specific favorable tax entitlements that are based upon pre-approved information technology related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services activity. As a result, these activities are entitled to considerable corporate income tax reductions for our eligible income, which reduce the current applicable effective tax rate (cash basis) to 20%. Such favorable tax treatment is applied on all income derived from such pre-approved information technology activity, provided the subsidiary continues to meet the conditions required for such tax benefits. These benefits are scheduled to phase out over 15 years from the commencement of operations of the respective units within our Indian subsidiary. Proposed changes in Indian tax law may reduce or eliminate the availability of these beneficial tax rates. Please see “Item 10 — Additional Information — Taxation — Certain Indian Tax Considerations” for more information.</w:t>
      </w:r>
    </w:p>
    <w:p>
      <w:pPr>
        <w:spacing w:after="0" w:line="3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tax benefit programs may be limited in duration or may be discontinued,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meet the requirements for continuing to qualify for some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programs and tax benefits may be unavailable at their current levels, or</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expiration of a particular benefit, we may not be eligible to participate in a new program or qualify for a new tax benefit that would offset the loss of the expiring tax benefit.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 communications, entertainment and media companies that are major services providers in North America, Europe and the rest of the world to move toward an integrated approach to customer experience. Our registered office is Hirzel House, Smith Street, St. Peter Port, Island of Guernsey, GY1 2NG, and the telephone number at that location is +44-1481-728444.</w:t>
      </w:r>
    </w:p>
    <w:p>
      <w:pPr>
        <w:spacing w:after="0" w:line="3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Hungary, India, Ireland, Israel, the United Kingdom and the United States. Please see Exhibit 8 to this Annual Report on Form 20-F for a listing of our significant subsidiaries.</w:t>
      </w:r>
    </w:p>
    <w:p>
      <w:pPr>
        <w:spacing w:after="0" w:line="5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2013, we acquired Actix Ltd., a provider of mobile network optimization solutions, and in January 2014 we acquired substantially all the assets of Celcite Management Solutions LLC, a provider of network management and self-optimizing network solutions.</w:t>
      </w:r>
    </w:p>
    <w:p>
      <w:pPr>
        <w:spacing w:after="0" w:line="6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has increased over the last three years from 18,623 as of the end of fiscal 2012 to 21,112 as of the end of fiscal 2014. In the past, our workforce has fluctuated with changes in business conditions.</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principal capital expenditures for fiscal 2014, 2013 and 2012 have been for computer equipment in our operating facilities and development centers, for which we spent approximately $94.1 million, $87.7 million and $107.4 million, respectively. Any future expansion of our managed services activity could result in additional capital expenditures. We anticipate our capital expenditures in fiscal 2015 will be financed internally and will consist of, among other things, additional computer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developed countries and emerging markets. These service providers include some of the largest telecommunications companies in the world, including AT&amp;T, Bell Canada, Deutsche Telekom, Sprint, Telefonica and Vodafone, as well as cable and satellite providers, including Cablevision, Comcast, DIRECTV and UPC Broadband Holding B.V., directory publishers and other providers of media services.</w:t>
      </w:r>
    </w:p>
    <w:p>
      <w:pPr>
        <w:spacing w:after="0" w:line="6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and optimization domains to enable service providers to efficiently and cost-effectively introduce new products and services, process orders, monetize data and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believe the demand for our customer experience solutions is driven by the desire of service providers to help their consumer and business customers navigate the increasing number of devices, services and plans available in the connected communications world, and the need of service providers to cope with the rapidly growing demand for data that these new devices and services have created. In fiscal 2013, we released the Amdocs CES (Customer Experience Solutions) 9 portfolio which redefines the service provider’s operating environment by delivering a fully virtualized, 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interactions with real-time insight, and permits customers to take control of their experiences across any channel, network, service or device. In fiscal 2014, we released the Amdocs CES 9.1 portfolio to enable service providers to interact with customers via social media channels, cost-effectively enter and serve the small-and medium-sized business (SMB) market, provide solutions for quad-play offerings, wearable devices and connected cars and homes, and to better manage the customer experience from the device to the network. We also expanded our offering in the network software domain to include solutions for intelligent Wi-Fi offloading, automated long-term evolution (LTE) and small cell planning and project management and geo-located network insight for improved rollout of next generation networks. Released in the first quarter of fiscal 2015, Amdocs CES 9.2 spans BSS, OSS and network control and optimization domains to enable service providers to centralize product and service data from Amdocs and third parties and eliminate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 from a variety of data sources, including the network and BSS suite. Within the network domain, Amdocs released several solutions to enable service providers to accelerate the transformation from physical to virtual networks and support the rapid deployment and monetization of multiple technologies, such as Fiber, LTE, Small Cells and Wi-Fi.</w:t>
      </w:r>
    </w:p>
    <w:p>
      <w:pPr>
        <w:spacing w:after="0" w:line="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goal is to supply scalable products and services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they seek to differentiate themselves by delivering a customer experience that is simple, personal and valuable at every point of interaction.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service providers will maintain a strong focus on cost reduction and efficient operations and that the trend towards consolidation within the industry will continue. The smartphone and associated communications and entertainment applications, or apps, other connected devices such as tablets, e-readers, wearables, and the improvement in machine-to-machine (M2M) technologies continue to drive unprecedented growth in data demand. In response to the demand for increased bandwidth, service providers are investing in their networks and searching for ways to differentiate themselves, including by providing new services, improving their business agility, and to optimize and monetize their investments in such services.</w:t>
      </w:r>
    </w:p>
    <w:p>
      <w:pPr>
        <w:spacing w:after="0" w:line="3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recent years, non-traditional service providers and device manufacturers have penetrated the wireless market and are now competing for customer attention in the television market as well. Additionally, social networks such as Facebook and Twitter, alongside over-the-top players such as Skype, Viber and WhatsApp, have become widely-accepted alternatives to traditional voice communications. To meet the challenges from new competitors and differentiate themselves, service providers are moving towards a model of bundled services, with wireline operators, for example, offering Internet Protocol TV services together with the convergence of fixed-mobile networks. Service providers are also looking to strengthen their standing with enterprise customers, explore new opportunities in the wholesale market and provide M2M services to new vertical market segments, such as the home, health and automotive industries.</w:t>
      </w:r>
    </w:p>
    <w:p>
      <w:pPr>
        <w:spacing w:after="0" w:line="3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To capture new revenue streams, service providers need the ability to expand within existing and non-traditional business models and to deploy new network technologies. We believe service providers will place an emphasis on network virtualization and on modernization and transformation projects for their networks and operational and business support systems as they look for innovative ways to improve operations.</w:t>
      </w:r>
    </w:p>
    <w:p>
      <w:pPr>
        <w:spacing w:after="0" w:line="2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our product-led services approach, commitment to and support of quality personnel and deep industry knowledge and expertise enable us to create and deliver effective offerings that are highly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innovative, reliable and cost-effective. In addition, we offer software products that address the specific business needs of service providers. We believe our success derives from a combination of the following factors that differentiate us from most of our competitors.</w:t>
      </w:r>
    </w:p>
    <w:p>
      <w:pPr>
        <w:spacing w:after="0" w:line="51" w:lineRule="exact"/>
        <w:rPr>
          <w:sz w:val="20"/>
          <w:szCs w:val="20"/>
          <w:color w:val="auto"/>
        </w:rPr>
      </w:pPr>
    </w:p>
    <w:p>
      <w:pPr>
        <w:ind w:left="660" w:hanging="206"/>
        <w:spacing w:after="0" w:line="28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Software Products. </w:t>
      </w:r>
      <w:r>
        <w:rPr>
          <w:rFonts w:ascii="Arial" w:cs="Arial" w:eastAsia="Arial" w:hAnsi="Arial"/>
          <w:sz w:val="16"/>
          <w:szCs w:val="16"/>
          <w:color w:val="auto"/>
        </w:rPr>
        <w:t>In fiscal 2013, we released the Amdocs CES 9 portfolio which redefines the service provider’s operating environment by delivering</w:t>
      </w:r>
      <w:r>
        <w:rPr>
          <w:rFonts w:ascii="Arial" w:cs="Arial" w:eastAsia="Arial" w:hAnsi="Arial"/>
          <w:sz w:val="16"/>
          <w:szCs w:val="16"/>
          <w:i w:val="1"/>
          <w:iCs w:val="1"/>
          <w:color w:val="auto"/>
        </w:rPr>
        <w:t xml:space="preserve"> </w:t>
      </w:r>
      <w:r>
        <w:rPr>
          <w:rFonts w:ascii="Arial" w:cs="Arial" w:eastAsia="Arial" w:hAnsi="Arial"/>
          <w:sz w:val="16"/>
          <w:szCs w:val="16"/>
          <w:color w:val="auto"/>
        </w:rPr>
        <w:t>a fully virtualized 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and permits customers to take control of their experiences across any channel, network, service or device. In fiscal 2014, we released the Amdocs CES 9.1 portfolio, introducing solutions that span BSS, OSS and the network control domain to enable service providers to interact with customers via social media channels, cost-effectively enter and serve the SMB market, provide solutions for quad-play offerings, wearable devices and connected cars and homes, and to better manage the customer experience from the device to the network. We also expanded our offering in the network software domain to include solutions for intelligent Wi-Fi offloading, automated long-term evolution (LTE) and small cell planning and project management and geo-located network insight for improved rollout of next generation networks. Released in the first quarter of fiscal 2015, Amdocs CES 9.2 spans BSS, OSS and network and optimization domains to enable service providers to centralize product and service data from Amdocs and third parties and eliminate the operational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 from a variety of data sources, including the network and BSS suite. Our portfolio of pre-integrated software products are designed to allow modular expansion as a service provider evolves, ensuring rapid, low-cost and reduced-risk implementations.</w:t>
      </w:r>
    </w:p>
    <w:p>
      <w:pPr>
        <w:spacing w:after="0" w:line="40" w:lineRule="exact"/>
        <w:rPr>
          <w:sz w:val="20"/>
          <w:szCs w:val="20"/>
          <w:color w:val="auto"/>
        </w:rPr>
      </w:pPr>
    </w:p>
    <w:p>
      <w:pPr>
        <w:ind w:left="700" w:right="20"/>
        <w:spacing w:after="0" w:line="312" w:lineRule="auto"/>
        <w:rPr>
          <w:sz w:val="20"/>
          <w:szCs w:val="20"/>
          <w:color w:val="auto"/>
        </w:rPr>
      </w:pPr>
      <w:r>
        <w:rPr>
          <w:rFonts w:ascii="Arial" w:cs="Arial" w:eastAsia="Arial" w:hAnsi="Arial"/>
          <w:sz w:val="15"/>
          <w:szCs w:val="15"/>
          <w:color w:val="auto"/>
        </w:rPr>
        <w:t>The Amdocs CES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that our products operate together or as stand-alone applications within existing environments. Our proprietary knowledge library of more than 200 industry-specific best practice processes, and a single tool for the unified installation, maintenance and management of the entire BSS and OSS suite, facilitate Amdocs CES rapid time to production. We believe this flexibility enables our customers to achieve significant time-to-market advantages and reduces their dependence on technical and other personnel. Amdocs CES 9 is an end-to-end BSS and OSS virtualized suite, and many of our customers already deploy CES 9 components in virtualized and cloud environments.</w:t>
      </w:r>
    </w:p>
    <w:p>
      <w:pPr>
        <w:spacing w:after="0" w:line="24" w:lineRule="exact"/>
        <w:rPr>
          <w:sz w:val="20"/>
          <w:szCs w:val="20"/>
          <w:color w:val="auto"/>
        </w:rPr>
      </w:pPr>
    </w:p>
    <w:p>
      <w:pPr>
        <w:ind w:left="660" w:right="20" w:hanging="206"/>
        <w:spacing w:after="0" w:line="28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Our comprehensive services are designed to address every stage of a service provider’s lifecycle, from vision creation and initial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transformation and implementation to operations. Amdocs services include business consulting and systems integration, as well as managed services, project delivery and testing. The Amdocs Order-to-Activation value process operation (VPO) delivers a combination of technology, managed services and operations with a structured methodology, aligning disparate systems and automating manual processes to streamline the order capture to service activation processes. As a prime systems integrator, we assume end-to-end responsibility to monitor, manage and deploy the overall development and integration activities of Amdocs and third-party vendors throughout the transformation lifecycle. Our managed services provides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Solution Packs. </w:t>
      </w:r>
      <w:r>
        <w:rPr>
          <w:rFonts w:ascii="Arial" w:cs="Arial" w:eastAsia="Arial" w:hAnsi="Arial"/>
          <w:sz w:val="16"/>
          <w:szCs w:val="16"/>
          <w:color w:val="auto"/>
        </w:rPr>
        <w:t>“Packs” are turnkey versions of our products, designed for fast, lower-cost implementation. We believe that these packaged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our customers with timely, cost-effective, relatively low-risk solutions to specific business issues at a consistent level of quality.</w:t>
      </w:r>
    </w:p>
    <w:p>
      <w:pPr>
        <w:spacing w:after="0" w:line="4" w:lineRule="exact"/>
        <w:rPr>
          <w:rFonts w:ascii="Arial" w:cs="Arial" w:eastAsia="Arial" w:hAnsi="Arial"/>
          <w:sz w:val="16"/>
          <w:szCs w:val="16"/>
          <w:color w:val="auto"/>
        </w:rPr>
      </w:pPr>
    </w:p>
    <w:p>
      <w:pPr>
        <w:ind w:left="660" w:right="24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Experience. </w:t>
      </w:r>
      <w:r>
        <w:rPr>
          <w:rFonts w:ascii="Arial" w:cs="Arial" w:eastAsia="Arial" w:hAnsi="Arial"/>
          <w:sz w:val="18"/>
          <w:szCs w:val="18"/>
          <w:color w:val="auto"/>
        </w:rPr>
        <w:t>We are able to offer our customers superior products and services on a worldwide basis in large part because of our highly qualified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6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Due to the complex and dynamic nature of our customers’ business needs, the products and services that we provide are typically integrated and designed to work in concert to provide each customer with a complete solution.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goal is to provide products, services and support to the world’s leading service providers as they evolve to remain relevant and competitive in the connected world. We seek to accomplish our goal by pursuing the strategies described below.</w:t>
      </w:r>
    </w:p>
    <w:p>
      <w:pPr>
        <w:spacing w:after="0" w:line="51" w:lineRule="exact"/>
        <w:rPr>
          <w:sz w:val="20"/>
          <w:szCs w:val="20"/>
          <w:color w:val="auto"/>
        </w:rPr>
      </w:pPr>
    </w:p>
    <w:p>
      <w:pPr>
        <w:ind w:left="660" w:right="80" w:hanging="206"/>
        <w:spacing w:after="0" w:line="318"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Continued Focus on the Communications, Entertainment and Media Industry. </w:t>
      </w:r>
      <w:r>
        <w:rPr>
          <w:rFonts w:ascii="Arial" w:cs="Arial" w:eastAsia="Arial" w:hAnsi="Arial"/>
          <w:sz w:val="15"/>
          <w:szCs w:val="15"/>
          <w:color w:val="auto"/>
        </w:rPr>
        <w:t>We focus our resources and efforts primarily on providing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solutions to service providers in the communications, entertainment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customer experience solutions required by the leading wireless, wireline, broadband cable and satellite companies and may enable us to leverage such capabilities to diversify our customer base and expand our offering domains.</w:t>
      </w:r>
    </w:p>
    <w:p>
      <w:pPr>
        <w:spacing w:after="0" w:line="18" w:lineRule="exact"/>
        <w:rPr>
          <w:rFonts w:ascii="Arial" w:cs="Arial" w:eastAsia="Arial" w:hAnsi="Arial"/>
          <w:sz w:val="15"/>
          <w:szCs w:val="15"/>
          <w:color w:val="auto"/>
        </w:rPr>
      </w:pPr>
    </w:p>
    <w:p>
      <w:pPr>
        <w:ind w:left="660" w:right="380" w:hanging="206"/>
        <w:spacing w:after="0" w:line="298"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Target Industry Leaders. </w:t>
      </w:r>
      <w:r>
        <w:rPr>
          <w:rFonts w:ascii="Arial" w:cs="Arial" w:eastAsia="Arial" w:hAnsi="Arial"/>
          <w:sz w:val="16"/>
          <w:szCs w:val="16"/>
          <w:color w:val="auto"/>
        </w:rPr>
        <w:t>We intend to continue to direct our marketing efforts primarily toward communications and media industry leaders. By</w:t>
      </w:r>
      <w:r>
        <w:rPr>
          <w:rFonts w:ascii="Arial" w:cs="Arial" w:eastAsia="Arial" w:hAnsi="Arial"/>
          <w:sz w:val="16"/>
          <w:szCs w:val="16"/>
          <w:i w:val="1"/>
          <w:iCs w:val="1"/>
          <w:color w:val="auto"/>
        </w:rPr>
        <w:t xml:space="preserve"> </w:t>
      </w:r>
      <w:r>
        <w:rPr>
          <w:rFonts w:ascii="Arial" w:cs="Arial" w:eastAsia="Arial" w:hAnsi="Arial"/>
          <w:sz w:val="16"/>
          <w:szCs w:val="16"/>
          <w:color w:val="auto"/>
        </w:rPr>
        <w:t>targeting such leading service providers, which require the most sophisticated customer experience solutions, we believe that we are better able to remain at the forefront of developments in the industry. We derive the substantial majority of our revenues from our customer base of major service providers. We believe that the development of this customer base has helped position us as a market leader.</w:t>
      </w:r>
    </w:p>
    <w:p>
      <w:pPr>
        <w:spacing w:after="0" w:line="31" w:lineRule="exact"/>
        <w:rPr>
          <w:rFonts w:ascii="Arial" w:cs="Arial" w:eastAsia="Arial" w:hAnsi="Arial"/>
          <w:sz w:val="16"/>
          <w:szCs w:val="16"/>
          <w:color w:val="auto"/>
        </w:rPr>
      </w:pPr>
    </w:p>
    <w:p>
      <w:pPr>
        <w:ind w:left="660" w:hanging="206"/>
        <w:spacing w:after="0" w:line="29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Emerging Markets. </w:t>
      </w:r>
      <w:r>
        <w:rPr>
          <w:rFonts w:ascii="Arial" w:cs="Arial" w:eastAsia="Arial" w:hAnsi="Arial"/>
          <w:sz w:val="16"/>
          <w:szCs w:val="16"/>
          <w:color w:val="auto"/>
        </w:rPr>
        <w:t>We continue to improve our ability to serve the needs of service providers operating in emerging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subscriber growth remains high and average revenue per user remains relatively low in these markets in comparison to more developed markets. At the same time, however, we have started to see a shift in service provider focus as they begin to regard the customer experience as a key competitive differentiator. Our prospective customers in these markets vary dramatically, with some service providers serving subscriber bases already numbering in the hundreds of millions and others introducing communications services to communities for the first time. We believe this shift in focus on the customer experience and the wide spectrum of emerging market service providers require offerings ranging from relatively low-cost systems with pre-packaged services that can be implemented rapidly, to more robust services, to complete customer experience solutions.</w:t>
      </w:r>
    </w:p>
    <w:p>
      <w:pPr>
        <w:spacing w:after="0" w:line="37" w:lineRule="exact"/>
        <w:rPr>
          <w:rFonts w:ascii="Arial" w:cs="Arial" w:eastAsia="Arial" w:hAnsi="Arial"/>
          <w:sz w:val="16"/>
          <w:szCs w:val="16"/>
          <w:color w:val="auto"/>
        </w:rPr>
      </w:pPr>
    </w:p>
    <w:p>
      <w:pPr>
        <w:ind w:left="660" w:right="260" w:hanging="206"/>
        <w:spacing w:after="0" w:line="318"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Provide Customers with a Broad, Deep Portfolio of Integrated Products. </w:t>
      </w:r>
      <w:r>
        <w:rPr>
          <w:rFonts w:ascii="Arial" w:cs="Arial" w:eastAsia="Arial" w:hAnsi="Arial"/>
          <w:sz w:val="15"/>
          <w:szCs w:val="15"/>
          <w:color w:val="auto"/>
        </w:rPr>
        <w:t>We seek to provide our customers with a broad, yet integrated, portfolio of</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to help them deliver a customer experience that is simple, personal and valuable at every point of service. We provide customer experience solutions across the BSS, OSS and network control and optimization domains and multiple lines of business, including wireline, wireless, broadband cable and satellite services. Integration of our systems is achieved through an open, service-oriented architecture, allowing our products to work well together and with third-party products. We believe that our ability to provide a broad, deep suite of products helps position us as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strategic partner for our customers, and also provides us with multiple avenues for strengthening and expanding our ongoing customer relationships.</w:t>
      </w:r>
    </w:p>
    <w:p>
      <w:pPr>
        <w:spacing w:after="0" w:line="113" w:lineRule="exact"/>
        <w:rPr>
          <w:sz w:val="20"/>
          <w:szCs w:val="20"/>
          <w:color w:val="auto"/>
        </w:rPr>
      </w:pPr>
    </w:p>
    <w:p>
      <w:pPr>
        <w:ind w:left="660" w:hanging="206"/>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Managed Services Capabilities. </w:t>
      </w:r>
      <w:r>
        <w:rPr>
          <w:rFonts w:ascii="Arial" w:cs="Arial" w:eastAsia="Arial" w:hAnsi="Arial"/>
          <w:sz w:val="18"/>
          <w:szCs w:val="18"/>
          <w:color w:val="auto"/>
        </w:rPr>
        <w:t>Managed services enable us to assume responsibility for the operation, development and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Amdocs systems, as well as systems developed by in-house IT departments or by other vendors. Our mandate can extend across the service provider’s entire IT environment and encompass key business process operational needs. Our customers receive predictable service levels as well as improved efficiencies and long-term savings over the day-to-day costs of operating and maintaining these systems, so they can focus on their own internal strengths and grow their businesses, leaving system concerns to us. Managed services also benefit us, as they can be a source of predictable revenue and long-term relationships.</w:t>
      </w:r>
    </w:p>
    <w:p>
      <w:pPr>
        <w:spacing w:after="0" w:line="63" w:lineRule="exact"/>
        <w:rPr>
          <w:rFonts w:ascii="Arial" w:cs="Arial" w:eastAsia="Arial" w:hAnsi="Arial"/>
          <w:sz w:val="18"/>
          <w:szCs w:val="18"/>
          <w:color w:val="auto"/>
        </w:rPr>
      </w:pPr>
    </w:p>
    <w:p>
      <w:pPr>
        <w:ind w:left="660" w:right="200" w:hanging="206"/>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Maintain and Develop Long-Term Customer Relationships. </w:t>
      </w:r>
      <w:r>
        <w:rPr>
          <w:rFonts w:ascii="Arial" w:cs="Arial" w:eastAsia="Arial" w:hAnsi="Arial"/>
          <w:sz w:val="16"/>
          <w:szCs w:val="16"/>
          <w:color w:val="auto"/>
        </w:rPr>
        <w:t>We seek to maintain and develop long-term, mutually beneficial relationships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have organized our internal operations to better anticipate and respond to their needs. We believe these relationships can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Our product offerings consist of an extensive software portfolio that we have developed to provide comprehensive customer experience solutions functionality for service providers. Our software solutions support the full span of the customer lifecycle: revenue management, customer management, operations support, network control and optimization, digital lifestyle services and big data analytics. Further, our solutions employ a common architecture, including shared frameworks, and include services for deployment, configuration, integration, security, user interface and monitoring and control. We also provide solutions for high growth and emerging markets, as well as advertising and media solutions for advertising service providers, media publishers and ad agencies, including directory publishers.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key product suites are:</w:t>
      </w:r>
    </w:p>
    <w:p>
      <w:pPr>
        <w:spacing w:after="0" w:line="90" w:lineRule="exact"/>
        <w:rPr>
          <w:sz w:val="20"/>
          <w:szCs w:val="20"/>
          <w:color w:val="auto"/>
        </w:rPr>
      </w:pPr>
    </w:p>
    <w:p>
      <w:pPr>
        <w:ind w:left="660" w:right="180" w:hanging="206"/>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Revenue Management: </w:t>
      </w:r>
      <w:r>
        <w:rPr>
          <w:rFonts w:ascii="Arial" w:cs="Arial" w:eastAsia="Arial" w:hAnsi="Arial"/>
          <w:sz w:val="18"/>
          <w:szCs w:val="18"/>
          <w:color w:val="auto"/>
        </w:rPr>
        <w:t>Products that enable our customers and their partners to define, launch and monetize services across their networks. These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cover the end-to-end network services revenue stream from offer definition to cash-in-hand and span the consumer, business and partner domains. The portfolio addresses BSS/OSS data processing and event-handling needs and provides automated partner management and settlement for numerous types of partners, including interconnect, content, roaming, digital advertising, mobile virtual network operator (MVNO), wholesale and dealer.</w:t>
      </w:r>
    </w:p>
    <w:p>
      <w:pPr>
        <w:spacing w:after="0" w:line="61" w:lineRule="exact"/>
        <w:rPr>
          <w:rFonts w:ascii="Arial" w:cs="Arial" w:eastAsia="Arial" w:hAnsi="Arial"/>
          <w:sz w:val="18"/>
          <w:szCs w:val="18"/>
          <w:color w:val="auto"/>
        </w:rPr>
      </w:pPr>
    </w:p>
    <w:p>
      <w:pPr>
        <w:ind w:left="660" w:right="80" w:hanging="206"/>
        <w:spacing w:after="0" w:line="29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Customer Management: </w:t>
      </w:r>
      <w:r>
        <w:rPr>
          <w:rFonts w:ascii="Arial" w:cs="Arial" w:eastAsia="Arial" w:hAnsi="Arial"/>
          <w:sz w:val="16"/>
          <w:szCs w:val="16"/>
          <w:color w:val="auto"/>
        </w:rPr>
        <w:t>Products that enable a service provider to simplify interactions between the provider and the customer to provide the best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and care. This, in turn, helps service providers to maximize sales and e-commerce opportunities, increase revenue, reduce operational costs, increase efficiency and improve customer satisfaction, including as measured by net promoter score (NPS) metrics. These products are designed to ensure consistent and personalized experiences across all interaction channels, including contact center, retail stores, Web and mobile, and social media and across all devices, including smartphones, tablets and personal computers. The portfolio is focused on the overall customer experience and factors subscriber context into every interaction to deliver individual experiences, optimize offering time to market, improve purchasing and ordering activities and provide intuitive customer care interactions.</w:t>
      </w:r>
    </w:p>
    <w:p>
      <w:pPr>
        <w:spacing w:after="0" w:line="37"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Operational Support Systems (OSS): </w:t>
      </w:r>
      <w:r>
        <w:rPr>
          <w:rFonts w:ascii="Arial" w:cs="Arial" w:eastAsia="Arial" w:hAnsi="Arial"/>
          <w:sz w:val="16"/>
          <w:szCs w:val="16"/>
          <w:color w:val="auto"/>
        </w:rPr>
        <w:t>Products that comprise the core operational support systems, such as network planning, service fulfillment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for fixed line, broadband, wireless and cable TV networks. The offerings facilitate network operational processes, including network planning and rollout across multiple technologies, as well as the fulfillment, order orchestration and activation of new services.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Network Control: </w:t>
      </w:r>
      <w:r>
        <w:rPr>
          <w:rFonts w:ascii="Arial" w:cs="Arial" w:eastAsia="Arial" w:hAnsi="Arial"/>
          <w:sz w:val="18"/>
          <w:szCs w:val="18"/>
          <w:color w:val="auto"/>
        </w:rPr>
        <w:t>Suite of pre-integrated, vendor-neutral products that consist of intelligent controls to manage the subscriber or device experience in</w:t>
      </w:r>
      <w:r>
        <w:rPr>
          <w:rFonts w:ascii="Arial" w:cs="Arial" w:eastAsia="Arial" w:hAnsi="Arial"/>
          <w:sz w:val="18"/>
          <w:szCs w:val="18"/>
          <w:i w:val="1"/>
          <w:iCs w:val="1"/>
          <w:color w:val="auto"/>
        </w:rPr>
        <w:t xml:space="preserve"> </w:t>
      </w:r>
      <w:r>
        <w:rPr>
          <w:rFonts w:ascii="Arial" w:cs="Arial" w:eastAsia="Arial" w:hAnsi="Arial"/>
          <w:sz w:val="18"/>
          <w:szCs w:val="18"/>
          <w:color w:val="auto"/>
        </w:rPr>
        <w:t>real time, including controlling access to 3G, 4G, fixed and convergent networks, and managing network resource consumption, such as bandwidth. These offerings enable service providers to create dynamic data services, including shared plans, tiered plans and access calibrated to the time of day and help service providers monetize the growth in Wi-Fi.</w:t>
      </w:r>
    </w:p>
    <w:p>
      <w:pPr>
        <w:spacing w:after="0" w:line="62"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Network Optimization: </w:t>
      </w:r>
      <w:r>
        <w:rPr>
          <w:rFonts w:ascii="Arial" w:cs="Arial" w:eastAsia="Arial" w:hAnsi="Arial"/>
          <w:sz w:val="18"/>
          <w:szCs w:val="18"/>
          <w:color w:val="auto"/>
        </w:rPr>
        <w:t>Integrated suite of software and services designed to help service providers plan, build, launch, manage and optimize their radio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network. Vendor agnostic and multi-technology, this offering gives service providers the analytics, optimization and managed services capabilities needed to target network investments accurately, roll out networks quickly, optimize network performance and capacity, and enhance the customer’s network experience.</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Digital Lifestyle Services: </w:t>
      </w:r>
      <w:r>
        <w:rPr>
          <w:rFonts w:ascii="Arial" w:cs="Arial" w:eastAsia="Arial" w:hAnsi="Arial"/>
          <w:sz w:val="16"/>
          <w:szCs w:val="16"/>
          <w:color w:val="auto"/>
        </w:rPr>
        <w:t>Suite of ready-to-use solutions that provide end users with intuitive, secure and personalized digital services. These offerings</w:t>
      </w:r>
    </w:p>
    <w:p>
      <w:pPr>
        <w:spacing w:after="0" w:line="38"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span three solution areas: M2M, which provides a scalable platform for the growing number of devices that will need to be managed and enables service providers to quickly onboard new partners while extending their role in the value chain. The Connected Home provides a cloud-based environment to enable service providers to quickly and cost efficiently offer integrated home services, such as security, energy management, automation and entertainment. Unified Communications is a service provider-branded solution that combines social messaging services, video, VoIP and a unified address book across multiple devices.</w:t>
      </w:r>
    </w:p>
    <w:p>
      <w:pPr>
        <w:spacing w:after="0" w:line="64" w:lineRule="exact"/>
        <w:rPr>
          <w:rFonts w:ascii="Arial" w:cs="Arial" w:eastAsia="Arial" w:hAnsi="Arial"/>
          <w:sz w:val="16"/>
          <w:szCs w:val="16"/>
          <w:color w:val="auto"/>
        </w:rPr>
      </w:pPr>
    </w:p>
    <w:p>
      <w:pPr>
        <w:jc w:val="both"/>
        <w:ind w:left="660" w:right="360" w:hanging="206"/>
        <w:spacing w:after="0" w:line="30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Big Data Analytics: </w:t>
      </w:r>
      <w:r>
        <w:rPr>
          <w:rFonts w:ascii="Arial" w:cs="Arial" w:eastAsia="Arial" w:hAnsi="Arial"/>
          <w:sz w:val="16"/>
          <w:szCs w:val="16"/>
          <w:color w:val="auto"/>
        </w:rPr>
        <w:t>Consists of end-to-end, carrier-grade big data analytics solutions. They enable service providers to gain intimate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data from multiple systems, including BSS, OSS, the network and social media. The products provide advanced and actionable insights for improved business results in critical situations, such as customer churn and order cancellation.</w:t>
      </w:r>
    </w:p>
    <w:p>
      <w:pPr>
        <w:spacing w:after="0" w:line="25" w:lineRule="exact"/>
        <w:rPr>
          <w:rFonts w:ascii="Arial" w:cs="Arial" w:eastAsia="Arial" w:hAnsi="Arial"/>
          <w:sz w:val="16"/>
          <w:szCs w:val="16"/>
          <w:color w:val="auto"/>
        </w:rPr>
      </w:pPr>
    </w:p>
    <w:p>
      <w:pPr>
        <w:ind w:left="660" w:right="24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Cross-Portfolio: </w:t>
      </w:r>
      <w:r>
        <w:rPr>
          <w:rFonts w:ascii="Arial" w:cs="Arial" w:eastAsia="Arial" w:hAnsi="Arial"/>
          <w:sz w:val="18"/>
          <w:szCs w:val="18"/>
          <w:color w:val="auto"/>
        </w:rPr>
        <w:t>These offerings span a service provider’s BSS, OSS and network domains to accelerate business innovation and time to market with</w:t>
      </w:r>
      <w:r>
        <w:rPr>
          <w:rFonts w:ascii="Arial" w:cs="Arial" w:eastAsia="Arial" w:hAnsi="Arial"/>
          <w:sz w:val="18"/>
          <w:szCs w:val="18"/>
          <w:i w:val="1"/>
          <w:iCs w:val="1"/>
          <w:color w:val="auto"/>
        </w:rPr>
        <w:t xml:space="preserve"> </w:t>
      </w:r>
      <w:r>
        <w:rPr>
          <w:rFonts w:ascii="Arial" w:cs="Arial" w:eastAsia="Arial" w:hAnsi="Arial"/>
          <w:sz w:val="18"/>
          <w:szCs w:val="18"/>
          <w:color w:val="auto"/>
        </w:rPr>
        <w:t>prepackaged, modular functionality and a catalog of use cases. The offerings enable new business opportunities and revenue models with cloud computing and facilitate entry into growing segments, such as the SMB market.</w:t>
      </w:r>
    </w:p>
    <w:p>
      <w:pPr>
        <w:spacing w:after="0" w:line="59" w:lineRule="exact"/>
        <w:rPr>
          <w:rFonts w:ascii="Arial" w:cs="Arial" w:eastAsia="Arial" w:hAnsi="Arial"/>
          <w:sz w:val="18"/>
          <w:szCs w:val="18"/>
          <w:color w:val="auto"/>
        </w:rPr>
      </w:pPr>
    </w:p>
    <w:p>
      <w:pPr>
        <w:ind w:left="660" w:right="100" w:hanging="206"/>
        <w:spacing w:after="0" w:line="29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Compact CES: </w:t>
      </w:r>
      <w:r>
        <w:rPr>
          <w:rFonts w:ascii="Arial" w:cs="Arial" w:eastAsia="Arial" w:hAnsi="Arial"/>
          <w:sz w:val="16"/>
          <w:szCs w:val="16"/>
          <w:color w:val="auto"/>
        </w:rPr>
        <w:t>Solutions that provide real-time converged billing and service delivery and are specifically designed for small- to medium-sized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MVNOs and mobile virtual network enablers (MVNEs) that provide services to MVNOs. The offering delivers convergence in a simple and unified manner, from system setup and integration to ongoing operations and features built-in essential business functionality, such as invoicing and provisioning, product catalog, customer care and reporting capabilities. Compact CES can be implemented on premise or in the cloud.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and Media Solutions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advertising and media offerings for advertising service providers, media publishers and ad agencies are comprised of a comprehensive set of business and operational products and services designed to enable the management of media selling, fulfillment, operations, consumer experience and financial processes across digital and print media.</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technology platform’s flexibility affords our customers the freedom to choose a preferred operating environment and to maximize return on existing infrastructure investments. Our portfolio architecture allows our applications to work in multiple customer environments, including:</w:t>
      </w:r>
    </w:p>
    <w:p>
      <w:pPr>
        <w:spacing w:after="0" w:line="4"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Intel XEON based servers from IBM, Hewlett-Packard, Dell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Server Operating Systems: </w:t>
      </w:r>
      <w:r>
        <w:rPr>
          <w:rFonts w:ascii="Arial" w:cs="Arial" w:eastAsia="Arial" w:hAnsi="Arial"/>
          <w:sz w:val="18"/>
          <w:szCs w:val="18"/>
          <w:color w:val="auto"/>
        </w:rPr>
        <w:t>Red Hat Linux, Oracle Linux (with Red Hat’s kernel)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Virtualization: </w:t>
      </w:r>
      <w:r>
        <w:rPr>
          <w:rFonts w:ascii="Arial" w:cs="Arial" w:eastAsia="Arial" w:hAnsi="Arial"/>
          <w:sz w:val="18"/>
          <w:szCs w:val="18"/>
          <w:color w:val="auto"/>
        </w:rPr>
        <w:t>VMware vSphere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Database Management Systems: </w:t>
      </w:r>
      <w:r>
        <w:rPr>
          <w:rFonts w:ascii="Arial" w:cs="Arial" w:eastAsia="Arial" w:hAnsi="Arial"/>
          <w:sz w:val="18"/>
          <w:szCs w:val="18"/>
          <w:color w:val="auto"/>
        </w:rPr>
        <w:t>Oracle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Middleware: </w:t>
      </w:r>
      <w:r>
        <w:rPr>
          <w:rFonts w:ascii="Arial" w:cs="Arial" w:eastAsia="Arial" w:hAnsi="Arial"/>
          <w:sz w:val="18"/>
          <w:szCs w:val="18"/>
          <w:color w:val="auto"/>
        </w:rPr>
        <w:t>Oracle WebLogic, IBM WebSphere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Storage: </w:t>
      </w:r>
      <w:r>
        <w:rPr>
          <w:rFonts w:ascii="Arial" w:cs="Arial" w:eastAsia="Arial" w:hAnsi="Arial"/>
          <w:sz w:val="18"/>
          <w:szCs w:val="18"/>
          <w:color w:val="auto"/>
        </w:rPr>
        <w:t>EMC, IBM, Hewlett-Packard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To help service providers respond more quickly to changes in their markets and lower their integration costs, we employ service-oriented architecture principles in our portfolio design. For example, Amdocs Web Services Factory exposes the Amdocs portfolio application programming interfaces to external systems, allowing our applications to integrate with each other and with third-party enterprise server bus or legacy applications.</w:t>
      </w:r>
    </w:p>
    <w:p>
      <w:pPr>
        <w:spacing w:after="0" w:line="2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portfolio applications are based around consistent architectural guidelines and software infrastructure and they also leverage, where appropriate, consistent foundation tools. Our services encompass installation, integration, testing,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testing and monitoring.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portfolio also includes the following key characteristics:</w:t>
      </w:r>
    </w:p>
    <w:p>
      <w:pPr>
        <w:spacing w:after="0" w:line="90" w:lineRule="exact"/>
        <w:rPr>
          <w:sz w:val="20"/>
          <w:szCs w:val="20"/>
          <w:color w:val="auto"/>
        </w:rPr>
      </w:pPr>
    </w:p>
    <w:p>
      <w:pPr>
        <w:ind w:left="660" w:right="8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applications are designed to take full advantage of the scalability capabilities of the underlying platform, allowing progressive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proportional with the customer’s growth in business volumes. Using the same software, our applications can support operations for small, as well as very large service providers.</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system and component architecture supports high availability and redundancy to allow connected and uninterrupted operations at full</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speed and device load.</w:t>
      </w:r>
    </w:p>
    <w:p>
      <w:pPr>
        <w:spacing w:after="0" w:line="50" w:lineRule="exact"/>
        <w:rPr>
          <w:rFonts w:ascii="Arial" w:cs="Arial" w:eastAsia="Arial" w:hAnsi="Arial"/>
          <w:sz w:val="18"/>
          <w:szCs w:val="18"/>
          <w:color w:val="auto"/>
        </w:rPr>
      </w:pPr>
    </w:p>
    <w:p>
      <w:pPr>
        <w:ind w:left="660" w:right="120" w:hanging="206"/>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Modularity. </w:t>
      </w:r>
      <w:r>
        <w:rPr>
          <w:rFonts w:ascii="Arial" w:cs="Arial" w:eastAsia="Arial" w:hAnsi="Arial"/>
          <w:sz w:val="18"/>
          <w:szCs w:val="18"/>
          <w:color w:val="auto"/>
        </w:rPr>
        <w:t>Our product portfolio is comprised of sets of individual functional application products. Each of our applications can be installed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preserves the customer’s initial investment in products, and minimizes future disruptions and the overall cost of system implementation.</w:t>
      </w:r>
    </w:p>
    <w:p>
      <w:pPr>
        <w:spacing w:after="0" w:line="61"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Upgradability and Backward Compatibility. </w:t>
      </w:r>
      <w:r>
        <w:rPr>
          <w:rFonts w:ascii="Arial" w:cs="Arial" w:eastAsia="Arial" w:hAnsi="Arial"/>
          <w:sz w:val="18"/>
          <w:szCs w:val="18"/>
          <w:color w:val="auto"/>
        </w:rPr>
        <w:t>Version interoperability eliminates risky upgrades and allows for a gradual upgrade approach of suite</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w:t>
      </w:r>
    </w:p>
    <w:p>
      <w:pPr>
        <w:spacing w:after="0" w:line="50" w:lineRule="exact"/>
        <w:rPr>
          <w:rFonts w:ascii="Arial" w:cs="Arial" w:eastAsia="Arial" w:hAnsi="Arial"/>
          <w:sz w:val="18"/>
          <w:szCs w:val="18"/>
          <w:color w:val="auto"/>
        </w:rPr>
      </w:pPr>
    </w:p>
    <w:p>
      <w:pPr>
        <w:ind w:left="660" w:right="36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Virtualization. </w:t>
      </w:r>
      <w:r>
        <w:rPr>
          <w:rFonts w:ascii="Arial" w:cs="Arial" w:eastAsia="Arial" w:hAnsi="Arial"/>
          <w:sz w:val="18"/>
          <w:szCs w:val="18"/>
          <w:color w:val="auto"/>
        </w:rPr>
        <w:t>Increasing server efficiency, commonly referred to as virtualization, is critical in today’s IT world as it reduces costs and improves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efficiency through server consolidation, improved server availability, elasticity and sustainability. Using VMWare 5.x, the Amdocs CES suite is fully certified to run in a virtualized production environment.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offer a broad suite of services to help service providers through each stage of the business lifecycle. We provide business consulting, systems integration, managed services, order to activation VPO services, business intelligence and data warehouse services, testing, project delivery and product support to assist our customers with their business strategy, system implementation, integration, modification, consolidation, operation and maintenance needs. In addition, we offer comprehensive learning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portfolio includes:</w:t>
      </w:r>
    </w:p>
    <w:p>
      <w:pPr>
        <w:spacing w:after="0" w:line="90" w:lineRule="exact"/>
        <w:rPr>
          <w:sz w:val="20"/>
          <w:szCs w:val="20"/>
          <w:color w:val="auto"/>
        </w:rPr>
      </w:pPr>
    </w:p>
    <w:p>
      <w:pPr>
        <w:jc w:val="both"/>
        <w:ind w:left="6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 These services cover the project lifecycle and range from assessment and advisory services to optimization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and improve business and operational performance, and help to define the project strategy, scope and implementation path of business solutions to deliver tangible business and operational value.</w:t>
      </w:r>
    </w:p>
    <w:p>
      <w:pPr>
        <w:spacing w:after="0" w:line="59"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Systems Integration and Transformation Services </w:t>
      </w:r>
      <w:r>
        <w:rPr>
          <w:rFonts w:ascii="Arial" w:cs="Arial" w:eastAsia="Arial" w:hAnsi="Arial"/>
          <w:sz w:val="18"/>
          <w:szCs w:val="18"/>
          <w:color w:val="auto"/>
        </w:rPr>
        <w:t>— This suite of services allows us to act as a prime integrator from program management and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to solution implementation and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80"/>
        <w:spacing w:after="0" w:line="256" w:lineRule="auto"/>
        <w:rPr>
          <w:sz w:val="20"/>
          <w:szCs w:val="20"/>
          <w:color w:val="auto"/>
        </w:rPr>
      </w:pPr>
      <w:r>
        <w:rPr>
          <w:rFonts w:ascii="Arial" w:cs="Arial" w:eastAsia="Arial" w:hAnsi="Arial"/>
          <w:sz w:val="18"/>
          <w:szCs w:val="18"/>
          <w:color w:val="auto"/>
        </w:rPr>
        <w:t>We have developed advanced methodologies, industry best practices and pre-configured tools to deliver a cohesive implementation plan, including solution architecture, organizational change management, learning and development, benefits realization modeling and sales channels optimization, in addition to high-quality systems and applications testing. Our approach ensures that people, processes and technology are fully aligned with our customer’s vision and goals.</w:t>
      </w:r>
    </w:p>
    <w:p>
      <w:pPr>
        <w:spacing w:after="0" w:line="62" w:lineRule="exact"/>
        <w:rPr>
          <w:sz w:val="20"/>
          <w:szCs w:val="20"/>
          <w:color w:val="auto"/>
        </w:rPr>
      </w:pPr>
    </w:p>
    <w:p>
      <w:pPr>
        <w:ind w:left="660" w:right="220" w:hanging="206"/>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Managed Services </w:t>
      </w:r>
      <w:r>
        <w:rPr>
          <w:rFonts w:ascii="Arial" w:cs="Arial" w:eastAsia="Arial" w:hAnsi="Arial"/>
          <w:sz w:val="16"/>
          <w:szCs w:val="16"/>
          <w:color w:val="auto"/>
        </w:rPr>
        <w:t>— Our portfolio of strategic sourcing services is tailored for service providers to gain competitive advantage and improve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through long-term operations, applications and infrastructure services as well as system modernization and consolidation. Whether our customer’s IT environment includes Amdocs products, third-party software or in-house and legacy systems, our specialized services span the industry landscape across mobile, wireline, broadband, cable and satellite. We support new and existing lines of business, such as pay television and M2M, as well as new business entities, including second brand, MVNO and greenfield. Our managed services models can be leveraged to support day-to-day operations and strategic business objectives.</w:t>
      </w:r>
    </w:p>
    <w:p>
      <w:pPr>
        <w:spacing w:after="0" w:line="39" w:lineRule="exact"/>
        <w:rPr>
          <w:rFonts w:ascii="Arial" w:cs="Arial" w:eastAsia="Arial" w:hAnsi="Arial"/>
          <w:sz w:val="16"/>
          <w:szCs w:val="16"/>
          <w:color w:val="auto"/>
        </w:rPr>
      </w:pPr>
    </w:p>
    <w:p>
      <w:pPr>
        <w:ind w:left="660" w:right="14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Order to Activation VPO Services </w:t>
      </w:r>
      <w:r>
        <w:rPr>
          <w:rFonts w:ascii="Arial" w:cs="Arial" w:eastAsia="Arial" w:hAnsi="Arial"/>
          <w:sz w:val="18"/>
          <w:szCs w:val="18"/>
          <w:color w:val="auto"/>
        </w:rPr>
        <w:t>— These managed services help service providers timely fulfill orders. They are designed to proactively prevent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efficiently resolve issues across the order-to-activation process. Services include unification and streamlining of orders as well as optimally managing field services.</w:t>
      </w:r>
    </w:p>
    <w:p>
      <w:pPr>
        <w:spacing w:after="0" w:line="59" w:lineRule="exact"/>
        <w:rPr>
          <w:rFonts w:ascii="Arial" w:cs="Arial" w:eastAsia="Arial" w:hAnsi="Arial"/>
          <w:sz w:val="18"/>
          <w:szCs w:val="18"/>
          <w:color w:val="auto"/>
        </w:rPr>
      </w:pPr>
    </w:p>
    <w:p>
      <w:pPr>
        <w:ind w:left="660" w:right="160" w:hanging="206"/>
        <w:spacing w:after="0" w:line="29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Business Intelligence and Data Warehouse Services </w:t>
      </w:r>
      <w:r>
        <w:rPr>
          <w:rFonts w:ascii="Arial" w:cs="Arial" w:eastAsia="Arial" w:hAnsi="Arial"/>
          <w:sz w:val="16"/>
          <w:szCs w:val="16"/>
          <w:color w:val="auto"/>
        </w:rPr>
        <w:t>— Provides a full scope of services from design and implementation to operations to address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data lifecycle, including extract, transform and load (ETL), data warehouse, business intelligence (BI) and analytics. Our approach encompasses analytical and operational systems to feed actionable insights back into the business processes. These services are designed to operate with industry-leading BI and data warehouse platforms and products offered by our technology partners.</w:t>
      </w:r>
    </w:p>
    <w:p>
      <w:pPr>
        <w:spacing w:after="0" w:line="31"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Project Delivery Services </w:t>
      </w:r>
      <w:r>
        <w:rPr>
          <w:rFonts w:ascii="Arial" w:cs="Arial" w:eastAsia="Arial" w:hAnsi="Arial"/>
          <w:sz w:val="16"/>
          <w:szCs w:val="16"/>
          <w:color w:val="auto"/>
        </w:rPr>
        <w:t>— These services provide a smooth transition from project deployment to implementation and operation. Our knowledgeable</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professionals are intimately acquainted with the entire spectrum of communication-specific IT systems, products and customers and leverage field-proven structured methodologies and best practices to deliver rapid results at low risk.</w:t>
      </w:r>
    </w:p>
    <w:p>
      <w:pPr>
        <w:spacing w:after="0" w:line="25" w:lineRule="exact"/>
        <w:rPr>
          <w:rFonts w:ascii="Arial" w:cs="Arial" w:eastAsia="Arial" w:hAnsi="Arial"/>
          <w:sz w:val="16"/>
          <w:szCs w:val="16"/>
          <w:color w:val="auto"/>
        </w:rPr>
      </w:pPr>
    </w:p>
    <w:p>
      <w:pPr>
        <w:ind w:left="660" w:right="20" w:hanging="206"/>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Testing Services </w:t>
      </w:r>
      <w:r>
        <w:rPr>
          <w:rFonts w:ascii="Arial" w:cs="Arial" w:eastAsia="Arial" w:hAnsi="Arial"/>
          <w:sz w:val="18"/>
          <w:szCs w:val="18"/>
          <w:color w:val="auto"/>
        </w:rPr>
        <w:t>— These services leverage our proprietary tools, methodologies, best practices and unique BEAT™ framework to manage and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activities on Amdocs and 3</w:t>
      </w:r>
      <w:r>
        <w:rPr>
          <w:rFonts w:ascii="Arial" w:cs="Arial" w:eastAsia="Arial" w:hAnsi="Arial"/>
          <w:sz w:val="11"/>
          <w:szCs w:val="11"/>
          <w:color w:val="auto"/>
        </w:rPr>
        <w:t>rd</w:t>
      </w:r>
      <w:r>
        <w:rPr>
          <w:rFonts w:ascii="Arial" w:cs="Arial" w:eastAsia="Arial" w:hAnsi="Arial"/>
          <w:sz w:val="18"/>
          <w:szCs w:val="18"/>
          <w:color w:val="auto"/>
        </w:rPr>
        <w:t xml:space="preserve"> party applications. We offer our customers years of industry-specific testing experience, extensive domain expertise, skilled testing resources, experience with multivendor environments and a global presence to ensure seamless continuity and ongoing support around the clock.</w:t>
      </w:r>
    </w:p>
    <w:p>
      <w:pPr>
        <w:spacing w:after="0" w:line="62"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Product Support Services </w:t>
      </w:r>
      <w:r>
        <w:rPr>
          <w:rFonts w:ascii="Arial" w:cs="Arial" w:eastAsia="Arial" w:hAnsi="Arial"/>
          <w:sz w:val="18"/>
          <w:szCs w:val="18"/>
          <w:color w:val="auto"/>
        </w:rPr>
        <w:t>— These services are designed to help our customers solve key challenges and to protect and maximize their investment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throughout the entire product life cycle. Our global product support organization uses industry-recognized methodologies and provides support options, including online services and personalized interactions.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extent of services provided varies from customer to customer. Our services engagements can range in size and scope from deploying single point solutions to orchestrating large-scale transformation projects. Depending on the customer’s needs, system implementation and integration activities are often conducted jointly by teams from Amdocs and the customer.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provide full system implementation and integration services.</w:t>
      </w:r>
    </w:p>
    <w:p>
      <w:pPr>
        <w:spacing w:after="0" w:line="3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Once the system becomes operational, we are generally retained by the customer to provide ongoing services, such as maintenance, enhancement design and development and operational support, or to act as a prime systems integrator for post-production activities that may include interfaces with third-party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business is conducted on a global basis. We maintain development and support facilities worldwide, including Brazil, Canada, Cyprus, India, Ireland, Israel, the United Kingdom and the United States, and have operations in North America, Europe, Israel, Latin America and the Asia-Pacific region.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activities are primarily directed at major communications, entertainment and media companies.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of the strategic importance of our customer experience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2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systems integrators that provide complementary products and services. We also have value-added reseller agreements with certain hardware and database vendors. Our marketing activities also continue to support projects with partner companies, such as IBM, Alcatel-Lucent, Hewlett-Packard and others.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target market is comprised of service providers in the communication, entertainment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80 countries.</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customers include global communications leaders and leading network operators and service providers, as well as local marketing service providers in the United States and around the world. Our customers include:</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A1 Telekom Austria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America Movil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Astro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Bakcell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Bell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Cablevision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CenturyLink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Telekom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Dex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FarEastone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NetCom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Post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Rogers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Telefónica de Espana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Telefónica 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TELUS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T-Mobile Deutschland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T-Mobile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UPC Broadband Holding B.V.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Verizon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VimpelCom</w:t>
      </w:r>
    </w:p>
    <w:p>
      <w:pPr>
        <w:spacing w:after="0" w:line="171"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Instituto Costarricense de Electricidad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Kazakhtelecom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KPN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Magyar Telekom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Mobilicity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MobilTel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Vodafone Germany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Vodafone Hungary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Vodafone Netherlands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Vodafone 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319"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jc w:val="both"/>
        <w:ind w:firstLine="456"/>
        <w:spacing w:after="0" w:line="306"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33% of our revenue in fiscal 2014 and 28% in fiscal 2013. Aggregate revenue derived from the multiple business arrangements we have with the ten largest of our significant customers accounted for approximately 73% of our revenue in fiscal 2014 and 70% in fiscal 2013.</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72.4%</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69.8%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12.6</w:t>
            </w:r>
          </w:p>
        </w:tc>
        <w:tc>
          <w:tcPr>
            <w:tcW w:w="58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79"/>
              </w:rPr>
              <w:t>11.9</w:t>
            </w:r>
          </w:p>
        </w:tc>
        <w:tc>
          <w:tcPr>
            <w:tcW w:w="5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13.6</w:t>
            </w: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14.7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15.7</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16.6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market for customer experience solutions in the communications, entertainment and media industry continues to become more competitive. Amdocs’ competitive landscape is comprised of internal IT departments of large communication companies, as well as independent competitors that may compete broadly with us or in limited segments of our market, and can be categorized as follows:</w:t>
      </w:r>
    </w:p>
    <w:p>
      <w:pPr>
        <w:spacing w:after="0" w:line="59"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providers of BSS/OSS systems, including Comverse, CSG International, Oracle, Redknee, Salesforce and SAP;</w:t>
      </w:r>
    </w:p>
    <w:p>
      <w:pPr>
        <w:spacing w:after="0" w:line="90" w:lineRule="exact"/>
        <w:rPr>
          <w:rFonts w:ascii="Arial" w:cs="Arial" w:eastAsia="Arial" w:hAnsi="Arial"/>
          <w:sz w:val="18"/>
          <w:szCs w:val="18"/>
          <w:color w:val="auto"/>
        </w:rPr>
      </w:pPr>
    </w:p>
    <w:p>
      <w:pPr>
        <w:ind w:left="660" w:right="48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4" w:lineRule="exact"/>
        <w:rPr>
          <w:rFonts w:ascii="Arial" w:cs="Arial" w:eastAsia="Arial" w:hAnsi="Arial"/>
          <w:sz w:val="16"/>
          <w:szCs w:val="16"/>
          <w:color w:val="auto"/>
        </w:rPr>
      </w:pPr>
    </w:p>
    <w:p>
      <w:pPr>
        <w:ind w:left="660" w:right="10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network equipment providers such as Alcatel-Lucent, Ericsson, Huawei, Nokia Siemens, NEC and its subsidiary NetCracker, and ZTE (some of whom we also cooperate with in certain opportunities and projects and some of whom have also moved into the BSS/OSS space).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90" w:lineRule="exact"/>
        <w:rPr>
          <w:sz w:val="20"/>
          <w:szCs w:val="20"/>
          <w:color w:val="auto"/>
        </w:rPr>
      </w:pPr>
    </w:p>
    <w:p>
      <w:pPr>
        <w:ind w:left="660" w:right="8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applying our more than 30-year heritage to the development and delivery of products and professional services that enable our customers to overcome their challenges and achieve service differentiation by means of simplifying the customer experience, harnessing data, staying ahead of the competition and focusing on efficiencies,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entertainment and media industry,</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high-quality, reliable, scalable, integrated, yet modular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market penetration in the communications industry.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the results of our operations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3" w:lineRule="exact"/>
        <w:rPr>
          <w:sz w:val="20"/>
          <w:szCs w:val="20"/>
          <w:color w:val="auto"/>
        </w:rPr>
      </w:pPr>
    </w:p>
    <w:p>
      <w:pPr>
        <w:ind w:left="240" w:right="100" w:firstLine="228"/>
        <w:spacing w:after="0" w:line="391" w:lineRule="auto"/>
        <w:rPr>
          <w:sz w:val="20"/>
          <w:szCs w:val="20"/>
          <w:color w:val="auto"/>
        </w:rPr>
      </w:pPr>
      <w:r>
        <w:rPr>
          <w:rFonts w:ascii="Arial" w:cs="Arial" w:eastAsia="Arial" w:hAnsi="Arial"/>
          <w:sz w:val="18"/>
          <w:szCs w:val="18"/>
          <w:color w:val="auto"/>
        </w:rPr>
        <w:t xml:space="preserve">See “Directors, Senior Management and Employees — Workforce Personnel” for further details regarding our employees and our relationships with them. </w:t>
      </w:r>
      <w:r>
        <w:rPr>
          <w:rFonts w:ascii="Arial" w:cs="Arial" w:eastAsia="Arial" w:hAnsi="Arial"/>
          <w:sz w:val="18"/>
          <w:szCs w:val="18"/>
          <w:b w:val="1"/>
          <w:bCs w:val="1"/>
          <w:i w:val="1"/>
          <w:iCs w:val="1"/>
          <w:color w:val="auto"/>
        </w:rPr>
        <w:t>Research and Development, Patents and Licenses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fiscal 2013, we released the Amdocs CES 9 portfolio which redefines the service provider’s operating environment by delivering 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and permits customers to take control of their experiences across any channel, network, service or device. We dedicated significant efforts and resources to integrating the components of the CES 9 portfolio, including deeper integration between our charging and billing, customer relationship management, ordering and foundation applications. Our portfolio of pre-integrated software products was built to span the entire customer lifecycle across BSS, OSS and network control and optimization domains to enable service providers to align their business processes around the end customer. In fiscal 2014, we released the Amdocs CES 9.1 portfolio to enable service providers to interact with customers via social media channels, cost-effectively enter and serve the SMB market and better manage the customer experience from the device to the network. We also expanded our offering in the network software domain to include solutions for intelligent Wi-Fi-offloading, automated small cell planning and project management and geo-located network insight for improved rollout of next generation networks.</w:t>
      </w:r>
    </w:p>
    <w:p>
      <w:pPr>
        <w:spacing w:after="0" w:line="4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fiscal 2014, we also devoted research and development resources to the Amdocs CES 9.2 product portfolio. Released in the first quarter of fiscal 2015, this release spans BSS, OSS and network control and optimization domains to enable service providers to centralize product and service data from Amdocs and third parties and eliminate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a variety of data sources, including the network and BSS suite. Within the network domain, Amdocs released several solutions to enable service providers to accelerate the transformation from physical to virtual networks and support the rapid deployment and monetization of multiple technologies, such as Fiber, LTE, Small Cells and Wi-Fi. Our products are designed to allow modular expansion as a service provider evolves, ensuring rapid, low-cost and reduced-risk implementations. In addition, Amdocs focuses on offering business solutions that leverage functionality from across the CES portfolio combined with services and industry knowledge. For software development, Amdocs uses Agile, a software development methodology based on iterative and incremental development where requirements and solutions evolve through collaboration between self-organizing, cross-functional teams.</w:t>
      </w:r>
    </w:p>
    <w:p>
      <w:pPr>
        <w:spacing w:after="0" w:line="39"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Substantially all of our research and development expenditures are directed at our customer experience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We lease land and buildings for our executive offices, sales, marketing, administrative, development and support centers. We lease an aggregate of approximately 3.0 million square feet worldwide, including significant leases in the United States, Israel, Canada, Cyprus, India and the United Kingdom. Our aggregate annual lease costs with respect to our properties as of October 31, 2014, including maintenance and other related costs, were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$62.0 million. The following table summarizes information with respect to the principal facilities leased by us and our subsidiaries as of October 31, 2014:</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294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6280" w:type="dxa"/>
            <w:vAlign w:val="bottom"/>
          </w:tcPr>
          <w:p>
            <w:pPr>
              <w:spacing w:after="0"/>
              <w:rPr>
                <w:sz w:val="14"/>
                <w:szCs w:val="14"/>
                <w:color w:val="auto"/>
              </w:rPr>
            </w:pP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190"/>
        </w:trPr>
        <w:tc>
          <w:tcPr>
            <w:tcW w:w="3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6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St. Louis, MO</w:t>
            </w:r>
          </w:p>
        </w:tc>
        <w:tc>
          <w:tcPr>
            <w:tcW w:w="7020" w:type="dxa"/>
            <w:vAlign w:val="bottom"/>
            <w:gridSpan w:val="3"/>
          </w:tcPr>
          <w:p>
            <w:pPr>
              <w:jc w:val="right"/>
              <w:ind w:right="100"/>
              <w:spacing w:after="0"/>
              <w:rPr>
                <w:sz w:val="20"/>
                <w:szCs w:val="20"/>
                <w:color w:val="auto"/>
              </w:rPr>
            </w:pPr>
            <w:r>
              <w:rPr>
                <w:rFonts w:ascii="Arial" w:cs="Arial" w:eastAsia="Arial" w:hAnsi="Arial"/>
                <w:sz w:val="18"/>
                <w:szCs w:val="18"/>
                <w:color w:val="auto"/>
              </w:rPr>
              <w:t>81,540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Jose, CA(*)</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62,560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Champaign, IL</w:t>
            </w:r>
          </w:p>
        </w:tc>
        <w:tc>
          <w:tcPr>
            <w:tcW w:w="7020" w:type="dxa"/>
            <w:vAlign w:val="bottom"/>
            <w:gridSpan w:val="3"/>
          </w:tcPr>
          <w:p>
            <w:pPr>
              <w:jc w:val="right"/>
              <w:ind w:right="100"/>
              <w:spacing w:after="0"/>
              <w:rPr>
                <w:sz w:val="20"/>
                <w:szCs w:val="20"/>
                <w:color w:val="auto"/>
              </w:rPr>
            </w:pPr>
            <w:r>
              <w:rPr>
                <w:rFonts w:ascii="Arial" w:cs="Arial" w:eastAsia="Arial" w:hAnsi="Arial"/>
                <w:sz w:val="18"/>
                <w:szCs w:val="18"/>
                <w:color w:val="auto"/>
              </w:rPr>
              <w:t>173,283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Eldorado Hills, CA(*)</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113,290</w:t>
            </w:r>
          </w:p>
        </w:tc>
        <w:tc>
          <w:tcPr>
            <w:tcW w:w="0" w:type="dxa"/>
            <w:vAlign w:val="bottom"/>
          </w:tcPr>
          <w:p>
            <w:pPr>
              <w:spacing w:after="0"/>
              <w:rPr>
                <w:sz w:val="1"/>
                <w:szCs w:val="1"/>
                <w:color w:val="auto"/>
              </w:rPr>
            </w:pPr>
          </w:p>
        </w:tc>
      </w:tr>
      <w:tr>
        <w:trPr>
          <w:trHeight w:val="223"/>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Others(*)</w:t>
            </w:r>
          </w:p>
        </w:tc>
        <w:tc>
          <w:tcPr>
            <w:tcW w:w="6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229,892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660,565</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Israel:</w:t>
            </w:r>
          </w:p>
        </w:tc>
        <w:tc>
          <w:tcPr>
            <w:tcW w:w="6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Ra’anana</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786,895</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Sderot</w:t>
            </w:r>
          </w:p>
        </w:tc>
        <w:tc>
          <w:tcPr>
            <w:tcW w:w="7020" w:type="dxa"/>
            <w:vAlign w:val="bottom"/>
            <w:gridSpan w:val="3"/>
          </w:tcPr>
          <w:p>
            <w:pPr>
              <w:jc w:val="right"/>
              <w:ind w:right="100"/>
              <w:spacing w:after="0"/>
              <w:rPr>
                <w:sz w:val="20"/>
                <w:szCs w:val="20"/>
                <w:color w:val="auto"/>
              </w:rPr>
            </w:pPr>
            <w:r>
              <w:rPr>
                <w:rFonts w:ascii="Arial" w:cs="Arial" w:eastAsia="Arial" w:hAnsi="Arial"/>
                <w:sz w:val="18"/>
                <w:szCs w:val="18"/>
                <w:color w:val="auto"/>
              </w:rPr>
              <w:t>99,040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Haifa</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31,681</w:t>
            </w:r>
          </w:p>
        </w:tc>
        <w:tc>
          <w:tcPr>
            <w:tcW w:w="0" w:type="dxa"/>
            <w:vAlign w:val="bottom"/>
          </w:tcPr>
          <w:p>
            <w:pPr>
              <w:spacing w:after="0"/>
              <w:rPr>
                <w:sz w:val="1"/>
                <w:szCs w:val="1"/>
                <w:color w:val="auto"/>
              </w:rPr>
            </w:pPr>
          </w:p>
        </w:tc>
      </w:tr>
      <w:tr>
        <w:trPr>
          <w:trHeight w:val="223"/>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Others</w:t>
            </w:r>
          </w:p>
        </w:tc>
        <w:tc>
          <w:tcPr>
            <w:tcW w:w="6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985,391</w:t>
            </w:r>
          </w:p>
        </w:tc>
        <w:tc>
          <w:tcPr>
            <w:tcW w:w="0" w:type="dxa"/>
            <w:vAlign w:val="bottom"/>
          </w:tcPr>
          <w:p>
            <w:pPr>
              <w:spacing w:after="0"/>
              <w:rPr>
                <w:sz w:val="1"/>
                <w:szCs w:val="1"/>
                <w:color w:val="auto"/>
              </w:rPr>
            </w:pPr>
          </w:p>
        </w:tc>
      </w:tr>
      <w:tr>
        <w:trPr>
          <w:trHeight w:val="363"/>
        </w:trPr>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80" w:type="dxa"/>
            <w:vAlign w:val="bottom"/>
          </w:tcPr>
          <w:p>
            <w:pPr>
              <w:jc w:val="right"/>
              <w:ind w:right="4332"/>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9000" w:type="dxa"/>
            <w:vAlign w:val="bottom"/>
            <w:vMerge w:val="restart"/>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9000" w:type="dxa"/>
            <w:vAlign w:val="bottom"/>
            <w:vMerge w:val="continue"/>
          </w:tcPr>
          <w:p>
            <w:pPr>
              <w:spacing w:after="0"/>
              <w:rPr>
                <w:sz w:val="14"/>
                <w:szCs w:val="14"/>
                <w:color w:val="auto"/>
              </w:rPr>
            </w:pP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190"/>
        </w:trPr>
        <w:tc>
          <w:tcPr>
            <w:tcW w:w="9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Canada:</w:t>
            </w: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Toronto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Montreal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60,274</w:t>
            </w:r>
          </w:p>
        </w:tc>
        <w:tc>
          <w:tcPr>
            <w:tcW w:w="0" w:type="dxa"/>
            <w:vAlign w:val="bottom"/>
          </w:tcPr>
          <w:p>
            <w:pPr>
              <w:spacing w:after="0"/>
              <w:rPr>
                <w:sz w:val="1"/>
                <w:szCs w:val="1"/>
                <w:color w:val="auto"/>
              </w:rPr>
            </w:pPr>
          </w:p>
        </w:tc>
      </w:tr>
      <w:tr>
        <w:trPr>
          <w:trHeight w:val="223"/>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Ottawa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119,388</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Cyprus (Limassol)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65,854</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Pune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623,004</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Delhi</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152,969</w:t>
            </w:r>
          </w:p>
        </w:tc>
        <w:tc>
          <w:tcPr>
            <w:tcW w:w="0" w:type="dxa"/>
            <w:vAlign w:val="bottom"/>
          </w:tcPr>
          <w:p>
            <w:pPr>
              <w:spacing w:after="0"/>
              <w:rPr>
                <w:sz w:val="1"/>
                <w:szCs w:val="1"/>
                <w:color w:val="auto"/>
              </w:rPr>
            </w:pPr>
          </w:p>
        </w:tc>
      </w:tr>
      <w:tr>
        <w:trPr>
          <w:trHeight w:val="223"/>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776,134</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53,534</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locations (*)(35 countries)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3,012,935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space sublet to third parties.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Our leases expire on various dates through 2024, not including various options to terminate or extend lease terms.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develop our customer experience solutions over a system of UNIX, Linux and Windows servers owned or leased by us. We use a variety of software products in our development centers, including products by Microsoft, Oracle, Syncsort, RedHat, CA, IBM and Hewlett-Packard. Our data storage is based mainly on equipment from EMC, NetApp, IBM, Hitachi and Hewlett-Packard. Our development servers are connected to more than 20,000 personal computers owned or leased by us.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both developed countries and emerging markets.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develop, implement and manage software and services associated with BSS, OSS and network control and optimization domains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solutions because of the crucial impact that these systems have on the service providers’ end-user experience.</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 global communications industry impacted by unprecedented growth in data demand, increasing number of connected devices, improvement in M2M technologies, the rising influence of device makers and over-the-top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players that bypass traditional service providers, consumers expect immediate and constant connectivity to personalized services, information and applications. To capture new revenue streams in this connected world, service providers will need the ability to expand within existing and non-traditional business models as they simultaneously attempt to reduce their costs in providing current and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 and their markets — grow and change.</w:t>
      </w:r>
    </w:p>
    <w:p>
      <w:pPr>
        <w:spacing w:after="0" w:line="3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part, we have sought, through acquisitions, to expand our service offerings and customer base and to enhance our ability to provide managed services to our customers. In recent years, we have completed numerous acquisitions, which, among other things, have expanded our business into digital commerce solutions and the network control and optimization market. As part of our strategy, we may continue to pursue acquisitions and other initiatives in order to offer new products or services, or otherwise enhance our market position or strategic strengths.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90" w:lineRule="exact"/>
        <w:rPr>
          <w:sz w:val="20"/>
          <w:szCs w:val="20"/>
          <w:color w:val="auto"/>
        </w:rPr>
      </w:pPr>
    </w:p>
    <w:p>
      <w:pPr>
        <w:ind w:left="660" w:right="240" w:hanging="206"/>
        <w:spacing w:after="0" w:line="357"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complete, modular yet integrated portfolio of customer experience solutions, including revenue management customer management, OSS, network control and optimization, digital lifestyle services, big data analytics and M2M solutions, all employing a unified foundation of products and tools.</w:t>
      </w:r>
    </w:p>
    <w:p>
      <w:pPr>
        <w:ind w:left="660" w:hanging="206"/>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comprehensive line of services. Because our customers’ projects are complex and require systems support expertise, we provide business process and IT services, including business consulting, systems integration and transformation, project delivery, testing, order to activation VPO, managed services and product support to assist our customers with their business strategy, system implementation, integration, modification, consolidation, modernization, ongoing support, enhancement and maintenance needs. In addition, we offer comprehensive learning services to help our customers develop competency in their Amdocs systems and applications.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designed our customer experience solutions to meet the high-volume, complex needs of Tier-1 and Tier-2 service providers and to address the unique issues of service providers in high growth emerging markets. We support our customers’ various lines of business, including wireline, wireless, broadband, cable and satellite, and a wide range of communication services, including voice, video, data, content, electronic and mobile commerce applications. In addition, we support companies that offer bundled or convergent service packages.</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advertising service providers, media publishers and ad agencies to facilitate cost-effective digital media-centric operations from selling ads to the management of the fulfillment, operations, consumer experience and financial processes across digital and print media.</w:t>
      </w:r>
    </w:p>
    <w:p>
      <w:pPr>
        <w:spacing w:after="0" w:line="5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fiscal 2014, customers in North America accounted for 72.7% of our revenue, while customers in Europe and the rest of the world accounted for 12.6% and 14.7%, respectively. Customers in emerging markets accounted for 11.9% of our revenue in fiscal 2014. We maintain development facilities in Brazil, Canada, Cyprus, India, Ireland, Israel, the United Kingdom and the United States. Historically, AT&amp;T has been our largest customer, accounting for 33% of our revenue in fiscal 2014 and 28% in fiscal 2013. Aggregate revenue derived from the multiple business arrangements we have with our ten largest customers accounted for approximately 73% of our revenue in fiscal 2014 and 70% in fiscal 2013.</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demand for our customer experience solutions is primarily driven by the following key factors:</w:t>
      </w:r>
    </w:p>
    <w:p>
      <w:pPr>
        <w:spacing w:after="0" w:line="9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Transformation within the communication industry,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continued rapid growth in emerging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90" w:lineRule="exact"/>
        <w:rPr>
          <w:rFonts w:ascii="Arial" w:cs="Arial" w:eastAsia="Arial" w:hAnsi="Arial"/>
          <w:sz w:val="18"/>
          <w:szCs w:val="18"/>
          <w:color w:val="auto"/>
        </w:rPr>
      </w:pPr>
    </w:p>
    <w:p>
      <w:pPr>
        <w:ind w:left="900" w:right="280" w:hanging="217"/>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emergence and development of new communications products and services, such as Web services, video, data and content services, including IP-based services, such as Internet Protocol (IP), Internet Protocol Television (IPTV), M2M, Wi-Fi and Voice over IP,</w:t>
      </w:r>
    </w:p>
    <w:p>
      <w:pPr>
        <w:spacing w:after="0" w:line="4" w:lineRule="exact"/>
        <w:rPr>
          <w:rFonts w:ascii="Arial" w:cs="Arial" w:eastAsia="Arial" w:hAnsi="Arial"/>
          <w:sz w:val="16"/>
          <w:szCs w:val="16"/>
          <w:color w:val="auto"/>
        </w:rPr>
      </w:pPr>
    </w:p>
    <w:p>
      <w:pPr>
        <w:ind w:left="900" w:right="180" w:hanging="217"/>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evolution to and expansion of more sophisticated and connected communication devices, such as smart devices, electronic book readers, energy meters and systems for global positioning, home security and home health monitoring, that enable communication across and between devices and widespread access to information,</w:t>
      </w:r>
    </w:p>
    <w:p>
      <w:pPr>
        <w:spacing w:after="0" w:line="59" w:lineRule="exact"/>
        <w:rPr>
          <w:rFonts w:ascii="Arial" w:cs="Arial" w:eastAsia="Arial" w:hAnsi="Arial"/>
          <w:sz w:val="18"/>
          <w:szCs w:val="18"/>
          <w:color w:val="auto"/>
        </w:rPr>
      </w:pPr>
    </w:p>
    <w:p>
      <w:pPr>
        <w:ind w:left="900" w:right="40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adoption of cloud technologies to enable new revenue models and business opportunities, such as traditional communication services and cloud services bundled together and targeted to SMBs,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evolution to next-generation networks that enable converged services offerings, such as fixed-mobile convergence, and</w:t>
      </w:r>
    </w:p>
    <w:p>
      <w:pPr>
        <w:spacing w:after="0" w:line="90" w:lineRule="exact"/>
        <w:rPr>
          <w:rFonts w:ascii="Arial" w:cs="Arial" w:eastAsia="Arial" w:hAnsi="Arial"/>
          <w:sz w:val="18"/>
          <w:szCs w:val="18"/>
          <w:color w:val="auto"/>
        </w:rPr>
      </w:pPr>
    </w:p>
    <w:p>
      <w:pPr>
        <w:ind w:left="900" w:right="64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technological changes, such as the introduction of 4G wireless technology, next-generation content systems, fiber to the x (FTTx), Wi-Fi, IP Multimedia Subsystem (IMS) and LTE-based access technologies such as VoLTE.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need for service providers to focus on their customers in order to build profitable customer relationships,</w:t>
      </w:r>
    </w:p>
    <w:p>
      <w:pPr>
        <w:spacing w:after="0" w:line="90" w:lineRule="exact"/>
        <w:rPr>
          <w:rFonts w:ascii="Arial" w:cs="Arial" w:eastAsia="Arial" w:hAnsi="Arial"/>
          <w:sz w:val="18"/>
          <w:szCs w:val="18"/>
          <w:color w:val="auto"/>
        </w:rPr>
      </w:pPr>
    </w:p>
    <w:p>
      <w:pPr>
        <w:ind w:left="900" w:right="34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need for service providers to have a unified view of the customer and deliver a personalized experience across multiple services, devices and channels,</w:t>
      </w:r>
    </w:p>
    <w:p>
      <w:pPr>
        <w:spacing w:after="0" w:line="50" w:lineRule="exact"/>
        <w:rPr>
          <w:rFonts w:ascii="Arial" w:cs="Arial" w:eastAsia="Arial" w:hAnsi="Arial"/>
          <w:sz w:val="18"/>
          <w:szCs w:val="18"/>
          <w:color w:val="auto"/>
        </w:rPr>
      </w:pPr>
    </w:p>
    <w:p>
      <w:pPr>
        <w:ind w:left="900" w:right="30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“authority shift” toward the consumer, with increased customer expectations for new, innovative services and applications that are personally relevant and that can be accessed anytime, anywhere and from any device,</w:t>
      </w:r>
    </w:p>
    <w:p>
      <w:pPr>
        <w:spacing w:after="0" w:line="50"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ever-increasing expectation of customer service and support, including access to self-service options that are convenient, proactive and consistent across all channels, and</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need for service providers to differentiate themselves by creating a unique and mutually-valuable customer experience.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90" w:lineRule="exact"/>
        <w:rPr>
          <w:rFonts w:ascii="Arial" w:cs="Arial" w:eastAsia="Arial" w:hAnsi="Arial"/>
          <w:sz w:val="18"/>
          <w:szCs w:val="18"/>
          <w:color w:val="auto"/>
        </w:rPr>
      </w:pPr>
    </w:p>
    <w:p>
      <w:pPr>
        <w:ind w:left="900" w:right="14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50" w:lineRule="exact"/>
        <w:rPr>
          <w:rFonts w:ascii="Arial" w:cs="Arial" w:eastAsia="Arial" w:hAnsi="Arial"/>
          <w:sz w:val="18"/>
          <w:szCs w:val="18"/>
          <w:color w:val="auto"/>
        </w:rPr>
      </w:pPr>
    </w:p>
    <w:p>
      <w:pPr>
        <w:ind w:left="900" w:right="200" w:hanging="217"/>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automating and integrating business processes that span service providers’ BSS, OSS and network control and optimization platforms and create a simple, one-company face to customers,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fiscal 2014, our total revenue was $3.56 billion, of which $3.44 billion, or 96.4%, was attributable to the sale of customer experience solutions. Revenue from managed services arrangements (for customer experience solutions and advertising and media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$1.73 billion and $1.70 billion of revenue in fiscal 2014 and 2013,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fiscal 2013, we released the Amdocs CES 9 portfolio which redefines the service provider’s operating environment by delivering 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and permits customers to take control of their experiences across any channel, network, service or device. We dedicated significant efforts and resources to the integration among the components of the CES 9 portfolio, including deeper integration between our charging and billing, customer relationship management, ordering and foundation applications. Our portfolio of pre-integrated software products was built to span the entire customer lifecycle across BSS, OSS and network control and optimization domains to enable service providers to align their business processes around the end customer. In fiscal 2014, we released the Amdocs CES 9.1 portfolio to enable service providers to interact with customers via social media channels, cost-effectively enter and serve the SMB market and better manage the customer experience from the device to the network. We also expanded our offering in the network software domain to include solutions for intelligent Wi-Fi offloading, automated small cell planning and project management and geo-located network insight for improved rollout of next generation networks. During fiscal 2014, we also devoted research and development resources to the Amdocs CES 9.2 product portfolio. Released in the first quarter of fiscal 2015, this release spans BSS, OSS and network control and optimization domains to enable service providers to centralize product and service data from Amdocs and third-parties and eliminate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 from a variety of data sources, including the network and BSS suite. Within the network domain, Amdocs released several solutions to enable service providers to accelerate the transformation from physical to virtual networks and support the rapid deployment and monetization of multiple technologies, such as Fiber, LTE, Small Cells and Wi-Fi. Our products are designed to allow modular expansion as a service provider evolves, ensuring rapid, low-cost and reduced-risk implementations. In addition, Amdocs focuses on offering business solutions that leverage functionality from across the CES portfolio combined with services and industry knowledge. For software development, Amdocs uses Agile, a software development methodology based on iterative and incremental development where requirements and solutions evolve through collaboration between self-organizing, cross-functional teams.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Substantially all of our research and development expenditures are directed at our customer experience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for the fiscal years ended September 30, 2014, 2013 and 2012, certain items in our consolidated statements of income reflected as a percentage of total revenue: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License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100.0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64.7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7.2</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0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13.9</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13.7</w:t>
            </w: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11.8%</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20" w:type="dxa"/>
            <w:vAlign w:val="bottom"/>
            <w:vMerge w:val="restart"/>
          </w:tcPr>
          <w:p>
            <w:pPr>
              <w:jc w:val="right"/>
              <w:ind w:right="2172"/>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2014 and 2013</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2014, compared to the fiscal year ended September 30, 2013.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Increase (Decrease)</w:t>
            </w: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91,798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81,613</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10,185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3,471,839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207,598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3,563,637</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3,345,854</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217,783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2,304,124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2,164,450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139,674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257,896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240,266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17,630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26,560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58,067</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2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3,067,989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203,687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495,648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481,552</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14,096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489,550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475,477</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14,073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67,428</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422,122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412,439</w:t>
            </w:r>
          </w:p>
        </w:tc>
        <w:tc>
          <w:tcPr>
            <w:tcW w:w="4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9,683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by $217.8 million, or 6.5%, to $3,563.6 million in fiscal 2014, from $3,345.9 million in fiscal 2013.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primarily attributable to increased activity in North America and Europe. The 6.5% increase in revenue, which was net of a decrease of approximately half a percent from foreign exchange fluctuations, was also positively affected by network optimization activity related to our recent acquisitions of Actix and Celcite.</w:t>
      </w:r>
    </w:p>
    <w:p>
      <w:pPr>
        <w:spacing w:after="0" w:line="62"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Total license and service revenue attributable to the sale of customer experience solutions increased by $249.9 million, or 7.8%, to $3,435.5 million in fiscal 2014, from $3,185.6 million in fiscal 2013. The increase in revenue was primarily attributable to increased activity in North America and Europe. The increase in revenue was also positively affected by network optimization activity. License and service revenue resulting from the sale of customer experience solutions represented 96.4% and 95.2% of our total revenue in fiscal 2014 and 2013, respectively.</w:t>
      </w:r>
    </w:p>
    <w:p>
      <w:pPr>
        <w:spacing w:after="0" w:line="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Total license and service revenue attributable to the sale of directory systems decreased by $32.0 million, or 20.0%, to $128.2 million in fiscal 2014, from $160.2 million in fiscal 2013. The decrease in revenue was primarily attributable to continued slowness in the directory systems market leading to lower revenue from managed services arrangements for directory systems customers. License and service revenue from the sale of directory systems represented 3.6% and 4.8% of our total revenue in fiscal 2014 and 2013, respectively.</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fiscal 2014, revenue from customers in North America, Europe and the rest of the world accounted for 72.7%, 12.6% and 14.7%, respectively, of total revenue, compared to 72.4%, 11.9% and 15.7%, respectively, in fiscal 2013. The increase in revenue as a percentage of total revenue from customers in North America was primarily attributable to increased activity with AT&amp;T. The increase in revenue as a percentage of total revenue from customers in Europe was attributable to higher revenue from managed services arrangements. Revenue from customers in the rest of the world decreased as a percentage of total revenue as a result of a slight decrease in revenue from customers in the rest of the world, while total revenue increased in North America and Europe.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Cost of License and Service. </w:t>
      </w:r>
      <w:r>
        <w:rPr>
          <w:rFonts w:ascii="Arial" w:cs="Arial" w:eastAsia="Arial" w:hAnsi="Arial"/>
          <w:sz w:val="16"/>
          <w:szCs w:val="16"/>
          <w:color w:val="auto"/>
        </w:rPr>
        <w:t>Cost of license includes fee and royalty payments to software suppliers. Cost of service consists primarily of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and services. As a percentage of revenue, cost of license and service remained flat from fiscal 2013 to fiscal 2014. Gross margin in fiscal 2014 was positively affected because a larger portion of revenue and expense was attributable to customers in developed markets, where we are well-established and generally realize higher margins; however, this was offset by our activities in Asia Pacific and Central and Latin America, where we incurred costs associated with continued efforts to expand our business into those markets.</w:t>
      </w:r>
    </w:p>
    <w:p>
      <w:pPr>
        <w:spacing w:after="0" w:line="3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$17.6 million, or 7.3%, to $257.9 million in fiscal 2014, from $240.3 million in fiscal 2013. The increase in research and development expense was primarily attributable to network software research and development activity and, to a lesser extent, efforts related to an expansion of our big data analytics offerings. Research and development expense as a percentage of revenue was 7.2% in fiscal 2014 and 2013.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 Please see “Research and Development, Patents and Licenses.”</w:t>
      </w:r>
    </w:p>
    <w:p>
      <w:pPr>
        <w:spacing w:after="0" w:line="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$26.6 million, or 6.3%, to $445.1 million in fiscal 2014, from $418.6 million in fiscal 2013. The increase in selling, general and administrative expense was primarily attributable to compensation costs related to our expanded network optimization activities. Selling, general and administrative expense may fluctuate from time to time, depending upon such factors as changes in our workforce and sales efforts and the results of any operational efficiency programs that we may undertake.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increased by $19.7 million, or 51.2%,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$58.1 million in fiscal 2014, from $38.4 million in fiscal 2013. The increase in amortization of purchased intangible assets and other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amortization of intangible assets due to the acquisitions of Actix and Celcite, partially offset by timing of amortization charges of previously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intangible assets.</w:t>
      </w:r>
    </w:p>
    <w:p>
      <w:pPr>
        <w:spacing w:after="0" w:line="8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$14.1 million, or 2.9%, to $495.6 million in fiscal 2014, from $481.6 million in fiscal 2013.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decreased as a percentage of revenue, from 14.4% in fiscal 2013 to 13.9% in fiscal 2014. The decrease in operating income as a percentage of revenue was attributable to the increase in amortization of purchased intangible assets and other. Positive foreign exchange impacts on our operating expenses were partially offset by the negative foreign exchange impacts on our revenue, resulting in a minor positive impact on our operating income.</w:t>
      </w:r>
    </w:p>
    <w:p>
      <w:pPr>
        <w:spacing w:after="0" w:line="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2014 were $67.4 million on pre-tax income of $489.6 million, resulting in an effective tax rate of 13.8%,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13.3% in fiscal 2013. Our effective tax rate may fluctuate between periods as a result of discrete items that may affect a particular period. Please see Note 11 to our consolidated financial statements.</w:t>
      </w:r>
    </w:p>
    <w:p>
      <w:pPr>
        <w:spacing w:after="0" w:line="5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$9.7 million, or 2.3%, to $422.1 million in fiscal 2014, from $412.4 million in fiscal 2013.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attributable to the increase in operating income, partially offset by the increase in income taxes.</w:t>
      </w:r>
    </w:p>
    <w:p>
      <w:pPr>
        <w:spacing w:after="0" w:line="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$0.09, or 3.6%, to $2.62 in fiscal 2014, from $2.53 in fiscal 2013.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mainly attributable to the increase in net income and, to a lesser extent, the decrease in the diluted weighted average number of shares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2013 and 2012</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2013, compared to the fiscal year ended September 30, 2012.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7"/>
              </w:rPr>
              <w:t>Year Ended September 30,</w:t>
            </w:r>
          </w:p>
        </w:tc>
        <w:tc>
          <w:tcPr>
            <w:tcW w:w="10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3"/>
              </w:rPr>
              <w:t>Amount</w:t>
            </w:r>
          </w:p>
        </w:tc>
        <w:tc>
          <w:tcPr>
            <w:tcW w:w="6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81,613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120,443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(38,830)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3,126,460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137,781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3,345,854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3,246,903</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98,951</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2,164,450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2,081,945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82,505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242,063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(1,797)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424,671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52,229</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(13,819)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2,804,431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59,871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481,552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442,472</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39,080</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475,477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441,524</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33,953</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12,885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412,439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391,371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21,068</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increased by $99.0 million, or 3.0%, to $3,345.9 million in fiscal 2013, from $3,246.9 million in fiscal 2012.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was primarily attributable to our increased activity in North America, including for AT&amp;T, partially offset by a decrease in revenue from customers in Europe and the rest of the world. The 3.0% increase in total revenue was net of a decrease of approximately half a percent from foreign exchange fluctuations.</w:t>
      </w:r>
    </w:p>
    <w:p>
      <w:pPr>
        <w:spacing w:after="0" w:line="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License revenue in fiscal 2013 decreased by $38.8 million, or 32.2%, to $81.6 million, from $120.4 million in fiscal 2012. The decrease in license revenue was primarily attributable to the progress of certain transformation and implementation projects, which may fluctuate from period to period.</w:t>
      </w:r>
    </w:p>
    <w:p>
      <w:pPr>
        <w:spacing w:after="0" w:line="4"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Total revenue attributable to the sale of customer experience solutions increased by $119.4 million, or 3.9%, to $3,185.6 million in fiscal 2013, from $3,066.2 million in fiscal 2012. The increase was primarily attributable to our increased activity in North America, including for AT&amp;T, partially offset by a decrease in revenue from customers in Europe. License and service revenue resulting from the sale of customer experience solutions represented 95.2% and 94.4% of our total revenue in fiscal 2013 and 2012, respectively.</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Total revenue attributable to the sale of directory systems decreased by $20.5 million, or 11.3%, to $160.2 million in fiscal 2013, from $180.7 million in fiscal 2012. The decrease was primarily attributable to continued slowness in the directory systems market leading to lower revenue from discretionary spending under managed services arrangements for directory systems. License and service revenue from the sale of directory systems represented 4.8% and 5.6% of our total revenue in fiscal 2013 and 2012, respectively.</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fiscal 2013, revenue from customers in North America, Europe and the rest of the world accounted for 72.4%, 11.9% and 15.7%, respectively, of total revenue, compared to 69.8%, 13.6% and 16.6%, respectively, for fiscal 2012. Revenue from North American customers increased as a percentage of total revenue during fiscal 2013, primarily due to higher revenue from AT&amp;T and other key customers in North America. The decrease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as a percentage of total revenue from customers in Europe was primarily attributable to lower revenue related to the ramp down and completion of certain transformation and implementation projects, which was not offset by sufficient revenue from new deals. The decrease in revenue as a percentage of total revenue from customers in the rest of the world was primarily attributable to our reduced activity in developed markets in those regions, partially offset by our increased activity in emerging markets.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Cost of License and Service. </w:t>
      </w:r>
      <w:r>
        <w:rPr>
          <w:rFonts w:ascii="Arial" w:cs="Arial" w:eastAsia="Arial" w:hAnsi="Arial"/>
          <w:sz w:val="18"/>
          <w:szCs w:val="18"/>
          <w:color w:val="auto"/>
        </w:rPr>
        <w:t>Cost of license and service increased by $81.6 million, or 3.9%, to $2,167.1 million in fiscal 2013, from $2,085.5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2012. As a percentage of revenue, cost of license and service increased to 64.8% in fiscal 2013 from 64.2% in fiscal 2012. The decrease in our gross margin was primarily attributable to our activities in Asia Pacific and Central and Latin America, where we increased our level of investment to further penetrate these regions.</w:t>
      </w:r>
    </w:p>
    <w:p>
      <w:pPr>
        <w:spacing w:after="0" w:line="6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decreased by $1.8 million, or 0.7%, to $240.3 million in fiscal 2013, from $242.1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2012. Research and development expense decreased as a percentage of revenue from 7.5% in fiscal 2012 to 7.2% in fiscal 2013.</w:t>
      </w:r>
    </w:p>
    <w:p>
      <w:pPr>
        <w:spacing w:after="0" w:line="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by $6.1 million, or 1.4%, to $418.6 million in fiscal 2013, from</w:t>
      </w:r>
      <w:r>
        <w:rPr>
          <w:rFonts w:ascii="Arial" w:cs="Arial" w:eastAsia="Arial" w:hAnsi="Arial"/>
          <w:sz w:val="18"/>
          <w:szCs w:val="18"/>
          <w:i w:val="1"/>
          <w:iCs w:val="1"/>
          <w:color w:val="auto"/>
        </w:rPr>
        <w:t xml:space="preserve"> </w:t>
      </w:r>
      <w:r>
        <w:rPr>
          <w:rFonts w:ascii="Arial" w:cs="Arial" w:eastAsia="Arial" w:hAnsi="Arial"/>
          <w:sz w:val="18"/>
          <w:szCs w:val="18"/>
          <w:color w:val="auto"/>
        </w:rPr>
        <w:t>$424.7 million in fiscal 2012.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decreased by $13.8 million, or 26.5%,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$38.4 million in fiscal 2013, from $52.2 million in fiscal 2012. The decrease in amortization of purchased intangible assets and other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of amortization charges.</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$39.1 million, or 8.8%, to $481.6 million in fiscal 2013, from $442.5 million in fiscal 2012.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increased as a percentage of revenue, from 13.6% in fiscal 2012 to 14.4% in fiscal 2013.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and other expense, net, increased by $5.1 million to $6.1 million in fiscal 2013, from $0.9 million in fiscal 2012.</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interest and other expense, net, was primarily attributable to a gain, recorded in fiscal 2012, resulting from the sale of our minority interest in Longshine Information Technology Company, our former Chinese subsidiary. Please see Note 16 to our consolidated financial statements.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2013 were $63.0 million on pre-tax income of $475.5 million, resulting in an effective tax rate of 13.3%,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11.4% in fiscal 2012. Please see Note 11 to our consolidated financial statements.</w:t>
      </w:r>
    </w:p>
    <w:p>
      <w:pPr>
        <w:spacing w:after="0" w:line="51" w:lineRule="exact"/>
        <w:rPr>
          <w:sz w:val="20"/>
          <w:szCs w:val="20"/>
          <w:color w:val="auto"/>
        </w:rPr>
      </w:pPr>
    </w:p>
    <w:p>
      <w:pPr>
        <w:jc w:val="both"/>
        <w:ind w:right="460" w:firstLine="456"/>
        <w:spacing w:after="0" w:line="357" w:lineRule="auto"/>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increased by $21.1 million, or 5.4%, to $412.4 million in fiscal 2013, from $391.4 million in fiscal 2012. The increase in net</w:t>
      </w:r>
      <w:r>
        <w:rPr>
          <w:rFonts w:ascii="Arial" w:cs="Arial" w:eastAsia="Arial" w:hAnsi="Arial"/>
          <w:sz w:val="15"/>
          <w:szCs w:val="15"/>
          <w:i w:val="1"/>
          <w:iCs w:val="1"/>
          <w:color w:val="auto"/>
        </w:rPr>
        <w:t xml:space="preserve"> </w:t>
      </w:r>
      <w:r>
        <w:rPr>
          <w:rFonts w:ascii="Arial" w:cs="Arial" w:eastAsia="Arial" w:hAnsi="Arial"/>
          <w:sz w:val="15"/>
          <w:szCs w:val="15"/>
          <w:color w:val="auto"/>
        </w:rPr>
        <w:t>income was primarily attributable to the increase in operating income, partially offset by the increase in income taxes and in interest and other expense, net.</w:t>
      </w: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$0.22, or 9.5%, to $2.53 in fiscal 2013, from $2.31 in fiscal 2012.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the result of an increase in net income, coupled with a decrease in the diluted weighted average number of shares outstanding due primarily to our repurchase of ordinary shares, partially offset by stock option exercises.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debt, totaled $1.21 billion as of September 30, 2014, compared to $1.13 billion as of September 30, 2013. The increase during fiscal 2014 was mainly attributable to $709.3 million in cash flow from operations and $128.1 million of proceeds from stock option exercises, partially offset by $372.0 million used to repurchase our ordinary shares, $180.5 million in net cash paid for acquisitions, $111.6 million for capital expenditures, net and $90.9 million of cash dividend payments. Net cash provided by operating activities amounted to $709.3 million and $670.5 million in fiscal 2014 and 2013,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59" w:lineRule="exact"/>
        <w:rPr>
          <w:sz w:val="20"/>
          <w:szCs w:val="20"/>
          <w:color w:val="auto"/>
        </w:rPr>
      </w:pPr>
    </w:p>
    <w:p>
      <w:pPr>
        <w:ind w:right="300" w:firstLine="456"/>
        <w:spacing w:after="0" w:line="314" w:lineRule="auto"/>
        <w:rPr>
          <w:sz w:val="20"/>
          <w:szCs w:val="20"/>
          <w:color w:val="auto"/>
        </w:rPr>
      </w:pPr>
      <w:r>
        <w:rPr>
          <w:rFonts w:ascii="Arial" w:cs="Arial" w:eastAsia="Arial" w:hAnsi="Arial"/>
          <w:sz w:val="15"/>
          <w:szCs w:val="15"/>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(loss) income, net of tax, unless a security is other than temporarily impaired, in which case the loss is recorded in the income statement. Our interest-bearing investments are priced by pricing vendors and are classified as Level 1 or Level 2 investments, since these vendors either provide a quoted market price in an active market or use other observable inputs to price these securities. Please see Notes 4 and 5 to our consolidated financial statements.</w:t>
      </w:r>
    </w:p>
    <w:p>
      <w:pPr>
        <w:spacing w:after="0" w:line="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Revolving Credit Facility, Letters of Credit and Guarantees. </w:t>
      </w:r>
      <w:r>
        <w:rPr>
          <w:rFonts w:ascii="Arial" w:cs="Arial" w:eastAsia="Arial" w:hAnsi="Arial"/>
          <w:sz w:val="16"/>
          <w:szCs w:val="16"/>
          <w:color w:val="auto"/>
        </w:rPr>
        <w:t>In 2011, we entered into an unsecured $500.0 million five-year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As of September 30, 2014, we were in compliance with the financial covenants under the revolving credit facility. In September 2014, we borrowed an aggregate of $210.0 million under the facility and repaid it in October 2014.</w:t>
      </w:r>
    </w:p>
    <w:p>
      <w:pPr>
        <w:spacing w:after="0" w:line="3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September 30, 2014, we had several uncommitted lines of credit available for general corporate and other specific purposes and had outstanding letters of credit and bank guarantees from various banks totaling $75.4 million.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consist of purchases of computer equipment, and the remainder is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mainly to leasehold improvements. Our capital expenditures were approximately $111.6 million in fiscal 2014. Our fiscal 2014 capital expenditures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On November 6, 2012, our Board of Directors adopted a share repurchase plan authorizing the repurchase of up to $500.0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outstanding ordinary shares with no expiration date and on April 30, 2014, adopted another share repurchase plan authorizing the repurchase of up to $750.0 million of our outstanding ordinary shares. The authorizations have no expiration date and permit us to purchase our ordinary shares in open market or privately negotiated transactions at times and prices that we consider appropriate. In August 2014, we completed the repurchase of the remaining authorized amount under the November 2012 plan and began executing repurchases under the April 2014 plan. In fiscal 2014, we repurchased 8.4 million ordinary shares at an average price of $44.14 per share (excluding broker and transaction fees). As of September 30, 2014, we had remaining authority to repurchase up to $714.0 million of our outstanding ordinary shares under the April 2014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2014, 2013 and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Dividends Per</w:t>
            </w: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24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2"/>
              </w:rPr>
              <w:t>Ordinary</w:t>
            </w:r>
          </w:p>
        </w:tc>
        <w:tc>
          <w:tcPr>
            <w:tcW w:w="1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Total Amount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rPr>
              <w:t>Share</w:t>
            </w:r>
          </w:p>
        </w:tc>
        <w:tc>
          <w:tcPr>
            <w:tcW w:w="142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4"/>
                <w:szCs w:val="14"/>
                <w:color w:val="auto"/>
              </w:rPr>
            </w:pPr>
          </w:p>
        </w:tc>
        <w:tc>
          <w:tcPr>
            <w:tcW w:w="146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29, 2014</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0.155</w:t>
            </w:r>
          </w:p>
        </w:tc>
        <w:tc>
          <w:tcPr>
            <w:tcW w:w="6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September 30, 2014</w:t>
            </w: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w:t>
            </w:r>
          </w:p>
        </w:tc>
        <w:tc>
          <w:tcPr>
            <w:tcW w:w="6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October 17, 2014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April 30, 2014</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0.155</w:t>
            </w:r>
          </w:p>
        </w:tc>
        <w:tc>
          <w:tcPr>
            <w:tcW w:w="1420" w:type="dxa"/>
            <w:vAlign w:val="bottom"/>
          </w:tcPr>
          <w:p>
            <w:pPr>
              <w:spacing w:after="0"/>
              <w:rPr>
                <w:sz w:val="20"/>
                <w:szCs w:val="20"/>
                <w:color w:val="auto"/>
              </w:rPr>
            </w:pPr>
            <w:r>
              <w:rPr>
                <w:rFonts w:ascii="Arial" w:cs="Arial" w:eastAsia="Arial" w:hAnsi="Arial"/>
                <w:sz w:val="18"/>
                <w:szCs w:val="18"/>
                <w:color w:val="auto"/>
              </w:rPr>
              <w:t>June 30, 2014</w:t>
            </w:r>
          </w:p>
        </w:tc>
        <w:tc>
          <w:tcPr>
            <w:tcW w:w="8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0.155</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8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tcPr>
          <w:p>
            <w:pPr>
              <w:spacing w:after="0"/>
              <w:rPr>
                <w:sz w:val="20"/>
                <w:szCs w:val="20"/>
                <w:color w:val="auto"/>
              </w:rPr>
            </w:pPr>
            <w:r>
              <w:rPr>
                <w:rFonts w:ascii="Arial" w:cs="Arial" w:eastAsia="Arial" w:hAnsi="Arial"/>
                <w:sz w:val="18"/>
                <w:szCs w:val="18"/>
                <w:color w:val="auto"/>
                <w:w w:val="88"/>
              </w:rPr>
              <w:t>December 31, 2013</w:t>
            </w:r>
          </w:p>
        </w:tc>
        <w:tc>
          <w:tcPr>
            <w:tcW w:w="8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86"/>
              </w:rPr>
              <w:t>January 17, 2014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2013</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5"/>
              </w:rPr>
              <w:t>September 30, 2013</w:t>
            </w:r>
          </w:p>
        </w:tc>
        <w:tc>
          <w:tcPr>
            <w:tcW w:w="8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October 18, 2013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tcPr>
          <w:p>
            <w:pPr>
              <w:spacing w:after="0"/>
              <w:rPr>
                <w:sz w:val="20"/>
                <w:szCs w:val="20"/>
                <w:color w:val="auto"/>
              </w:rPr>
            </w:pPr>
            <w:r>
              <w:rPr>
                <w:rFonts w:ascii="Arial" w:cs="Arial" w:eastAsia="Arial" w:hAnsi="Arial"/>
                <w:sz w:val="18"/>
                <w:szCs w:val="18"/>
                <w:color w:val="auto"/>
              </w:rPr>
              <w:t>June 28, 2013</w:t>
            </w:r>
          </w:p>
        </w:tc>
        <w:tc>
          <w:tcPr>
            <w:tcW w:w="8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March 28, 2013</w:t>
            </w:r>
          </w:p>
        </w:tc>
        <w:tc>
          <w:tcPr>
            <w:tcW w:w="8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tcPr>
          <w:p>
            <w:pPr>
              <w:spacing w:after="0"/>
              <w:rPr>
                <w:sz w:val="20"/>
                <w:szCs w:val="20"/>
                <w:color w:val="auto"/>
              </w:rPr>
            </w:pPr>
            <w:r>
              <w:rPr>
                <w:rFonts w:ascii="Arial" w:cs="Arial" w:eastAsia="Arial" w:hAnsi="Arial"/>
                <w:sz w:val="18"/>
                <w:szCs w:val="18"/>
                <w:color w:val="auto"/>
                <w:w w:val="88"/>
              </w:rPr>
              <w:t>December 31, 2012</w:t>
            </w:r>
          </w:p>
        </w:tc>
        <w:tc>
          <w:tcPr>
            <w:tcW w:w="8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w:t>
            </w:r>
          </w:p>
        </w:tc>
        <w:tc>
          <w:tcPr>
            <w:tcW w:w="6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2012</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0.130</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5"/>
              </w:rPr>
              <w:t>September 28, 2012</w:t>
            </w:r>
          </w:p>
        </w:tc>
        <w:tc>
          <w:tcPr>
            <w:tcW w:w="8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October 19, 2012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November 4, 2014, our Board of Directors approved the next dividend payment, at the rate of $0.155 per share, and set December 31, 2014 as the record date for determining the shareholders entitled to receive the dividend, which is payable on January 16, 2015.</w:t>
      </w:r>
    </w:p>
    <w:p>
      <w:pPr>
        <w:spacing w:after="0" w:line="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November 4, 2014, our Board of Directors also approved, subject to shareholder approval at the January 2015 annual general meeting of shareholders, an increase in the quarterly cash dividend to $0.17 per share, anticipated to be paid in April 2015.</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further shareholder approval.</w:t>
      </w:r>
    </w:p>
    <w:p>
      <w:pPr>
        <w:spacing w:after="0" w:line="3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September 30, 2014, and the effect such obligations are expected to have on our liquidity and cash flows in future periods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660" w:type="dxa"/>
            <w:vAlign w:val="bottom"/>
            <w:gridSpan w:val="4"/>
            <w:vMerge w:val="continue"/>
          </w:tcPr>
          <w:p>
            <w:pPr>
              <w:spacing w:after="0"/>
              <w:rPr>
                <w:sz w:val="14"/>
                <w:szCs w:val="14"/>
                <w:color w:val="auto"/>
              </w:rPr>
            </w:pPr>
          </w:p>
        </w:tc>
        <w:tc>
          <w:tcPr>
            <w:tcW w:w="5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1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6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Long-term debt(1)</w:t>
            </w:r>
          </w:p>
        </w:tc>
        <w:tc>
          <w:tcPr>
            <w:tcW w:w="51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$210.6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Pension funding</w:t>
            </w: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Non-cancelable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265.5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46.2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48.5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1840" w:hanging="5612"/>
        <w:spacing w:after="0" w:line="440" w:lineRule="auto"/>
        <w:tabs>
          <w:tab w:leader="none" w:pos="4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September 2014, we borrowed an aggregate of $210.0 million under our revolving credit facility and repaid it in October 2014. 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total amount of unrecognized tax benefits for uncertain tax positions was $123.9 million as of September 30, 2014. Payment of these obligations would result from settlements with taxing authorities. Due to the difficulty in determining the timing of resolution of audits, these obligations are not included in the above table. We believe that the amount of unrecognized tax benefits will increase during fiscal 2015 in the ordinary course of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September 30, 2014, we had deferred tax assets of $128.2 million, derived primarily from tax credits, net capital and operating loss carryforwards related to some of our subsidiaries, which were offset by valuation allowances due to the uncertainty of realizing any tax benefit for such credits and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3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Accounting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3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3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Determining the fair value of share-based awards at the grant date requires the exercise of judgment, including estimating expected dividends.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19 to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2014, 2013 or 2012.</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2014, 2013 or 2012.</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2014, 2013 and 2012, approximately 70% to 80% of our revenue and 50% to 60% of our operating expenses were denominated in</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(loss) income. We estimate the fair value of such derivative contracts by reference to forward and spot rates quoted in active markets.</w:t>
      </w:r>
    </w:p>
    <w:p>
      <w:pPr>
        <w:spacing w:after="0" w:line="3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short-term interest-bearing investments are classified as available-for-sale securities and are stated at fair value in our consolidated balance sheets. Unrealized gains or losses are reported as a separate component of accumulated other comprehensive (loss) income, net of tax. Such short-term interest-bearing investments consist primarily of money market funds, U.S. government treasuries, corporate bonds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2014, 2013 and 2012.</w:t>
      </w:r>
    </w:p>
    <w:p>
      <w:pPr>
        <w:spacing w:after="0" w:line="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2014.</w:t>
      </w:r>
    </w:p>
    <w:p>
      <w:pPr>
        <w:spacing w:after="0" w:line="5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allowance for doubtful accounts is for estimated losses resulting from accounts receivable for which their collection is not reasonably assured. We evaluate accounts receivable to determine if they will ultimately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6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us beginning October 1, 2017, allows for either full or modified retrospective methods of adoption and early adoption is not permitted. We are currently evaluating the method of adoption, as well as the effect that adoption of this ASU will have on our consolidated financial statements.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2013, the FASB issued an ASU,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us on October 1, 2014, and may result in changes in our financial statements presentation but will not affect the substantive content of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February 2013, the FASB issued an ASU to require reclassification adjustments from other comprehensive income to be presented either in the financial statements or in the notes to the financial statements. This ASU became effective for us in the first quarter of fiscal 2014 and its adoption did not have a material impact on our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2014, our directors and officers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16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800" w:type="dxa"/>
            <w:vAlign w:val="bottom"/>
          </w:tcPr>
          <w:p>
            <w:pPr>
              <w:spacing w:after="0"/>
              <w:rPr>
                <w:sz w:val="15"/>
                <w:szCs w:val="15"/>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4"/>
              </w:rPr>
              <w:t>Robert</w:t>
            </w:r>
          </w:p>
        </w:tc>
        <w:tc>
          <w:tcPr>
            <w:tcW w:w="5160" w:type="dxa"/>
            <w:vAlign w:val="bottom"/>
          </w:tcPr>
          <w:p>
            <w:pPr>
              <w:ind w:left="140"/>
              <w:spacing w:after="0" w:line="188" w:lineRule="exact"/>
              <w:rPr>
                <w:sz w:val="20"/>
                <w:szCs w:val="20"/>
                <w:color w:val="auto"/>
              </w:rPr>
            </w:pPr>
            <w:r>
              <w:rPr>
                <w:rFonts w:ascii="Arial" w:cs="Arial" w:eastAsia="Arial" w:hAnsi="Arial"/>
                <w:sz w:val="18"/>
                <w:szCs w:val="18"/>
                <w:color w:val="auto"/>
              </w:rPr>
              <w:t>A. Minicucci</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w:t>
            </w:r>
          </w:p>
        </w:tc>
        <w:tc>
          <w:tcPr>
            <w:tcW w:w="300" w:type="dxa"/>
            <w:vAlign w:val="bottom"/>
          </w:tcPr>
          <w:p>
            <w:pPr>
              <w:spacing w:after="0"/>
              <w:rPr>
                <w:sz w:val="16"/>
                <w:szCs w:val="16"/>
                <w:color w:val="auto"/>
              </w:rPr>
            </w:pPr>
          </w:p>
        </w:tc>
        <w:tc>
          <w:tcPr>
            <w:tcW w:w="5300" w:type="dxa"/>
            <w:vAlign w:val="bottom"/>
            <w:gridSpan w:val="2"/>
          </w:tcPr>
          <w:p>
            <w:pPr>
              <w:spacing w:after="0" w:line="195" w:lineRule="exact"/>
              <w:rPr>
                <w:sz w:val="20"/>
                <w:szCs w:val="20"/>
                <w:color w:val="auto"/>
              </w:rPr>
            </w:pPr>
            <w:r>
              <w:rPr>
                <w:rFonts w:ascii="Arial" w:cs="Arial" w:eastAsia="Arial" w:hAnsi="Arial"/>
                <w:sz w:val="18"/>
                <w:szCs w:val="18"/>
                <w:color w:val="auto"/>
              </w:rPr>
              <w:t>Chairman of the Board,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Adrian Gardner(1)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John T. McLennan(2)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5300" w:type="dxa"/>
            <w:vAlign w:val="bottom"/>
            <w:gridSpan w:val="2"/>
          </w:tcPr>
          <w:p>
            <w:pPr>
              <w:spacing w:after="0"/>
              <w:rPr>
                <w:sz w:val="20"/>
                <w:szCs w:val="20"/>
                <w:color w:val="auto"/>
              </w:rPr>
            </w:pPr>
            <w:r>
              <w:rPr>
                <w:rFonts w:ascii="Arial" w:cs="Arial" w:eastAsia="Arial" w:hAnsi="Arial"/>
                <w:sz w:val="18"/>
                <w:szCs w:val="18"/>
                <w:color w:val="auto"/>
                <w:w w:val="89"/>
              </w:rPr>
              <w:t>Director and Chairman of the Management Resources and Compensation</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Simon Olswang(1)(3)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5300" w:type="dxa"/>
            <w:vAlign w:val="bottom"/>
            <w:gridSpan w:val="2"/>
          </w:tcPr>
          <w:p>
            <w:pPr>
              <w:spacing w:after="0"/>
              <w:rPr>
                <w:sz w:val="20"/>
                <w:szCs w:val="20"/>
                <w:color w:val="auto"/>
              </w:rPr>
            </w:pPr>
            <w:r>
              <w:rPr>
                <w:rFonts w:ascii="Arial" w:cs="Arial" w:eastAsia="Arial" w:hAnsi="Arial"/>
                <w:sz w:val="18"/>
                <w:szCs w:val="18"/>
                <w:color w:val="auto"/>
                <w:w w:val="95"/>
              </w:rPr>
              <w:t>Director and Chairman of the Nominating and Corporate Governance</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Committee,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Zohar Zisapel(2)(4)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5300" w:type="dxa"/>
            <w:vAlign w:val="bottom"/>
            <w:gridSpan w:val="2"/>
          </w:tcPr>
          <w:p>
            <w:pPr>
              <w:spacing w:after="0"/>
              <w:rPr>
                <w:sz w:val="20"/>
                <w:szCs w:val="20"/>
                <w:color w:val="auto"/>
              </w:rPr>
            </w:pPr>
            <w:r>
              <w:rPr>
                <w:rFonts w:ascii="Arial" w:cs="Arial" w:eastAsia="Arial" w:hAnsi="Arial"/>
                <w:sz w:val="18"/>
                <w:szCs w:val="18"/>
                <w:color w:val="auto"/>
                <w:w w:val="96"/>
              </w:rPr>
              <w:t>Director and Chairman of the Technology and Innovation Committee,</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Julian A. Brodsky(3)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James S. Kahan(3)</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Richard T.C. LeFave(1)(2)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Giora Yaron(4)</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 Amdocs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5300" w:type="dxa"/>
            <w:vAlign w:val="bottom"/>
            <w:gridSpan w:val="2"/>
          </w:tcPr>
          <w:p>
            <w:pPr>
              <w:spacing w:after="0"/>
              <w:rPr>
                <w:sz w:val="20"/>
                <w:szCs w:val="20"/>
                <w:color w:val="auto"/>
              </w:rPr>
            </w:pPr>
            <w:r>
              <w:rPr>
                <w:rFonts w:ascii="Arial" w:cs="Arial" w:eastAsia="Arial" w:hAnsi="Arial"/>
                <w:sz w:val="18"/>
                <w:szCs w:val="18"/>
                <w:color w:val="auto"/>
                <w:w w:val="90"/>
              </w:rPr>
              <w:t>Director, Amdocs Limited; President and Chief Executive Officer, Amdocs</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Management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53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 Amdocs Management</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5300" w:type="dxa"/>
            <w:vAlign w:val="bottom"/>
            <w:gridSpan w:val="2"/>
          </w:tcPr>
          <w:p>
            <w:pPr>
              <w:spacing w:after="0"/>
              <w:rPr>
                <w:sz w:val="20"/>
                <w:szCs w:val="20"/>
                <w:color w:val="auto"/>
              </w:rPr>
            </w:pPr>
            <w:r>
              <w:rPr>
                <w:rFonts w:ascii="Arial" w:cs="Arial" w:eastAsia="Arial" w:hAnsi="Arial"/>
                <w:sz w:val="18"/>
                <w:szCs w:val="18"/>
                <w:color w:val="auto"/>
                <w:w w:val="87"/>
              </w:rPr>
              <w:t>Senior Vice President and President of Customer Business Group, Amdocs</w:t>
            </w:r>
          </w:p>
        </w:tc>
      </w:tr>
      <w:tr>
        <w:trPr>
          <w:trHeight w:val="216"/>
        </w:trPr>
        <w:tc>
          <w:tcPr>
            <w:tcW w:w="3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Management Limited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Anshoo Gaur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5300" w:type="dxa"/>
            <w:vAlign w:val="bottom"/>
            <w:gridSpan w:val="2"/>
          </w:tcPr>
          <w:p>
            <w:pPr>
              <w:spacing w:after="0"/>
              <w:rPr>
                <w:sz w:val="20"/>
                <w:szCs w:val="20"/>
                <w:color w:val="auto"/>
              </w:rPr>
            </w:pPr>
            <w:r>
              <w:rPr>
                <w:rFonts w:ascii="Arial" w:cs="Arial" w:eastAsia="Arial" w:hAnsi="Arial"/>
                <w:sz w:val="18"/>
                <w:szCs w:val="18"/>
                <w:color w:val="auto"/>
              </w:rPr>
              <w:t>Division President, Amdocs Development Center India Pvt. Ltd.</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Elizabeth W. McDermon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5300" w:type="dxa"/>
            <w:vAlign w:val="bottom"/>
            <w:gridSpan w:val="2"/>
          </w:tcPr>
          <w:p>
            <w:pPr>
              <w:spacing w:after="0"/>
              <w:rPr>
                <w:sz w:val="20"/>
                <w:szCs w:val="20"/>
                <w:color w:val="auto"/>
              </w:rPr>
            </w:pPr>
            <w:r>
              <w:rPr>
                <w:rFonts w:ascii="Arial" w:cs="Arial" w:eastAsia="Arial" w:hAnsi="Arial"/>
                <w:sz w:val="18"/>
                <w:szCs w:val="18"/>
                <w:color w:val="auto"/>
                <w:w w:val="88"/>
              </w:rPr>
              <w:t>Secretary, Amdocs Limited; Vice President of Corporate Strategy, Amdocs</w:t>
            </w:r>
          </w:p>
        </w:tc>
      </w:tr>
      <w:tr>
        <w:trPr>
          <w:trHeight w:val="222"/>
        </w:trPr>
        <w:tc>
          <w:tcPr>
            <w:tcW w:w="3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8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Robert A. Minicucci has been Chairman of the Board of Directors of Amdocs since 2011 and a director since 1997. He has been a general partner of Welsh, Carson, Anderson &amp; Stowe, or WCAS, an investment firm that specializes in the acquisition of companies in the information and business services and health care industries, since 1993. Until 2003, investment partnerships affiliated with WCAS had been among our largest shareholders. From 1992 to 1993,</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Paycom Software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Adrian Gardner has been a director of Amdocs since 1998 and is Chairman of the Audit Committee. Since January 2014, Mr. Gardner has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Mr. Gardner served from 2011 to 2013 as Chief Financial Officer and as a director of the former principal operating subsidiary, which has been renamed Baker Tilly Business Services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4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John T.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64"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Simon Olswang has been a director of Amdocs since 2004 and is Chairman of the Nominating and Corporate Governance Committee. In 2002,</w:t>
      </w:r>
    </w:p>
    <w:p>
      <w:pPr>
        <w:spacing w:after="0" w:line="3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Mr. Olswang retired as Chairman of Olswang, a media and communications law firm in the United Kingdom that he founded in 1981. He is a member of the Advisory Board of Palamon Capital Partners LLP and of the Board of Directors of Amiad Filtration Systems Limited, an Israeli clean water company listed on the London AIM market. In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Zohar Zisapel has been a director of Amdocs since 2008 and is the Chairman of the Technology and Innovation Committee. Mr. Zisapel co-founded RAD Data Communications Ltd., a privately-held voice and data communications company and part of the RAD Group, a family of independent networking and telecommunications companies, and was its chairman from 1982 until 2012. Mr. Zisapel also serves as chairman of Ceragon Networks Ltd. and RADCOM Ltd., each of which is a publicly-traded member of the RAD Group, as a director of Silicom Ltd., a public company, and on the boards of directors of several privately-held companies. Mr. Zisapel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Chairman of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James S.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39"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Dr. Giora Yaron has been a director of Amdocs since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serves as a director of Hyperwise Security, a company focused on providing a comprehensive APT protection, and Excelero (ExpressIO), a company focused on providing ultra-fast block storage solution. Since 2010, Dr. Yaron has been the chairman of The Executive Council of Tel Aviv University, an institution of higher education and the chairman of Ramot, which is the Tel Aviv University’s technology transfer company.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46" w:lineRule="exact"/>
        <w:rPr>
          <w:sz w:val="20"/>
          <w:szCs w:val="20"/>
          <w:color w:val="auto"/>
        </w:rPr>
      </w:pPr>
    </w:p>
    <w:p>
      <w:pPr>
        <w:ind w:right="220" w:firstLine="456"/>
        <w:spacing w:after="0" w:line="287" w:lineRule="auto"/>
        <w:rPr>
          <w:sz w:val="20"/>
          <w:szCs w:val="20"/>
          <w:color w:val="auto"/>
        </w:rPr>
      </w:pPr>
      <w:r>
        <w:rPr>
          <w:rFonts w:ascii="Arial" w:cs="Arial" w:eastAsia="Arial" w:hAnsi="Arial"/>
          <w:sz w:val="16"/>
          <w:szCs w:val="16"/>
          <w:color w:val="auto"/>
        </w:rPr>
        <w:t>Eli Gelman has been a director of Amdocs since 2002. Mr. Gelman became the President and Chief Executive Officer of Amdocs Management Limited, our wholly-owned subsidiary, in 2010.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2007.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Shuky Sheffer has been Senior Vice President and President of the Customer Business Group since October 2013.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Anshoo Gaur has been our Division President for India operations since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2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Elizabeth W. McDermon has been Secretary of Amdocs Limited since August 2012. Ms. McDermon joined Amdocs in 2008 and has been Vice President of Corporate Strategy since February 2014. Ms. McDermon served as our Vice President of Investor Relations from 2009 to 2011, as our Vice President of Investor Relations and Corporate Strategy from 2011 until February 2014, and as our Vice President of Corporate Strategy since February 2014. From 2000 to 2008, Ms. McDermon was an equity research analyst at Goldman Sachs &amp; Co. covering the telecommunications software, data processing and IT services sectors.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fiscal 2014, each of our directors who was not our employee, or Non-Employee Directors, received compensation for their services as directors in the form of cash and restricted shares. Each Non-Employee Director received an annual cash payment of $75,000. Each member of our Audit Committee who is a Non-Employee Director and who is not the chairman of such committees received an annual cash payment of $15,000. Each member of our Management Resources and Compensation, Nominating and Corporate Governance and Technology and Innovation Committees who is a Non-Employee Director and who is not a committee chairman received an annual cash payment of $10,000. The Chairman of our Audit Committee received an annual cash payment of $30,000 and the Chairmen of our Management Resources and Compensation, Nominating and Corporate Governance and Technology and Innovation Committees each received an annual cash payment of $20,000. Each Non-Employee Director received an annual grant of restricted shares at a total value of $210,000. The Chairman of the Board of Directors received an additional annual amount equal to $200,000 awarded in the form of restricted shares. All restricted share awards to our Non-Employee Directors are fully vested upon grant.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total of 14 persons who served either as directors or officers of Amdocs during all or part of fiscal 2014 received remuneration from Amdocs. The aggregate remuneration paid by us to such persons in fiscal 2014 was approximately $6.3 million, compared to $6.2 million in fiscal 2013 and $7.6 million in fiscal 2012,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2014, we granted to such persons options to purchase an aggregate of 373,833 ordinary shares at a weighted average price of $42.64 per share with vesting generally over four-year terms and expiring ten years from the date of grant, and an aggregate of 282,650 restricted shares typically subject to three to four-year vesting,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Ten directors currently serve on our Board of Directors, all of whom were elected at our annual meeting of shareholders on January 30, 2014.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5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set forth below. Members of each committee are appointed by the Board of Directors.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 Dr. Yaron.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independent directors receive no compensation from us, except in connection with their membership on the Board of Directors and its committees as described above regarding Non-Employee Directors under “—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Personnel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As of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5,082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4,669</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India</w:t>
            </w:r>
          </w:p>
        </w:tc>
        <w:tc>
          <w:tcPr>
            <w:tcW w:w="540" w:type="dxa"/>
            <w:vAlign w:val="bottom"/>
          </w:tcPr>
          <w:p>
            <w:pPr>
              <w:jc w:val="right"/>
              <w:spacing w:after="0"/>
              <w:rPr>
                <w:sz w:val="20"/>
                <w:szCs w:val="20"/>
                <w:color w:val="auto"/>
              </w:rPr>
            </w:pPr>
            <w:r>
              <w:rPr>
                <w:rFonts w:ascii="Arial" w:cs="Arial" w:eastAsia="Arial" w:hAnsi="Arial"/>
                <w:sz w:val="18"/>
                <w:szCs w:val="18"/>
                <w:color w:val="auto"/>
              </w:rPr>
              <w:t>7,976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7,101</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the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19,315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18,623</w:t>
            </w:r>
          </w:p>
        </w:tc>
        <w:tc>
          <w:tcPr>
            <w:tcW w:w="100" w:type="dxa"/>
            <w:vAlign w:val="bottom"/>
          </w:tcPr>
          <w:p>
            <w:pPr>
              <w:spacing w:after="0"/>
              <w:rPr>
                <w:sz w:val="19"/>
                <w:szCs w:val="19"/>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Workforce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20,774</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20,105</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small number of employees in Canada have union representation. In addition, all employees in Brazil, including local senior employees, are represented by unions, and our employees in Chile have formalized a union representation. Collective bargaining between employers and unions is mandatory, negotiated annually, and covers work conditions, including cost of living increases, minimum wages that exceed government thresholds and overtime pay. We have a works council body in the Netherlands and Germany which represents the employees and with which we work closely to ensure compliance with the applicable local law. We also have an employee representative body in France and in Finland.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1, 2014, the aggregate number of our ordinary shares beneficially owned by our directors and senior management was 2,321,801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1, 2014, none of our directors or members of senior management beneficially owned 1% or more of our outstanding ordinary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adopted, and our shareholders have approved, our 1998 Stock Option and Incentive Plan, as amended, which we refer to as the Equity Incentive Plan, pursuant to which up to 62,300,000 of our ordinary shares may be issued.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2014, of the 62,300,000 ordinary shares available for issuance under the Equity Incentive Plan, 43,169,488 ordinary shares had been issued as a result of option exercises and restricted share issuances under the provisions of the Equity Incentive Plan. As of September 30, 2014, 9,523,692 ordinary shares remained available for future grants, subject to a sublimit applicable to the award of restricted shares or awards dominated in stock units. As of November 30, 2014, there were outstanding options to purchase an aggregate of 9,942,289 ordinary shares at exercise prices ranging from $16.92 to $48.12 per share and 76,317 shares are subject to outstanding restricted stock units.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Equity Incentive Plan is administered by a committee that determines all the terms of the awards (subject to the above), including which employees, directors or consultants are granted awards.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current terms, no awards may be granted pursuant to the Equity Incentive Plan after January 2016. Our Board of Directors, however, has approved an extension of the term of plan to January 28, 2025, subject to shareholder approval at the January 2015 annual general meeting of shareholders.</w:t>
      </w:r>
    </w:p>
    <w:p>
      <w:pPr>
        <w:spacing w:after="0" w:line="3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a result of acquisitions, as of September 30, 2014, we were obligated to issue (and have reserved for issuance) an additional 16,921 ordinary shares upon exercise of options that had previously been granted under the option plans of the acquired companies and were exchanged for options to purchase our ordinary shares. These options have exercise prices ranging from $0.88 to $37.66 per share. No additional options have been or will be granted under these predecessor plans.</w:t>
      </w:r>
    </w:p>
    <w:p>
      <w:pPr>
        <w:spacing w:after="0" w:line="137" w:lineRule="exact"/>
        <w:rPr>
          <w:sz w:val="20"/>
          <w:szCs w:val="20"/>
          <w:color w:val="auto"/>
        </w:rPr>
      </w:pPr>
    </w:p>
    <w:p>
      <w:pPr>
        <w:ind w:right="5420"/>
        <w:spacing w:after="0" w:line="347" w:lineRule="auto"/>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MAJOR SHAREHOLDERS AND RELATED PARTY TRANSACTIONS</w:t>
      </w:r>
      <w:r>
        <w:rPr>
          <w:rFonts w:ascii="Arial" w:cs="Arial" w:eastAsia="Arial" w:hAnsi="Arial"/>
          <w:sz w:val="18"/>
          <w:szCs w:val="18"/>
          <w:b w:val="1"/>
          <w:bCs w:val="1"/>
          <w:color w:val="auto"/>
        </w:rPr>
        <w:t xml:space="preserve"> Major Shareholders</w:t>
      </w:r>
    </w:p>
    <w:p>
      <w:pPr>
        <w:spacing w:after="0" w:line="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December 1, 2014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155,871,679 ordinary shares outstanding as of December 1, 2014. Information concerning shareholders is based on periodic public filings made by such shareholders and may not necessarily be accurate as of December 1, 2014. None of our major shareholders have voting rights that are different from those of any other shareholder.</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6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36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14,064,173</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Janus Capital Management LLC(2)</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8,581,736</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 &amp; Napier Advisors, Inc.(3)</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8,162,325</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persons)(4)</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2,321,801</w:t>
            </w:r>
          </w:p>
        </w:tc>
        <w:tc>
          <w:tcPr>
            <w:tcW w:w="7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20" w:type="dxa"/>
            <w:vAlign w:val="bottom"/>
          </w:tcPr>
          <w:p>
            <w:pPr>
              <w:jc w:val="right"/>
              <w:ind w:right="259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a Schedule 13G/A filed by FMR LLC with the SEC on February 14, 2014, as of December 31, 2013, FMR LLC had sole power to vote or direct the vote over 767,030 shares and sole power to dispose or direct the disposition of 14,064,173 shares. This includes 13,102,362 shares beneficially owned by Fidelity Management &amp; Research Company (“Fidelity”) in its capacity as an investment advisor; 513 shares beneficially owned by Strategic Advisers, Inc. (“SAI”) in its capacity as an investment advisor; 41,400 shares beneficially owned by Pyramis Global Advisors, LLC (“PGALLC”) in its capacity as an investment advisor; 26,021 shares beneficially owned by Pyramis Global Advisors Trust Company (“PGATC”) as a result of its serving as an investment manager of institutional accounts owning such shares; and 787,777 shares over which FIL Limited (“FIL”) has sole dispositive power through its investment advisory and management services to a number of non-U.S. investment companies and institutional investors. Fidelity and SAI are wholly owned subsidiaries of FMR LLC. PGALLC and PGATC are indirect wholly owned subsidiaries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PGALLC and PGATC is 900 Salem Street, Smithfield, Rhode Island 02917. The address of FIL is Pembroke Hall, 42 Crow Lane, Hamilton, Bermuda.</w:t>
      </w:r>
    </w:p>
    <w:p>
      <w:pPr>
        <w:spacing w:after="0" w:line="5"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a Schedule 13G/A filed by Janus Capital Management LLC, or Janus, with the SEC on February 14, 2014, as of December 31, 2013, Janus has a direct 96.74% ownership stake in INTECH Investment Management, or INTECH, and a direct 99.61%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8,532,236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151 Detroit Street, Denver, Colorado 80206.</w:t>
      </w:r>
    </w:p>
    <w:p>
      <w:pPr>
        <w:spacing w:after="0" w:line="5"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February 3, 2014, as of December 31, 2013, Manning &amp; Napier had sole voting power over 7,214,057 of our ordinary shares and sole dispositive power over 8,162,325 of our ordinary shares. The address of Manning &amp; Napier is 290 Woodcliff Drive, Fairport, New York 14450.</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1, 2014. As of such date, none of our directors, senior managers or key employees beneficially own 1% or more of our outstanding ordinary shares.</w:t>
      </w:r>
    </w:p>
    <w:p>
      <w:pPr>
        <w:spacing w:after="0" w:line="56" w:lineRule="exact"/>
        <w:rPr>
          <w:rFonts w:ascii="Arial" w:cs="Arial" w:eastAsia="Arial" w:hAnsi="Arial"/>
          <w:sz w:val="18"/>
          <w:szCs w:val="18"/>
          <w:color w:val="auto"/>
        </w:rPr>
      </w:pPr>
    </w:p>
    <w:p>
      <w:pPr>
        <w:ind w:right="140" w:firstLine="456"/>
        <w:spacing w:after="0" w:line="268" w:lineRule="auto"/>
        <w:rPr>
          <w:rFonts w:ascii="Arial" w:cs="Arial" w:eastAsia="Arial" w:hAnsi="Arial"/>
          <w:sz w:val="18"/>
          <w:szCs w:val="18"/>
          <w:color w:val="auto"/>
        </w:rPr>
      </w:pPr>
      <w:r>
        <w:rPr>
          <w:rFonts w:ascii="Arial" w:cs="Arial" w:eastAsia="Arial" w:hAnsi="Arial"/>
          <w:sz w:val="18"/>
          <w:szCs w:val="18"/>
          <w:color w:val="auto"/>
        </w:rPr>
        <w:t>T. Rowe Price Associates, Inc. reported beneficial ownership over 7.33% of our ordinary shares in fiscal 2013. T. Rowe Price Associates, Inc.’s beneficial ownership decreased below 5% in fiscal 2014.</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1, 2014, our ordinary shares were held by 2,274 record holders. Based on a review of the information provided to us by our transfer agent, 1,112 record holders, holding approximately 95.3% of our outstanding ordinary shares held of record, were residents of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“Financial Statements” for our audited Consolidated Financial Statements and Financial Statement Schedule filed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legal proceedings arising in the normal course of our business. We accrue for a loss contingency when we determine that it is probable, after consultation with counsel, that a liability has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incurred and the amount of such loss can be reasonably estimated. At this time, we believe that the results of any such contingencies, either individually or in the aggregate, will not have a material adverse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 The following table sets forth the high and low reported sale prices for our ordinary shares for the periods indicated: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2010</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$32.44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$24.10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$32.00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$33.79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2013:</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$35.02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$36.73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$33.84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$37.22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$36.45</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2014:</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$41.50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$46.85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$44.73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$48.50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$ 44.11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2015:</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2014)</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$48.91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$45.63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July 2014</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$48.30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$45.31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August 2014</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$47.50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$ 44.11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September 2014</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$45.60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October 2014</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$47.56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November 2014</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$48.91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$46.18</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January 22, 2009 the Board of Directors was granted a five-year standing authority by the shareholders to issue a maximum of (i) 25,000,000 preferred shares and (ii) 700,000,000 ordinary shares, consisting of voting and non-voting ordinary shares. At our Annual General Meeting of Shareholders held on January 30, 2014, the Board of Directors was granted shareholder approval for an additional five-year standing authority to issue shares at the same levels as the current authorization. As of September 30, 2014, 156,704,355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13" w:lineRule="exact"/>
        <w:rPr>
          <w:rFonts w:ascii="Arial" w:cs="Arial" w:eastAsia="Arial" w:hAnsi="Arial"/>
          <w:sz w:val="16"/>
          <w:szCs w:val="16"/>
          <w:color w:val="auto"/>
        </w:rPr>
      </w:pPr>
    </w:p>
    <w:p>
      <w:pPr>
        <w:jc w:val="both"/>
        <w:ind w:left="660" w:right="6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to provide for the designations, powers, preferences and relative participating, optional or other special rights and qualifications, limitations or restrictions thereon.</w:t>
      </w:r>
    </w:p>
    <w:p>
      <w:pPr>
        <w:spacing w:after="0" w:line="59"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 one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at different times may differ as to the dates from which dividends shall accrue.</w:t>
      </w:r>
    </w:p>
    <w:p>
      <w:pPr>
        <w:spacing w:after="0" w:line="50" w:lineRule="exact"/>
        <w:rPr>
          <w:rFonts w:ascii="Arial" w:cs="Arial" w:eastAsia="Arial" w:hAnsi="Arial"/>
          <w:sz w:val="18"/>
          <w:szCs w:val="18"/>
          <w:color w:val="auto"/>
        </w:rPr>
      </w:pPr>
    </w:p>
    <w:p>
      <w:pPr>
        <w:ind w:left="660" w:right="40" w:hanging="206"/>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in the event of any liquidation, dissolution or winding-up of Amdocs Limited, the holders of preferred shares are entitled to a preference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the preferred,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39" w:lineRule="exact"/>
        <w:rPr>
          <w:rFonts w:ascii="Arial" w:cs="Arial" w:eastAsia="Arial" w:hAnsi="Arial"/>
          <w:sz w:val="16"/>
          <w:szCs w:val="16"/>
          <w:color w:val="auto"/>
        </w:rPr>
      </w:pPr>
    </w:p>
    <w:p>
      <w:pPr>
        <w:ind w:left="660" w:right="160" w:hanging="206"/>
        <w:spacing w:after="0" w:line="370"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preferred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 or power to vote on any question or in any proceeding or to be represented at, or to receive notice of, any meeting of shareholders.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51" w:lineRule="exact"/>
        <w:rPr>
          <w:sz w:val="20"/>
          <w:szCs w:val="20"/>
          <w:color w:val="auto"/>
        </w:rPr>
      </w:pPr>
    </w:p>
    <w:p>
      <w:pPr>
        <w:ind w:left="660" w:right="2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 share equally,</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share, in such dividends except that if dividends are declared that are payable in voting ordinary shares or non-voting ordinary shares, dividends must be declared that are payable at the same rate in both classes of shares.</w:t>
      </w:r>
    </w:p>
    <w:p>
      <w:pPr>
        <w:spacing w:after="0" w:line="59"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any third party not affiliated with such original holder, non-voting ordinary shares are redesignated in our books as voting ordinary shares and automatically convert into the same number of voting ordinary shares.</w:t>
      </w:r>
    </w:p>
    <w:p>
      <w:pPr>
        <w:spacing w:after="0" w:line="59"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4"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 of non-voting ordinary shares are not entitled to any voting rights.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 priorities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as are set out in the Articles.</w:t>
      </w:r>
    </w:p>
    <w:p>
      <w:pPr>
        <w:spacing w:after="0" w:line="5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26"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provisions in the Memorandum or Articles that provide for a classified board of directors or for cumulative voting for directors.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32"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The directors may reduce our share capital or any other capital subject to us satisfying the solvency requirements set out in the Companies Law. 56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December 20, 2011, we entered into a Credit Agreement among us, certain of our subsidiaries, the lenders from time to time party thereto, JPMorgan Chase Bank, N.A., as administrative agent, J.P. Morgan Europe Limited, as London agent, and JPMorgan Chase Bank, N.A., Toronto branch, as Canadian agent providing for an unsecured $500 million five-year revolving credit facility with a syndicate of banks, which facility is available for general corporate purposes, including acquisitions and repurchases of our ordinary shares that we may consider from time to time.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past two years, we have not entered into any other material contracts other than contracts entered into in the ordinary course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13.8% for fiscal 2014, compared to 13.3% for fiscal 2013 and 11.4% for fiscal 2012.</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legislation in Guernsey subjects us to the standard rate of corporate income tax for a Guernsey resident company of zero percent.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Indian Tax Considerations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Through a subsidiary, we operate development centers and a business processing operations center in India. In 2014, the corporate tax rate applicable in India on trading activities was 33.99%. Our subsidiary in India business operates under specific favorable tax entitlements that are based upon pre-approved information technology related services activity. As a result, these activities are entitled to considerable corporate income tax exemptions on all income derived from such pre-approved information technology activity, provided our subsidiary continues to meet the conditions required for such tax benefits. However, as of April 1, 2011, the Minimum Alternative Tax, or MAT, became applicable to all of our Indian operations. The MAT is levied on book profits at the effective rate of 20% and can be carried forward for 10 years to be credited against corporate income taxes. Our Indian subsidiary, as per part of its operating units, is subject to a separate tax entitlement under which such units are exempt from tax on the respective tax incentive-eligible activity for the first five years of operations and enjoys a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subsidiary would be subject to a dividend distribution tax at the new effective rate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19.995% beginning on October 1, 2014 to be paid by such subsidiary. The Indian government has published a draft for the replacement of the country’s tax code. This draft, if enacted, would substantially change Indian tax laws, and might reduce or eliminate the availability of these beneficial tax rates for our Indian subsidiary.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Israeli Tax Considerations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26.5%. However, the effective tax rate payable by an Israeli</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derives income from an Approved Enterprise may be considerably less.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“Approved Enterprise” 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general, investment programs of our primary Israeli subsidiary that have already obtained instruments of approval for an Approved Enterprise issued by the Israeli Investment Center prior to the change in legislation in 2005 continue to be subject to the old provisions of the Investment Law as described below. In addition, our primary Israeli subsidiary obtained expansions to its Approved Enterprise approval under the terms of the Investment Law of 2005.</w:t>
      </w:r>
    </w:p>
    <w:p>
      <w:pPr>
        <w:spacing w:after="0" w:line="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Benefits. </w:t>
      </w:r>
      <w:r>
        <w:rPr>
          <w:rFonts w:ascii="Arial" w:cs="Arial" w:eastAsia="Arial" w:hAnsi="Arial"/>
          <w:sz w:val="18"/>
          <w:szCs w:val="18"/>
          <w:color w:val="auto"/>
        </w:rPr>
        <w:t>Taxable income derived from an Approved Enterprise is subject to a reduced corporate tax rate of 25% until the earliest of:</w:t>
      </w:r>
    </w:p>
    <w:p>
      <w:pPr>
        <w:spacing w:after="0" w:line="90" w:lineRule="exact"/>
        <w:rPr>
          <w:sz w:val="20"/>
          <w:szCs w:val="20"/>
          <w:color w:val="auto"/>
        </w:rPr>
      </w:pPr>
    </w:p>
    <w:p>
      <w:pPr>
        <w:ind w:left="660" w:right="22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 consecutive years (or ten in the case of an FIC (as defined below)) commencing in the year in which the Approved Enterprise first generates taxable income,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12 years from the year of commencement of production,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14 years from the year of the approval of the Approved Enterprise status.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primary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2005 amendment to the Investment Law introduced various changes to the Approved Enterprise regime. The tax rates applicable to the route elected by our primary Israeli subsidiary under the 2005 amendment are similar to the tax rates that applied prior to the 2005 amendment (as detailed above).</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primary Israeli subsidiary has elected the alternative benefits with respect to its current Approved Enterprise and its expansions, pursuant to which the primary Israeli subsidiary enjoys, in relation to its Approved Enterprise operations, certain tax holidays, based on the location of activities within Israel, for a period of two to ten years and, in the case of a two year tax holiday, reduced tax rates for an additional period of up to eight years. In case this primary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Specific investment programs of our primary Israeli subsidiary and the income derived therefrom, are entitled to reduced tax rates for 13 years (instead of the eight-year period referred to above). The tax benefits, available with respect to an Approved Enterprise only to taxable income attributable to that specific enterprise, are provided according to an allocation formula set forth in the Investment Law or in the instrument of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recent years changes were introduced to the Investment Law, specifically a major amendment of the Investment Law in 2011. 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Additionally, the amendments include a tax incentive package that consists of flat tax rates of 10% through 15%, depending on the geographic location of the activities of the taxable entity, for calendar years 2011 through 2012; 7% through 12.5%, depending on the geographic location of the activities of the taxable entity for calendar year 2013, and 9% through 16% for calendar years 2014 and thereafter. These incentives would apply to industrial companies that meet certain criteria.</w:t>
      </w:r>
    </w:p>
    <w:p>
      <w:pPr>
        <w:spacing w:after="0" w:line="37" w:lineRule="exact"/>
        <w:rPr>
          <w:sz w:val="20"/>
          <w:szCs w:val="20"/>
          <w:color w:val="auto"/>
        </w:rPr>
      </w:pPr>
    </w:p>
    <w:p>
      <w:pPr>
        <w:ind w:left="240" w:right="1180" w:firstLine="228"/>
        <w:spacing w:after="0" w:line="391" w:lineRule="auto"/>
        <w:rPr>
          <w:sz w:val="20"/>
          <w:szCs w:val="20"/>
          <w:color w:val="auto"/>
        </w:rPr>
      </w:pPr>
      <w:r>
        <w:rPr>
          <w:rFonts w:ascii="Arial" w:cs="Arial" w:eastAsia="Arial" w:hAnsi="Arial"/>
          <w:sz w:val="18"/>
          <w:szCs w:val="18"/>
          <w:color w:val="auto"/>
        </w:rPr>
        <w:t xml:space="preserve">In 2014, our primary Israeli subsidiary continues to apply the benefits under the terms of the law as provided prior to the 2011 amendment. </w:t>
      </w:r>
      <w:r>
        <w:rPr>
          <w:rFonts w:ascii="Arial" w:cs="Arial" w:eastAsia="Arial" w:hAnsi="Arial"/>
          <w:sz w:val="18"/>
          <w:szCs w:val="18"/>
          <w:i w:val="1"/>
          <w:iCs w:val="1"/>
          <w:color w:val="auto"/>
        </w:rPr>
        <w:t>Dividends</w:t>
      </w:r>
    </w:p>
    <w:p>
      <w:pPr>
        <w:spacing w:after="0" w:line="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Dividends paid out of income derived by an Approved Enterprise are subject to withholding tax at a reduced rate compared to the 30% withholding tax generally applicable to dividends paid out of income derived by a non-Approved Enterprise. If we pay a dividend from our primary Israeli subsidiary, such dividend will likely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exempt income generated during the tax holiday period related to its Approved Enterprise status.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discussion describes the material U.S. federal income tax consequences to a U.S. holder of the ownership or disposition of our ordinary shares. A U.S. holder is: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an individual who is a citizen or resident of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460" w:right="900" w:firstLine="443"/>
        <w:spacing w:after="0" w:line="268" w:lineRule="auto"/>
        <w:tabs>
          <w:tab w:leader="none" w:pos="11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 holder of ordinary shares that is not a U.S. holder.</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In general, U.S. corporate shareholders will not be entitled to any deduction for distributions received as dividends on the ordinary shares.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Nasdaq, we believe that dividends paid by us with respect to our ordinary shares should constitute “qualified dividend income” for U.S. federal income tax purposes, provided that the holding period requirements are satisfied and none of the other special exceptions applies. However, dividends paid by us will not qualify for the 20% U.S. federal income tax rate if we are treated, for the tax year in which the dividends are paid or the preceding tax year, as a “passive foreign investment company” for U.S. federal income tax purposes.</w:t>
      </w:r>
    </w:p>
    <w:p>
      <w:pPr>
        <w:spacing w:after="0" w:line="3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5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U.S. holders generally will be subject to information reporting requirements with respect to dividends that are paid within the United States or through U.S.-related financial intermediaries, as well as with respect to disposition of our ordinary shares, unless the U.S. holder is an “exempt recipient.” U.S. holders may also be subject to backup withholding (currently at a 28%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6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Upon the sale, exchange or other disposition of our ordinary shares, a U.S. holder generally will recognize capital gain or</w:t>
      </w:r>
      <w:r>
        <w:rPr>
          <w:rFonts w:ascii="Arial" w:cs="Arial" w:eastAsia="Arial" w:hAnsi="Arial"/>
          <w:sz w:val="16"/>
          <w:szCs w:val="16"/>
          <w:i w:val="1"/>
          <w:iCs w:val="1"/>
          <w:color w:val="auto"/>
        </w:rPr>
        <w:t xml:space="preserve"> </w:t>
      </w:r>
      <w:r>
        <w:rPr>
          <w:rFonts w:ascii="Arial" w:cs="Arial" w:eastAsia="Arial" w:hAnsi="Arial"/>
          <w:sz w:val="16"/>
          <w:szCs w:val="16"/>
          <w:color w:val="auto"/>
        </w:rPr>
        <w:t>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U.S. federal tax income rate of 20%. Gains realized by a U.S. holder on a sale, exchange or other disposition of ordinary shares generally will be treated as U.S. source income for U.S. foreign tax credit purposes.</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Medicare Contribution Tax</w:t>
      </w:r>
      <w:r>
        <w:rPr>
          <w:rFonts w:ascii="Arial" w:cs="Arial" w:eastAsia="Arial" w:hAnsi="Arial"/>
          <w:sz w:val="18"/>
          <w:szCs w:val="18"/>
          <w:color w:val="auto"/>
        </w:rPr>
        <w:t>. U.S. holders who are individuals, estates and certain trusts may be required to pay a 3.8% Medicare tax on their net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(including dividends on and gains from the sale or other disposition of our ordinary shares) or, in the case of trusts and estates, on their net investment income that is not distributed. In each case, the 3.8% Medicare tax applies only to the extent that the U.S. Holder’s total modified adjusted income exceeds certain thresholds.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Information Reporting.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certain circumstances, we or our paying agent may be required, pursuant to the Code (or analogous provisions of non-U.S. law) and regulations or pronouncements thereunder, any “intergovernmental agreement” entered into pursuant to those provisions or any U.S. or non-U.S. fiscal or regulatory legislation, rules, guidance notes or practices adopted pursuant to any such agreement, to withhold use tax at a rate of 30% on all or a portion of payments of dividends or other amounts that are treated as “foreign pass-thru payments” and are made on or after January 1, 2017, if such payments are not exempt from such withholding. We believe, and this discussion assumes, that under current law payments we make on account of our ordinary shares will not be “foreign pass-thru payments” subject to such withholding; however, our treatment under these rules is not completely clear and further guidance may be issued by the IRS that would clarify how these rules might apply to dividends or other amounts paid on or with respect to ordinary shares.</w:t>
      </w:r>
    </w:p>
    <w:p>
      <w:pPr>
        <w:spacing w:after="0" w:line="3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Certain U.S. holders are required to report information with respect to their investment in our ordinary shares not held through a custodial account with a U.S. financial institution to the IRS. In general, U.S. taxpayers holding specified “foreign financial assets” (which generally would include our ordinary shares) with an aggregate value exceeding certain threshold amounts should report information about those assets on IRS Form 8938, which must be attached to the taxpayer’s annual income tax return. Investors who fail to report required information could become subject to substantial penalties.</w:t>
      </w:r>
    </w:p>
    <w:p>
      <w:pPr>
        <w:spacing w:after="0" w:line="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Passive Foreign Investment Company Considerations. </w:t>
      </w:r>
      <w:r>
        <w:rPr>
          <w:rFonts w:ascii="Arial" w:cs="Arial" w:eastAsia="Arial" w:hAnsi="Arial"/>
          <w:sz w:val="18"/>
          <w:szCs w:val="18"/>
          <w:color w:val="auto"/>
        </w:rPr>
        <w:t>If, during any taxable year, 75% or more of our gross income consists of certain types of passive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company, a U.S. holder may be subject to increased tax liability upon the sale of our ordinary shares or upon the receipt of certain distributions, unless such U.S. holder makes an election to mark our ordinary shares to market annually.</w:t>
      </w:r>
    </w:p>
    <w:p>
      <w:pPr>
        <w:spacing w:after="0" w:line="51"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59" w:lineRule="exact"/>
        <w:rPr>
          <w:sz w:val="20"/>
          <w:szCs w:val="20"/>
          <w:color w:val="auto"/>
        </w:rPr>
      </w:pPr>
    </w:p>
    <w:p>
      <w:pPr>
        <w:ind w:right="4620"/>
        <w:spacing w:after="0" w:line="347"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spacing w:after="0" w:line="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fiscal 2014,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2014. Notional values are in U.S. dollars and are translated and calculated based on forward rates as of September 30, 2014, for forward contracts, and based on spot rates as of September 30, 2014 for options.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49"/>
        </w:trPr>
        <w:tc>
          <w:tcPr>
            <w:tcW w:w="7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of</w:t>
            </w:r>
          </w:p>
        </w:tc>
      </w:tr>
      <w:tr>
        <w:trPr>
          <w:trHeight w:val="161"/>
        </w:trPr>
        <w:tc>
          <w:tcPr>
            <w:tcW w:w="7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Notional Value*</w:t>
            </w:r>
          </w:p>
        </w:tc>
        <w:tc>
          <w:tcPr>
            <w:tcW w:w="1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Derivatives</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 (in millions)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interest expenses and income are sensitive to changes in interest rates, as all of our cash and some of our borrowings, are subject to interest rate changes. Our short-term interest-bearing investments are invested in short term conservative debt instruments, primarily U.S. dollar-denominated, and consist mainly of money market funds, U.S. government treasuries, corporate bonds and U.S. agency securities. As of September 30, 2014, there was $210.0 million of short-term outstanding borrowing under our revolving lines of credit, which we repaid in October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With the participation of the Chief Executive Officer and Chief Financial Officer of Amdocs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Management Limited, our management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2014, which is included herein.</w:t>
      </w:r>
    </w:p>
    <w:p>
      <w:pPr>
        <w:spacing w:after="0" w:line="3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year ended September 30, 2014 that has materially affected, or is reasonably likely to materially affect, our internal control over financial reporting.</w:t>
      </w:r>
    </w:p>
    <w:p>
      <w:pPr>
        <w:spacing w:after="0" w:line="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8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&amp; Young billed us approximately $3.2 million for audit services for fiscal 2014, including fees associated with the annual audit and reviews of our quarterly financial results submitted on Form 6-K, consultations on various accounting issues and performance of local statutory audits. Ernst &amp; Young billed us approximately $3.0 million for audit services for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Ernst &amp; Young billed us approximately $1.0 million for audit-related services for fiscal 2014. Audit-related services principally include SSAE 16 report issuances and due diligence examinations. Ernst &amp; Young billed us approximately $1.7 million for audit-related services for fiscal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Ernst &amp; Young billed us approximately $1.2 million for tax advice, including fees associated with tax compliance, tax advice and tax planning services for fiscal 2014. Ernst &amp; Young billed us approximately $1.6 million for tax advice in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2014 or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2014, our Audit Committee approved all of the services provided by Ernst &amp; Young.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tables provide information about purchases by us and our affiliated purchasers during the fiscal year ended September 30, 2014 of equity securities that are registered by us pursuant to Section 12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1"/>
              </w:rPr>
              <w:t>(a)</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92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12"/>
                <w:szCs w:val="12"/>
                <w:color w:val="auto"/>
              </w:rPr>
            </w:pPr>
          </w:p>
        </w:tc>
        <w:tc>
          <w:tcPr>
            <w:tcW w:w="18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(b)</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3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1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920" w:type="dxa"/>
            <w:vAlign w:val="bottom"/>
          </w:tcPr>
          <w:p>
            <w:pPr>
              <w:spacing w:after="0"/>
              <w:rPr>
                <w:sz w:val="12"/>
                <w:szCs w:val="12"/>
                <w:color w:val="auto"/>
              </w:rPr>
            </w:pPr>
          </w:p>
        </w:tc>
        <w:tc>
          <w:tcPr>
            <w:tcW w:w="1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May Yet Be Purchased Under</w:t>
            </w:r>
          </w:p>
        </w:tc>
        <w:tc>
          <w:tcPr>
            <w:tcW w:w="0" w:type="dxa"/>
            <w:vAlign w:val="bottom"/>
          </w:tcPr>
          <w:p>
            <w:pPr>
              <w:spacing w:after="0"/>
              <w:rPr>
                <w:sz w:val="1"/>
                <w:szCs w:val="1"/>
                <w:color w:val="auto"/>
              </w:rPr>
            </w:pPr>
          </w:p>
        </w:tc>
      </w:tr>
      <w:tr>
        <w:trPr>
          <w:trHeight w:val="148"/>
        </w:trPr>
        <w:tc>
          <w:tcPr>
            <w:tcW w:w="3960" w:type="dxa"/>
            <w:vAlign w:val="bottom"/>
            <w:gridSpan w:val="4"/>
            <w:vMerge w:val="continue"/>
          </w:tcPr>
          <w:p>
            <w:pPr>
              <w:spacing w:after="0"/>
              <w:rPr>
                <w:sz w:val="12"/>
                <w:szCs w:val="12"/>
                <w:color w:val="auto"/>
              </w:rPr>
            </w:pPr>
          </w:p>
        </w:tc>
        <w:tc>
          <w:tcPr>
            <w:tcW w:w="176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6"/>
              </w:rPr>
              <w:t>Purchased</w:t>
            </w:r>
          </w:p>
        </w:tc>
        <w:tc>
          <w:tcPr>
            <w:tcW w:w="1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Share(1)</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10/1/13-10/31/13</w:t>
            </w:r>
          </w:p>
        </w:tc>
        <w:tc>
          <w:tcPr>
            <w:tcW w:w="2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832,900</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w w:val="79"/>
              </w:rPr>
              <w:t>37.21</w:t>
            </w: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832,900</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304,874,168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11/1/13-11/30/13</w:t>
            </w:r>
          </w:p>
        </w:tc>
        <w:tc>
          <w:tcPr>
            <w:tcW w:w="2460" w:type="dxa"/>
            <w:vAlign w:val="bottom"/>
          </w:tcPr>
          <w:p>
            <w:pPr>
              <w:spacing w:after="0"/>
              <w:rPr>
                <w:sz w:val="18"/>
                <w:szCs w:val="18"/>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574,200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39.63</w:t>
            </w:r>
          </w:p>
        </w:tc>
        <w:tc>
          <w:tcPr>
            <w:tcW w:w="1040" w:type="dxa"/>
            <w:vAlign w:val="bottom"/>
          </w:tcPr>
          <w:p>
            <w:pPr>
              <w:jc w:val="right"/>
              <w:spacing w:after="0"/>
              <w:rPr>
                <w:sz w:val="20"/>
                <w:szCs w:val="20"/>
                <w:color w:val="auto"/>
              </w:rPr>
            </w:pPr>
            <w:r>
              <w:rPr>
                <w:rFonts w:ascii="Arial" w:cs="Arial" w:eastAsia="Arial" w:hAnsi="Arial"/>
                <w:sz w:val="18"/>
                <w:szCs w:val="18"/>
                <w:color w:val="auto"/>
              </w:rPr>
              <w:t>574,200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282,117,379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12/1/13-12/31/13</w:t>
            </w:r>
          </w:p>
        </w:tc>
        <w:tc>
          <w:tcPr>
            <w:tcW w:w="2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744,700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251,879,986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01/1/14-01/31/14</w:t>
            </w:r>
          </w:p>
        </w:tc>
        <w:tc>
          <w:tcPr>
            <w:tcW w:w="2460" w:type="dxa"/>
            <w:vAlign w:val="bottom"/>
          </w:tcPr>
          <w:p>
            <w:pPr>
              <w:spacing w:after="0"/>
              <w:rPr>
                <w:sz w:val="18"/>
                <w:szCs w:val="18"/>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418,400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41.42</w:t>
            </w:r>
          </w:p>
        </w:tc>
        <w:tc>
          <w:tcPr>
            <w:tcW w:w="1040" w:type="dxa"/>
            <w:vAlign w:val="bottom"/>
          </w:tcPr>
          <w:p>
            <w:pPr>
              <w:jc w:val="right"/>
              <w:spacing w:after="0"/>
              <w:rPr>
                <w:sz w:val="20"/>
                <w:szCs w:val="20"/>
                <w:color w:val="auto"/>
              </w:rPr>
            </w:pPr>
            <w:r>
              <w:rPr>
                <w:rFonts w:ascii="Arial" w:cs="Arial" w:eastAsia="Arial" w:hAnsi="Arial"/>
                <w:sz w:val="18"/>
                <w:szCs w:val="18"/>
                <w:color w:val="auto"/>
              </w:rPr>
              <w:t>418,400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234,547,864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02/1/14-02/28/14</w:t>
            </w:r>
          </w:p>
        </w:tc>
        <w:tc>
          <w:tcPr>
            <w:tcW w:w="2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675,600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43.51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03/1/14-03/31/14</w:t>
            </w:r>
          </w:p>
        </w:tc>
        <w:tc>
          <w:tcPr>
            <w:tcW w:w="2460" w:type="dxa"/>
            <w:vAlign w:val="bottom"/>
          </w:tcPr>
          <w:p>
            <w:pPr>
              <w:spacing w:after="0"/>
              <w:rPr>
                <w:sz w:val="18"/>
                <w:szCs w:val="18"/>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844,200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45.20</w:t>
            </w:r>
          </w:p>
        </w:tc>
        <w:tc>
          <w:tcPr>
            <w:tcW w:w="1040" w:type="dxa"/>
            <w:vAlign w:val="bottom"/>
          </w:tcPr>
          <w:p>
            <w:pPr>
              <w:jc w:val="right"/>
              <w:spacing w:after="0"/>
              <w:rPr>
                <w:sz w:val="20"/>
                <w:szCs w:val="20"/>
                <w:color w:val="auto"/>
              </w:rPr>
            </w:pPr>
            <w:r>
              <w:rPr>
                <w:rFonts w:ascii="Arial" w:cs="Arial" w:eastAsia="Arial" w:hAnsi="Arial"/>
                <w:sz w:val="18"/>
                <w:szCs w:val="18"/>
                <w:color w:val="auto"/>
              </w:rPr>
              <w:t>844,200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166,994,955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04/1/14-04/30/14</w:t>
            </w:r>
          </w:p>
        </w:tc>
        <w:tc>
          <w:tcPr>
            <w:tcW w:w="2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446,204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46.06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896,441,833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05/1/14-05/31/14</w:t>
            </w:r>
          </w:p>
        </w:tc>
        <w:tc>
          <w:tcPr>
            <w:tcW w:w="2460" w:type="dxa"/>
            <w:vAlign w:val="bottom"/>
          </w:tcPr>
          <w:p>
            <w:pPr>
              <w:spacing w:after="0"/>
              <w:rPr>
                <w:sz w:val="18"/>
                <w:szCs w:val="18"/>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794,100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47.14</w:t>
            </w:r>
          </w:p>
        </w:tc>
        <w:tc>
          <w:tcPr>
            <w:tcW w:w="1040" w:type="dxa"/>
            <w:vAlign w:val="bottom"/>
          </w:tcPr>
          <w:p>
            <w:pPr>
              <w:jc w:val="right"/>
              <w:spacing w:after="0"/>
              <w:rPr>
                <w:sz w:val="20"/>
                <w:szCs w:val="20"/>
                <w:color w:val="auto"/>
              </w:rPr>
            </w:pPr>
            <w:r>
              <w:rPr>
                <w:rFonts w:ascii="Arial" w:cs="Arial" w:eastAsia="Arial" w:hAnsi="Arial"/>
                <w:sz w:val="18"/>
                <w:szCs w:val="18"/>
                <w:color w:val="auto"/>
              </w:rPr>
              <w:t>794,100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859,006,173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06/1/14-06/30/14</w:t>
            </w:r>
          </w:p>
        </w:tc>
        <w:tc>
          <w:tcPr>
            <w:tcW w:w="2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726,640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48.12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824,041,039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07/1/14-07/31/14</w:t>
            </w:r>
          </w:p>
        </w:tc>
        <w:tc>
          <w:tcPr>
            <w:tcW w:w="2460" w:type="dxa"/>
            <w:vAlign w:val="bottom"/>
          </w:tcPr>
          <w:p>
            <w:pPr>
              <w:spacing w:after="0"/>
              <w:rPr>
                <w:sz w:val="18"/>
                <w:szCs w:val="18"/>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740,556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47.17</w:t>
            </w:r>
          </w:p>
        </w:tc>
        <w:tc>
          <w:tcPr>
            <w:tcW w:w="1040" w:type="dxa"/>
            <w:vAlign w:val="bottom"/>
          </w:tcPr>
          <w:p>
            <w:pPr>
              <w:jc w:val="right"/>
              <w:spacing w:after="0"/>
              <w:rPr>
                <w:sz w:val="20"/>
                <w:szCs w:val="20"/>
                <w:color w:val="auto"/>
              </w:rPr>
            </w:pPr>
            <w:r>
              <w:rPr>
                <w:rFonts w:ascii="Arial" w:cs="Arial" w:eastAsia="Arial" w:hAnsi="Arial"/>
                <w:sz w:val="18"/>
                <w:szCs w:val="18"/>
                <w:color w:val="auto"/>
              </w:rPr>
              <w:t>740,556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789,110,816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08/1/14-08/31/14</w:t>
            </w:r>
          </w:p>
        </w:tc>
        <w:tc>
          <w:tcPr>
            <w:tcW w:w="2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1,079,722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45.47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740,012,835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09/1/14-09/30/14</w:t>
            </w:r>
          </w:p>
        </w:tc>
        <w:tc>
          <w:tcPr>
            <w:tcW w:w="2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547,547</w:t>
            </w:r>
          </w:p>
        </w:tc>
        <w:tc>
          <w:tcPr>
            <w:tcW w:w="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540"/>
              <w:spacing w:after="0"/>
              <w:rPr>
                <w:sz w:val="20"/>
                <w:szCs w:val="20"/>
                <w:color w:val="auto"/>
              </w:rPr>
            </w:pPr>
            <w:r>
              <w:rPr>
                <w:rFonts w:ascii="Arial" w:cs="Arial" w:eastAsia="Arial" w:hAnsi="Arial"/>
                <w:sz w:val="18"/>
                <w:szCs w:val="18"/>
                <w:color w:val="auto"/>
              </w:rPr>
              <w:t>47.55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713,979,319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8,424,769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44.14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8,424,769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713,979,319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15" w:lineRule="exact"/>
        <w:rPr>
          <w:rFonts w:ascii="Arial" w:cs="Arial" w:eastAsia="Arial" w:hAnsi="Arial"/>
          <w:sz w:val="18"/>
          <w:szCs w:val="18"/>
          <w:color w:val="auto"/>
        </w:rPr>
      </w:pPr>
    </w:p>
    <w:p>
      <w:pPr>
        <w:ind w:left="460" w:right="20" w:hanging="452"/>
        <w:spacing w:after="0" w:line="28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November 6, 2012, our Board of Directors adopted a share repurchase plan authorizing the repurchase of up to $500.0 million of our outstanding ordinary shares with no expiration date and on April 30, 2014, adopted another share repurchase plan authorizing the repurchase of up to $750.0 million of our outstanding ordinary shares. The authorizations have no expiration date and permit us to purchase our ordinary shares in open market or privately negotiated transactions at times and prices that we consider appropriate. In August 2014, we completed the repurchase of the remaining authorized amount under the November 2012 plan and began executing repurchases under the April 2014 plan. In fiscal 2014, we repurchased 8.4 million ordinary shares at an average price of $44.14 per share (excluding broker and transaction fees). As of September 30, 2014, we had remaining authority to repurchase up to $714.0 million of our outstanding ordinary shares under the April 2014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April 2014, we purchased for cash $0.4 million principal amount of our convertible notes due 2024 tendered by holders. As of September 30, 2014, $0.6 million principal amount of the notes remained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2014, and to our website at www.amdocs.com.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and Financial Statement Schedule of Amdocs Limited, with respect to financial results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2013 and 2012, are included at the end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Balance Sheets as of September 30, 2014 and 2013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Income for the fiscal years ended September 30, 2014, 2013 and 2012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Comprehensive Income for the fiscal years ended September 30, 2014, 2013 and 2012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Cash Flows for the fiscal years ended September 30, 2014, 2013 and 2012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and Qualifying Accounts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on the Exhibit Index hereof are filed herewith in response to this Item.</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2014</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68"/>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89"/>
              </w:rPr>
              <w:t>Amended and Restated Memorandum of Incorporation of Amdocs Limited (incorporated by reference to Exhibits 99.1 to Amdocs’ Form 6-K filed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rPr>
              <w:t>January 26, 2009)</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1.2</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93"/>
              </w:rPr>
              <w:t>Amended and Restated Articles of Incorporation of Amdocs Limited (incorporated by reference to Exhibit 1.2 to Amdocs’ Annual Report on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rPr>
              <w:t>Form 20-F, filed December 7, 2010)</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2.a.1</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90"/>
              </w:rPr>
              <w:t>Indenture, dated March 5, 2004, between Amdocs Limited and The Bank of New York, as trustee, for 0.50% Convertible Senior Notes due 2024</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rPr>
              <w:t>(incorporated by reference to Exhibit 99.1 to Amdocs’ Form 6-K, filed March 5, 2004)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4.b.1†</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92"/>
              </w:rPr>
              <w:t>Agreement between Amdocs, Inc. and SBC Services, Inc. for Software and Professional Services, effective August 7, 2003 (incorporated by</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89"/>
              </w:rPr>
              <w:t>reference to Exhibit 99.3 to Amdocs’ Amendment No. 1 to Registration Statement on Form F-3, dated September 21, 2004, Registration No. 333-</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114344)</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4.b.2†</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91"/>
              </w:rPr>
              <w:t>Amendments to Agreement between the Company and AT&amp;T Services, Inc. (f/k/a SBC Services, Inc.) for Software and Professional Services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rPr>
              <w:t>effective August 7, 2003</w:t>
            </w:r>
          </w:p>
        </w:tc>
      </w:tr>
      <w:tr>
        <w:trPr>
          <w:trHeight w:val="331"/>
        </w:trPr>
        <w:tc>
          <w:tcPr>
            <w:tcW w:w="540" w:type="dxa"/>
            <w:vAlign w:val="bottom"/>
            <w:gridSpan w:val="2"/>
          </w:tcPr>
          <w:p>
            <w:pPr>
              <w:spacing w:after="0"/>
              <w:rPr>
                <w:sz w:val="20"/>
                <w:szCs w:val="20"/>
                <w:color w:val="auto"/>
              </w:rPr>
            </w:pPr>
            <w:r>
              <w:rPr>
                <w:rFonts w:ascii="Arial" w:cs="Arial" w:eastAsia="Arial" w:hAnsi="Arial"/>
                <w:sz w:val="18"/>
                <w:szCs w:val="18"/>
                <w:color w:val="auto"/>
              </w:rPr>
              <w:t>4.b.6</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88"/>
              </w:rPr>
              <w:t>Credit Agreement, dated as of December 20, 2011, among Amdocs Limited, certain of its subsidiaries, the lenders from time to time party thereto,</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89"/>
              </w:rPr>
              <w:t>JPMorgan Chase Bank, N.A., as administrative agent, J.P. Morgan Europe Limited, as London agent, and JPMorgan Chase Bank, N.A., Toronto</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89"/>
              </w:rPr>
              <w:t>branch, as Canadian agent (incorporated by reference to Exhibit 99.1 to Amdocs’ Report of Foreign Private Issuer on Form 6-K dated December</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22, 2011)</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4.c.1</w:t>
            </w: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w w:val="92"/>
              </w:rPr>
              <w:t>Amdocs Limited 1998 Stock Option and Incentive Plan, as amended (incorporated by reference to Appendix C to Amdocs’ Report of Foreign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00"/>
              <w:spacing w:after="0"/>
              <w:rPr>
                <w:sz w:val="20"/>
                <w:szCs w:val="20"/>
                <w:color w:val="auto"/>
              </w:rPr>
            </w:pPr>
            <w:r>
              <w:rPr>
                <w:rFonts w:ascii="Arial" w:cs="Arial" w:eastAsia="Arial" w:hAnsi="Arial"/>
                <w:sz w:val="18"/>
                <w:szCs w:val="18"/>
                <w:color w:val="auto"/>
              </w:rPr>
              <w:t>Private Issuer on Form 6-K filed December 22, 2011)</w:t>
            </w:r>
          </w:p>
        </w:tc>
      </w:tr>
    </w:tbl>
    <w:p>
      <w:pPr>
        <w:spacing w:after="0" w:line="102"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Subsidiaries of Amdocs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42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42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42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1042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1042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100.1</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The following financial information from Amdocs Limited’s Annual Report on Form 20-F for the year ended September 30, 2014, formatted in</w:t>
            </w:r>
          </w:p>
        </w:tc>
      </w:tr>
      <w:tr>
        <w:trPr>
          <w:trHeight w:val="222"/>
        </w:trPr>
        <w:tc>
          <w:tcPr>
            <w:tcW w:w="72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Extensible Business Reporting Language (XBRL): (i) Consolidated Balance Sheets as of September 30, 2014 and 2013, (ii) Consolidated</w:t>
            </w:r>
          </w:p>
        </w:tc>
      </w:tr>
    </w:tbl>
    <w:p>
      <w:pPr>
        <w:jc w:val="both"/>
        <w:ind w:left="1040" w:right="180"/>
        <w:spacing w:after="0" w:line="250" w:lineRule="auto"/>
        <w:rPr>
          <w:sz w:val="20"/>
          <w:szCs w:val="20"/>
          <w:color w:val="auto"/>
        </w:rPr>
      </w:pPr>
      <w:r>
        <w:rPr>
          <w:rFonts w:ascii="Arial" w:cs="Arial" w:eastAsia="Arial" w:hAnsi="Arial"/>
          <w:sz w:val="18"/>
          <w:szCs w:val="18"/>
          <w:color w:val="auto"/>
        </w:rPr>
        <w:t>Statements of Income for the years ended September 30, 2014, 2013 and 2012, (iii) Consolidated Statements of Comprehensive Income for the years ended September 30, 2014, 2013 and 2012, (iv) the Consolidated Statements of Cash Flows for the years ended September 30, 2014, 2013 and 2012, and (iv) Notes to Consolidated Financial Statements</w:t>
      </w:r>
    </w:p>
    <w:p>
      <w:pPr>
        <w:spacing w:after="0" w:line="1" w:lineRule="exact"/>
        <w:rPr>
          <w:sz w:val="20"/>
          <w:szCs w:val="20"/>
          <w:color w:val="auto"/>
        </w:rPr>
      </w:pPr>
    </w:p>
    <w:p>
      <w:pPr>
        <w:ind w:left="460" w:right="60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1"/>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71">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Reports of Independent Registered Public Accounting Firm</w:t>
              </w:r>
            </w:hyperlink>
          </w:p>
        </w:tc>
        <w:tc>
          <w:tcPr>
            <w:tcW w:w="59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Balance Sheets as of September 30, 2014 and 2013</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Income for the fiscal years ended September 30, 2014, 2013 and 2012</w:t>
              </w:r>
            </w:hyperlink>
          </w:p>
        </w:tc>
        <w:tc>
          <w:tcPr>
            <w:tcW w:w="38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Comprehensive Income for the fiscal years ended September 30, 2014, 2013 and 2012</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Changes in Shareholders’ Equity for the fiscal years ended September 30, 2014, 2013 and 2012</w:t>
              </w:r>
            </w:hyperlink>
          </w:p>
        </w:tc>
        <w:tc>
          <w:tcPr>
            <w:tcW w:w="19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2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Cash Flows for the fiscal years ended September 30, 2014, 2013 and 2012</w:t>
              </w:r>
            </w:hyperlink>
          </w:p>
        </w:tc>
        <w:tc>
          <w:tcPr>
            <w:tcW w:w="35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Notes to the Consolidated Financial Statements</w:t>
              </w:r>
            </w:hyperlink>
          </w:p>
        </w:tc>
        <w:tc>
          <w:tcPr>
            <w:tcW w:w="73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228"/>
        </w:trPr>
        <w:tc>
          <w:tcPr>
            <w:tcW w:w="1094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106">
              <w:r>
                <w:rPr>
                  <w:rFonts w:ascii="Arial" w:cs="Arial" w:eastAsia="Arial" w:hAnsi="Arial"/>
                  <w:sz w:val="18"/>
                  <w:szCs w:val="18"/>
                  <w:color w:val="0000EE"/>
                </w:rPr>
                <w:t>Valuation and Qualifying Accounts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F-37</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5"/>
          </w:tcPr>
          <w:p>
            <w:pPr>
              <w:ind w:left="6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 w:lineRule="exact"/>
        <w:rPr>
          <w:sz w:val="20"/>
          <w:szCs w:val="20"/>
          <w:color w:val="auto"/>
        </w:rPr>
      </w:pPr>
    </w:p>
    <w:p>
      <w:pPr>
        <w:ind w:left="660" w:right="7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2014. In making this assessment, the Company’s management used the criteria set forth by the Committee of Sponsoring Organizations of the Treadway Commission (1992 framework) in Internal Control-Integrated Framework.</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its assessment, management concluded that, as of September 30, 2014, the Company’s internal control over financial reporting is effective based on those criteria.</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Amdocs Limited as of September 30, 2014 and 2013, and the related consolidated statements of income, comprehensive income, changes in shareholders’ equity, and cash flows for each of the three years in the period ended September 30, 2014.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2014 and 2013, and the consolidated results of its operations and its cash flows for each of the three years in the period ended September 30,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Amdocs Limited’s internal control over financial reporting as of September 30, 2014, based on criteria established in Internal Control-Integrated Framework issued by the Committee of Sponsoring Organizations of the Treadway Commission (1992 framework) and our report dated December 8, 2014 expressed an unqualified opinion thereon.</w:t>
      </w:r>
    </w:p>
    <w:p>
      <w:pPr>
        <w:spacing w:after="0" w:line="10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8,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Amdocs Limited’s internal control over financial reporting as of September 30, 2014, based on criteria established in Internal Control — Integrated Framework issued by the Committee of Sponsoring Organizations of the Treadway Commission (1992 framework)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2014, based on the COSO criteria.</w:t>
      </w:r>
    </w:p>
    <w:p>
      <w:pPr>
        <w:spacing w:after="0" w:line="5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2014 and 2013, and the related consolidated statements of income, comprehensive income, changes in shareholders’ equity, and cash flows for each of the three years in the period ended September 30, 2014 of Amdocs Limited and our report dated December 8, 2014 expressed an unqualified opinion thereon.</w:t>
      </w:r>
    </w:p>
    <w:p>
      <w:pPr>
        <w:spacing w:after="0" w:line="1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1,103,269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321,196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715,837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148,346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135,326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2,423,974</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2,282,074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288,956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99,274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1,925,225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1,818,334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181,227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266,621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5,185,277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4,925,813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422,291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220,630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156,743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48,456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1,200,747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311,134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277,560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1,789,441</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1,651,030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Ordinary Shares — Authorized 700,000 shares; £0.01 par value; 264,735 and 259,668 issued and 156,704 and 160,062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in 2014 and 2013, respectively</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3,054,780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2,878,898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 108,031 and 99,606 ordinary shares in 2014 and 2013, respectively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(3,157,085)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(2,785,071)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3,503,829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3,176,125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3,395,836</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3,274,783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5,185,277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4,925,813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91,798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81,613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3,471,839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3,264,241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3,126,460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3,563,637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3,345,854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3,246,903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2,304,124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2,164,450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2,081,945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257,896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240,266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3,067,989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2,864,302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2,804,431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495,648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481,552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489,550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475,477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422,122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412,439</w:t>
            </w:r>
          </w:p>
        </w:tc>
        <w:tc>
          <w:tcPr>
            <w:tcW w:w="4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number of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number of shares outstanding</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161,366</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8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$422,122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$412,439</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$391,371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fair value of cash flow hedges(1)</w:t>
            </w:r>
          </w:p>
        </w:tc>
        <w:tc>
          <w:tcPr>
            <w:tcW w:w="30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(10,218)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Net change in fair value of available-for-sale securities(2)</w:t>
            </w:r>
          </w:p>
        </w:tc>
        <w:tc>
          <w:tcPr>
            <w:tcW w:w="3000" w:type="dxa"/>
            <w:vAlign w:val="bottom"/>
            <w:gridSpan w:val="3"/>
          </w:tcPr>
          <w:p>
            <w:pPr>
              <w:jc w:val="right"/>
              <w:ind w:right="132"/>
              <w:spacing w:after="0"/>
              <w:rPr>
                <w:sz w:val="20"/>
                <w:szCs w:val="20"/>
                <w:color w:val="auto"/>
              </w:rPr>
            </w:pPr>
            <w:r>
              <w:rPr>
                <w:rFonts w:ascii="Arial" w:cs="Arial" w:eastAsia="Arial" w:hAnsi="Arial"/>
                <w:sz w:val="18"/>
                <w:szCs w:val="18"/>
                <w:color w:val="auto"/>
              </w:rPr>
              <w:t>(283)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(losses) gains on defined benefit plan(3)</w:t>
            </w:r>
          </w:p>
        </w:tc>
        <w:tc>
          <w:tcPr>
            <w:tcW w:w="2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 net of tax</w:t>
            </w: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(10,604)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26,133</w:t>
            </w: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2"/>
              </w:rPr>
              <w:t>$ 411,518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438,572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9436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$4,413, $(7,413) and $2,489 for the fiscal years ended September 30, 2014, 2013 and 2012,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$2, $(49) and $(40) for the fiscal years ended September 30, 2014, 2013 and 2012,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$38, $(1,196) and $1,598 for the fiscal years ended September 30, 2014,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340" w:type="dxa"/>
            <w:vAlign w:val="bottom"/>
            <w:gridSpan w:val="4"/>
            <w:vMerge w:val="restart"/>
          </w:tcPr>
          <w:p>
            <w:pPr>
              <w:jc w:val="right"/>
              <w:ind w:right="113"/>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340" w:type="dxa"/>
            <w:vAlign w:val="bottom"/>
            <w:tcBorders>
              <w:bottom w:val="single" w:sz="8" w:color="auto"/>
            </w:tcBorders>
            <w:gridSpan w:val="4"/>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4"/>
              </w:rPr>
              <w:t>Treasury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1"/>
                <w:szCs w:val="11"/>
                <w:color w:val="auto"/>
              </w:rPr>
            </w:pP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October 1, 2011</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174,692</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2,495,211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(1,933,402)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(19,656)</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2,477,135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3,023,301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391,371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391,371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(5,845)</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385,526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3,585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Arial" w:cs="Arial" w:eastAsia="Arial" w:hAnsi="Arial"/>
                <w:sz w:val="12"/>
                <w:szCs w:val="12"/>
                <w:color w:val="auto"/>
                <w:w w:val="74"/>
              </w:rPr>
              <w:t>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86,610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86,666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(16,288)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(484,608)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(484,608)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Cash dividends declared ($0.130 per ordinary share)</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43,429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162,454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2,625,250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(2,418,010)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(25,501)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2,847,386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3,033,202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412,439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26,133</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438,572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7,243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213,308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213,420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(10,370)</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(367,061)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(367,061)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Cash dividends declared ($0.520 per ordinary share)</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(83,700)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2"/>
                <w:szCs w:val="12"/>
                <w:color w:val="auto"/>
                <w:w w:val="74"/>
              </w:rPr>
              <w:t>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40,340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160,062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2,878,898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(2,785,071)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3,176,125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3,274,783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422,122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(10,604)</w:t>
            </w: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4,395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Arial" w:cs="Arial" w:eastAsia="Arial" w:hAnsi="Arial"/>
                <w:sz w:val="12"/>
                <w:szCs w:val="12"/>
                <w:color w:val="auto"/>
                <w:w w:val="74"/>
              </w:rPr>
              <w:t>73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128,063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128,136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(8,425)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(372,014)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($0.595 per ordinary share)</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(94,418)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Arial" w:cs="Arial" w:eastAsia="Arial" w:hAnsi="Arial"/>
                <w:sz w:val="12"/>
                <w:szCs w:val="12"/>
                <w:color w:val="auto"/>
                <w:w w:val="74"/>
              </w:rPr>
              <w:t>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September 30, 2014</w:t>
            </w: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156,704</w:t>
            </w:r>
          </w:p>
        </w:tc>
        <w:tc>
          <w:tcPr>
            <w:tcW w:w="3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4,284</w:t>
            </w:r>
          </w:p>
        </w:tc>
        <w:tc>
          <w:tcPr>
            <w:tcW w:w="16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3,054,780</w:t>
            </w:r>
          </w:p>
        </w:tc>
        <w:tc>
          <w:tcPr>
            <w:tcW w:w="14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(3,157,085)</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(9,972)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3,503,829</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3,395,836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2014, 2013 and 2012, accumulated other comprehensive (loss) income is comprised of unrealized (loss) gain on derivatives, net of tax, of $(5,522), $4,696 and $(17,942), unrealized (loss) gain on short-term interest-bearing investments, net of tax, of $(39), $244 and $54 and unrealized (loss) on defined benefit plan, net of tax, of $(4,411), $(4,308) and $(7,613).</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422,122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412,439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162,772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140,776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12,485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Gain on sale of investments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Income taxes payable, net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(5,268)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709,258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670,547</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514,069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8"/>
              </w:rPr>
              <w:t>(111,569)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(106,724)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311,677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440,145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8"/>
              </w:rPr>
              <w:t>(389,800)</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(386,876)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(337,989)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8"/>
              </w:rPr>
              <w:t>(180,540)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(112,405)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8"/>
              </w:rPr>
              <w:t>(298,553)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(297,129)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(17,289)</w:t>
            </w: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8"/>
              </w:rPr>
              <w:t>(372,014)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(367,061)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(484,608)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213,430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(90,939)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8"/>
              </w:rPr>
              <w:t>(321,628)</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(238,384)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(448,993)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89,077</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135,034</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1,014,192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879,158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1,103,269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1,014,192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879,158</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Income Taxes Paid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paid for:</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Entity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the United Kingdom and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years’ financial statements may be reclassified to conform to the current year’s presentation.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classifies all of its short-term interest-bearing investments as available-for-sale securities. Such short-term interest-bearing investments consist primarily of money market funds, U.S. government treasuries, corporate bonds and U.S. agency securities, which are stated at market value. Unrealized gains and losses are comprised of the difference between market value and amortized costs of such securities and are reflected, net of tax, as “accumulated other comprehensive (loss) income” in shareholders’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(loss) income. The Company uses a discounted cash flow analysis to determine the portion of the impairment that relates to the credit losses. To the extent that the net present value of the projected cash flows is less than the amortized cost of the security, the difference is considered credit loss. Realized gains and losses on short-term interest-bearing investments are included in earnings and are derived using the first-in-first-out (FIFO) method for determining the cost of securities.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Equipment and leasehold improvements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certain expenditures for software that is internally developed for use in the business, which is classified as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internal use software begins when the software is ready for service and continues on the straight-line method over the estimated useful life.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51"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90" w:lineRule="exact"/>
        <w:rPr>
          <w:sz w:val="20"/>
          <w:szCs w:val="20"/>
          <w:color w:val="auto"/>
        </w:rPr>
      </w:pPr>
    </w:p>
    <w:p>
      <w:pPr>
        <w:ind w:left="1140" w:hanging="21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essential to the software. As a result, combined license and service revenue is generally recognized over the course of these long-term projects, using the percentage of completion method of accounting,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3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Initial license fee for software revenue is recognized as work is performed, under the percentage of completion method of accounting. Contingent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Service revenue that does not involve significant ongoing obligations is recognized as services are rendered.</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managed services contracts and in other long 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 term in duration and are not subject to seasonality. Revenue from ongoing support services is recognized as work is performed.</w:t>
      </w:r>
    </w:p>
    <w:p>
      <w:pPr>
        <w:spacing w:after="0" w:line="6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sales is included in service revenue and was less than 10% of total revenue in each of fiscal 2014, 2013 and 2012. In certain arrangements, the Company may earn revenue from other third-party services which is recorded at a gross amount as the Company is the primary obligor under the arrangement.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90" w:lineRule="exact"/>
        <w:rPr>
          <w:sz w:val="20"/>
          <w:szCs w:val="20"/>
          <w:color w:val="auto"/>
        </w:rPr>
      </w:pPr>
    </w:p>
    <w:p>
      <w:pPr>
        <w:ind w:right="40" w:firstLine="456"/>
        <w:spacing w:after="0" w:line="357" w:lineRule="auto"/>
        <w:rPr>
          <w:sz w:val="20"/>
          <w:szCs w:val="20"/>
          <w:color w:val="auto"/>
        </w:rPr>
      </w:pPr>
      <w:r>
        <w:rPr>
          <w:rFonts w:ascii="Arial" w:cs="Arial" w:eastAsia="Arial" w:hAnsi="Arial"/>
          <w:sz w:val="15"/>
          <w:szCs w:val="15"/>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ind w:right="80" w:firstLine="456"/>
        <w:spacing w:after="0" w:line="255" w:lineRule="auto"/>
        <w:rPr>
          <w:sz w:val="20"/>
          <w:szCs w:val="20"/>
          <w:color w:val="auto"/>
        </w:rPr>
      </w:pPr>
      <w:r>
        <w:rPr>
          <w:rFonts w:ascii="Arial" w:cs="Arial" w:eastAsia="Arial" w:hAnsi="Arial"/>
          <w:sz w:val="18"/>
          <w:szCs w:val="18"/>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License and Cost of Service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Cost of license and cost of service consist of all costs associated with providing software licenses and services to customers, including identified losses on contracts. Estimated losses on contracts accounted for using the percentage of completion method of accounting are recognized in the period in which the loss is identified. Cost of license includes license fees and royalty payments to software suppliers.</w:t>
      </w:r>
    </w:p>
    <w:p>
      <w:pPr>
        <w:spacing w:after="0" w:line="5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Cost of service also includes costs of third-party products associated with reselling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ind w:right="380" w:firstLine="456"/>
        <w:spacing w:after="0" w:line="268"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incurred by the Company after achieving technological feasibility and before the product is ready for customer release have been insignificant.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3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2014, the Company had one customer with an accounts receivable balance of more than 10% of total accounts receivable, amounting to 32%, which was lower than its respective portion of total revenue. As of September 30, 2013, the Company had one customer with an accounts receivable balance of more than 10% of total accounts receivable, amounting to 25%, which was lower than its respective portion of total revenue.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as interest and other expense, net. The ineffective portion of a derivative designated as a cash flow hedge is recognized in earnings. If a derivative does not meet the definition of a cash flow hedge, the changes in the fair value are included in earnings.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the Company beginning October 1, 2017, allows for either full or modified retrospective methods of adoption and early adoption is not permitted. The Company is currently evaluating the method of adoption, as well as the effect that adoption of this ASU will have on its consolidated financial statements.</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2013, the FASB issued an ASU,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the Company on October 1, 2014, and may result in changes in the Company’s financial statements presentation but will not affect the substantive content of the Company’s consolidated financial statements.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February 2013, the FASB issued an ASU to require reclassification adjustments from other comprehensive income to be presented either in the financial statements or in the notes to the financial statements. This ASU became effective for the Company in the first quarter of fiscal 2014 and its adoption did not have a material impact on the Company’s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2013, the Company acquired Actix International Limited (“Actix”), a provider of software for mobile network optimization, for $112,405, net of cash. During fiscal 2014, the Company acquired substantially all of the assets of Celcite Management Solutions LLC (“Celcite”), a provider of network management and self-optimizing network solutions, for $142,077 in cash, with the potential for additional consideration to be paid in the future if certain performance metrics are achieved. Please see Note 9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5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90"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2014 and 2013:</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88"/>
              </w:rPr>
              <w:t>As of September 30, 2014</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4"/>
              </w:rPr>
              <w:t>Level 3</w:t>
            </w:r>
          </w:p>
        </w:tc>
        <w:tc>
          <w:tcPr>
            <w:tcW w:w="22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120" w:type="dxa"/>
            <w:vAlign w:val="bottom"/>
            <w:gridSpan w:val="3"/>
          </w:tcPr>
          <w:p>
            <w:pPr>
              <w:jc w:val="right"/>
              <w:ind w:right="580"/>
              <w:spacing w:after="0"/>
              <w:rPr>
                <w:sz w:val="20"/>
                <w:szCs w:val="20"/>
                <w:color w:val="auto"/>
              </w:rPr>
            </w:pPr>
            <w:r>
              <w:rPr>
                <w:rFonts w:ascii="Arial" w:cs="Arial" w:eastAsia="Arial" w:hAnsi="Arial"/>
                <w:sz w:val="18"/>
                <w:szCs w:val="18"/>
                <w:color w:val="auto"/>
              </w:rPr>
              <w:t>$649,745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118,708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1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18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18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Government-guaranteed debt</w:t>
            </w:r>
          </w:p>
        </w:tc>
        <w:tc>
          <w:tcPr>
            <w:tcW w:w="1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Mortgages</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207,179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977,639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1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(35,944)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(35,944)</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312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770,460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205,821</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(35,944)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gridSpan w:val="3"/>
          </w:tcPr>
          <w:p>
            <w:pPr>
              <w:ind w:left="84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As of September 30,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84"/>
              </w:rPr>
              <w:t>Level 2</w:t>
            </w: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$565,216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$565,216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81,727</w:t>
            </w:r>
          </w:p>
        </w:tc>
        <w:tc>
          <w:tcPr>
            <w:tcW w:w="660" w:type="dxa"/>
            <w:vAlign w:val="bottom"/>
          </w:tcPr>
          <w:p>
            <w:pPr>
              <w:jc w:val="right"/>
              <w:spacing w:after="0"/>
              <w:rPr>
                <w:sz w:val="20"/>
                <w:szCs w:val="20"/>
                <w:color w:val="auto"/>
              </w:rPr>
            </w:pPr>
            <w:r>
              <w:rPr>
                <w:rFonts w:ascii="Arial" w:cs="Arial" w:eastAsia="Arial" w:hAnsi="Arial"/>
                <w:sz w:val="18"/>
                <w:szCs w:val="18"/>
                <w:color w:val="auto"/>
              </w:rPr>
              <w:t>81,727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660" w:type="dxa"/>
            <w:vAlign w:val="bottom"/>
          </w:tcPr>
          <w:p>
            <w:pPr>
              <w:jc w:val="right"/>
              <w:spacing w:after="0"/>
              <w:rPr>
                <w:sz w:val="20"/>
                <w:szCs w:val="20"/>
                <w:color w:val="auto"/>
              </w:rPr>
            </w:pPr>
            <w:r>
              <w:rPr>
                <w:rFonts w:ascii="Arial" w:cs="Arial" w:eastAsia="Arial" w:hAnsi="Arial"/>
                <w:sz w:val="18"/>
                <w:szCs w:val="18"/>
                <w:color w:val="auto"/>
              </w:rPr>
              <w:t>6,189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3,901</w:t>
            </w:r>
          </w:p>
        </w:tc>
        <w:tc>
          <w:tcPr>
            <w:tcW w:w="660" w:type="dxa"/>
            <w:vAlign w:val="bottom"/>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Supranational and sovereign debt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Government-guaranteed debt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6,846</w:t>
            </w:r>
          </w:p>
        </w:tc>
        <w:tc>
          <w:tcPr>
            <w:tcW w:w="660" w:type="dxa"/>
            <w:vAlign w:val="bottom"/>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769,569</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125,193</w:t>
            </w:r>
          </w:p>
        </w:tc>
        <w:tc>
          <w:tcPr>
            <w:tcW w:w="5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894,762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769,569</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132,731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902,300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2014 or fiscal 2013. Level 3 amounts relate to certain acquisition-related liabilities, which were valued using a Monte-Carlo simulation model and were included in both accrued expenses and other current liabilities and other noncurrent liabilities as of September 30, 2014.</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2014</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$649,745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$649,745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118,652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118,708</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102,387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102,420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41,658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41,649</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28,509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977,669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272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977,639</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September 30, 2014, $321,196 of securities were classified as short term interest-bearing investments and $656,443 of securities were classified as cash and cash equivalents.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$565,216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198,031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198,164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25,529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6,318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Government-guaranteed debt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Mortgages</w:t>
            </w:r>
          </w:p>
        </w:tc>
        <w:tc>
          <w:tcPr>
            <w:tcW w:w="20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Total(2)</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894,507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894,762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September 30, 2013, $312,188 of securities were classified as short term interest-bearing investments and $582,574 of securities were classified as cash and cash equivalents.</w:t>
      </w:r>
    </w:p>
    <w:p>
      <w:pPr>
        <w:spacing w:after="0" w:line="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September 30, 2014,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an immaterial credit loss in fiscal 2014, 2013 and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rPr>
              <w:t>AMDOCS LIMITED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9600" w:type="dxa"/>
            <w:vAlign w:val="bottom"/>
          </w:tcPr>
          <w:p>
            <w:pPr>
              <w:jc w:val="center"/>
              <w:ind w:left="812"/>
              <w:spacing w:after="0"/>
              <w:rPr>
                <w:sz w:val="20"/>
                <w:szCs w:val="20"/>
                <w:color w:val="auto"/>
              </w:rPr>
            </w:pPr>
            <w:r>
              <w:rPr>
                <w:rFonts w:ascii="Arial" w:cs="Arial" w:eastAsia="Arial" w:hAnsi="Arial"/>
                <w:sz w:val="18"/>
                <w:szCs w:val="18"/>
                <w:b w:val="1"/>
                <w:bCs w:val="1"/>
                <w:color w:val="auto"/>
                <w:w w:val="96"/>
              </w:rPr>
              <w:t>NOTES TO THE CONSOLIDATED FINANCIAL STATEMENTS —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w w:val="86"/>
              </w:rPr>
              <w:t>(dollar and share amounts in thousands, except per share data)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600" w:type="dxa"/>
            <w:vAlign w:val="bottom"/>
          </w:tcPr>
          <w:p>
            <w:pPr>
              <w:spacing w:after="0"/>
              <w:rPr>
                <w:sz w:val="20"/>
                <w:szCs w:val="20"/>
                <w:color w:val="auto"/>
              </w:rPr>
            </w:pPr>
            <w:r>
              <w:rPr>
                <w:rFonts w:ascii="Arial" w:cs="Arial" w:eastAsia="Arial" w:hAnsi="Arial"/>
                <w:sz w:val="18"/>
                <w:szCs w:val="18"/>
                <w:color w:val="auto"/>
              </w:rPr>
              <w:t>As of September 30, 2014, the Company’s available-for-sale securities had the following maturity dates: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Market Value</w:t>
            </w:r>
          </w:p>
        </w:tc>
      </w:tr>
      <w:tr>
        <w:trPr>
          <w:trHeight w:val="210"/>
        </w:trPr>
        <w:tc>
          <w:tcPr>
            <w:tcW w:w="9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746,357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121,335</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90,136</w:t>
            </w:r>
          </w:p>
        </w:tc>
        <w:tc>
          <w:tcPr>
            <w:tcW w:w="10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8,317</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EEFF"/>
          </w:tcPr>
          <w:p>
            <w:pPr>
              <w:spacing w:after="0"/>
              <w:rPr>
                <w:sz w:val="18"/>
                <w:szCs w:val="18"/>
                <w:color w:val="auto"/>
              </w:rPr>
            </w:pPr>
          </w:p>
        </w:tc>
      </w:tr>
      <w:tr>
        <w:trPr>
          <w:trHeight w:val="222"/>
        </w:trPr>
        <w:tc>
          <w:tcPr>
            <w:tcW w:w="96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977,639</w:t>
            </w:r>
          </w:p>
        </w:tc>
        <w:tc>
          <w:tcPr>
            <w:tcW w:w="10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$8,314 as of September 30, 2014. The Company has limited its credit risk by entering into derivative transactions exclusively with investment-grade rated financial institutions and monitors the creditworthiness of these financial institutions on an ongoing basis.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2014. Notional values are in U.S. dollars and are translated and calculated based on forward rates as of September 30, 2014 for forward contracts, and based on spot rates as of September 30, 2014 for options.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7"/>
              </w:rPr>
              <w:t>Notional Value*</w:t>
            </w:r>
          </w:p>
        </w:tc>
      </w:tr>
      <w:tr>
        <w:trPr>
          <w:trHeight w:val="210"/>
        </w:trPr>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1,386,409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by the Company on its consolidated balance sheets as of September 30, 2014 and September 30, 2013, as an asset or a liability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As of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800" w:type="dxa"/>
            <w:vAlign w:val="bottom"/>
            <w:tcBorders>
              <w:bottom w:val="single" w:sz="8" w:color="auto"/>
            </w:tcBorders>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$ 5,936</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21,595</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(9,686)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(11,641)</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7,521</w:t>
            </w: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(5,736)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(2,671)</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September 30, 2014 is expected to mature within the next 12 months).</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2014, 2013 and 2012, respectively, which partially offsets the foreign currency impact from the underlying exposures, is summarized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4"/>
              </w:rPr>
              <w:t>Gains (Losses) Reclassified from</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Other Comprehensive (Loss)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4"/>
          </w:tcPr>
          <w:p>
            <w:pPr>
              <w:jc w:val="center"/>
              <w:ind w:left="4"/>
              <w:spacing w:after="0" w:line="149" w:lineRule="exact"/>
              <w:rPr>
                <w:sz w:val="20"/>
                <w:szCs w:val="20"/>
                <w:color w:val="auto"/>
              </w:rPr>
            </w:pPr>
            <w:r>
              <w:rPr>
                <w:rFonts w:ascii="Arial" w:cs="Arial" w:eastAsia="Arial" w:hAnsi="Arial"/>
                <w:sz w:val="14"/>
                <w:szCs w:val="14"/>
                <w:b w:val="1"/>
                <w:bCs w:val="1"/>
                <w:color w:val="auto"/>
                <w:w w:val="88"/>
              </w:rPr>
              <w:t>Income (Effective Portion)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(2,945)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(21,504)</w:t>
            </w:r>
          </w:p>
        </w:tc>
        <w:tc>
          <w:tcPr>
            <w:tcW w:w="0" w:type="dxa"/>
            <w:vAlign w:val="bottom"/>
          </w:tcPr>
          <w:p>
            <w:pPr>
              <w:spacing w:after="0"/>
              <w:rPr>
                <w:sz w:val="1"/>
                <w:szCs w:val="1"/>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24,091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(1,547)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(24,736)</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(loss) income, net of tax, is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7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(17,942)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(14,437)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9,162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20,035</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(26,108)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losses into earnings, net of tax</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(19,380)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(5,522)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4,696</w:t>
            </w:r>
          </w:p>
        </w:tc>
        <w:tc>
          <w:tcPr>
            <w:tcW w:w="50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(17,942)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(loss) income, net of taxes, during the fiscal years ended September 30, 2014, 2013 and 2012 were $9,460, $28,504 and $(30,730), or $9,162, $20,035 and $(26,108), respectively.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net losses related to derivatives designated as cash flow hedges and recorded in accumulated other comprehensive (loss) income as of September 30, 2014, a net loss of $5,280 will be reclassified into earnings during fiscal 2015 and will partially offset the foreign currency impact from the underlying exposures. The amount ultimately realized in earnings will likely differ due to future changes in foreign exchange rates.</w:t>
      </w:r>
    </w:p>
    <w:p>
      <w:pPr>
        <w:spacing w:after="0" w:line="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2014, 2013 and 2012, was not material.</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2014, 2013 and 2012, respectively, which partially offsets the foreign currency impact from the underlying exposure, is summarized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(Losses) Gains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10"/>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10"/>
          </w:tcPr>
          <w:p>
            <w:pPr>
              <w:jc w:val="center"/>
              <w:ind w:right="1200"/>
              <w:spacing w:after="0"/>
              <w:rPr>
                <w:sz w:val="20"/>
                <w:szCs w:val="20"/>
                <w:color w:val="auto"/>
              </w:rPr>
            </w:pPr>
            <w:r>
              <w:rPr>
                <w:rFonts w:ascii="Arial" w:cs="Arial" w:eastAsia="Arial" w:hAnsi="Arial"/>
                <w:sz w:val="14"/>
                <w:szCs w:val="14"/>
                <w:b w:val="1"/>
                <w:bCs w:val="1"/>
                <w:color w:val="auto"/>
                <w:w w:val="86"/>
              </w:rPr>
              <w:t>Year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center"/>
              <w:ind w:left="414"/>
              <w:spacing w:after="0" w:line="142" w:lineRule="exact"/>
              <w:rPr>
                <w:sz w:val="20"/>
                <w:szCs w:val="20"/>
                <w:color w:val="auto"/>
              </w:rPr>
            </w:pPr>
            <w:r>
              <w:rPr>
                <w:rFonts w:ascii="Arial" w:cs="Arial" w:eastAsia="Arial" w:hAnsi="Arial"/>
                <w:sz w:val="14"/>
                <w:szCs w:val="14"/>
                <w:b w:val="1"/>
                <w:bCs w:val="1"/>
                <w:color w:val="auto"/>
                <w:w w:val="89"/>
              </w:rPr>
              <w:t>2013</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2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   362</w:t>
            </w:r>
          </w:p>
        </w:tc>
        <w:tc>
          <w:tcPr>
            <w:tcW w:w="3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  (302)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3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(3,446)</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3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1,136</w:t>
            </w:r>
          </w:p>
        </w:tc>
        <w:tc>
          <w:tcPr>
            <w:tcW w:w="3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9,080</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4,145</w:t>
            </w:r>
          </w:p>
        </w:tc>
        <w:tc>
          <w:tcPr>
            <w:tcW w:w="3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(1,179)</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5,056</w:t>
            </w:r>
          </w:p>
        </w:tc>
        <w:tc>
          <w:tcPr>
            <w:tcW w:w="1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10,406</w:t>
            </w:r>
          </w:p>
        </w:tc>
        <w:tc>
          <w:tcPr>
            <w:tcW w:w="36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6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8"/>
          </w:tcPr>
          <w:p>
            <w:pPr>
              <w:ind w:left="2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2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$617,712</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$587,928</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134,523</w:t>
            </w:r>
          </w:p>
        </w:tc>
        <w:tc>
          <w:tcPr>
            <w:tcW w:w="3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110,626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(36,398)</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Accounts receivable, net</w:t>
            </w: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715,837</w:t>
            </w:r>
          </w:p>
        </w:tc>
        <w:tc>
          <w:tcPr>
            <w:tcW w:w="36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678,219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Equipment and Leasehold Improvements, Net</w:t>
            </w: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6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ind w:left="460"/>
              <w:spacing w:after="0"/>
              <w:rPr>
                <w:sz w:val="20"/>
                <w:szCs w:val="20"/>
                <w:color w:val="auto"/>
              </w:rPr>
            </w:pPr>
            <w:r>
              <w:rPr>
                <w:rFonts w:ascii="Arial" w:cs="Arial" w:eastAsia="Arial" w:hAnsi="Arial"/>
                <w:sz w:val="18"/>
                <w:szCs w:val="18"/>
                <w:color w:val="auto"/>
                <w:w w:val="92"/>
              </w:rPr>
              <w:t>Components of equipment and leasehold improvements, net are:</w:t>
            </w: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8"/>
          </w:tcPr>
          <w:p>
            <w:pPr>
              <w:ind w:left="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22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$ 1,071,720</w:t>
            </w:r>
          </w:p>
        </w:tc>
        <w:tc>
          <w:tcPr>
            <w:tcW w:w="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$ 1,020,643</w:t>
            </w: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192,007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189,655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65,071</w:t>
            </w:r>
          </w:p>
        </w:tc>
        <w:tc>
          <w:tcPr>
            <w:tcW w:w="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120" w:type="dxa"/>
            <w:vAlign w:val="bottom"/>
            <w:tcBorders>
              <w:lef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1,328,798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1,273,456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(1,039,842)</w:t>
            </w:r>
          </w:p>
        </w:tc>
        <w:tc>
          <w:tcPr>
            <w:tcW w:w="3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(997,912)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   288,956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275,544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100" w:type="dxa"/>
            <w:vAlign w:val="bottom"/>
            <w:gridSpan w:val="4"/>
          </w:tcPr>
          <w:p>
            <w:pPr>
              <w:ind w:left="460"/>
              <w:spacing w:after="0"/>
              <w:rPr>
                <w:sz w:val="20"/>
                <w:szCs w:val="20"/>
                <w:color w:val="auto"/>
              </w:rPr>
            </w:pPr>
            <w:r>
              <w:rPr>
                <w:rFonts w:ascii="Arial" w:cs="Arial" w:eastAsia="Arial" w:hAnsi="Arial"/>
                <w:sz w:val="18"/>
                <w:szCs w:val="18"/>
                <w:color w:val="auto"/>
                <w:w w:val="87"/>
              </w:rPr>
              <w:t>Total depreciation expense on equipment and leasehold improvements for fiscal 2014, 2013 and 2012, was $</w:t>
            </w:r>
          </w:p>
        </w:tc>
        <w:tc>
          <w:tcPr>
            <w:tcW w:w="3280" w:type="dxa"/>
            <w:vAlign w:val="bottom"/>
            <w:gridSpan w:val="13"/>
          </w:tcPr>
          <w:p>
            <w:pPr>
              <w:spacing w:after="0"/>
              <w:rPr>
                <w:sz w:val="20"/>
                <w:szCs w:val="20"/>
                <w:color w:val="auto"/>
              </w:rPr>
            </w:pPr>
            <w:r>
              <w:rPr>
                <w:rFonts w:ascii="Arial" w:cs="Arial" w:eastAsia="Arial" w:hAnsi="Arial"/>
                <w:sz w:val="18"/>
                <w:szCs w:val="18"/>
                <w:color w:val="auto"/>
                <w:w w:val="86"/>
              </w:rPr>
              <w:t>105,364, $104,624 and $107,470, respectively.</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40" w:type="dxa"/>
            <w:vAlign w:val="bottom"/>
            <w:gridSpan w:val="2"/>
          </w:tcPr>
          <w:p>
            <w:pPr>
              <w:jc w:val="right"/>
              <w:ind w:right="2132"/>
              <w:spacing w:after="0"/>
              <w:rPr>
                <w:sz w:val="20"/>
                <w:szCs w:val="20"/>
                <w:color w:val="auto"/>
              </w:rPr>
            </w:pPr>
            <w:r>
              <w:rPr>
                <w:rFonts w:ascii="Arial" w:cs="Arial" w:eastAsia="Arial" w:hAnsi="Arial"/>
                <w:sz w:val="18"/>
                <w:szCs w:val="18"/>
                <w:color w:val="auto"/>
              </w:rPr>
              <w:t>F-23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2014 and 2013, the unamortized software assets developed for internal use were $73,813 and $68,255, respectively, and are presented under Computer equipment in the table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October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$ 1,741,786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Goodwill resulting from an immaterial acquisition(1)</w:t>
            </w:r>
          </w:p>
        </w:tc>
        <w:tc>
          <w:tcPr>
            <w:tcW w:w="840" w:type="dxa"/>
            <w:vAlign w:val="bottom"/>
          </w:tcPr>
          <w:p>
            <w:pPr>
              <w:jc w:val="right"/>
              <w:spacing w:after="0"/>
              <w:rPr>
                <w:sz w:val="20"/>
                <w:szCs w:val="20"/>
                <w:color w:val="auto"/>
              </w:rPr>
            </w:pPr>
            <w:r>
              <w:rPr>
                <w:rFonts w:ascii="Arial" w:cs="Arial" w:eastAsia="Arial" w:hAnsi="Arial"/>
                <w:sz w:val="18"/>
                <w:szCs w:val="18"/>
                <w:color w:val="auto"/>
              </w:rPr>
              <w:t>80,193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21"/>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As of September 30,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resulting from immaterial acquisitions(2)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$ 1,925,225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84"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Mainly relates to the acquisition of Actix. In allocating the total purchase price of Actix based on estimated fair values, the Company recorded $84,261 of goodwill, $22,900 of core technology to be amortized over approximately four years, $21,400 of customer relationships to be amortized over approximately four years and $2,000 of other intangible assets to be amortized over approximately four years.</w:t>
      </w:r>
    </w:p>
    <w:p>
      <w:pPr>
        <w:spacing w:after="0" w:line="1" w:lineRule="exact"/>
        <w:rPr>
          <w:rFonts w:ascii="Arial" w:cs="Arial" w:eastAsia="Arial" w:hAnsi="Arial"/>
          <w:sz w:val="16"/>
          <w:szCs w:val="16"/>
          <w:color w:val="auto"/>
        </w:rPr>
      </w:pPr>
    </w:p>
    <w:p>
      <w:pPr>
        <w:ind w:left="460" w:right="540" w:hanging="452"/>
        <w:spacing w:after="0" w:line="30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Mainly relates to the acquisition of Celcite. In allocating the total preliminary purchase price of Celcite based on estimated fair values, the Company recorded $78,142 of goodwill, $46,432 of customer relationships to be amortized over approximately four years, $22,372 of core technology to be amortized over approximately three years and $1,781 of other intangible assets to be amortized over approximately three years.</w:t>
      </w:r>
    </w:p>
    <w:p>
      <w:pPr>
        <w:spacing w:after="0" w:line="2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2014, 2013 or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Estimated</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(in years)</w:t>
            </w: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2014</w:t>
            </w: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Core technology</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$434,669</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 (367,609)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398,519</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(297,791)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51,996</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916,850</w:t>
            </w:r>
          </w:p>
        </w:tc>
        <w:tc>
          <w:tcPr>
            <w:tcW w:w="5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 (735,623)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2013</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Core technology</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$408,256</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 (344,251)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346,707</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(267,252)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51,996</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832,241</w:t>
            </w:r>
          </w:p>
        </w:tc>
        <w:tc>
          <w:tcPr>
            <w:tcW w:w="5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 (678,215)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55,799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34,543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50,535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57,408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36,152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2014 is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6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2015</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56,318</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2017</w:t>
            </w: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38,405</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2019</w:t>
            </w: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6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181,227</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980" w:type="dxa"/>
            <w:vAlign w:val="bottom"/>
          </w:tcPr>
          <w:p>
            <w:pPr>
              <w:spacing w:after="0"/>
              <w:rPr>
                <w:sz w:val="24"/>
                <w:szCs w:val="24"/>
                <w:color w:val="auto"/>
              </w:rPr>
            </w:pPr>
          </w:p>
        </w:tc>
        <w:tc>
          <w:tcPr>
            <w:tcW w:w="6840" w:type="dxa"/>
            <w:vAlign w:val="bottom"/>
            <w:gridSpan w:val="2"/>
          </w:tcPr>
          <w:p>
            <w:pPr>
              <w:jc w:val="right"/>
              <w:ind w:right="440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Noncurrent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assets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Funded employee benefit costs(1)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$172,906</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$165,899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Deferred costs(2)</w:t>
            </w:r>
          </w:p>
        </w:tc>
        <w:tc>
          <w:tcPr>
            <w:tcW w:w="680" w:type="dxa"/>
            <w:vAlign w:val="bottom"/>
          </w:tcPr>
          <w:p>
            <w:pPr>
              <w:jc w:val="right"/>
              <w:spacing w:after="0"/>
              <w:rPr>
                <w:sz w:val="20"/>
                <w:szCs w:val="20"/>
                <w:color w:val="auto"/>
              </w:rPr>
            </w:pPr>
            <w:r>
              <w:rPr>
                <w:rFonts w:ascii="Arial" w:cs="Arial" w:eastAsia="Arial" w:hAnsi="Arial"/>
                <w:sz w:val="18"/>
                <w:szCs w:val="18"/>
                <w:color w:val="auto"/>
              </w:rPr>
              <w:t>16,674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38,281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Long term accounts receivable-unbilled</w:t>
            </w:r>
          </w:p>
        </w:tc>
        <w:tc>
          <w:tcPr>
            <w:tcW w:w="680" w:type="dxa"/>
            <w:vAlign w:val="bottom"/>
          </w:tcPr>
          <w:p>
            <w:pPr>
              <w:jc w:val="right"/>
              <w:spacing w:after="0"/>
              <w:rPr>
                <w:sz w:val="20"/>
                <w:szCs w:val="20"/>
                <w:color w:val="auto"/>
              </w:rPr>
            </w:pPr>
            <w:r>
              <w:rPr>
                <w:rFonts w:ascii="Arial" w:cs="Arial" w:eastAsia="Arial" w:hAnsi="Arial"/>
                <w:sz w:val="18"/>
                <w:szCs w:val="18"/>
                <w:color w:val="auto"/>
              </w:rPr>
              <w:t>5,571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58,179</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266,621</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279,169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funding for severance pay liability in accordance with Israeli law. Please see Note 18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Please see Note 2 (revenue recognition)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Year Ended September 30,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0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$73,938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$50,553</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Deferred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12,485</w:t>
            </w:r>
          </w:p>
        </w:tc>
        <w:tc>
          <w:tcPr>
            <w:tcW w:w="5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(4,857)</w:t>
            </w:r>
          </w:p>
        </w:tc>
      </w:tr>
      <w:tr>
        <w:trPr>
          <w:trHeight w:val="27"/>
        </w:trPr>
        <w:tc>
          <w:tcPr>
            <w:tcW w:w="7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67,428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63,038</w:t>
            </w:r>
          </w:p>
        </w:tc>
        <w:tc>
          <w:tcPr>
            <w:tcW w:w="5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50,153</w:t>
            </w:r>
          </w:p>
        </w:tc>
      </w:tr>
      <w:tr>
        <w:trPr>
          <w:trHeight w:val="20"/>
        </w:trPr>
        <w:tc>
          <w:tcPr>
            <w:tcW w:w="7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320" w:firstLine="456"/>
        <w:spacing w:after="0" w:line="268"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fiscal 2014 and 2013, the Company recognized $4,179 and $14,671, respectively, of deferred income tax expense as a result of enacted changes in tax laws or rates. The Company’s deferred income tax expense as a result of enacted changes in tax laws or rates was immaterial in fiscal 2012.</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4520" w:type="dxa"/>
            <w:vAlign w:val="bottom"/>
            <w:gridSpan w:val="3"/>
          </w:tcPr>
          <w:p>
            <w:pPr>
              <w:jc w:val="right"/>
              <w:ind w:right="380"/>
              <w:spacing w:after="0"/>
              <w:rPr>
                <w:sz w:val="20"/>
                <w:szCs w:val="20"/>
                <w:color w:val="auto"/>
              </w:rPr>
            </w:pPr>
            <w:r>
              <w:rPr>
                <w:rFonts w:ascii="Arial" w:cs="Arial" w:eastAsia="Arial" w:hAnsi="Arial"/>
                <w:sz w:val="18"/>
                <w:szCs w:val="18"/>
                <w:color w:val="auto"/>
              </w:rPr>
              <w:t>$  49,624</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50,623</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compensation and benefits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72,832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75,356</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w w:val="93"/>
              </w:rPr>
              <w:t>Intangible assets, computer software and intellectual property</w:t>
            </w:r>
          </w:p>
        </w:tc>
        <w:tc>
          <w:tcPr>
            <w:tcW w:w="4520" w:type="dxa"/>
            <w:vAlign w:val="bottom"/>
            <w:gridSpan w:val="3"/>
          </w:tcPr>
          <w:p>
            <w:pPr>
              <w:jc w:val="right"/>
              <w:ind w:right="380"/>
              <w:spacing w:after="0"/>
              <w:rPr>
                <w:sz w:val="20"/>
                <w:szCs w:val="20"/>
                <w:color w:val="auto"/>
              </w:rPr>
            </w:pPr>
            <w:r>
              <w:rPr>
                <w:rFonts w:ascii="Arial" w:cs="Arial" w:eastAsia="Arial" w:hAnsi="Arial"/>
                <w:sz w:val="18"/>
                <w:szCs w:val="18"/>
                <w:color w:val="auto"/>
              </w:rPr>
              <w:t>11,481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11,518</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 net capital and operating loss carryforwards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163,913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166,639</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Other</w:t>
            </w:r>
          </w:p>
        </w:tc>
        <w:tc>
          <w:tcPr>
            <w:tcW w:w="34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47,301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40,754</w:t>
            </w:r>
          </w:p>
        </w:tc>
      </w:tr>
      <w:tr>
        <w:trPr>
          <w:trHeight w:val="27"/>
        </w:trPr>
        <w:tc>
          <w:tcPr>
            <w:tcW w:w="48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3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345,151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344,890</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Valuation allowances</w:t>
            </w:r>
          </w:p>
        </w:tc>
        <w:tc>
          <w:tcPr>
            <w:tcW w:w="3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(128,207)</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(127,202)</w:t>
            </w:r>
          </w:p>
        </w:tc>
      </w:tr>
      <w:tr>
        <w:trPr>
          <w:trHeight w:val="27"/>
        </w:trPr>
        <w:tc>
          <w:tcPr>
            <w:tcW w:w="48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 net</w:t>
            </w:r>
          </w:p>
        </w:tc>
        <w:tc>
          <w:tcPr>
            <w:tcW w:w="3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216,944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217,688</w:t>
            </w:r>
          </w:p>
        </w:tc>
      </w:tr>
      <w:tr>
        <w:trPr>
          <w:trHeight w:val="370"/>
        </w:trPr>
        <w:tc>
          <w:tcPr>
            <w:tcW w:w="4820" w:type="dxa"/>
            <w:vAlign w:val="bottom"/>
          </w:tcPr>
          <w:p>
            <w:pPr>
              <w:spacing w:after="0"/>
              <w:rPr>
                <w:sz w:val="24"/>
                <w:szCs w:val="24"/>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F-26</w:t>
            </w: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Anticipated withholdings on subsidiaries’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(56,868)</w:t>
            </w:r>
          </w:p>
        </w:tc>
        <w:tc>
          <w:tcPr>
            <w:tcW w:w="3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(53,095)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(113,920)</w:t>
            </w:r>
          </w:p>
        </w:tc>
        <w:tc>
          <w:tcPr>
            <w:tcW w:w="3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(109,354)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(24,262)</w:t>
            </w:r>
          </w:p>
        </w:tc>
        <w:tc>
          <w:tcPr>
            <w:tcW w:w="3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(34,990)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(195,050)</w:t>
            </w:r>
          </w:p>
        </w:tc>
        <w:tc>
          <w:tcPr>
            <w:tcW w:w="3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(197,439)</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deferred tax assets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  21,894</w:t>
            </w:r>
          </w:p>
        </w:tc>
        <w:tc>
          <w:tcPr>
            <w:tcW w:w="320" w:type="dxa"/>
            <w:vAlign w:val="bottom"/>
          </w:tcPr>
          <w:p>
            <w:pPr>
              <w:spacing w:after="0"/>
              <w:rPr>
                <w:sz w:val="19"/>
                <w:szCs w:val="19"/>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20,249</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Foreign taxes(1)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fiscal 2014, foreign taxes included a benefit of $18,709 attributable to the expiration during fiscal 2014 of statutes of limitations related to unrecognized tax benefits accumulated over several years in certain jurisdictions, as well as a benefit of $14,557 as a result of a tax position, which was settled during fiscal 2014. In fiscal 2013, foreign taxes included a benefit of $29,786 attributable to the expiration during fiscal 2013 of statutes of limitations related to unrecognized tax benefits accumulated over several years in certain jurisdictions.</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During fiscal 2014, the net increase in valuation allowances was $1,005, which related to the uncertainty of realizing tax benefits primarily for tax credits, net capital and operating loss carryforwards related to certain of the Company’s subsidiaries. As of September 30, 2014, the Company had tax credits, net capital and operating loss carryforwards of $541,666, of which $133,345 have expiration dates through 2034, and the remainder do not expire.</w:t>
      </w:r>
    </w:p>
    <w:p>
      <w:pPr>
        <w:spacing w:after="0" w:line="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fiscal 2013, the net increase in valuation allowances was $10,191, which related to the uncertainty of realizing tax benefits primarily for tax credits, net capital and operating loss carryforwards related to certain of the Company’s subsidiaries. As of September 30, 2013, the Company had tax credits, net capital and operating loss carryforwards of $527,574, of which $153,563 have expiration dates through 2033, and the remainder do not expire.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 Ended September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$130,371</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$133,874</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80" w:type="dxa"/>
            <w:vAlign w:val="bottom"/>
          </w:tcPr>
          <w:p>
            <w:pPr>
              <w:jc w:val="right"/>
              <w:spacing w:after="0"/>
              <w:rPr>
                <w:sz w:val="20"/>
                <w:szCs w:val="20"/>
                <w:color w:val="auto"/>
              </w:rPr>
            </w:pPr>
            <w:r>
              <w:rPr>
                <w:rFonts w:ascii="Arial" w:cs="Arial" w:eastAsia="Arial" w:hAnsi="Arial"/>
                <w:sz w:val="18"/>
                <w:szCs w:val="18"/>
                <w:color w:val="auto"/>
              </w:rPr>
              <w:t>22,821</w:t>
            </w:r>
          </w:p>
        </w:tc>
        <w:tc>
          <w:tcPr>
            <w:tcW w:w="4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19,527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12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(14,557)</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(18,709)</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(29,786)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123,942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130,371</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total amount of unrecognized tax benefits, which includes interest and penalties, was $123,942 as of September 30, 2014, and $130,371 as of September 30, 2013, all of which would affect the effective tax rate if realized.</w:t>
      </w:r>
    </w:p>
    <w:p>
      <w:pPr>
        <w:spacing w:after="0" w:line="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September 30, 2014, the Company had accrued $20,855 in income taxes payable for interest and penalties relating to unrecognized tax benefits, of which $1,729 was recognized in the statements of income in fiscal 2014. As of September 30, 2013, the Company had accrued $19,126 in income taxes payable for interest and penalties relating to unrecognized tax benefits, of which $422 was recognized in the statements of income in fiscal 2013.</w:t>
      </w:r>
    </w:p>
    <w:p>
      <w:pPr>
        <w:spacing w:after="0" w:line="32"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The Company is currently under audit in several jurisdictions for the tax years 2007 and onwards. Timing of the resolution of audits is highly uncertain and therefore, as of September 30, 2014, the Company cannot estimate the change in unrecognized tax benefits resulting from these audits within the next 12 months.</w:t>
      </w:r>
    </w:p>
    <w:p>
      <w:pPr>
        <w:ind w:right="740" w:firstLine="456"/>
        <w:spacing w:after="0" w:line="268" w:lineRule="auto"/>
        <w:rPr>
          <w:sz w:val="20"/>
          <w:szCs w:val="20"/>
          <w:color w:val="auto"/>
        </w:rPr>
      </w:pPr>
      <w:r>
        <w:rPr>
          <w:rFonts w:ascii="Arial" w:cs="Arial" w:eastAsia="Arial" w:hAnsi="Arial"/>
          <w:sz w:val="18"/>
          <w:szCs w:val="18"/>
          <w:color w:val="auto"/>
        </w:rPr>
        <w:t>It is reasonably possible that the amount of unrecognized tax benefits may decrease by $3,675 during fiscal 2015 as a result of lapse of statutes of limitations in jurisdictions in which the Company operates.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Repurchase of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On November 6, 2012, the Company’s Board of Directors adopted a share repurchase plan authorizing the repurchase of up to $500,000 of its outstanding ordinary shares with no expiration date. On April 30, 2014, the Company’s Board of Directors adopted another share repurchase plan authorizing the repurchase of up to $750,000 of its outstanding ordinary shares with no expiration date. In August 2014, the Company completed the repurchase of the remaining authorized amount under the November 2012 share repurchase plan and began executing repurchases under the April 2014 plan. In fiscal 2014, the Company repurchased approximately 8,425 ordinary shares at an average price of $44.14 per share (excluding broker and transaction fees). As of September 30, 2014, the Company had remaining authority to repurchase up to $713,979 of its outstanding ordinary shares. The authorization permits the Company to purchase its ordinary shares in open market or privately negotiated transactions at times and prices that it considers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Financing Arrangements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revolving credit facility is chosen at the Company’s option from several pre-defined alternatives, depends on the circumstances of any advance and is based in part on the Company’s credit ratings. As of September 30, 2014, the Company was in compliance with the financial covenants under the revolving credit facility. In September 2014, the Company borrowed an aggregate of $210,000 under the facility and repaid it in October 2014. In September 2013, the Company borrowed an aggregate of $200,000 under the facility and repaid it in October 2013.</w:t>
      </w:r>
    </w:p>
    <w:p>
      <w:pPr>
        <w:spacing w:after="0" w:line="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2014, the Company had additional uncommitted lines of credit available for general corporate and other specific purposes and had outstanding letters of credit and bank guarantees from various banks totaling $75,431. These were supported by a combination of the uncommitted lines of credit and restricted cash balances that the Company maintains with various banks.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Project-related provisions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$ 118,536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Dividend payable(1)</w:t>
            </w:r>
          </w:p>
        </w:tc>
        <w:tc>
          <w:tcPr>
            <w:tcW w:w="680" w:type="dxa"/>
            <w:vAlign w:val="bottom"/>
          </w:tcPr>
          <w:p>
            <w:pPr>
              <w:jc w:val="right"/>
              <w:spacing w:after="0"/>
              <w:rPr>
                <w:sz w:val="20"/>
                <w:szCs w:val="20"/>
                <w:color w:val="auto"/>
              </w:rPr>
            </w:pPr>
            <w:r>
              <w:rPr>
                <w:rFonts w:ascii="Arial" w:cs="Arial" w:eastAsia="Arial" w:hAnsi="Arial"/>
                <w:sz w:val="18"/>
                <w:szCs w:val="18"/>
                <w:color w:val="auto"/>
              </w:rPr>
              <w:t>24,291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Acquisition-related liabilities(3)</w:t>
            </w:r>
          </w:p>
        </w:tc>
        <w:tc>
          <w:tcPr>
            <w:tcW w:w="680" w:type="dxa"/>
            <w:vAlign w:val="bottom"/>
          </w:tcPr>
          <w:p>
            <w:pPr>
              <w:jc w:val="right"/>
              <w:spacing w:after="0"/>
              <w:rPr>
                <w:sz w:val="20"/>
                <w:szCs w:val="20"/>
                <w:color w:val="auto"/>
              </w:rPr>
            </w:pPr>
            <w:r>
              <w:rPr>
                <w:rFonts w:ascii="Arial" w:cs="Arial" w:eastAsia="Arial" w:hAnsi="Arial"/>
                <w:sz w:val="18"/>
                <w:szCs w:val="18"/>
                <w:color w:val="auto"/>
              </w:rPr>
              <w:t>15,397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248,645</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202,376</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422,291</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322,539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payable as a result of the July 29, 2014 and the July 31, 2013 dividend declarations. Please see Note 20 to the consolidated financial statements.</w:t>
      </w:r>
    </w:p>
    <w:p>
      <w:pPr>
        <w:ind w:left="460" w:right="28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Please see Note 6 to the consolidated financial statements.</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Classified as a Level 3 liability. Please see Note 4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employees costs(1)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$217,705</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$210,335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Noncurrent deferred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18,189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22,641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liability(2)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27,649</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277,560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260,809</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Primarily severance pay liability in accordance with Israeli law. Please see Note 18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Primarily relates to funded status of non-contributory defined benefit plans. Please see Note 18 to the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Interest and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Year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$(4,075)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$(4,915)</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3,557</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3,175</w:t>
            </w:r>
          </w:p>
        </w:tc>
      </w:tr>
      <w:tr>
        <w:trPr>
          <w:trHeight w:val="216"/>
        </w:trPr>
        <w:tc>
          <w:tcPr>
            <w:tcW w:w="4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7,378</w:t>
            </w:r>
          </w:p>
        </w:tc>
      </w:tr>
      <w:tr>
        <w:trPr>
          <w:trHeight w:val="216"/>
        </w:trPr>
        <w:tc>
          <w:tcPr>
            <w:tcW w:w="4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Gain on sale of investments(1)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(9,172)</w:t>
            </w:r>
          </w:p>
        </w:tc>
      </w:tr>
      <w:tr>
        <w:trPr>
          <w:trHeight w:val="216"/>
        </w:trPr>
        <w:tc>
          <w:tcPr>
            <w:tcW w:w="4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5,045</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$ 6,098</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$ 6,075</w:t>
            </w:r>
          </w:p>
        </w:tc>
        <w:tc>
          <w:tcPr>
            <w:tcW w:w="5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primarily a gain of $6,270 on the sale of the remaining minority interest in Longshine Information Technology Company Ltd.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Contingencies and Commitments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based on the Company’s contractual obligations as of September 30, 2014 are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2016</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2018</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7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265,525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Future minimum non-cancelable lease payments, as stated above, do not reflect committed future sublease income of $1,970, $1,087, $306, $317 and $219 for the years ended September 30, 2015, 2016, 2017, 2018 and 2019, respectively.</w:t>
      </w:r>
    </w:p>
    <w:p>
      <w:pPr>
        <w:spacing w:after="0" w:line="51" w:lineRule="exact"/>
        <w:rPr>
          <w:sz w:val="20"/>
          <w:szCs w:val="20"/>
          <w:color w:val="auto"/>
        </w:rPr>
      </w:pPr>
    </w:p>
    <w:p>
      <w:pPr>
        <w:ind w:left="240" w:right="1580" w:firstLine="228"/>
        <w:spacing w:after="0" w:line="391" w:lineRule="auto"/>
        <w:rPr>
          <w:sz w:val="20"/>
          <w:szCs w:val="20"/>
          <w:color w:val="auto"/>
        </w:rPr>
      </w:pPr>
      <w:r>
        <w:rPr>
          <w:rFonts w:ascii="Arial" w:cs="Arial" w:eastAsia="Arial" w:hAnsi="Arial"/>
          <w:sz w:val="18"/>
          <w:szCs w:val="18"/>
          <w:color w:val="auto"/>
        </w:rPr>
        <w:t xml:space="preserve">Rent expense net of sublease income was approximately $45,032, $45,610 and $41,488 for fiscal 2014, 2013 and 2012, respectively.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is involved in various legal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the Company’s experience, only minimal warranty charges have been required after revenue was fully recognized and, as a result, the Company did not accrue any amounts for product warranty liability during fiscal 2014, 2013 and 2012.</w:t>
      </w:r>
    </w:p>
    <w:p>
      <w:pPr>
        <w:spacing w:after="0" w:line="5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other noncurrent liabilities, is partially funded by amounts on deposit with insurance companies, which are included in other noncurrent assets. These accrued severance expenses were $27,490, $22,326 and $24,611 for fiscal 2014, 2013 and 2012, respectively.</w:t>
      </w:r>
    </w:p>
    <w:p>
      <w:pPr>
        <w:spacing w:after="0" w:line="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2014, 2013 and 2012 under such plans were not material compared to total operating expenses.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(see Note 15). The pension and other benefits costs related to the non-contributory defined benefit plans were immaterial in fiscal 2014, 2013 and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 Option and Incentive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The purpose of the Equity Incentive Plan is to enable the Company to attract and retain qualified personnel and to motivate such persons by providing them with an equity participation in the Company. Since its adoption, the Equity Incentive Plan has been amended on several occasions to, among other things, increase the number of ordinary shares issuable under the Equity Incentive Plan.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w:t>
      </w:r>
      <w:r>
        <w:rPr>
          <w:rFonts w:ascii="Arial" w:cs="Arial" w:eastAsia="Arial" w:hAnsi="Arial"/>
          <w:sz w:val="16"/>
          <w:szCs w:val="16"/>
          <w:b w:val="1"/>
          <w:bCs w:val="1"/>
          <w:color w:val="auto"/>
        </w:rPr>
        <w:t>’</w:t>
      </w:r>
      <w:r>
        <w:rPr>
          <w:rFonts w:ascii="Arial" w:cs="Arial" w:eastAsia="Arial" w:hAnsi="Arial"/>
          <w:sz w:val="16"/>
          <w:szCs w:val="16"/>
          <w:color w:val="auto"/>
        </w:rPr>
        <w:t>s ordinary shares, as well as changes during the fiscal year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2,410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2014(1)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as of September 30, 2014(1)</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5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40" w:hanging="452"/>
        <w:spacing w:after="0" w:line="457" w:lineRule="auto"/>
        <w:tabs>
          <w:tab w:leader="none" w:pos="449" w:val="left"/>
        </w:tabs>
        <w:numPr>
          <w:ilvl w:val="0"/>
          <w:numId w:val="56"/>
        </w:numPr>
        <w:rPr>
          <w:rFonts w:ascii="Arial" w:cs="Arial" w:eastAsia="Arial" w:hAnsi="Arial"/>
          <w:sz w:val="15"/>
          <w:szCs w:val="15"/>
          <w:color w:val="auto"/>
        </w:rPr>
      </w:pPr>
      <w:r>
        <w:rPr>
          <w:rFonts w:ascii="Arial" w:cs="Arial" w:eastAsia="Arial" w:hAnsi="Arial"/>
          <w:sz w:val="15"/>
          <w:szCs w:val="15"/>
          <w:color w:val="auto"/>
        </w:rPr>
        <w:t>As of September 30, 2014, the weighted average remaining contractual life of outstanding and exercisable options was 7.21 and 5.19 years, respectively. The following table summarizes information relating to awards of restricted shares, as well as changes during the fiscal year ended September 30, 2014:</w:t>
      </w: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Number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2013</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828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760" w:type="dxa"/>
            <w:vAlign w:val="bottom"/>
            <w:gridSpan w:val="14"/>
          </w:tcPr>
          <w:p>
            <w:pPr>
              <w:ind w:left="460"/>
              <w:spacing w:after="0"/>
              <w:rPr>
                <w:sz w:val="20"/>
                <w:szCs w:val="20"/>
                <w:color w:val="auto"/>
              </w:rPr>
            </w:pPr>
            <w:r>
              <w:rPr>
                <w:rFonts w:ascii="Arial" w:cs="Arial" w:eastAsia="Arial" w:hAnsi="Arial"/>
                <w:sz w:val="18"/>
                <w:szCs w:val="18"/>
                <w:color w:val="auto"/>
                <w:w w:val="90"/>
              </w:rPr>
              <w:t>The total intrinsic value of options exercised during fiscal 2014, 2013 and 2012 was $62,640, $44,604 and $22,929, respectively.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13"/>
          </w:tcPr>
          <w:p>
            <w:pPr>
              <w:ind w:left="460"/>
              <w:spacing w:after="0"/>
              <w:rPr>
                <w:sz w:val="20"/>
                <w:szCs w:val="20"/>
                <w:color w:val="auto"/>
              </w:rPr>
            </w:pPr>
            <w:r>
              <w:rPr>
                <w:rFonts w:ascii="Arial" w:cs="Arial" w:eastAsia="Arial" w:hAnsi="Arial"/>
                <w:sz w:val="18"/>
                <w:szCs w:val="18"/>
                <w:color w:val="auto"/>
                <w:w w:val="88"/>
              </w:rPr>
              <w:t>The value of restricted shares vested during fiscal 2014, 2013 and 2012 was $26,737, $20,891 and $15,594, respectively.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13"/>
          </w:tcPr>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September 30, 2014:</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460" w:type="dxa"/>
            <w:vAlign w:val="bottom"/>
            <w:gridSpan w:val="4"/>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Exercise Price</w:t>
            </w:r>
          </w:p>
        </w:tc>
        <w:tc>
          <w:tcPr>
            <w:tcW w:w="3360" w:type="dxa"/>
            <w:vAlign w:val="bottom"/>
            <w:vMerge w:val="restart"/>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Life</w:t>
            </w:r>
          </w:p>
        </w:tc>
        <w:tc>
          <w:tcPr>
            <w:tcW w:w="100" w:type="dxa"/>
            <w:vAlign w:val="bottom"/>
          </w:tcPr>
          <w:p>
            <w:pPr>
              <w:spacing w:after="0"/>
              <w:rPr>
                <w:sz w:val="12"/>
                <w:szCs w:val="12"/>
                <w:color w:val="auto"/>
              </w:rPr>
            </w:pPr>
          </w:p>
        </w:tc>
        <w:tc>
          <w:tcPr>
            <w:tcW w:w="1460" w:type="dxa"/>
            <w:vAlign w:val="bottom"/>
            <w:gridSpan w:val="4"/>
          </w:tcPr>
          <w:p>
            <w:pPr>
              <w:jc w:val="right"/>
              <w:ind w:right="920"/>
              <w:spacing w:after="0" w:line="149" w:lineRule="exact"/>
              <w:rPr>
                <w:sz w:val="20"/>
                <w:szCs w:val="20"/>
                <w:color w:val="auto"/>
              </w:rPr>
            </w:pPr>
            <w:r>
              <w:rPr>
                <w:rFonts w:ascii="Arial" w:cs="Arial" w:eastAsia="Arial" w:hAnsi="Arial"/>
                <w:sz w:val="14"/>
                <w:szCs w:val="14"/>
                <w:b w:val="1"/>
                <w:bCs w:val="1"/>
                <w:color w:val="auto"/>
                <w:w w:val="94"/>
              </w:rPr>
              <w:t>Average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gridSpan w:val="2"/>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80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(in Years)</w:t>
            </w:r>
          </w:p>
        </w:tc>
        <w:tc>
          <w:tcPr>
            <w:tcW w:w="1560" w:type="dxa"/>
            <w:vAlign w:val="bottom"/>
            <w:gridSpan w:val="5"/>
          </w:tcPr>
          <w:p>
            <w:pPr>
              <w:jc w:val="right"/>
              <w:ind w:right="74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Exercisable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4"/>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3"/>
            <w:shd w:val="clear" w:color="auto" w:fill="CCEEFF"/>
          </w:tcPr>
          <w:p>
            <w:pPr>
              <w:jc w:val="right"/>
              <w:ind w:right="3100"/>
              <w:spacing w:after="0" w:line="202" w:lineRule="exact"/>
              <w:rPr>
                <w:sz w:val="20"/>
                <w:szCs w:val="20"/>
                <w:color w:val="auto"/>
              </w:rPr>
            </w:pPr>
            <w:r>
              <w:rPr>
                <w:rFonts w:ascii="Arial" w:cs="Arial" w:eastAsia="Arial" w:hAnsi="Arial"/>
                <w:sz w:val="18"/>
                <w:szCs w:val="18"/>
                <w:color w:val="auto"/>
                <w:w w:val="90"/>
              </w:rPr>
              <w:t>$ 0.88 — 26.68</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4.86</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23.63</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26.85 — 28.66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28.57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jc w:val="right"/>
              <w:ind w:right="3100"/>
              <w:spacing w:after="0"/>
              <w:rPr>
                <w:sz w:val="20"/>
                <w:szCs w:val="20"/>
                <w:color w:val="auto"/>
              </w:rPr>
            </w:pPr>
            <w:r>
              <w:rPr>
                <w:rFonts w:ascii="Arial" w:cs="Arial" w:eastAsia="Arial" w:hAnsi="Arial"/>
                <w:sz w:val="18"/>
                <w:szCs w:val="18"/>
                <w:color w:val="auto"/>
                <w:w w:val="94"/>
              </w:rPr>
              <w:t>28.75 — 32.97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32.99 — 35.69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34.82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jc w:val="right"/>
              <w:ind w:right="3100"/>
              <w:spacing w:after="0"/>
              <w:rPr>
                <w:sz w:val="20"/>
                <w:szCs w:val="20"/>
                <w:color w:val="auto"/>
              </w:rPr>
            </w:pPr>
            <w:r>
              <w:rPr>
                <w:rFonts w:ascii="Arial" w:cs="Arial" w:eastAsia="Arial" w:hAnsi="Arial"/>
                <w:sz w:val="18"/>
                <w:szCs w:val="18"/>
                <w:color w:val="auto"/>
                <w:w w:val="94"/>
              </w:rPr>
              <w:t>35.70 — 40.46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41.24 — 48.12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43.92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3"/>
          </w:tcPr>
          <w:p>
            <w:pPr>
              <w:ind w:left="46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2014 was $116,430 and $49,423,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years ended September 30, 2014, 2013 and 2012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$17,496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$18,284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3,599</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3,805</w:t>
            </w:r>
          </w:p>
        </w:tc>
        <w:tc>
          <w:tcPr>
            <w:tcW w:w="58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44,578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40,340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43,429</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fiscal 2014, 2013 and 2012 was $5,295, $4,150 and $6,254, respectively.</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2014, there was $41,465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2013</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22.7%</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1.48%</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$5.56</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$5.74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Please see Note 2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fiscal years ended September 30, 2014, 2013 and 2012: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12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Ordinary Share</w:t>
            </w:r>
          </w:p>
        </w:tc>
        <w:tc>
          <w:tcPr>
            <w:tcW w:w="340" w:type="dxa"/>
            <w:vAlign w:val="bottom"/>
          </w:tcPr>
          <w:p>
            <w:pPr>
              <w:spacing w:after="0"/>
              <w:rPr>
                <w:sz w:val="14"/>
                <w:szCs w:val="14"/>
                <w:color w:val="auto"/>
              </w:rPr>
            </w:pPr>
          </w:p>
        </w:tc>
        <w:tc>
          <w:tcPr>
            <w:tcW w:w="204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14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Total Amount</w:t>
            </w:r>
          </w:p>
        </w:tc>
        <w:tc>
          <w:tcPr>
            <w:tcW w:w="128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29, 2014</w:t>
            </w:r>
          </w:p>
        </w:tc>
        <w:tc>
          <w:tcPr>
            <w:tcW w:w="1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4"/>
              </w:rPr>
              <w:t>0.155</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September 30, 2014</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24,291</w:t>
            </w:r>
          </w:p>
        </w:tc>
        <w:tc>
          <w:tcPr>
            <w:tcW w:w="6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October 17, 2014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April 30, 2014</w:t>
            </w:r>
          </w:p>
        </w:tc>
        <w:tc>
          <w:tcPr>
            <w:tcW w:w="21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0.155</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June 30, 2014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24,576</w:t>
            </w:r>
          </w:p>
        </w:tc>
        <w:tc>
          <w:tcPr>
            <w:tcW w:w="6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21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0.155</w:t>
            </w:r>
          </w:p>
        </w:tc>
        <w:tc>
          <w:tcPr>
            <w:tcW w:w="2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31, 2014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21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0.130</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December 31, 2013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20,752</w:t>
            </w:r>
          </w:p>
        </w:tc>
        <w:tc>
          <w:tcPr>
            <w:tcW w:w="66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0"/>
              </w:rPr>
              <w:t>January 17, 2014</w:t>
            </w:r>
          </w:p>
        </w:tc>
        <w:tc>
          <w:tcPr>
            <w:tcW w:w="0" w:type="dxa"/>
            <w:vAlign w:val="bottom"/>
          </w:tcPr>
          <w:p>
            <w:pPr>
              <w:spacing w:after="0"/>
              <w:rPr>
                <w:sz w:val="1"/>
                <w:szCs w:val="1"/>
                <w:color w:val="auto"/>
              </w:rPr>
            </w:pPr>
          </w:p>
        </w:tc>
      </w:tr>
      <w:tr>
        <w:trPr>
          <w:trHeight w:val="356"/>
        </w:trPr>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F-33</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12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Ordinary Share</w:t>
            </w:r>
          </w:p>
        </w:tc>
        <w:tc>
          <w:tcPr>
            <w:tcW w:w="340" w:type="dxa"/>
            <w:vAlign w:val="bottom"/>
          </w:tcPr>
          <w:p>
            <w:pPr>
              <w:spacing w:after="0"/>
              <w:rPr>
                <w:sz w:val="14"/>
                <w:szCs w:val="14"/>
                <w:color w:val="auto"/>
              </w:rPr>
            </w:pPr>
          </w:p>
        </w:tc>
        <w:tc>
          <w:tcPr>
            <w:tcW w:w="204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14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Total Amount</w:t>
            </w:r>
          </w:p>
        </w:tc>
        <w:tc>
          <w:tcPr>
            <w:tcW w:w="128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31, 2013</w:t>
            </w:r>
          </w:p>
        </w:tc>
        <w:tc>
          <w:tcPr>
            <w:tcW w:w="1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0.130</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September 30, 2013</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20,812</w:t>
            </w:r>
          </w:p>
        </w:tc>
        <w:tc>
          <w:tcPr>
            <w:tcW w:w="6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October 18, 2013</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0.130</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June 28, 2013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20,929</w:t>
            </w:r>
          </w:p>
        </w:tc>
        <w:tc>
          <w:tcPr>
            <w:tcW w:w="6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21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0.130</w:t>
            </w:r>
          </w:p>
        </w:tc>
        <w:tc>
          <w:tcPr>
            <w:tcW w:w="2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28,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0.130</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December 31,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21,032</w:t>
            </w:r>
          </w:p>
        </w:tc>
        <w:tc>
          <w:tcPr>
            <w:tcW w:w="6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0"/>
              </w:rPr>
              <w:t>January 18, 2013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2012</w:t>
            </w:r>
          </w:p>
        </w:tc>
        <w:tc>
          <w:tcPr>
            <w:tcW w:w="21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0.130</w:t>
            </w:r>
          </w:p>
        </w:tc>
        <w:tc>
          <w:tcPr>
            <w:tcW w:w="2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September 28,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0"/>
              </w:rPr>
              <w:t>October 19, 2012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July 29, 2014 declaration was included in accrued expenses and other current liabilities as of September 30, 2014.</w:t>
      </w:r>
    </w:p>
    <w:p>
      <w:pPr>
        <w:spacing w:after="0" w:line="113"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On November 4, 2014, the Company’s Board of Directors approved the next quarterly dividend payment, at the rate of $0.155 per share, and set December 31, 2014 as the record date for determining the shareholders entitled to receive the dividend, which is payable on January 16, 2015.</w:t>
      </w:r>
    </w:p>
    <w:p>
      <w:pPr>
        <w:spacing w:after="0" w:line="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November 4, 2014, the Company’s Board of Directors also approved, subject to shareholder approval at the January 2015 annual general meeting of shareholders, an increase in the quarterly cash dividend to $0.17 per share, anticipated to be paid in April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Numerator for basic and diluted earnings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422,122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412,439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Denominator for basic earnings per share — weighted average number of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159,012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161,330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Effect of dilutive stock options granted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2,334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2"/>
              </w:rPr>
              <w:t>Denominator for dilutive earnings per share — adjusted weighted average shares and assumed</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161,366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163,118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169,437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effect of the repurchase of ordinary shares by the Company has been included in the calculation of basic earnings per share.</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the fiscal years ended September 30, 2014, 2013 and 2012, 1,064, 3,005 and 12,313 shares, respectively, on a weighted average basis, were attributable to antidilutive outstanding stock options and therefore were not included in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Information and Sales to Significant Customers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media and entertainment industry service providers.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Revenue</w:t>
            </w:r>
          </w:p>
        </w:tc>
        <w:tc>
          <w:tcPr>
            <w:tcW w:w="4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tcPr>
          <w:p>
            <w:pPr>
              <w:jc w:val="right"/>
              <w:ind w:right="292"/>
              <w:spacing w:after="0"/>
              <w:rPr>
                <w:sz w:val="20"/>
                <w:szCs w:val="20"/>
                <w:color w:val="auto"/>
              </w:rPr>
            </w:pPr>
            <w:r>
              <w:rPr>
                <w:rFonts w:ascii="Arial" w:cs="Arial" w:eastAsia="Arial" w:hAnsi="Arial"/>
                <w:sz w:val="18"/>
                <w:szCs w:val="18"/>
                <w:color w:val="auto"/>
              </w:rPr>
              <w:t>$ 2,589,613</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$ 2,423,067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2"/>
              </w:rPr>
              <w:t>$ 2,266,110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450,669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441,731</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523,355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524,387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539,062</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$ 3,563,637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$ 3,345,854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$ 3,246,903</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As of September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20" w:type="dxa"/>
            <w:vAlign w:val="bottom"/>
            <w:gridSpan w:val="3"/>
          </w:tcPr>
          <w:p>
            <w:pPr>
              <w:spacing w:after="0"/>
              <w:rPr>
                <w:sz w:val="12"/>
                <w:szCs w:val="12"/>
                <w:color w:val="auto"/>
              </w:rPr>
            </w:pPr>
          </w:p>
        </w:tc>
        <w:tc>
          <w:tcPr>
            <w:tcW w:w="6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154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Long-lived Assets(1)</w:t>
            </w:r>
          </w:p>
        </w:tc>
        <w:tc>
          <w:tcPr>
            <w:tcW w:w="322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$ 88,218</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$ 78,501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$ 65,746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77,273</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72,855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83,645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56,289</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56,683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ind w:left="220"/>
              <w:spacing w:after="0"/>
              <w:rPr>
                <w:sz w:val="20"/>
                <w:szCs w:val="20"/>
                <w:color w:val="auto"/>
              </w:rPr>
            </w:pPr>
            <w:r>
              <w:rPr>
                <w:rFonts w:ascii="Arial" w:cs="Arial" w:eastAsia="Arial" w:hAnsi="Arial"/>
                <w:sz w:val="18"/>
                <w:szCs w:val="18"/>
                <w:color w:val="auto"/>
              </w:rPr>
              <w:t>India</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27,479</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25,036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29,401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62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42,469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48,029</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Total</w:t>
            </w:r>
          </w:p>
        </w:tc>
        <w:tc>
          <w:tcPr>
            <w:tcW w:w="32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288,956</w:t>
            </w:r>
          </w:p>
        </w:tc>
        <w:tc>
          <w:tcPr>
            <w:tcW w:w="140" w:type="dxa"/>
            <w:vAlign w:val="bottom"/>
          </w:tcPr>
          <w:p>
            <w:pPr>
              <w:spacing w:after="0"/>
              <w:rPr>
                <w:sz w:val="19"/>
                <w:szCs w:val="19"/>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275,544</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277,907</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Equipment and leasehold improvements.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Customer experience solutions include the following offerings: revenue management, customer management, operational support systems (OSS), network control and optimization, digital lifestyle services, big data analytics and machine-to-machine (M2M) solutions. Customer experience solutions also include a comprehensive line of services such as consulting, systems integration and transformation, project delivery, testing, order-to-activation value process operation (VPO), managed services and product support, system implementation, integration, modification, consolidation, modernization, ongoing support, enhancement and maintenance. Directory includes comprehensive set of products and services for local marketing service providers and search and directory publishers.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28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solutions</w:t>
            </w:r>
          </w:p>
        </w:tc>
        <w:tc>
          <w:tcPr>
            <w:tcW w:w="3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$ 3,435,478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$ 3,185,637</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$ 3,066,170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Directory</w:t>
            </w:r>
          </w:p>
        </w:tc>
        <w:tc>
          <w:tcPr>
            <w:tcW w:w="3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$ 3,563,637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$ 3,345,854</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$ 3,246,903</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00" w:type="dxa"/>
            <w:vAlign w:val="bottom"/>
            <w:gridSpan w:val="3"/>
          </w:tcPr>
          <w:p>
            <w:pPr>
              <w:ind w:left="1440"/>
              <w:spacing w:after="0"/>
              <w:rPr>
                <w:sz w:val="20"/>
                <w:szCs w:val="20"/>
                <w:color w:val="auto"/>
              </w:rPr>
            </w:pPr>
            <w:r>
              <w:rPr>
                <w:rFonts w:ascii="Arial" w:cs="Arial" w:eastAsia="Arial" w:hAnsi="Arial"/>
                <w:sz w:val="18"/>
                <w:szCs w:val="18"/>
                <w:color w:val="auto"/>
              </w:rPr>
              <w:t>F-35</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percentage of sales to significant customer groups (when they amount to at least 10 percent of total revenue for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Year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7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26%</w:t>
            </w: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Customer 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10</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of less than 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Selected Quarterly Results of Operations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1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900,261</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$902,477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$896,854</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864,045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126,107</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123,848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120,690</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100,503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110,357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101,435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845,225</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$841,332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$832,938</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826,359</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122,876</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112,657</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88,954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104,912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99,015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r>
      <w:tr>
        <w:trPr>
          <w:trHeight w:val="222"/>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0.54</w:t>
            </w: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r>
      <w:tr>
        <w:trPr>
          <w:trHeight w:val="505"/>
        </w:trPr>
        <w:tc>
          <w:tcPr>
            <w:tcW w:w="3580" w:type="dxa"/>
            <w:vAlign w:val="bottom"/>
          </w:tcPr>
          <w:p>
            <w:pPr>
              <w:spacing w:after="0"/>
              <w:rPr>
                <w:sz w:val="24"/>
                <w:szCs w:val="24"/>
                <w:color w:val="auto"/>
              </w:rPr>
            </w:pPr>
          </w:p>
        </w:tc>
        <w:tc>
          <w:tcPr>
            <w:tcW w:w="1960" w:type="dxa"/>
            <w:vAlign w:val="bottom"/>
            <w:gridSpan w:val="2"/>
          </w:tcPr>
          <w:p>
            <w:pPr>
              <w:ind w:left="1500"/>
              <w:spacing w:after="0"/>
              <w:rPr>
                <w:sz w:val="20"/>
                <w:szCs w:val="20"/>
                <w:color w:val="auto"/>
              </w:rPr>
            </w:pPr>
            <w:r>
              <w:rPr>
                <w:rFonts w:ascii="Arial" w:cs="Arial" w:eastAsia="Arial" w:hAnsi="Arial"/>
                <w:sz w:val="18"/>
                <w:szCs w:val="18"/>
                <w:color w:val="auto"/>
              </w:rPr>
              <w:t>F-36</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Valuation Allowances on</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w w:val="93"/>
              </w:rPr>
              <w:t>Allowances</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Deferred Tax Assets</w:t>
            </w:r>
          </w:p>
        </w:tc>
      </w:tr>
      <w:tr>
        <w:trPr>
          <w:trHeight w:val="210"/>
        </w:trPr>
        <w:tc>
          <w:tcPr>
            <w:tcW w:w="46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1, 2011</w:t>
            </w:r>
          </w:p>
        </w:tc>
        <w:tc>
          <w:tcPr>
            <w:tcW w:w="1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137,836</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2"/>
          </w:tcPr>
          <w:p>
            <w:pPr>
              <w:jc w:val="right"/>
              <w:ind w:right="1560"/>
              <w:spacing w:after="0"/>
              <w:rPr>
                <w:sz w:val="20"/>
                <w:szCs w:val="20"/>
                <w:color w:val="auto"/>
              </w:rPr>
            </w:pPr>
            <w:r>
              <w:rPr>
                <w:rFonts w:ascii="Arial" w:cs="Arial" w:eastAsia="Arial" w:hAnsi="Arial"/>
                <w:sz w:val="18"/>
                <w:szCs w:val="18"/>
                <w:color w:val="auto"/>
              </w:rPr>
              <w:t>4,498</w:t>
            </w:r>
          </w:p>
        </w:tc>
        <w:tc>
          <w:tcPr>
            <w:tcW w:w="4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23,708(1)</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1,659(2)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2"/>
          </w:tcPr>
          <w:p>
            <w:pPr>
              <w:jc w:val="right"/>
              <w:ind w:right="1520"/>
              <w:spacing w:after="0"/>
              <w:rPr>
                <w:sz w:val="20"/>
                <w:szCs w:val="20"/>
                <w:color w:val="auto"/>
              </w:rPr>
            </w:pPr>
            <w:r>
              <w:rPr>
                <w:rFonts w:ascii="Arial" w:cs="Arial" w:eastAsia="Arial" w:hAnsi="Arial"/>
                <w:sz w:val="18"/>
                <w:szCs w:val="18"/>
                <w:color w:val="auto"/>
              </w:rPr>
              <w:t>(5,159)</w:t>
            </w:r>
          </w:p>
        </w:tc>
        <w:tc>
          <w:tcPr>
            <w:tcW w:w="4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(44,533)(3)</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1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4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2"/>
          </w:tcPr>
          <w:p>
            <w:pPr>
              <w:jc w:val="right"/>
              <w:ind w:right="1560"/>
              <w:spacing w:after="0"/>
              <w:rPr>
                <w:sz w:val="20"/>
                <w:szCs w:val="20"/>
                <w:color w:val="auto"/>
              </w:rPr>
            </w:pPr>
            <w:r>
              <w:rPr>
                <w:rFonts w:ascii="Arial" w:cs="Arial" w:eastAsia="Arial" w:hAnsi="Arial"/>
                <w:sz w:val="18"/>
                <w:szCs w:val="18"/>
                <w:color w:val="auto"/>
              </w:rPr>
              <w:t>5,851</w:t>
            </w:r>
          </w:p>
        </w:tc>
        <w:tc>
          <w:tcPr>
            <w:tcW w:w="4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23,199(4)</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1,176(6)</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2,552(5)</w:t>
            </w:r>
          </w:p>
        </w:tc>
      </w:tr>
      <w:tr>
        <w:trPr>
          <w:trHeight w:val="223"/>
        </w:trPr>
        <w:tc>
          <w:tcPr>
            <w:tcW w:w="460" w:type="dxa"/>
            <w:vAlign w:val="bottom"/>
          </w:tcPr>
          <w:p>
            <w:pPr>
              <w:spacing w:after="0"/>
              <w:rPr>
                <w:sz w:val="19"/>
                <w:szCs w:val="19"/>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2"/>
          </w:tcPr>
          <w:p>
            <w:pPr>
              <w:jc w:val="right"/>
              <w:ind w:right="1520"/>
              <w:spacing w:after="0"/>
              <w:rPr>
                <w:sz w:val="20"/>
                <w:szCs w:val="20"/>
                <w:color w:val="auto"/>
              </w:rPr>
            </w:pPr>
            <w:r>
              <w:rPr>
                <w:rFonts w:ascii="Arial" w:cs="Arial" w:eastAsia="Arial" w:hAnsi="Arial"/>
                <w:sz w:val="18"/>
                <w:szCs w:val="18"/>
                <w:color w:val="auto"/>
              </w:rPr>
              <w:t>(3,256)</w:t>
            </w:r>
          </w:p>
        </w:tc>
        <w:tc>
          <w:tcPr>
            <w:tcW w:w="4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(15,560)(7)</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1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127,202</w:t>
            </w:r>
          </w:p>
        </w:tc>
        <w:tc>
          <w:tcPr>
            <w:tcW w:w="4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2"/>
          </w:tcPr>
          <w:p>
            <w:pPr>
              <w:jc w:val="right"/>
              <w:ind w:right="1560"/>
              <w:spacing w:after="0"/>
              <w:rPr>
                <w:sz w:val="20"/>
                <w:szCs w:val="20"/>
                <w:color w:val="auto"/>
              </w:rPr>
            </w:pPr>
            <w:r>
              <w:rPr>
                <w:rFonts w:ascii="Arial" w:cs="Arial" w:eastAsia="Arial" w:hAnsi="Arial"/>
                <w:sz w:val="18"/>
                <w:szCs w:val="18"/>
                <w:color w:val="auto"/>
              </w:rPr>
              <w:t>6,100</w:t>
            </w:r>
          </w:p>
        </w:tc>
        <w:tc>
          <w:tcPr>
            <w:tcW w:w="4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12,725(8)</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12,754</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4,418(9)</w:t>
            </w:r>
          </w:p>
        </w:tc>
      </w:tr>
      <w:tr>
        <w:trPr>
          <w:trHeight w:val="223"/>
        </w:trPr>
        <w:tc>
          <w:tcPr>
            <w:tcW w:w="460" w:type="dxa"/>
            <w:vAlign w:val="bottom"/>
          </w:tcPr>
          <w:p>
            <w:pPr>
              <w:spacing w:after="0"/>
              <w:rPr>
                <w:sz w:val="19"/>
                <w:szCs w:val="19"/>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2"/>
          </w:tcPr>
          <w:p>
            <w:pPr>
              <w:jc w:val="right"/>
              <w:ind w:right="1520"/>
              <w:spacing w:after="0"/>
              <w:rPr>
                <w:sz w:val="20"/>
                <w:szCs w:val="20"/>
                <w:color w:val="auto"/>
              </w:rPr>
            </w:pPr>
            <w:r>
              <w:rPr>
                <w:rFonts w:ascii="Arial" w:cs="Arial" w:eastAsia="Arial" w:hAnsi="Arial"/>
                <w:sz w:val="18"/>
                <w:szCs w:val="18"/>
                <w:color w:val="auto"/>
              </w:rPr>
              <w:t>(2,791)</w:t>
            </w:r>
          </w:p>
        </w:tc>
        <w:tc>
          <w:tcPr>
            <w:tcW w:w="4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(16,138)(10)</w:t>
            </w: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7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5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4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2012.</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$640 was related to an immaterial acquisition in fiscal 2011 and was charged to other accounts during fiscal 2012.</w:t>
      </w:r>
    </w:p>
    <w:p>
      <w:pPr>
        <w:spacing w:after="0" w:line="6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$38,268 of valuation allowances on deferred tax assets were written off against the related deferred tax assets which expired unused,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 allowances on deferred tax assets recorded in connection with an immaterial acquisition in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$109 was related to an immaterial acquisition in fiscal 2013 and was charged to other accounts during fiscal 2013.</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$7,707 of valuation allowances on deferred tax assets were written off against the related deferred tax assets, and the remaining deductions in the valuation allowances on net deferred tax assets were released primarily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2014.</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mainly valuation allowances on deferred tax assets incurred in connection with an immaterial acquisition in fiscal 2014.</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$9,641 of valuation allowances on deferred tax assets were written off against the related deferred tax assets, and the remaining deductions in the valuation allowances on net deferred tax assets were released to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40"/>
          </w:cols>
          <w:pgMar w:left="240" w:top="459"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4.b.2</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AMENDMENT NUMBER ONE TO AGREEMENT NO. 02026713 (this “Amendment”) is made and entered by and between Amdocs Inc. (“Amdocs”) and SBC Services, Inc. (“SBC”), each of which may be referred to in the singular as “Party” or in the plural as “Parties”, as of the date the last Party signs.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SBC and Amdocs are parties to that certain Agreement No. 02026713 for Software and Professional Services, dated as of 7 August 2003 (the “Agreement”);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SBC has issued a Request for Proposal RF2003000156 (the “RFP”) describing requirements for a complex ordering planning and strategy initiative (“COPS”);</w:t>
      </w:r>
    </w:p>
    <w:p>
      <w:pPr>
        <w:spacing w:after="0" w:line="170"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WHEREAS, Amdocs desires to provide a solution for COPS consisting of certain core software to be customized by Amdocs to meet SBC’s requirements as described in the RFP, as such requirements may be further refined, modified, and/or extended from time to time;</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Amdocs Software Systems Limited and SBC have entered into that certain Agreement No. 03032360 pursuant to which SBC has the right to obtain a license to use Amdocs’ Order Management Software system (“OMS”);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SBC may desire Amdocs to implement customizations to OMS pursuant to the terms and conditions of the Agreement as amended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Amdocs desires to implement customizations to OMS pursuant to the terms and conditions of the Agreement as amended herein.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contained below, the parties amend the Agreement as follows:</w:t>
      </w:r>
    </w:p>
    <w:p>
      <w:pPr>
        <w:spacing w:after="0" w:line="22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terms used in this Amendment with initial capital letters shall have the meanings, if any, ascribed to such terms in the Agreement.</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Definition of “COPS”</w:t>
      </w:r>
      <w:r>
        <w:rPr>
          <w:rFonts w:ascii="Arial" w:cs="Arial" w:eastAsia="Arial" w:hAnsi="Arial"/>
          <w:sz w:val="18"/>
          <w:szCs w:val="18"/>
          <w:color w:val="auto"/>
        </w:rPr>
        <w:t>. The following is added as a new Section 2.8A:</w:t>
      </w:r>
    </w:p>
    <w:p>
      <w:pPr>
        <w:spacing w:after="0" w:line="113" w:lineRule="exact"/>
        <w:rPr>
          <w:sz w:val="20"/>
          <w:szCs w:val="20"/>
          <w:color w:val="auto"/>
        </w:rPr>
      </w:pPr>
    </w:p>
    <w:p>
      <w:pPr>
        <w:ind w:left="46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COPS</w:t>
      </w:r>
      <w:r>
        <w:rPr>
          <w:rFonts w:ascii="Arial" w:cs="Arial" w:eastAsia="Arial" w:hAnsi="Arial"/>
          <w:sz w:val="18"/>
          <w:szCs w:val="18"/>
          <w:color w:val="auto"/>
        </w:rPr>
        <w:t>” means SBC’s Complex Ordering System initiative described in SBC’s Request for Proposal RF2003000156, as the same may be further refined, modified, and/or extended by SBC from time to time.</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 </w:t>
      </w:r>
      <w:r>
        <w:rPr>
          <w:rFonts w:ascii="Arial" w:cs="Arial" w:eastAsia="Arial" w:hAnsi="Arial"/>
          <w:sz w:val="18"/>
          <w:szCs w:val="18"/>
          <w:u w:val="single" w:color="auto"/>
          <w:color w:val="auto"/>
        </w:rPr>
        <w:t>Amdocs Information</w:t>
      </w:r>
      <w:r>
        <w:rPr>
          <w:rFonts w:ascii="Arial" w:cs="Arial" w:eastAsia="Arial" w:hAnsi="Arial"/>
          <w:sz w:val="18"/>
          <w:szCs w:val="18"/>
          <w:color w:val="auto"/>
        </w:rPr>
        <w:t>. Section 3.13(B)(1) is deleted in its entirety and replaced with:</w:t>
      </w:r>
    </w:p>
    <w:p>
      <w:pPr>
        <w:spacing w:after="0" w:line="117"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Any Information furnished to SBC by Supplier under this Agreement (“Supplier Information”) shall remain Supplier’s property. SBC shall use the same degree of care to prevent disclosure of the Supplier Information to others as SBC uses with respect to its own proprietary or confidential Information. Unless such Information (a) was previously known to SBC free of any obligation to keep it confidential, or (b) has been or is subsequently made public by Supplier or a third party, without violating a confidentiality obligation, or (c) is independently invented by SBC without reference to the Supplier Information, or (d) is required to be disclosed pursuant to law, regulation, judicial or administrative order, or governmental request by an entity authorized by law to make such request, the Supplier Information shall be kept confidential by SBC, shall be used only in accordance with this Agreement, and may not be used for other purposes, except as may be agreed upon between Supplier and SBC in writing. All copies of such Information, in written, graphic or other tangible form, excluding materials owned by or licensed to SBC, shall be destroyed or returned to Supplier upon the earlier of (i) Supplier’s request or (ii) upon Termination or expiration of this Agreement. All copies of such Information in intangible form, such as electronic records, including electronic mail but excluding materials owned by or licensed to SBC, shall be destroyed upon the earlier of</w:t>
      </w:r>
    </w:p>
    <w:p>
      <w:pPr>
        <w:spacing w:after="0" w:line="6" w:lineRule="exact"/>
        <w:rPr>
          <w:sz w:val="20"/>
          <w:szCs w:val="20"/>
          <w:color w:val="auto"/>
        </w:rPr>
      </w:pPr>
    </w:p>
    <w:p>
      <w:pPr>
        <w:ind w:left="460" w:right="320" w:firstLine="4"/>
        <w:spacing w:after="0" w:line="261" w:lineRule="auto"/>
        <w:tabs>
          <w:tab w:leader="none" w:pos="6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Supplier’s request or (ii) upon Termination, or expiration of this Agreement, and upon request SBC shall certify to Supplier the destruction of all intangible copies of such Information.</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Infringement</w:t>
      </w:r>
      <w:r>
        <w:rPr>
          <w:rFonts w:ascii="Arial" w:cs="Arial" w:eastAsia="Arial" w:hAnsi="Arial"/>
          <w:sz w:val="17"/>
          <w:szCs w:val="17"/>
          <w:color w:val="auto"/>
        </w:rPr>
        <w:t>. The phrase “refund any charges paid by SBC, with a credit for use pro-rated based upon a five (5) year usable life” at the end of</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Section 3.14(A)(4) is replaced with “refund any charges paid by SBC, with a credit for use pro-rated based upon a usable life based on the historical use by SBC of similar Computer Programs, which refund shall be excluded from the limitations on liability set forth in Section 3.18(B)”.</w:t>
      </w:r>
    </w:p>
    <w:p>
      <w:pPr>
        <w:spacing w:after="0" w:line="162"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Appendix 3.38</w:t>
      </w:r>
      <w:r>
        <w:rPr>
          <w:rFonts w:ascii="Arial" w:cs="Arial" w:eastAsia="Arial" w:hAnsi="Arial"/>
          <w:sz w:val="18"/>
          <w:szCs w:val="18"/>
          <w:color w:val="auto"/>
        </w:rPr>
        <w:t>. Annex 1 to this Amendment is added to the Agreement as Appendix 3.38.</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COPS Orders</w:t>
      </w:r>
      <w:r>
        <w:rPr>
          <w:rFonts w:ascii="Arial" w:cs="Arial" w:eastAsia="Arial" w:hAnsi="Arial"/>
          <w:sz w:val="18"/>
          <w:szCs w:val="18"/>
          <w:color w:val="auto"/>
        </w:rPr>
        <w:t>. The following is added as a new Section 3.36(C):</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C. Amdocs shall, upon SBC’s request from time to time, enter into Order(s) for Custom Software Development for COPS in the form attached to this Agreement as Appendix 3.38. The terms of Appendix 3.38 shall apply to all COPS Orders.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 </w:t>
      </w:r>
      <w:r>
        <w:rPr>
          <w:rFonts w:ascii="Arial" w:cs="Arial" w:eastAsia="Arial" w:hAnsi="Arial"/>
          <w:sz w:val="18"/>
          <w:szCs w:val="18"/>
          <w:u w:val="single" w:color="auto"/>
          <w:color w:val="auto"/>
        </w:rPr>
        <w:t>Extension of Acceptance Test Period</w:t>
      </w:r>
      <w:r>
        <w:rPr>
          <w:rFonts w:ascii="Arial" w:cs="Arial" w:eastAsia="Arial" w:hAnsi="Arial"/>
          <w:sz w:val="18"/>
          <w:szCs w:val="18"/>
          <w:color w:val="auto"/>
        </w:rPr>
        <w:t>. The final sentence of Section 5.3(B) is deleted and replaced with: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Acceptance Test Period shall be extended by the greater of either (i) [**] during which [**] the Software, or (ii) when applicable,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Deemed Acceptance</w:t>
      </w:r>
      <w:r>
        <w:rPr>
          <w:rFonts w:ascii="Arial" w:cs="Arial" w:eastAsia="Arial" w:hAnsi="Arial"/>
          <w:sz w:val="18"/>
          <w:szCs w:val="18"/>
          <w:color w:val="auto"/>
        </w:rPr>
        <w:t>. The final sentence of Section 5.3(C) is deleted and replaced with:</w:t>
      </w:r>
    </w:p>
    <w:p>
      <w:pPr>
        <w:spacing w:after="0" w:line="11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If SBC fails to send an Acceptance Letter, or to inform Amdocs of the rejection of the Software, within two (2) business days after the conclusion of the Acceptance Test Period, then Amdocs shall promptly notify SBC’s IT leadership of such failure via e-mail or other writing, with a copy to SBC’s Project Manager. If neither SBC’s IT leadership nor SBC’s Project Manager responds via e-mail or other writing within four (4) business days after such notice has been duly given, the Software shall be deemed to be Accepted as of the end of such Acceptance Test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Training</w:t>
      </w:r>
      <w:r>
        <w:rPr>
          <w:rFonts w:ascii="Arial" w:cs="Arial" w:eastAsia="Arial" w:hAnsi="Arial"/>
          <w:sz w:val="18"/>
          <w:szCs w:val="18"/>
          <w:color w:val="auto"/>
        </w:rPr>
        <w:t>. The following is added at the end of Section 7.2:</w:t>
      </w:r>
    </w:p>
    <w:p>
      <w:pPr>
        <w:spacing w:after="0" w:line="117"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color w:val="auto"/>
        </w:rPr>
        <w:t>The rates for types (b) and (c) training shall not exceed the rates for other work performed under the applicable Order. There shall be no charge for preparation (excluding reproduction costs, if applicable) of standard training materials for the core Software that is licensed to SBC by Amdocs pursuant to the Software Master Agreement No. 03032360 between the Parties dated December 16, 2003 (the “Software Master Agreement”), and all such standard training materials shall be deemed Documentation for the purposes of the Software Master Agreement.</w:t>
      </w:r>
    </w:p>
    <w:p>
      <w:pPr>
        <w:spacing w:after="0" w:line="171" w:lineRule="exact"/>
        <w:rPr>
          <w:sz w:val="20"/>
          <w:szCs w:val="20"/>
          <w:color w:val="auto"/>
        </w:rPr>
      </w:pPr>
    </w:p>
    <w:p>
      <w:pPr>
        <w:ind w:right="60" w:firstLine="8"/>
        <w:spacing w:after="0" w:line="277"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All provisions of the Agreement not specifically affected by this Amendment shall remain in full force and effect without alteration or modification.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9" w:name="page110"/>
    <w:bookmarkEnd w:id="109"/>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Amendment to be executed, which may be in duplicate counterparts, each of which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instrument, as of the date the last Party signs.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80" w:type="dxa"/>
            <w:vAlign w:val="bottom"/>
            <w:gridSpan w:val="3"/>
          </w:tcPr>
          <w:p>
            <w:pPr>
              <w:spacing w:after="0"/>
              <w:rPr>
                <w:sz w:val="20"/>
                <w:szCs w:val="20"/>
                <w:color w:val="auto"/>
              </w:rPr>
            </w:pPr>
            <w:r>
              <w:rPr>
                <w:rFonts w:ascii="Arial" w:cs="Arial" w:eastAsia="Arial" w:hAnsi="Arial"/>
                <w:sz w:val="18"/>
                <w:szCs w:val="18"/>
                <w:color w:val="auto"/>
              </w:rPr>
              <w:t>Amdocs Inc.</w:t>
            </w:r>
          </w:p>
        </w:tc>
        <w:tc>
          <w:tcPr>
            <w:tcW w:w="3980" w:type="dxa"/>
            <w:vAlign w:val="bottom"/>
          </w:tcPr>
          <w:p>
            <w:pPr>
              <w:spacing w:after="0"/>
              <w:rPr>
                <w:sz w:val="20"/>
                <w:szCs w:val="20"/>
                <w:color w:val="auto"/>
              </w:rPr>
            </w:pP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SBC Services,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/s/ John L. Conlin</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By: /s/ Ron Watt</w:t>
            </w: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331"/>
        </w:trPr>
        <w:tc>
          <w:tcPr>
            <w:tcW w:w="148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3980" w:type="dxa"/>
            <w:vAlign w:val="bottom"/>
          </w:tcPr>
          <w:p>
            <w:pPr>
              <w:spacing w:after="0"/>
              <w:rPr>
                <w:sz w:val="20"/>
                <w:szCs w:val="20"/>
                <w:color w:val="auto"/>
              </w:rPr>
            </w:pPr>
            <w:r>
              <w:rPr>
                <w:rFonts w:ascii="Arial" w:cs="Arial" w:eastAsia="Arial" w:hAnsi="Arial"/>
                <w:sz w:val="18"/>
                <w:szCs w:val="18"/>
                <w:color w:val="auto"/>
              </w:rPr>
              <w:t>John L. Conlin</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Printed Name:   Ron Watt</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Title:  Director – IT Strategic Sourcing</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Date: 12-15-03</w:t>
            </w:r>
          </w:p>
        </w:tc>
      </w:tr>
      <w:tr>
        <w:trPr>
          <w:trHeight w:val="520"/>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Amendment Number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Appendix 3.38</w:t>
      </w:r>
    </w:p>
    <w:p>
      <w:pPr>
        <w:spacing w:after="0" w:line="22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Form of Qualified Custom Software Development Order for Custom Software</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Development Associated with Software Master Agreement #</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Qualified Custom Software Development Order for Custom Software Development (this “Order”), effective upon execution by the parties (“Effective Date”), is by and between Amdocs Inc., a Delaware corporation (“Supplier” or “Amdocs”) and SBC Services, Inc., a Delaware corporation (“SBC”), and shall be governed pursuant to the provisions of Agreement Number 02026713 (the “Master Services Agreement”), which by this reference are incorporated as if fully set forth herein. Any special terms and conditions in this Order that add to, differ from, or modify the provisions of the Master Services Agreement shall apply to this Order only, and shall survive the Termination, or Expiration of the Master Services Agreement.</w:t>
      </w:r>
    </w:p>
    <w:p>
      <w:pPr>
        <w:spacing w:after="0" w:line="16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This Order is associated with Agreement #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To be filled in prior to signing</w:t>
      </w:r>
      <w:r>
        <w:rPr>
          <w:rFonts w:ascii="Arial" w:cs="Arial" w:eastAsia="Arial" w:hAnsi="Arial"/>
          <w:sz w:val="18"/>
          <w:szCs w:val="18"/>
          <w:b w:val="1"/>
          <w:bCs w:val="1"/>
          <w:color w:val="auto"/>
        </w:rPr>
        <w:t>]</w:t>
      </w:r>
      <w:r>
        <w:rPr>
          <w:rFonts w:ascii="Arial" w:cs="Arial" w:eastAsia="Arial" w:hAnsi="Arial"/>
          <w:sz w:val="18"/>
          <w:szCs w:val="18"/>
          <w:color w:val="auto"/>
        </w:rPr>
        <w:t xml:space="preserve"> (the “Base Agreement”) under Software Master Agreement #03032360 (the “Software Master Agreement”) between Amdocs Software Systems Limited and SBC.</w:t>
      </w:r>
    </w:p>
    <w:p>
      <w:pPr>
        <w:spacing w:after="0" w:line="31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Order Number</w:t>
      </w:r>
      <w:r>
        <w:rPr>
          <w:rFonts w:ascii="Arial" w:cs="Arial" w:eastAsia="Arial" w:hAnsi="Arial"/>
          <w:sz w:val="18"/>
          <w:szCs w:val="18"/>
          <w:color w:val="auto"/>
        </w:rPr>
        <w:t>:</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w:t>
      </w:r>
      <w:r>
        <w:rPr>
          <w:rFonts w:ascii="Arial" w:cs="Arial" w:eastAsia="Arial" w:hAnsi="Arial"/>
          <w:sz w:val="18"/>
          <w:szCs w:val="18"/>
          <w:color w:val="auto"/>
        </w:rPr>
        <w:t>: [Insert]</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 Software and Program Material Ordered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Order incorporates the Detailed Functional Specifications (Attachment 1).</w:t>
      </w:r>
    </w:p>
    <w:p>
      <w:pPr>
        <w:spacing w:after="0" w:line="37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Software</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Items Ordered</w:t>
      </w:r>
    </w:p>
    <w:p>
      <w:pPr>
        <w:spacing w:after="0" w:line="12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The following are a part of this order</w:t>
      </w:r>
      <w:r>
        <w:rPr>
          <w:sz w:val="20"/>
          <w:szCs w:val="20"/>
          <w:color w:val="auto"/>
        </w:rPr>
        <w:tab/>
      </w:r>
      <w:r>
        <w:rPr>
          <w:rFonts w:ascii="Arial" w:cs="Arial" w:eastAsia="Arial" w:hAnsi="Arial"/>
          <w:sz w:val="14"/>
          <w:szCs w:val="14"/>
          <w:color w:val="auto"/>
        </w:rPr>
        <w:t>.</w:t>
      </w:r>
    </w:p>
    <w:p>
      <w:pPr>
        <w:spacing w:after="0" w:line="37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Amdocs shall deliver the Custom Software and Program Material as listed and described herein, on or before the Delivery Date(s) specified in the following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Milestone Schedule: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9"/>
              </w:rPr>
              <w:t>Milestone</w:t>
            </w:r>
          </w:p>
        </w:tc>
        <w:tc>
          <w:tcPr>
            <w:tcW w:w="5900" w:type="dxa"/>
            <w:vAlign w:val="bottom"/>
            <w:vMerge w:val="restart"/>
          </w:tcPr>
          <w:p>
            <w:pPr>
              <w:ind w:left="3980"/>
              <w:spacing w:after="0"/>
              <w:rPr>
                <w:sz w:val="20"/>
                <w:szCs w:val="20"/>
                <w:color w:val="auto"/>
              </w:rPr>
            </w:pPr>
            <w:r>
              <w:rPr>
                <w:rFonts w:ascii="Arial" w:cs="Arial" w:eastAsia="Arial" w:hAnsi="Arial"/>
                <w:sz w:val="14"/>
                <w:szCs w:val="14"/>
                <w:b w:val="1"/>
                <w:bCs w:val="1"/>
                <w:u w:val="single" w:color="auto"/>
                <w:color w:val="auto"/>
              </w:rPr>
              <w:t>Required Delivery Date</w:t>
            </w:r>
          </w:p>
        </w:tc>
        <w:tc>
          <w:tcPr>
            <w:tcW w:w="2000" w:type="dxa"/>
            <w:vAlign w:val="bottom"/>
            <w:vMerge w:val="restart"/>
          </w:tcPr>
          <w:p>
            <w:pPr>
              <w:ind w:left="460"/>
              <w:spacing w:after="0"/>
              <w:rPr>
                <w:sz w:val="20"/>
                <w:szCs w:val="20"/>
                <w:color w:val="auto"/>
              </w:rPr>
            </w:pPr>
            <w:r>
              <w:rPr>
                <w:rFonts w:ascii="Arial" w:cs="Arial" w:eastAsia="Arial" w:hAnsi="Arial"/>
                <w:sz w:val="14"/>
                <w:szCs w:val="14"/>
                <w:b w:val="1"/>
                <w:bCs w:val="1"/>
                <w:u w:val="single" w:color="auto"/>
                <w:color w:val="auto"/>
              </w:rPr>
              <w:t>Payment Amount</w:t>
            </w:r>
          </w:p>
        </w:tc>
        <w:tc>
          <w:tcPr>
            <w:tcW w:w="1080" w:type="dxa"/>
            <w:vAlign w:val="bottom"/>
          </w:tcPr>
          <w:p>
            <w:pPr>
              <w:jc w:val="center"/>
              <w:ind w:left="408"/>
              <w:spacing w:after="0"/>
              <w:rPr>
                <w:sz w:val="20"/>
                <w:szCs w:val="20"/>
                <w:color w:val="auto"/>
              </w:rPr>
            </w:pPr>
            <w:r>
              <w:rPr>
                <w:rFonts w:ascii="Arial" w:cs="Arial" w:eastAsia="Arial" w:hAnsi="Arial"/>
                <w:sz w:val="14"/>
                <w:szCs w:val="14"/>
                <w:b w:val="1"/>
                <w:bCs w:val="1"/>
                <w:color w:val="auto"/>
                <w:w w:val="95"/>
              </w:rPr>
              <w:t>Holdback</w:t>
            </w:r>
          </w:p>
        </w:tc>
        <w:tc>
          <w:tcPr>
            <w:tcW w:w="0" w:type="dxa"/>
            <w:vAlign w:val="bottom"/>
          </w:tcPr>
          <w:p>
            <w:pPr>
              <w:spacing w:after="0"/>
              <w:rPr>
                <w:sz w:val="1"/>
                <w:szCs w:val="1"/>
                <w:color w:val="auto"/>
              </w:rPr>
            </w:pPr>
          </w:p>
        </w:tc>
      </w:tr>
      <w:tr>
        <w:trPr>
          <w:trHeight w:val="163"/>
        </w:trPr>
        <w:tc>
          <w:tcPr>
            <w:tcW w:w="600" w:type="dxa"/>
            <w:vAlign w:val="bottom"/>
            <w:tcBorders>
              <w:bottom w:val="single" w:sz="8" w:color="auto"/>
            </w:tcBorders>
            <w:vMerge w:val="continue"/>
          </w:tcPr>
          <w:p>
            <w:pPr>
              <w:spacing w:after="0"/>
              <w:rPr>
                <w:sz w:val="13"/>
                <w:szCs w:val="13"/>
                <w:color w:val="auto"/>
              </w:rPr>
            </w:pPr>
          </w:p>
        </w:tc>
        <w:tc>
          <w:tcPr>
            <w:tcW w:w="590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080" w:type="dxa"/>
            <w:vAlign w:val="bottom"/>
          </w:tcPr>
          <w:p>
            <w:pPr>
              <w:jc w:val="center"/>
              <w:ind w:left="388"/>
              <w:spacing w:after="0" w:line="158" w:lineRule="exact"/>
              <w:rPr>
                <w:sz w:val="20"/>
                <w:szCs w:val="20"/>
                <w:color w:val="auto"/>
              </w:rPr>
            </w:pPr>
            <w:r>
              <w:rPr>
                <w:rFonts w:ascii="Arial" w:cs="Arial" w:eastAsia="Arial" w:hAnsi="Arial"/>
                <w:sz w:val="14"/>
                <w:szCs w:val="14"/>
                <w:b w:val="1"/>
                <w:bCs w:val="1"/>
                <w:u w:val="single" w:color="auto"/>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&lt;Milestone 1&gt;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&lt;Milestone 2&gt;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Liquidated Damages for Delay in Delivery</w:t>
      </w:r>
      <w:r>
        <w:rPr>
          <w:rFonts w:ascii="Arial" w:cs="Arial" w:eastAsia="Arial" w:hAnsi="Arial"/>
          <w:sz w:val="18"/>
          <w:szCs w:val="18"/>
          <w:color w:val="auto"/>
        </w:rPr>
        <w:t>:</w:t>
      </w:r>
    </w:p>
    <w:p>
      <w:pPr>
        <w:spacing w:after="0" w:line="117"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Upon discovery of anything indicating a reasonable certainty that Software and/or Services will not be delivered by the scheduled Delivery Date, Amdocs shall notify SBC and provide the estimated length of delay. The Parties shall work jointly toward resolving the delayed delivery. If the Parties reach agreement on an extended Delivery Date and Amdocs fails to meet the extended Delivery Date, then SBC may (i) if such delay amounts to a material breach, exercise SBC’s termination rights under the Agreement with respect to this applicable Order, (ii) exercise its right to recover Liquidated Damages specified hereunder, and/or (iii) further extend the Delivery Date. No payments, progress or otherwise, made by SBC to Amdocs after any scheduled Delivery Date shall constitute a waiver of Liquidated Damages. Delivery Dates shall be extended as and to the extent Amdocs’ is unable to meet the original Delivery Date due to causes outside of Amdocs’ control. Such extension shall be proportionate to the delay caused by factors outside Amdocs’ control.</w:t>
      </w:r>
    </w:p>
    <w:p>
      <w:pPr>
        <w:spacing w:after="0" w:line="84" w:lineRule="exact"/>
        <w:rPr>
          <w:sz w:val="20"/>
          <w:szCs w:val="20"/>
          <w:color w:val="auto"/>
        </w:rPr>
      </w:pPr>
    </w:p>
    <w:p>
      <w:pPr>
        <w:ind w:left="460" w:right="480"/>
        <w:spacing w:after="0" w:line="342" w:lineRule="auto"/>
        <w:rPr>
          <w:sz w:val="20"/>
          <w:szCs w:val="20"/>
          <w:color w:val="auto"/>
        </w:rPr>
      </w:pPr>
      <w:r>
        <w:rPr>
          <w:rFonts w:ascii="Arial" w:cs="Arial" w:eastAsia="Arial" w:hAnsi="Arial"/>
          <w:sz w:val="16"/>
          <w:szCs w:val="16"/>
          <w:color w:val="auto"/>
        </w:rPr>
        <w:t>Notwithstanding anything to the contrary in the Agreement, in the event of Supplier’s failure to meet a Delivery Date above (as it may have been extended in accordance with the terms as set forth herein) SBC shall be entitled to Liquidated Damages according to the following schedule:</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Days Late</w:t>
            </w:r>
          </w:p>
        </w:tc>
        <w:tc>
          <w:tcPr>
            <w:tcW w:w="3840" w:type="dxa"/>
            <w:vAlign w:val="bottom"/>
            <w:gridSpan w:val="3"/>
          </w:tcPr>
          <w:p>
            <w:pPr>
              <w:ind w:left="1760"/>
              <w:spacing w:after="0"/>
              <w:rPr>
                <w:sz w:val="20"/>
                <w:szCs w:val="20"/>
                <w:color w:val="auto"/>
              </w:rPr>
            </w:pPr>
            <w:r>
              <w:rPr>
                <w:rFonts w:ascii="Arial" w:cs="Arial" w:eastAsia="Arial" w:hAnsi="Arial"/>
                <w:sz w:val="14"/>
                <w:szCs w:val="14"/>
                <w:b w:val="1"/>
                <w:bCs w:val="1"/>
                <w:color w:val="auto"/>
              </w:rPr>
              <w:t>Liquidated Damages</w:t>
            </w:r>
          </w:p>
        </w:tc>
      </w:t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0-14</w:t>
            </w:r>
          </w:p>
        </w:tc>
        <w:tc>
          <w:tcPr>
            <w:tcW w:w="1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w:t>
            </w:r>
          </w:p>
        </w:tc>
        <w:tc>
          <w:tcPr>
            <w:tcW w:w="80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1740" w:type="dxa"/>
            <w:vAlign w:val="bottom"/>
          </w:tcPr>
          <w:p>
            <w:pPr>
              <w:spacing w:after="0"/>
              <w:rPr>
                <w:sz w:val="18"/>
                <w:szCs w:val="18"/>
                <w:color w:val="auto"/>
              </w:rPr>
            </w:pP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w w:val="89"/>
              </w:rPr>
              <w:t>10% of fees under this Order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45-74</w:t>
            </w:r>
          </w:p>
        </w:tc>
        <w:tc>
          <w:tcPr>
            <w:tcW w:w="1740" w:type="dxa"/>
            <w:vAlign w:val="bottom"/>
          </w:tcPr>
          <w:p>
            <w:pPr>
              <w:spacing w:after="0"/>
              <w:rPr>
                <w:sz w:val="18"/>
                <w:szCs w:val="18"/>
                <w:color w:val="auto"/>
              </w:rPr>
            </w:pP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w w:val="89"/>
              </w:rPr>
              <w:t>10% of fees under this Order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1740" w:type="dxa"/>
            <w:vAlign w:val="bottom"/>
          </w:tcPr>
          <w:p>
            <w:pPr>
              <w:spacing w:after="0"/>
              <w:rPr>
                <w:sz w:val="20"/>
                <w:szCs w:val="20"/>
                <w:color w:val="auto"/>
              </w:rPr>
            </w:pPr>
          </w:p>
        </w:tc>
        <w:tc>
          <w:tcPr>
            <w:tcW w:w="3840" w:type="dxa"/>
            <w:vAlign w:val="bottom"/>
            <w:gridSpan w:val="3"/>
          </w:tcPr>
          <w:p>
            <w:pPr>
              <w:ind w:left="1760"/>
              <w:spacing w:after="0"/>
              <w:rPr>
                <w:sz w:val="20"/>
                <w:szCs w:val="20"/>
                <w:color w:val="auto"/>
              </w:rPr>
            </w:pPr>
            <w:r>
              <w:rPr>
                <w:rFonts w:ascii="Arial" w:cs="Arial" w:eastAsia="Arial" w:hAnsi="Arial"/>
                <w:sz w:val="18"/>
                <w:szCs w:val="18"/>
                <w:color w:val="auto"/>
                <w:w w:val="89"/>
              </w:rPr>
              <w:t>10% of fees under this Order</w:t>
            </w: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foregoing Liquidated Damages shall be calculated cumulatively and shall be capped at a total of thirty percent (30%) of the fees under this Order. SBC’s taking of Liquidated Damages for failure to meet a Delivery Date shall not preclude SBC from claiming actual damages in excess of the Liquidated Damages; provided, however, that the amount of Liquidated Damages taken by SBC shall be deducted from any damages awarded to SBC. Liquidated Damages taken by SBC for failure to meet a Delivery Date shall be excluded from the limitations of liability set forth in Section 3.18(B) of the Agreement.</w:t>
      </w:r>
    </w:p>
    <w:p>
      <w:pPr>
        <w:spacing w:after="0" w:line="29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Supplier Responsibilities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2" w:name="page113"/>
    <w:bookmarkEnd w:id="112"/>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SBC Responsibilities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Oversight by:</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Party responsible for System Testing:</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Warranty: </w:t>
      </w:r>
      <w:r>
        <w:rPr>
          <w:rFonts w:ascii="Arial" w:cs="Arial" w:eastAsia="Arial" w:hAnsi="Arial"/>
          <w:sz w:val="18"/>
          <w:szCs w:val="18"/>
          <w:b w:val="1"/>
          <w:bCs w:val="1"/>
          <w:u w:val="single" w:color="auto"/>
          <w:color w:val="auto"/>
        </w:rPr>
        <w:t>Applies</w:t>
      </w:r>
      <w:r>
        <w:rPr>
          <w:rFonts w:ascii="Arial" w:cs="Arial" w:eastAsia="Arial" w:hAnsi="Arial"/>
          <w:sz w:val="18"/>
          <w:szCs w:val="18"/>
          <w:b w:val="1"/>
          <w:bCs w:val="1"/>
          <w:color w:val="auto"/>
        </w:rPr>
        <w: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Custom Software and Program Material provided by Amdocs under this order shall be under a Warranty Period of [**] commencing on Acceptance by SBC.</w:t>
      </w:r>
    </w:p>
    <w:p>
      <w:pPr>
        <w:spacing w:after="0" w:line="31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payments due under this Order shall be subject to a [**] of the amount that would otherwise be due hereunder. SBC shall pay to Amdocs all amounts so held back by SBC upon Acceptance by SBC of the final milestone under this Order.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rate for [**] work under this Order shall be 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rate for [**] work shall be a [**].</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 International travel expenses shall be limited to the round-trip between the SBC on-site location and the resource’s point of entry into the United States.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Aggregate travel and living expenses under all COPS Order(s) shall be limited to no more than [**] of the aggregate amount paid by SBC under all COPS Orders.</w:t>
      </w:r>
    </w:p>
    <w:p>
      <w:pPr>
        <w:sectPr>
          <w:pgSz w:w="11900" w:h="16838" w:orient="portrait"/>
          <w:cols w:equalWidth="0" w:num="1">
            <w:col w:w="11220"/>
          </w:cols>
          <w:pgMar w:left="240" w:top="270" w:right="4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93" w:lineRule="exact"/>
        <w:rPr>
          <w:sz w:val="20"/>
          <w:szCs w:val="20"/>
          <w:color w:val="auto"/>
        </w:rPr>
      </w:pPr>
    </w:p>
    <w:p>
      <w:pPr>
        <w:sectPr>
          <w:pgSz w:w="11900" w:h="16838" w:orient="portrait"/>
          <w:cols w:equalWidth="0" w:num="2">
            <w:col w:w="6020" w:space="720"/>
            <w:col w:w="4480"/>
          </w:cols>
          <w:pgMar w:left="240" w:top="270" w:right="439" w:bottom="1440" w:gutter="0" w:footer="0" w:header="0"/>
          <w:type w:val="continuous"/>
        </w:sectPr>
      </w:pPr>
    </w:p>
    <w:p>
      <w:pPr>
        <w:spacing w:after="0" w:line="197" w:lineRule="exact"/>
        <w:rPr>
          <w:sz w:val="20"/>
          <w:szCs w:val="20"/>
          <w:color w:val="auto"/>
        </w:rPr>
      </w:pPr>
    </w:p>
    <w:p>
      <w:pPr>
        <w:ind w:left="920" w:right="9400" w:hanging="912"/>
        <w:spacing w:after="0" w:line="455" w:lineRule="auto"/>
        <w:tabs>
          <w:tab w:leader="none" w:pos="453"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Project Managers SBC: Amdocs:</w:t>
      </w:r>
    </w:p>
    <w:p>
      <w:pPr>
        <w:spacing w:after="0" w:line="182" w:lineRule="exact"/>
        <w:rPr>
          <w:rFonts w:ascii="Arial" w:cs="Arial" w:eastAsia="Arial" w:hAnsi="Arial"/>
          <w:sz w:val="16"/>
          <w:szCs w:val="16"/>
          <w:b w:val="1"/>
          <w:bCs w:val="1"/>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240" w:top="270" w:right="439" w:bottom="1440" w:gutter="0" w:footer="0" w:header="0"/>
          <w:type w:val="continuous"/>
        </w:sectPr>
      </w:pPr>
    </w:p>
    <w:bookmarkStart w:id="113" w:name="page114"/>
    <w:bookmarkEnd w:id="113"/>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Warranty, Maintenance, Service Levels and Liquidated Damages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provisions of Section 3.34 and Article 5.0 of the Software Master Agreement are incorporated into this Order as if set forth herein, shall replace Section 3.34 (excluding Section 3.34(D)(2) of the Master Services Agreement) and Section 5.8 of the Master Services Agreement and shall apply to the Software.</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applying Article 5.0 to this Order, the Maintenance Fee will be, at SBC’s option: ([**] (2) pursuant to a mutually agreed dedicated team, which dedicated team will be billed for on a time and materials basis at the rates set forth in Section 14 of this Order. Maintenance charged under clause (1) will be invoiced on an annual basis in advance and if charged under clause (2) will be invoiced on a [**] basis in arrears. Alternatively, SBC may obtain support and maintenance for COPS Custom Software pursuant to Orders for OnGoing Support, in which case, the provisions of Article 5.0 of the Software Master Agreement will not apply to such Orders for OnGoing Support. In addition, SBC may choose not to obtain maintenance and support services from Amdocs.</w:t>
      </w:r>
    </w:p>
    <w:p>
      <w:pPr>
        <w:spacing w:after="0" w:line="15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Liquidated Damages applicable to an annual maintenance period arising from applying Section 5.4 of the Software Master Agreement to the Custom Software under the COPS Orders shall not exceed 20% of the Maintenance Fees paid by SBC to Amdocs during such annual maintenance period under all COPS Orders. Notwithstanding the foregoing, the cap on Liquidated Damages during the Warranty Period of a COPS Order arising from the application of the last sentence of Section 3.34 and Section 5.4 of the Software Master Agreement to the Custom Software under that COPS Order shall be limited to $120,000.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Order has been executed by authorized representatives of the parties hereto, in duplicate, as of the date first set forth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4"/>
          </w:tcPr>
          <w:p>
            <w:pPr>
              <w:ind w:left="300"/>
              <w:spacing w:after="0"/>
              <w:rPr>
                <w:sz w:val="20"/>
                <w:szCs w:val="20"/>
                <w:color w:val="auto"/>
              </w:rPr>
            </w:pPr>
            <w:r>
              <w:rPr>
                <w:rFonts w:ascii="Arial" w:cs="Arial" w:eastAsia="Arial" w:hAnsi="Arial"/>
                <w:sz w:val="18"/>
                <w:szCs w:val="18"/>
                <w:b w:val="1"/>
                <w:bCs w:val="1"/>
                <w:color w:val="auto"/>
              </w:rPr>
              <w:t>SBC Services,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3"/>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3"/>
          </w:tcPr>
          <w:p>
            <w:pPr>
              <w:spacing w:after="0"/>
              <w:rPr>
                <w:sz w:val="24"/>
                <w:szCs w:val="24"/>
                <w:color w:val="auto"/>
              </w:rPr>
            </w:pPr>
          </w:p>
        </w:tc>
      </w:tr>
      <w:tr>
        <w:trPr>
          <w:trHeight w:val="331"/>
        </w:trPr>
        <w:tc>
          <w:tcPr>
            <w:tcW w:w="110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4380" w:type="dxa"/>
            <w:vAlign w:val="bottom"/>
            <w:tcBorders>
              <w:bottom w:val="single" w:sz="8" w:color="auto"/>
            </w:tcBorders>
          </w:tcPr>
          <w:p>
            <w:pPr>
              <w:spacing w:after="0"/>
              <w:rPr>
                <w:sz w:val="24"/>
                <w:szCs w:val="24"/>
                <w:color w:val="auto"/>
              </w:rPr>
            </w:pPr>
          </w:p>
        </w:tc>
        <w:tc>
          <w:tcPr>
            <w:tcW w:w="1220" w:type="dxa"/>
            <w:vAlign w:val="bottom"/>
            <w:gridSpan w:val="3"/>
          </w:tcPr>
          <w:p>
            <w:pPr>
              <w:ind w:left="300"/>
              <w:spacing w:after="0"/>
              <w:rPr>
                <w:sz w:val="20"/>
                <w:szCs w:val="20"/>
                <w:color w:val="auto"/>
              </w:rPr>
            </w:pPr>
            <w:r>
              <w:rPr>
                <w:rFonts w:ascii="Arial" w:cs="Arial" w:eastAsia="Arial" w:hAnsi="Arial"/>
                <w:sz w:val="18"/>
                <w:szCs w:val="18"/>
                <w:color w:val="auto"/>
                <w:w w:val="94"/>
              </w:rPr>
              <w:t>Print Name:</w:t>
            </w:r>
          </w:p>
        </w:tc>
        <w:tc>
          <w:tcPr>
            <w:tcW w:w="4540" w:type="dxa"/>
            <w:vAlign w:val="bottom"/>
            <w:tcBorders>
              <w:bottom w:val="single" w:sz="8" w:color="auto"/>
            </w:tcBorders>
          </w:tcPr>
          <w:p>
            <w:pPr>
              <w:spacing w:after="0"/>
              <w:rPr>
                <w:sz w:val="24"/>
                <w:szCs w:val="24"/>
                <w:color w:val="auto"/>
              </w:rPr>
            </w:pPr>
          </w:p>
        </w:tc>
      </w:tr>
      <w:tr>
        <w:trPr>
          <w:trHeight w:val="331"/>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gridSpan w:val="2"/>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gridSpan w:val="2"/>
          </w:tcPr>
          <w:p>
            <w:pPr>
              <w:spacing w:after="0"/>
              <w:rPr>
                <w:sz w:val="24"/>
                <w:szCs w:val="24"/>
                <w:color w:val="auto"/>
              </w:rPr>
            </w:pPr>
          </w:p>
        </w:tc>
      </w:tr>
      <w:tr>
        <w:trPr>
          <w:trHeight w:val="439"/>
        </w:trPr>
        <w:tc>
          <w:tcPr>
            <w:tcW w:w="5480" w:type="dxa"/>
            <w:vAlign w:val="bottom"/>
            <w:gridSpan w:val="4"/>
          </w:tcPr>
          <w:p>
            <w:pPr>
              <w:spacing w:after="0"/>
              <w:rPr>
                <w:sz w:val="20"/>
                <w:szCs w:val="20"/>
                <w:color w:val="auto"/>
              </w:rPr>
            </w:pPr>
            <w:r>
              <w:rPr>
                <w:rFonts w:ascii="Arial" w:cs="Arial" w:eastAsia="Arial" w:hAnsi="Arial"/>
                <w:sz w:val="18"/>
                <w:szCs w:val="18"/>
                <w:color w:val="auto"/>
              </w:rPr>
              <w:t>Date:</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Date:</w:t>
            </w:r>
          </w:p>
        </w:tc>
      </w:tr>
      <w:tr>
        <w:trPr>
          <w:trHeight w:val="52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02026713-02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SBC Services, Inc.</w:t>
      </w:r>
    </w:p>
    <w:p>
      <w:pPr>
        <w:sectPr>
          <w:pgSz w:w="11900" w:h="16838" w:orient="portrait"/>
          <w:cols w:equalWidth="0" w:num="1">
            <w:col w:w="9019"/>
          </w:cols>
          <w:pgMar w:left="1440" w:top="270" w:right="1440"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NUMBER TWO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AMENDMENT NUMBER TWO TO AGREEMENT NO. 02026713 (this “Amendment”) is made and entered by and between Amdocs Inc. (“Amdocs”) and SBC Services, Inc. (“SBC”), each of which may be referred to in the singular as “Party” or in the plural as “Parties”, as of the date the last Party signs.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SBC and Amdocs are parties to that certain Agreement No. 02026713 for Software and Professional Services, dated as of 7 August 2003 (the “Agreement”);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Amdocs desires to provide software solutions for projects consisting of Amdocs core software that if purchased by SBC may be customized by Amdocs at SBC’s request to meet SBC’s requirements. Such requirements will be identified, refined, modified, and/or extended from time to time via Work Orders or Amendments to Work Orders;</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Amdocs Software Systems Limited and SBC have entered into that certain Agreement No. 03032360-1 pursuant to which SBC has the right to obtain a license to use Amdocs’ Software;</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SBC may desire Amdocs to implement customizations to such Software pursuant to the terms and conditions of the Agreement as amended herein; and WHEREAS, Amdocs desires to implement customizations to the Software pursuant to the terms and conditions of the Agreement as amended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contained below, the parties amend the Agreement as follows:</w:t>
      </w:r>
    </w:p>
    <w:p>
      <w:pPr>
        <w:spacing w:after="0" w:line="13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terms used in this Amendment with initial capital letters shall have the meanings, if any, ascribed to such terms in the Agreement.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ppendix 3.39</w:t>
      </w:r>
      <w:r>
        <w:rPr>
          <w:rFonts w:ascii="Arial" w:cs="Arial" w:eastAsia="Arial" w:hAnsi="Arial"/>
          <w:sz w:val="18"/>
          <w:szCs w:val="18"/>
          <w:color w:val="auto"/>
        </w:rPr>
        <w:t>. Annex 1 to this Amendment (Work Order template) is added to the Agreement as Appendix 3.39.</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Orders</w:t>
      </w:r>
      <w:r>
        <w:rPr>
          <w:rFonts w:ascii="Arial" w:cs="Arial" w:eastAsia="Arial" w:hAnsi="Arial"/>
          <w:sz w:val="18"/>
          <w:szCs w:val="18"/>
          <w:color w:val="auto"/>
        </w:rPr>
        <w:t>. The following is added as a new Section 3.36(D):</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D. Amdocs shall, upon SBC’s request from time to time, enter into Order(s) for Custom Software Development for projects in the form attached to this Agreement as Appendix 3.39. The terms of Appendix 3.39 shall apply to all project Orders.</w:t>
      </w:r>
    </w:p>
    <w:p>
      <w:pPr>
        <w:spacing w:after="0" w:line="75" w:lineRule="exact"/>
        <w:rPr>
          <w:rFonts w:ascii="Arial" w:cs="Arial" w:eastAsia="Arial" w:hAnsi="Arial"/>
          <w:sz w:val="18"/>
          <w:szCs w:val="18"/>
          <w:color w:val="auto"/>
        </w:rPr>
      </w:pPr>
    </w:p>
    <w:p>
      <w:pPr>
        <w:jc w:val="both"/>
        <w:ind w:left="460" w:right="280" w:hanging="452"/>
        <w:spacing w:after="0" w:line="34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Credit for Software Orders</w:t>
      </w:r>
      <w:r>
        <w:rPr>
          <w:rFonts w:ascii="Arial" w:cs="Arial" w:eastAsia="Arial" w:hAnsi="Arial"/>
          <w:sz w:val="16"/>
          <w:szCs w:val="16"/>
          <w:color w:val="auto"/>
        </w:rPr>
        <w:t>. Amdocs agrees that SBC may apply any “Credit towards services for implementing each of the modules” as detailed in Amendment 1 to the Software Master Agreement # 03032360 to any services associated with the respective software products licensed thereunder.</w:t>
      </w:r>
    </w:p>
    <w:p>
      <w:pPr>
        <w:spacing w:after="0" w:line="29" w:lineRule="exact"/>
        <w:rPr>
          <w:rFonts w:ascii="Arial" w:cs="Arial" w:eastAsia="Arial" w:hAnsi="Arial"/>
          <w:sz w:val="16"/>
          <w:szCs w:val="16"/>
          <w:color w:val="auto"/>
        </w:rPr>
      </w:pPr>
    </w:p>
    <w:p>
      <w:pPr>
        <w:ind w:left="460" w:right="52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All provisions of the Agreement not specifically affected by this Amendment shall remain in full force and effect without alteration or modification.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1/10/2005</w:t>
      </w:r>
    </w:p>
    <w:p>
      <w:pPr>
        <w:sectPr>
          <w:pgSz w:w="11900" w:h="16838" w:orient="portrait"/>
          <w:cols w:equalWidth="0" w:num="1">
            <w:col w:w="11340"/>
          </w:cols>
          <w:pgMar w:left="240" w:top="270" w:right="319" w:bottom="1440" w:gutter="0" w:footer="0" w:header="0"/>
        </w:sectPr>
      </w:pPr>
    </w:p>
    <w:bookmarkStart w:id="116" w:name="page117"/>
    <w:bookmarkEnd w:id="116"/>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caused this Amendment to Agreement No. 02026713 to be executed, which may be in duplicate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will be deemed to be an original instrument, as of the date the last Party signs.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4"/>
          </w:tcPr>
          <w:p>
            <w:pPr>
              <w:ind w:left="300"/>
              <w:spacing w:after="0"/>
              <w:rPr>
                <w:sz w:val="20"/>
                <w:szCs w:val="20"/>
                <w:color w:val="auto"/>
              </w:rPr>
            </w:pPr>
            <w:r>
              <w:rPr>
                <w:rFonts w:ascii="Arial" w:cs="Arial" w:eastAsia="Arial" w:hAnsi="Arial"/>
                <w:sz w:val="18"/>
                <w:szCs w:val="18"/>
                <w:b w:val="1"/>
                <w:bCs w:val="1"/>
                <w:color w:val="auto"/>
              </w:rPr>
              <w:t>SBC Services, Inc.</w:t>
            </w: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John L. Conlin</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By: /s/ Jayu Bishop</w:t>
            </w: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John L. Conlin</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Printed Name:   Maureen Merkle</w:t>
            </w:r>
          </w:p>
        </w:tc>
      </w:tr>
      <w:tr>
        <w:trPr>
          <w:trHeight w:val="20"/>
        </w:trPr>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Title:  Vice President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spacing w:after="0"/>
              <w:rPr>
                <w:sz w:val="20"/>
                <w:szCs w:val="20"/>
                <w:color w:val="auto"/>
              </w:rPr>
            </w:pPr>
            <w:r>
              <w:rPr>
                <w:rFonts w:ascii="Arial" w:cs="Arial" w:eastAsia="Arial" w:hAnsi="Arial"/>
                <w:sz w:val="18"/>
                <w:szCs w:val="18"/>
                <w:color w:val="auto"/>
              </w:rPr>
              <w:t>President – Procurement</w:t>
            </w: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439"/>
        </w:trPr>
        <w:tc>
          <w:tcPr>
            <w:tcW w:w="5480" w:type="dxa"/>
            <w:vAlign w:val="bottom"/>
            <w:gridSpan w:val="4"/>
          </w:tcPr>
          <w:p>
            <w:pPr>
              <w:spacing w:after="0"/>
              <w:rPr>
                <w:sz w:val="20"/>
                <w:szCs w:val="20"/>
                <w:color w:val="auto"/>
              </w:rPr>
            </w:pPr>
            <w:r>
              <w:rPr>
                <w:rFonts w:ascii="Arial" w:cs="Arial" w:eastAsia="Arial" w:hAnsi="Arial"/>
                <w:sz w:val="18"/>
                <w:szCs w:val="18"/>
                <w:color w:val="auto"/>
              </w:rPr>
              <w:t>Date: 1/11/05</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gridSpan w:val="2"/>
          </w:tcPr>
          <w:p>
            <w:pPr>
              <w:spacing w:after="0"/>
              <w:rPr>
                <w:sz w:val="20"/>
                <w:szCs w:val="20"/>
                <w:color w:val="auto"/>
              </w:rPr>
            </w:pPr>
            <w:r>
              <w:rPr>
                <w:rFonts w:ascii="Arial" w:cs="Arial" w:eastAsia="Arial" w:hAnsi="Arial"/>
                <w:sz w:val="18"/>
                <w:szCs w:val="18"/>
                <w:color w:val="auto"/>
              </w:rPr>
              <w:t>30 December 2004</w:t>
            </w:r>
          </w:p>
        </w:tc>
      </w:tr>
      <w:tr>
        <w:trPr>
          <w:trHeight w:val="20"/>
        </w:trPr>
        <w:tc>
          <w:tcPr>
            <w:tcW w:w="5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r>
      <w:tr>
        <w:trPr>
          <w:trHeight w:val="520"/>
        </w:trPr>
        <w:tc>
          <w:tcPr>
            <w:tcW w:w="1280" w:type="dxa"/>
            <w:vAlign w:val="bottom"/>
            <w:gridSpan w:val="3"/>
          </w:tcPr>
          <w:p>
            <w:pPr>
              <w:spacing w:after="0"/>
              <w:rPr>
                <w:sz w:val="20"/>
                <w:szCs w:val="20"/>
                <w:color w:val="auto"/>
              </w:rPr>
            </w:pPr>
            <w:r>
              <w:rPr>
                <w:rFonts w:ascii="Arial" w:cs="Arial" w:eastAsia="Arial" w:hAnsi="Arial"/>
                <w:sz w:val="18"/>
                <w:szCs w:val="18"/>
                <w:color w:val="auto"/>
              </w:rPr>
              <w:t>1/10/2005</w:t>
            </w:r>
          </w:p>
        </w:tc>
        <w:tc>
          <w:tcPr>
            <w:tcW w:w="4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38" w:orient="portrait"/>
          <w:cols w:equalWidth="0" w:num="1">
            <w:col w:w="11240"/>
          </w:cols>
          <w:pgMar w:left="240" w:top="270"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Amendment Number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Appendix 3.39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Qualified Custom Software Development Order for Custom Software Development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Associated with Software Master Agreement # 03032360</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Qualified Custom Software Development Order for Custom Software Development (this “Order”), effective upon execution by the parties (“Effective Date”), is by and between Amdocs Inc., a Delaware corporation (“Supplier” or “Amdocs”) and SBC Services, Inc., a Delaware corporation (“SBC”), and shall be governed pursuant to the provisions of Agreement Number 02026713 (the “Master Services Agreement”), which by this reference are incorporated as if fully set forth herein. Any special terms and conditions in this Order that add to, differ from, or modify the provisions of the Master Services Agreement shall apply to this Order only, and shall survive the Termination, or Expiration of the Master Services Agreement.</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Order is associated with Software Master Agreement #03032360 (the “Software Master Agreement”) between Amdocs Software Systems Limited and SBC.</w:t>
      </w:r>
    </w:p>
    <w:p>
      <w:pPr>
        <w:spacing w:after="0" w:line="31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Order Number:</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Project Name and Description: </w:t>
      </w:r>
      <w:r>
        <w:rPr>
          <w:rFonts w:ascii="Arial" w:cs="Arial" w:eastAsia="Arial" w:hAnsi="Arial"/>
          <w:sz w:val="18"/>
          <w:szCs w:val="18"/>
          <w:color w:val="auto"/>
        </w:rPr>
        <w:t>[Insert]</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 Software and Program Material Ordered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Order incorporates the Detailed Functional Specifications (Attachment 1).</w:t>
      </w:r>
    </w:p>
    <w:p>
      <w:pPr>
        <w:spacing w:after="0" w:line="37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Software</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Items Ordered</w:t>
      </w:r>
    </w:p>
    <w:p>
      <w:pPr>
        <w:spacing w:after="0" w:line="12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The following are a part of this order</w:t>
      </w:r>
      <w:r>
        <w:rPr>
          <w:sz w:val="20"/>
          <w:szCs w:val="20"/>
          <w:color w:val="auto"/>
        </w:rPr>
        <w:tab/>
      </w:r>
      <w:r>
        <w:rPr>
          <w:rFonts w:ascii="Arial" w:cs="Arial" w:eastAsia="Arial" w:hAnsi="Arial"/>
          <w:sz w:val="14"/>
          <w:szCs w:val="14"/>
          <w:color w:val="auto"/>
        </w:rPr>
        <w:t>.</w:t>
      </w:r>
    </w:p>
    <w:p>
      <w:pPr>
        <w:spacing w:after="0" w:line="37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Amdocs shall deliver the Custom Software and Program Material as listed and described herein, on or before the Delivery Date(s) specified in the following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Milestone Schedule:</w:t>
      </w:r>
    </w:p>
    <w:p>
      <w:pPr>
        <w:spacing w:after="0" w:line="3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9"/>
              </w:rPr>
              <w:t>Milestone</w:t>
            </w:r>
          </w:p>
        </w:tc>
        <w:tc>
          <w:tcPr>
            <w:tcW w:w="5900" w:type="dxa"/>
            <w:vAlign w:val="bottom"/>
            <w:vMerge w:val="restart"/>
          </w:tcPr>
          <w:p>
            <w:pPr>
              <w:ind w:left="3980"/>
              <w:spacing w:after="0"/>
              <w:rPr>
                <w:sz w:val="20"/>
                <w:szCs w:val="20"/>
                <w:color w:val="auto"/>
              </w:rPr>
            </w:pPr>
            <w:r>
              <w:rPr>
                <w:rFonts w:ascii="Arial" w:cs="Arial" w:eastAsia="Arial" w:hAnsi="Arial"/>
                <w:sz w:val="14"/>
                <w:szCs w:val="14"/>
                <w:b w:val="1"/>
                <w:bCs w:val="1"/>
                <w:u w:val="single" w:color="auto"/>
                <w:color w:val="auto"/>
              </w:rPr>
              <w:t>Required Delivery Date</w:t>
            </w:r>
          </w:p>
        </w:tc>
        <w:tc>
          <w:tcPr>
            <w:tcW w:w="2000" w:type="dxa"/>
            <w:vAlign w:val="bottom"/>
            <w:vMerge w:val="restart"/>
          </w:tcPr>
          <w:p>
            <w:pPr>
              <w:ind w:left="460"/>
              <w:spacing w:after="0"/>
              <w:rPr>
                <w:sz w:val="20"/>
                <w:szCs w:val="20"/>
                <w:color w:val="auto"/>
              </w:rPr>
            </w:pPr>
            <w:r>
              <w:rPr>
                <w:rFonts w:ascii="Arial" w:cs="Arial" w:eastAsia="Arial" w:hAnsi="Arial"/>
                <w:sz w:val="14"/>
                <w:szCs w:val="14"/>
                <w:b w:val="1"/>
                <w:bCs w:val="1"/>
                <w:u w:val="single" w:color="auto"/>
                <w:color w:val="auto"/>
              </w:rPr>
              <w:t>Payment Amount</w:t>
            </w:r>
          </w:p>
        </w:tc>
        <w:tc>
          <w:tcPr>
            <w:tcW w:w="1080" w:type="dxa"/>
            <w:vAlign w:val="bottom"/>
          </w:tcPr>
          <w:p>
            <w:pPr>
              <w:jc w:val="center"/>
              <w:ind w:left="408"/>
              <w:spacing w:after="0"/>
              <w:rPr>
                <w:sz w:val="20"/>
                <w:szCs w:val="20"/>
                <w:color w:val="auto"/>
              </w:rPr>
            </w:pPr>
            <w:r>
              <w:rPr>
                <w:rFonts w:ascii="Arial" w:cs="Arial" w:eastAsia="Arial" w:hAnsi="Arial"/>
                <w:sz w:val="14"/>
                <w:szCs w:val="14"/>
                <w:b w:val="1"/>
                <w:bCs w:val="1"/>
                <w:color w:val="auto"/>
                <w:w w:val="95"/>
              </w:rPr>
              <w:t>Holdback</w:t>
            </w:r>
          </w:p>
        </w:tc>
        <w:tc>
          <w:tcPr>
            <w:tcW w:w="0" w:type="dxa"/>
            <w:vAlign w:val="bottom"/>
          </w:tcPr>
          <w:p>
            <w:pPr>
              <w:spacing w:after="0"/>
              <w:rPr>
                <w:sz w:val="1"/>
                <w:szCs w:val="1"/>
                <w:color w:val="auto"/>
              </w:rPr>
            </w:pPr>
          </w:p>
        </w:tc>
      </w:tr>
      <w:tr>
        <w:trPr>
          <w:trHeight w:val="163"/>
        </w:trPr>
        <w:tc>
          <w:tcPr>
            <w:tcW w:w="600" w:type="dxa"/>
            <w:vAlign w:val="bottom"/>
            <w:tcBorders>
              <w:bottom w:val="single" w:sz="8" w:color="auto"/>
            </w:tcBorders>
            <w:vMerge w:val="continue"/>
          </w:tcPr>
          <w:p>
            <w:pPr>
              <w:spacing w:after="0"/>
              <w:rPr>
                <w:sz w:val="13"/>
                <w:szCs w:val="13"/>
                <w:color w:val="auto"/>
              </w:rPr>
            </w:pPr>
          </w:p>
        </w:tc>
        <w:tc>
          <w:tcPr>
            <w:tcW w:w="590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080" w:type="dxa"/>
            <w:vAlign w:val="bottom"/>
          </w:tcPr>
          <w:p>
            <w:pPr>
              <w:jc w:val="center"/>
              <w:ind w:left="388"/>
              <w:spacing w:after="0" w:line="158" w:lineRule="exact"/>
              <w:rPr>
                <w:sz w:val="20"/>
                <w:szCs w:val="20"/>
                <w:color w:val="auto"/>
              </w:rPr>
            </w:pPr>
            <w:r>
              <w:rPr>
                <w:rFonts w:ascii="Arial" w:cs="Arial" w:eastAsia="Arial" w:hAnsi="Arial"/>
                <w:sz w:val="14"/>
                <w:szCs w:val="14"/>
                <w:b w:val="1"/>
                <w:bCs w:val="1"/>
                <w:u w:val="single" w:color="auto"/>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&lt;Milestone 1&gt;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&lt;Milestone 2&gt;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1/10/2005</w:t>
      </w:r>
    </w:p>
    <w:p>
      <w:pPr>
        <w:sectPr>
          <w:pgSz w:w="11900" w:h="16838" w:orient="portrait"/>
          <w:cols w:equalWidth="0" w:num="1">
            <w:col w:w="11400"/>
          </w:cols>
          <w:pgMar w:left="240" w:top="270"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Liquidated Damages for Delay in Delivery:</w:t>
      </w:r>
    </w:p>
    <w:p>
      <w:pPr>
        <w:spacing w:after="0" w:line="117"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Upon discovery of anything indicating a reasonable certainty that Software and/or Services will not be delivered by the scheduled Delivery Date, Amdocs shall notify SBC and provide the estimated length of delay. The Parties shall work jointly toward resolving the delayed delivery. If the Parties reach agreement on an extended Delivery Date and Amdocs fails to meet the extended Delivery Date, then SBC may (i) if such delay amounts to a material breach, exercise SBC’s termination rights under the Agreement with respect to this applicable Order, (ii) exercise its right to recover Liquidated Damages specified hereunder, and/or (iii) further extend the Delivery Date. No payments, progress or otherwise, made by SBC to Amdocs after any scheduled Delivery Date shall constitute a waiver of Liquidated Damages. Delivery Dates shall be extended as and to the extent Amdocs’ is unable to meet the original Delivery Date due to causes outside of Amdocs’ control. Such extension shall be proportionate to the delay caused by factors outside Amdocs’ control.</w:t>
      </w:r>
    </w:p>
    <w:p>
      <w:pPr>
        <w:spacing w:after="0" w:line="84"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Notwithstanding anything to the contrary in the Agreement, in the event of Supplier’s failure to meet the Delivery Date for delivery to Acceptance Testing above (as it may have been extended in accordance with the terms as set forth herein) SBC shall be entitled to Liquidated Damages according to the following schedule:</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Days Late</w:t>
            </w:r>
          </w:p>
        </w:tc>
        <w:tc>
          <w:tcPr>
            <w:tcW w:w="3860" w:type="dxa"/>
            <w:vAlign w:val="bottom"/>
            <w:gridSpan w:val="3"/>
          </w:tcPr>
          <w:p>
            <w:pPr>
              <w:ind w:left="1780"/>
              <w:spacing w:after="0"/>
              <w:rPr>
                <w:sz w:val="20"/>
                <w:szCs w:val="20"/>
                <w:color w:val="auto"/>
              </w:rPr>
            </w:pPr>
            <w:r>
              <w:rPr>
                <w:rFonts w:ascii="Arial" w:cs="Arial" w:eastAsia="Arial" w:hAnsi="Arial"/>
                <w:sz w:val="14"/>
                <w:szCs w:val="14"/>
                <w:b w:val="1"/>
                <w:bCs w:val="1"/>
                <w:color w:val="auto"/>
              </w:rPr>
              <w:t>Liquidated Damages</w:t>
            </w:r>
          </w:p>
        </w:tc>
      </w:t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0-14</w:t>
            </w:r>
          </w:p>
        </w:tc>
        <w:tc>
          <w:tcPr>
            <w:tcW w:w="1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w:t>
            </w:r>
          </w:p>
        </w:tc>
        <w:tc>
          <w:tcPr>
            <w:tcW w:w="80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1780" w:type="dxa"/>
            <w:vAlign w:val="bottom"/>
          </w:tcPr>
          <w:p>
            <w:pPr>
              <w:spacing w:after="0"/>
              <w:rPr>
                <w:sz w:val="18"/>
                <w:szCs w:val="18"/>
                <w:color w:val="auto"/>
              </w:rPr>
            </w:pPr>
          </w:p>
        </w:tc>
        <w:tc>
          <w:tcPr>
            <w:tcW w:w="3860" w:type="dxa"/>
            <w:vAlign w:val="bottom"/>
            <w:gridSpan w:val="3"/>
          </w:tcPr>
          <w:p>
            <w:pPr>
              <w:ind w:left="1780"/>
              <w:spacing w:after="0"/>
              <w:rPr>
                <w:sz w:val="20"/>
                <w:szCs w:val="20"/>
                <w:color w:val="auto"/>
              </w:rPr>
            </w:pPr>
            <w:r>
              <w:rPr>
                <w:rFonts w:ascii="Arial" w:cs="Arial" w:eastAsia="Arial" w:hAnsi="Arial"/>
                <w:sz w:val="18"/>
                <w:szCs w:val="18"/>
                <w:color w:val="auto"/>
                <w:w w:val="89"/>
              </w:rPr>
              <w:t>10% of fees under this Order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45-74</w:t>
            </w:r>
          </w:p>
        </w:tc>
        <w:tc>
          <w:tcPr>
            <w:tcW w:w="1780" w:type="dxa"/>
            <w:vAlign w:val="bottom"/>
          </w:tcPr>
          <w:p>
            <w:pPr>
              <w:spacing w:after="0"/>
              <w:rPr>
                <w:sz w:val="18"/>
                <w:szCs w:val="18"/>
                <w:color w:val="auto"/>
              </w:rPr>
            </w:pPr>
          </w:p>
        </w:tc>
        <w:tc>
          <w:tcPr>
            <w:tcW w:w="3860" w:type="dxa"/>
            <w:vAlign w:val="bottom"/>
            <w:gridSpan w:val="3"/>
          </w:tcPr>
          <w:p>
            <w:pPr>
              <w:ind w:left="1780"/>
              <w:spacing w:after="0"/>
              <w:rPr>
                <w:sz w:val="20"/>
                <w:szCs w:val="20"/>
                <w:color w:val="auto"/>
              </w:rPr>
            </w:pPr>
            <w:r>
              <w:rPr>
                <w:rFonts w:ascii="Arial" w:cs="Arial" w:eastAsia="Arial" w:hAnsi="Arial"/>
                <w:sz w:val="18"/>
                <w:szCs w:val="18"/>
                <w:color w:val="auto"/>
                <w:w w:val="89"/>
              </w:rPr>
              <w:t>10% of fees under this Order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1780" w:type="dxa"/>
            <w:vAlign w:val="bottom"/>
          </w:tcPr>
          <w:p>
            <w:pPr>
              <w:spacing w:after="0"/>
              <w:rPr>
                <w:sz w:val="20"/>
                <w:szCs w:val="20"/>
                <w:color w:val="auto"/>
              </w:rPr>
            </w:pPr>
          </w:p>
        </w:tc>
        <w:tc>
          <w:tcPr>
            <w:tcW w:w="3860" w:type="dxa"/>
            <w:vAlign w:val="bottom"/>
            <w:gridSpan w:val="3"/>
          </w:tcPr>
          <w:p>
            <w:pPr>
              <w:ind w:left="1780"/>
              <w:spacing w:after="0"/>
              <w:rPr>
                <w:sz w:val="20"/>
                <w:szCs w:val="20"/>
                <w:color w:val="auto"/>
              </w:rPr>
            </w:pPr>
            <w:r>
              <w:rPr>
                <w:rFonts w:ascii="Arial" w:cs="Arial" w:eastAsia="Arial" w:hAnsi="Arial"/>
                <w:sz w:val="18"/>
                <w:szCs w:val="18"/>
                <w:color w:val="auto"/>
                <w:w w:val="89"/>
              </w:rPr>
              <w:t>10% of fees under this Order</w:t>
            </w:r>
          </w:p>
        </w:tc>
      </w:tr>
    </w:tbl>
    <w:p>
      <w:pPr>
        <w:spacing w:after="0" w:line="94"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this Order. SBC’s taking of Liquidated Damages for failure to meet a Delivery Date shall not preclude SBC from claiming actual damages in excess of the Liquidated Damages; provided, however, that the amount of Liquidated Damages taken by SBC shall be deducted from any damages awarded to SBC. Liquidated Damages taken by SBC for failure to meet a Delivery Date shall be excluded from the limitations of liability set forth in Section 3.18(B) of the Agreement.</w:t>
      </w:r>
    </w:p>
    <w:p>
      <w:pPr>
        <w:spacing w:after="0" w:line="333"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Supplier Responsibilities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SBC Responsibilities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Oversight by: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1/10/2005</w:t>
      </w:r>
    </w:p>
    <w:p>
      <w:pPr>
        <w:sectPr>
          <w:pgSz w:w="11900" w:h="16838" w:orient="portrait"/>
          <w:cols w:equalWidth="0" w:num="1">
            <w:col w:w="11320"/>
          </w:cols>
          <w:pgMar w:left="240" w:top="274" w:right="339" w:bottom="1440" w:gutter="0" w:footer="0" w:header="0"/>
        </w:sectPr>
      </w:pPr>
    </w:p>
    <w:bookmarkStart w:id="119" w:name="page120"/>
    <w:bookmarkEnd w:id="119"/>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responsible for System Testing:</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Warranty: </w:t>
      </w:r>
      <w:r>
        <w:rPr>
          <w:rFonts w:ascii="Arial" w:cs="Arial" w:eastAsia="Arial" w:hAnsi="Arial"/>
          <w:sz w:val="18"/>
          <w:szCs w:val="18"/>
          <w:b w:val="1"/>
          <w:bCs w:val="1"/>
          <w:u w:val="single" w:color="auto"/>
          <w:color w:val="auto"/>
        </w:rPr>
        <w:t>Applies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Custom Software and Program Material provided by Amdocs under this order shall be under a Warranty Period of [**] commencing on Acceptance by SBC.</w:t>
      </w:r>
    </w:p>
    <w:p>
      <w:pPr>
        <w:spacing w:after="0" w:line="31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All payments due under this Order shall be subject to a holdback of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of the amount that would otherwise be due hereunder. SBC shall pay to Amdocs all amounts so held back by SBC upon Acceptance by SBC of the final milestone under this Order.</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[For Services ordered on a fixed price basis under Orders executed within [**] of the execution date of Amendment Two, the following applies - </w:t>
      </w:r>
      <w:r>
        <w:rPr>
          <w:rFonts w:ascii="Arial" w:cs="Arial" w:eastAsia="Arial" w:hAnsi="Arial"/>
          <w:sz w:val="17"/>
          <w:szCs w:val="17"/>
          <w:color w:val="auto"/>
        </w:rPr>
        <w:t>The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for each component of the project will be developed by applying a [**] rate of $[**].] This rate shall include [**] resources.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rate for [**] Services under this Order shall be a [**]. This rate shall continue in effect for [**] from execution of this Amendment. This rate shall be applied for time &amp; materials, and time and materials not to exceed Work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rate for [**] work shall be a [**]. This rate shall continue in effect for 18 months from execution of this Amendment.</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 International travel expenses shall be limited to the round-trip between the SBC on-site location and the resource’s point of entry into the United States.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Aggregate travel and living expenses under all Order(s) executed pursuant to this Amendment shall be limited to no more than [**] of the aggregate amount paid by SBC under all such Orders.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SBC’s option SBC Orders may be based on a time and materials not to exceed Work Order which shall be based on the time and materials rates set forth above.</w:t>
      </w:r>
    </w:p>
    <w:p>
      <w:pPr>
        <w:spacing w:after="0" w:line="315" w:lineRule="exact"/>
        <w:rPr>
          <w:sz w:val="20"/>
          <w:szCs w:val="20"/>
          <w:color w:val="auto"/>
        </w:rPr>
      </w:pPr>
    </w:p>
    <w:p>
      <w:pPr>
        <w:ind w:left="920" w:right="9560" w:hanging="912"/>
        <w:spacing w:after="0" w:line="455" w:lineRule="auto"/>
        <w:tabs>
          <w:tab w:leader="none" w:pos="45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Project Managers SBC: Amdocs:</w:t>
      </w:r>
    </w:p>
    <w:p>
      <w:pPr>
        <w:spacing w:after="0" w:line="182" w:lineRule="exact"/>
        <w:rPr>
          <w:rFonts w:ascii="Arial" w:cs="Arial" w:eastAsia="Arial" w:hAnsi="Arial"/>
          <w:sz w:val="16"/>
          <w:szCs w:val="16"/>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Warranty, Maintenance, Service Levels and Liquidated Damages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provisions of Section 3.34 and Article 5.0 of the Software Master Agreement are incorporated into this Order as if set forth herein, shall replace Section 3.34 (excluding Section 3.34(D)(2) of the Master Services Agreement) and Section 5.8 of the Master Services Agreement and shall apply to the Software.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1/10/2005</w:t>
      </w:r>
    </w:p>
    <w:p>
      <w:pPr>
        <w:sectPr>
          <w:pgSz w:w="11900" w:h="16838" w:orient="portrait"/>
          <w:cols w:equalWidth="0" w:num="1">
            <w:col w:w="11380"/>
          </w:cols>
          <w:pgMar w:left="240" w:top="270" w:right="279" w:bottom="1440" w:gutter="0" w:footer="0" w:header="0"/>
        </w:sectPr>
      </w:pPr>
    </w:p>
    <w:bookmarkStart w:id="120" w:name="page121"/>
    <w:bookmarkEnd w:id="120"/>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applying Article 5.0 to this Order, in the event SBC elects to purchase maintenance for Custom Software, SBC may elect to purchase maintenance under either of the following maintenance fee options: [**]; or (2) pursuant to a mutually agreed dedicated team, which dedicated team will be billed for on a time and materials basis at the rates set forth in Section 14 of this Order. Maintenance charged under clause (1) will be invoiced on an annual basis in advance and if charged under clause (2) will be invoiced on a [**] basis in arrears. Alternatively, SBC may obtain support and maintenance for Custom Software pursuant to Orders for OnGoing Support, in which case, the provisions of Article 5.0 of the Software Master Agreement will not apply to such Orders for OnGoing Support. In addition, SBC may choose not to obtain maintenance and support services from Amdocs.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Liquidated Damages applicable to an annual maintenance period arising from applying Section 5.4 of the Software Master Agreement to the Custom Software under the Orders shall not exceed 20% of the Maintenance Fees paid by SBC to Amdocs during such annual maintenance period under all Orders executed pursuant to this Amendment. Notwithstanding the foregoing, the cap on Liquidated Damages during the Warranty Period of a Order arising from the application of the last sentence of Section 3.34 and Section 5.4 of the Software Master Agreement to the Custom Software under that Order shall be limited to $120,000.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3"/>
          </w:tcPr>
          <w:p>
            <w:pPr>
              <w:spacing w:after="0"/>
              <w:rPr>
                <w:sz w:val="20"/>
                <w:szCs w:val="20"/>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3"/>
          </w:tcPr>
          <w:p>
            <w:pPr>
              <w:spacing w:after="0"/>
              <w:rPr>
                <w:sz w:val="20"/>
                <w:szCs w:val="20"/>
                <w:color w:val="auto"/>
              </w:rPr>
            </w:pPr>
          </w:p>
        </w:tc>
      </w:tr>
      <w:tr>
        <w:trPr>
          <w:trHeight w:val="439"/>
        </w:trPr>
        <w:tc>
          <w:tcPr>
            <w:tcW w:w="5480" w:type="dxa"/>
            <w:vAlign w:val="bottom"/>
            <w:gridSpan w:val="4"/>
          </w:tcPr>
          <w:p>
            <w:pPr>
              <w:spacing w:after="0"/>
              <w:rPr>
                <w:sz w:val="20"/>
                <w:szCs w:val="20"/>
                <w:color w:val="auto"/>
              </w:rPr>
            </w:pPr>
            <w:r>
              <w:rPr>
                <w:rFonts w:ascii="Arial" w:cs="Arial" w:eastAsia="Arial" w:hAnsi="Arial"/>
                <w:sz w:val="18"/>
                <w:szCs w:val="18"/>
                <w:color w:val="auto"/>
              </w:rPr>
              <w:t>Print Name:   Appendix 3.39</w:t>
            </w:r>
          </w:p>
        </w:tc>
        <w:tc>
          <w:tcPr>
            <w:tcW w:w="5760" w:type="dxa"/>
            <w:vAlign w:val="bottom"/>
            <w:gridSpan w:val="4"/>
          </w:tcPr>
          <w:p>
            <w:pPr>
              <w:ind w:left="300"/>
              <w:spacing w:after="0"/>
              <w:rPr>
                <w:sz w:val="20"/>
                <w:szCs w:val="20"/>
                <w:color w:val="auto"/>
              </w:rPr>
            </w:pPr>
            <w:r>
              <w:rPr>
                <w:rFonts w:ascii="Arial" w:cs="Arial" w:eastAsia="Arial" w:hAnsi="Arial"/>
                <w:sz w:val="18"/>
                <w:szCs w:val="18"/>
                <w:color w:val="auto"/>
              </w:rPr>
              <w:t>Print Name:   Appendix 3.39</w:t>
            </w:r>
          </w:p>
        </w:tc>
      </w:tr>
      <w:tr>
        <w:trPr>
          <w:trHeight w:val="331"/>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600" w:type="dxa"/>
            <w:vAlign w:val="bottom"/>
            <w:tcBorders>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580" w:type="dxa"/>
            <w:vAlign w:val="bottom"/>
            <w:tcBorders>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tcPr>
          <w:p>
            <w:pPr>
              <w:spacing w:after="0"/>
              <w:rPr>
                <w:sz w:val="24"/>
                <w:szCs w:val="24"/>
                <w:color w:val="auto"/>
              </w:rPr>
            </w:pPr>
          </w:p>
        </w:tc>
      </w:tr>
      <w:tr>
        <w:trPr>
          <w:trHeight w:val="439"/>
        </w:trPr>
        <w:tc>
          <w:tcPr>
            <w:tcW w:w="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980" w:type="dxa"/>
            <w:vAlign w:val="bottom"/>
            <w:tcBorders>
              <w:bottom w:val="single" w:sz="8" w:color="auto"/>
            </w:tcBorders>
            <w:gridSpan w:val="2"/>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tcBorders>
              <w:bottom w:val="single" w:sz="8" w:color="auto"/>
            </w:tcBorders>
            <w:gridSpan w:val="2"/>
          </w:tcPr>
          <w:p>
            <w:pPr>
              <w:spacing w:after="0"/>
              <w:rPr>
                <w:sz w:val="24"/>
                <w:szCs w:val="24"/>
                <w:color w:val="auto"/>
              </w:rPr>
            </w:pPr>
          </w:p>
        </w:tc>
      </w:tr>
      <w:tr>
        <w:trPr>
          <w:trHeight w:val="520"/>
        </w:trPr>
        <w:tc>
          <w:tcPr>
            <w:tcW w:w="1100" w:type="dxa"/>
            <w:vAlign w:val="bottom"/>
            <w:gridSpan w:val="3"/>
          </w:tcPr>
          <w:p>
            <w:pPr>
              <w:spacing w:after="0"/>
              <w:rPr>
                <w:sz w:val="20"/>
                <w:szCs w:val="20"/>
                <w:color w:val="auto"/>
              </w:rPr>
            </w:pPr>
            <w:r>
              <w:rPr>
                <w:rFonts w:ascii="Arial" w:cs="Arial" w:eastAsia="Arial" w:hAnsi="Arial"/>
                <w:sz w:val="18"/>
                <w:szCs w:val="18"/>
                <w:color w:val="auto"/>
              </w:rPr>
              <w:t>1/10/2005</w:t>
            </w:r>
          </w:p>
        </w:tc>
        <w:tc>
          <w:tcPr>
            <w:tcW w:w="4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02026713-03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SBC Services, Inc.</w:t>
      </w:r>
    </w:p>
    <w:p>
      <w:pPr>
        <w:sectPr>
          <w:pgSz w:w="11900" w:h="16838" w:orient="portrait"/>
          <w:cols w:equalWidth="0" w:num="1">
            <w:col w:w="9019"/>
          </w:cols>
          <w:pgMar w:left="1440" w:top="27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Amendment No. 3, effective on the date when signed by the last Party (“Effective Date”), and amending Agreement No. 02026713, is by and between Amdocs, Inc., a Delaware corporation (“Supplier”) and SBC Services, Inc., a Delaware corporation (“SBC”), each of which may be referred to in the singular as “Party” or in the plural as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SBC and Amdocs are parties to that certain Agreement No. 02026713 for Software and Professional Services, dated as of 7 August 2003,</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Amendment No. 1 effective December 19,2003, and as further amended by Amendment No. 2 effective January 10, 2005 (collectively, the “Agreement”); and</w:t>
      </w:r>
    </w:p>
    <w:p>
      <w:pPr>
        <w:spacing w:after="0" w:line="17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Amdocs Software Systems Limited and SBC have entered into that certain Agreement No. 03032360-1 pursuant to which SBC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SBC may desire Amdocs to implement customizations to such Software pursuant to the terms and conditions of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herein; and WHEREAS, Amdocs desires to implement customizations to the Software pursuant to the terms and conditions of the Agreement as amended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580" w:right="540" w:hanging="572"/>
        <w:spacing w:after="0" w:line="282" w:lineRule="auto"/>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6.1 Allowable Expenses, </w:t>
      </w:r>
      <w:r>
        <w:rPr>
          <w:rFonts w:ascii="Arial" w:cs="Arial" w:eastAsia="Arial" w:hAnsi="Arial"/>
          <w:sz w:val="18"/>
          <w:szCs w:val="18"/>
          <w:color w:val="auto"/>
        </w:rPr>
        <w:t>is hereby deleted and replaced in its entirety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SBC is not responsible for any travel, meal or other business related expense incurred by Supplier whether or not incurred in its performance of its obligations under this Agreement, unless such expense complies with the requirements of SBC’s Vendor Expense Policy attached hereto and incorporated herein as Appendix 1.2(4), and is not otherwise restricted under the terms of this Agreement or any applicable Order. Upon request by SBC, Supplier shall use commercially reasonable efforts to provide in a timely manner supporting documentation for any unusual or out of the ordinary expenses or in instances when the applicable SBC approver cannot make a reasonable determination on the propriety of the transaction without such documentation. The Parties further agree that for the purpose of determining when an expense is “incurred” pursuant to Section 2.1 of the Vendor Expense Policy, Supplier shall be deemed to incur such expense when the invoice or expense voucher for such expense is submitted to Supplier’s Accounts Payable department for payment.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Appendix 1.2(4) Reimbursable Expenses</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and SBC agree to delete the Appendix 1.2(4) Reimbursable Expenses attached to the Agreement, in its entirety, and replace it with the revised Appendix 1.2(4) Vendor Expense Policy, attached herewith.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ARTICLE VI - ONGOING SUPPORT SERVICES, Section 6.11 Third Party Administrative Services is </w:t>
      </w:r>
      <w:r>
        <w:rPr>
          <w:rFonts w:ascii="Arial" w:cs="Arial" w:eastAsia="Arial" w:hAnsi="Arial"/>
          <w:sz w:val="17"/>
          <w:szCs w:val="17"/>
          <w:color w:val="auto"/>
        </w:rPr>
        <w:t>hereby added in its entirety as follows:</w:t>
      </w:r>
    </w:p>
    <w:p>
      <w:pPr>
        <w:spacing w:after="0" w:line="132" w:lineRule="exact"/>
        <w:rPr>
          <w:rFonts w:ascii="Arial" w:cs="Arial" w:eastAsia="Arial" w:hAnsi="Arial"/>
          <w:sz w:val="17"/>
          <w:szCs w:val="17"/>
          <w:b w:val="1"/>
          <w:bCs w:val="1"/>
          <w:color w:val="auto"/>
        </w:rPr>
      </w:pPr>
    </w:p>
    <w:p>
      <w:pPr>
        <w:ind w:left="460" w:right="50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Supplier acknowledges that a third party vendor will be performing certain administrative functions associated with this Agreement pursuant to a contract between SBC and the third party vendor. These administrative functions include, but are not limited to the following:</w:t>
      </w:r>
    </w:p>
    <w:p>
      <w:pPr>
        <w:spacing w:after="0" w:line="51" w:lineRule="exact"/>
        <w:rPr>
          <w:rFonts w:ascii="Arial" w:cs="Arial" w:eastAsia="Arial" w:hAnsi="Arial"/>
          <w:sz w:val="17"/>
          <w:szCs w:val="17"/>
          <w:b w:val="1"/>
          <w:bCs w:val="1"/>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Tracking of certificates of insurance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Providing financial analysis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Verifying supplier diversity certification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Supplier profile information</w:t>
      </w:r>
    </w:p>
    <w:p>
      <w:pPr>
        <w:spacing w:after="0" w:line="117"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Supplier agrees to cooperate with such third party vendor to facilitate its performance of these administrative functions, including Supplier’s provision of data reasonably requested from time to time by such third party vendor. Further, notwithstanding any other provision of this Agreement, Supplier agrees that SBC may provide to such third party vendor Confidential Information regarding Supplier, subject to such third party vendor’s execution of a written non-disclosure agreement with Suppler which provides Supplier with no less protection for such Confidential Information than that required of SBC under this Agreement. Supplier will execute a non-disclosure agreement with the third party vendor no later then December 31, 2005. Supplier agrees to pay the third party vendor an annual fee for the performance of these administrative functions, which annual fee shall not exceed [**] and a [**]. SBC agrees that Supplier shall have no liability to such vendor in excess of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02026713 in all other respects remain unmodified and in full force and effect.</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left="260" w:right="12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SBC,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4" w:name="page125"/>
    <w:bookmarkEnd w:id="124"/>
    <w:p>
      <w:pPr>
        <w:ind w:left="8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Agreement No. 02026713 to be executed, which may be in duplicate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will be deemed to be an original instrument, as of the date the last Party signs.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SBC Services, Inc.</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By: /s/ John J. Horgan</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Madsen</w:t>
            </w:r>
          </w:p>
        </w:tc>
      </w:tr>
      <w:tr>
        <w:trPr>
          <w:trHeight w:val="20"/>
        </w:trPr>
        <w:tc>
          <w:tcPr>
            <w:tcW w:w="340" w:type="dxa"/>
            <w:vAlign w:val="bottom"/>
          </w:tcPr>
          <w:p>
            <w:pPr>
              <w:spacing w:after="0" w:line="20" w:lineRule="exact"/>
              <w:rPr>
                <w:sz w:val="1"/>
                <w:szCs w:val="1"/>
                <w:color w:val="auto"/>
              </w:rPr>
            </w:pPr>
          </w:p>
        </w:tc>
        <w:tc>
          <w:tcPr>
            <w:tcW w:w="51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r>
      <w:tr>
        <w:trPr>
          <w:trHeight w:val="331"/>
        </w:trPr>
        <w:tc>
          <w:tcPr>
            <w:tcW w:w="5480" w:type="dxa"/>
            <w:vAlign w:val="bottom"/>
            <w:gridSpan w:val="3"/>
          </w:tcPr>
          <w:p>
            <w:pPr>
              <w:spacing w:after="0"/>
              <w:rPr>
                <w:sz w:val="20"/>
                <w:szCs w:val="20"/>
                <w:color w:val="auto"/>
              </w:rPr>
            </w:pPr>
            <w:r>
              <w:rPr>
                <w:rFonts w:ascii="Arial" w:cs="Arial" w:eastAsia="Arial" w:hAnsi="Arial"/>
                <w:sz w:val="18"/>
                <w:szCs w:val="18"/>
                <w:color w:val="auto"/>
              </w:rPr>
              <w:t>Printed Name:   John J. Horgan</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Madsen</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 Administrative Operations, North America</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Associate Director – Strategic Sourcing</w:t>
            </w: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12/15/05</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8, 2005</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1.2(4) Vendor Expense Policy</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GENERAL</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SBC Vendor Expense Policy (VEP) provides guidelines to be followed by all vendors of SBC in requesting reimbursement for business travel, meals and other business related expense. Expenses outside this policy are not reimbursable.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When spending money that is to be reimbursed, vendors must ensure that an SBC Company (“Company”) receives proper value in return. Prudent and proper judgment must be used in reporting and approving business expenses.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its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Every vendor and SBC employee who certifies or approves the correctness of any voucher or bill should have reasonable knowledge that the expense and amounts are proper and reasonable. Nothing in these guidelines shall preclude adoption by a responsible SBC manager of a more restrictive policy or practice concerning the expenditure of Company funds by a vendor. In the absence of the adoption of such policy, or existing contractual agreements, these guidelines are considered the minimum requirements for requesting reimbursement of Company funds. These policies should be included in any new or renewed contract with a contractor or consultant.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Deviations from this VEP </w:t>
      </w:r>
      <w:r>
        <w:rPr>
          <w:rFonts w:ascii="Arial" w:cs="Arial" w:eastAsia="Arial" w:hAnsi="Arial"/>
          <w:sz w:val="18"/>
          <w:szCs w:val="18"/>
          <w:b w:val="1"/>
          <w:bCs w:val="1"/>
          <w:i w:val="1"/>
          <w:iCs w:val="1"/>
          <w:color w:val="auto"/>
        </w:rPr>
        <w:t>must be approved</w:t>
      </w:r>
      <w:r>
        <w:rPr>
          <w:rFonts w:ascii="Arial" w:cs="Arial" w:eastAsia="Arial" w:hAnsi="Arial"/>
          <w:sz w:val="18"/>
          <w:szCs w:val="18"/>
          <w:b w:val="1"/>
          <w:bCs w:val="1"/>
          <w:color w:val="auto"/>
        </w:rPr>
        <w:t xml:space="preserve"> in writing by the sponsoring Senior Manager or Officer of an SBC company.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Employees should refer to the Section entitled “Payments” in the Schedule of Authorizations For Affiliates of SBC Communications, Inc. for appropriate vendor invoice authorization approval levels.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Receipts </w:t>
      </w:r>
      <w:r>
        <w:rPr>
          <w:rFonts w:ascii="Arial" w:cs="Arial" w:eastAsia="Arial" w:hAnsi="Arial"/>
          <w:sz w:val="18"/>
          <w:szCs w:val="18"/>
          <w:i w:val="1"/>
          <w:iCs w:val="1"/>
          <w:color w:val="auto"/>
        </w:rPr>
        <w:t>should</w:t>
      </w:r>
      <w:r>
        <w:rPr>
          <w:rFonts w:ascii="Arial" w:cs="Arial" w:eastAsia="Arial" w:hAnsi="Arial"/>
          <w:sz w:val="18"/>
          <w:szCs w:val="18"/>
          <w:color w:val="auto"/>
        </w:rPr>
        <w:t xml:space="preserve"> be requested and reviewed for any unusual or out of the ordinary expenses or where the approver cannot make a reasonable determination on the propriety of the transaction without a receipt.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origination of a given expenditure for business purposes is the responsibility of the vendor incurring the expense and the authorization of that expense is the responsibility of the appropriate level of SBC management in accordance with the Schedule of Authorizations For Affiliates of SBC Communications, Inc.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Non-Reimbursable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expenses are considered non-reimbursable:</w:t>
      </w:r>
    </w:p>
    <w:p>
      <w:pPr>
        <w:spacing w:after="0" w:line="131"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Meals not consistent with SBC employee policy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Annual credit card fees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Upgrades on airline fees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of cost of meal or services, excluding tax</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PC, cell phone, and other vendor support expenses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Meals not directly required to do business on the SBC account (e.g. vendors cannot voucher lunch with each other simply to talk about SBC)</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In-flight drinks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Office expenses of vendors</w:t>
      </w:r>
    </w:p>
    <w:p>
      <w:pPr>
        <w:spacing w:after="0" w:line="130" w:lineRule="exact"/>
        <w:rPr>
          <w:rFonts w:ascii="Arial" w:cs="Arial" w:eastAsia="Arial" w:hAnsi="Arial"/>
          <w:sz w:val="18"/>
          <w:szCs w:val="18"/>
          <w:color w:val="auto"/>
        </w:rPr>
      </w:pPr>
    </w:p>
    <w:p>
      <w:pPr>
        <w:ind w:left="440" w:right="520" w:hanging="324"/>
        <w:spacing w:after="0" w:line="342"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Surcharges for providing fast service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related to delivery charges such as Fedex, UPS, etc.). SBC expects all vendors to complete the terms of contracts in the shortest period practicable. Charges for shortening the timeframe in which contracts are fulfilled are not permissible.</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Vendors may not submit expenses to cover meals or expenses for an SBC employee, whether in a home location or on official travel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Water (bottled or dispensed by a vendor)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Clothing, personal care, and toiletries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Flight or rental car insurance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Hotel pay-per-view and/or mini bar items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High speed internet access in hotels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Lost luggage or parking tickets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Phone usage on airline unless business emergency</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Failure to comply with the above mentioned restrictions will result in the Company refusing payment of charges or pursuing restitution from the vendor.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02026713-03</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tab/>
        <w:t>RESPONSIBILITIES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Vendor’s Responsibility</w:t>
      </w:r>
    </w:p>
    <w:p>
      <w:pPr>
        <w:spacing w:after="0" w:line="121" w:lineRule="exact"/>
        <w:rPr>
          <w:sz w:val="20"/>
          <w:szCs w:val="20"/>
          <w:color w:val="auto"/>
        </w:rPr>
      </w:pPr>
    </w:p>
    <w:p>
      <w:pPr>
        <w:jc w:val="both"/>
        <w:ind w:left="460" w:right="380"/>
        <w:spacing w:after="0" w:line="342" w:lineRule="auto"/>
        <w:rPr>
          <w:sz w:val="20"/>
          <w:szCs w:val="20"/>
          <w:color w:val="auto"/>
        </w:rPr>
      </w:pPr>
      <w:r>
        <w:rPr>
          <w:rFonts w:ascii="Arial" w:cs="Arial" w:eastAsia="Arial" w:hAnsi="Arial"/>
          <w:sz w:val="16"/>
          <w:szCs w:val="16"/>
          <w:color w:val="auto"/>
        </w:rPr>
        <w:t>SBC’s sponsoring client managers will ensure that vendors have been covered on this policy prior to incurring any expenditures. Vendors and their sponsoring client managers are responsible for clarifying any questions or uncertainties they may have relative to reimbursable business expenses.</w:t>
      </w:r>
    </w:p>
    <w:p>
      <w:pPr>
        <w:spacing w:after="0" w:line="12"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color w:val="auto"/>
        </w:rPr>
        <w:t xml:space="preserve">It is mandatory that financial transactions are recorded in a timely manner. </w:t>
      </w:r>
      <w:r>
        <w:rPr>
          <w:rFonts w:ascii="Arial" w:cs="Arial" w:eastAsia="Arial" w:hAnsi="Arial"/>
          <w:sz w:val="18"/>
          <w:szCs w:val="18"/>
          <w:b w:val="1"/>
          <w:bCs w:val="1"/>
          <w:color w:val="auto"/>
        </w:rPr>
        <w:t>Out-of-pocket business expense(s) for vendors that are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submitted for</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 within [**] from the date incurred are considered non-reimbursable</w:t>
      </w:r>
      <w:r>
        <w:rPr>
          <w:rFonts w:ascii="Arial" w:cs="Arial" w:eastAsia="Arial" w:hAnsi="Arial"/>
          <w:sz w:val="18"/>
          <w:szCs w:val="18"/>
          <w:color w:val="auto"/>
        </w:rPr>
        <w:t>. Company managers who are responsible for approving</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reimbursable expenses of vendors should ensure they are submitted and approved in a timely manner.</w:t>
      </w:r>
    </w:p>
    <w:p>
      <w:pPr>
        <w:spacing w:after="0" w:line="8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SBC Sponsoring Management Responsibility</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Prior to authorizing reimbursement to the vendor for expenditures, it is the responsibility of the SBC managers authorizing the payment to determine that:</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expenditure is reasonable and for a legitimate business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expenditure complies with the policies contained in this document, the Code of Business Conduct, and other applicable Company practices.</w:t>
      </w:r>
    </w:p>
    <w:p>
      <w:pPr>
        <w:spacing w:after="0" w:line="153" w:lineRule="exact"/>
        <w:rPr>
          <w:rFonts w:ascii="Arial" w:cs="Arial" w:eastAsia="Arial" w:hAnsi="Arial"/>
          <w:sz w:val="16"/>
          <w:szCs w:val="16"/>
          <w:color w:val="auto"/>
        </w:rPr>
      </w:pPr>
    </w:p>
    <w:p>
      <w:pPr>
        <w:ind w:left="900" w:right="8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expenses are reviewed through Payment.Net or on form SBC-4472APA and those expenses are prepared in accordance with proper accounting details.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sponsoring SBC managers are responsible for ensuring the Vendor Expense Policy has been communicated to each vendor.</w:t>
      </w:r>
    </w:p>
    <w:p>
      <w:pPr>
        <w:spacing w:after="0" w:line="3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3.0</w:t>
        <w:tab/>
        <w:t>TRAVEL POLICY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Vendors must first consider the feasibility of using videoconferencing or teleconferencing as an alternative to travel. Travel that is to be reimbursed by SBC should be incurred only as necessary.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SBC reserves the right to dispute any expense submittal and if not verifiable as valid may reject reimbursement. Reimbursements will be made to vendor only after expenses are verified as valid.</w:t>
      </w:r>
    </w:p>
    <w:p>
      <w:pPr>
        <w:spacing w:after="0" w:line="3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Travel Authorization</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Travel requiring overnight stays must be approved by the sponsoring SBC senior manager (5</w:t>
      </w:r>
      <w:r>
        <w:rPr>
          <w:rFonts w:ascii="Arial" w:cs="Arial" w:eastAsia="Arial" w:hAnsi="Arial"/>
          <w:sz w:val="15"/>
          <w:szCs w:val="15"/>
          <w:color w:val="auto"/>
        </w:rPr>
        <w:t>th</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Travel Reservations</w:t>
      </w:r>
    </w:p>
    <w:p>
      <w:pPr>
        <w:spacing w:after="0" w:line="121" w:lineRule="exact"/>
        <w:rPr>
          <w:sz w:val="20"/>
          <w:szCs w:val="20"/>
          <w:color w:val="auto"/>
        </w:rPr>
      </w:pPr>
    </w:p>
    <w:p>
      <w:pPr>
        <w:ind w:left="780" w:right="56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SBC discount rate. SBC does not reimburse for travel purchased with prepaid air passes.</w:t>
      </w:r>
    </w:p>
    <w:p>
      <w:pPr>
        <w:spacing w:after="0" w:line="72"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Travel Expense Reimbursement</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1320" w:hanging="547"/>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1320" w:hanging="547"/>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1320" w:hanging="547"/>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1320" w:hanging="547"/>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13" w:lineRule="exact"/>
        <w:rPr>
          <w:sz w:val="20"/>
          <w:szCs w:val="20"/>
          <w:color w:val="auto"/>
        </w:rPr>
      </w:pPr>
    </w:p>
    <w:p>
      <w:pPr>
        <w:ind w:left="780" w:right="280"/>
        <w:spacing w:after="0" w:line="347" w:lineRule="auto"/>
        <w:rPr>
          <w:sz w:val="20"/>
          <w:szCs w:val="20"/>
          <w:color w:val="auto"/>
        </w:rPr>
      </w:pPr>
      <w:r>
        <w:rPr>
          <w:rFonts w:ascii="Arial" w:cs="Arial" w:eastAsia="Arial" w:hAnsi="Arial"/>
          <w:sz w:val="16"/>
          <w:szCs w:val="16"/>
          <w:color w:val="auto"/>
        </w:rPr>
        <w:t xml:space="preserve">Vendors who stay with friends or relatives or other vendor employees while on a Company business trip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reimbursed for lodging, nor will they be reimbursed for expenditures made to reciprocate their hospitality by buying groceries, being host at a restaurant, etc.</w:t>
      </w:r>
    </w:p>
    <w:p>
      <w:pPr>
        <w:spacing w:after="0" w:line="12"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SBC sponsoring management. Any reimbursement request must be for actual expenditures only.</w:t>
      </w:r>
    </w:p>
    <w:p>
      <w:pPr>
        <w:spacing w:after="0" w:line="72"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Air Travel Arrangements</w:t>
      </w:r>
    </w:p>
    <w:p>
      <w:pPr>
        <w:spacing w:after="0" w:line="121"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domestic travel at all times. First class bookings are not reimbursable. Vendors can request business class when a single segment of flight time (“in air time” excluding layovers or ground time) is greater than 5 hours, or when flights are intercontinental. See attached Addendum B for specific airfare rates.</w:t>
      </w:r>
    </w:p>
    <w:p>
      <w:pPr>
        <w:spacing w:after="0" w:line="88"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Hotel Arrangements</w:t>
      </w:r>
    </w:p>
    <w:p>
      <w:pPr>
        <w:spacing w:after="0" w:line="12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SBC has established Market-Based Room Rate Guidelines for vendors to reference when making hotel reservations (see Addendum A). Vendors are expected to abide by these guidelines when making hotel arrangements. SBC will only reimburse vendors up to the established room rate guideline in each market, or for actual hotel lodging charges incurred, whichever is less.</w:t>
      </w:r>
    </w:p>
    <w:p>
      <w:pPr>
        <w:spacing w:after="0" w:line="1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80" w:top="274" w:right="239" w:bottom="1440" w:gutter="0" w:footer="0" w:header="0"/>
        </w:sectPr>
      </w:pPr>
    </w:p>
    <w:bookmarkStart w:id="129" w:name="page130"/>
    <w:bookmarkEnd w:id="129"/>
    <w:p>
      <w:pPr>
        <w:ind w:left="88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02026713-03</w:t>
      </w:r>
    </w:p>
    <w:p>
      <w:pPr>
        <w:spacing w:after="0" w:line="177" w:lineRule="exact"/>
        <w:rPr>
          <w:sz w:val="20"/>
          <w:szCs w:val="20"/>
          <w:color w:val="auto"/>
        </w:rPr>
      </w:pPr>
    </w:p>
    <w:p>
      <w:pPr>
        <w:ind w:left="780" w:right="220"/>
        <w:spacing w:after="0" w:line="282" w:lineRule="auto"/>
        <w:rPr>
          <w:sz w:val="20"/>
          <w:szCs w:val="20"/>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must indicate the number of room nights on the transaction line when invoicing for reimbursement of hotel expenses.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all hotel bills must be made available for any invoice containing lodging charges.</w:t>
      </w:r>
    </w:p>
    <w:p>
      <w:pPr>
        <w:spacing w:after="0" w:line="67"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Ground Transportation</w:t>
      </w:r>
    </w:p>
    <w:p>
      <w:pPr>
        <w:spacing w:after="0" w:line="121" w:lineRule="exact"/>
        <w:rPr>
          <w:sz w:val="20"/>
          <w:szCs w:val="20"/>
          <w:color w:val="auto"/>
        </w:rPr>
      </w:pPr>
    </w:p>
    <w:p>
      <w:pPr>
        <w:ind w:left="780" w:right="220"/>
        <w:spacing w:after="0" w:line="264" w:lineRule="auto"/>
        <w:rPr>
          <w:sz w:val="20"/>
          <w:szCs w:val="20"/>
          <w:color w:val="auto"/>
        </w:rPr>
      </w:pPr>
      <w:r>
        <w:rPr>
          <w:rFonts w:ascii="Arial" w:cs="Arial" w:eastAsia="Arial" w:hAnsi="Arial"/>
          <w:sz w:val="18"/>
          <w:szCs w:val="18"/>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w:t>
      </w:r>
    </w:p>
    <w:p>
      <w:pPr>
        <w:spacing w:after="0" w:line="73" w:lineRule="exact"/>
        <w:rPr>
          <w:sz w:val="20"/>
          <w:szCs w:val="20"/>
          <w:color w:val="auto"/>
        </w:rPr>
      </w:pPr>
    </w:p>
    <w:p>
      <w:pPr>
        <w:jc w:val="both"/>
        <w:ind w:left="780" w:right="52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780" w:right="420"/>
        <w:spacing w:after="0" w:line="264" w:lineRule="auto"/>
        <w:rPr>
          <w:sz w:val="20"/>
          <w:szCs w:val="20"/>
          <w:color w:val="auto"/>
        </w:rPr>
      </w:pPr>
      <w:r>
        <w:rPr>
          <w:rFonts w:ascii="Arial" w:cs="Arial" w:eastAsia="Arial" w:hAnsi="Arial"/>
          <w:sz w:val="18"/>
          <w:szCs w:val="18"/>
          <w:color w:val="auto"/>
        </w:rPr>
        <w:t>“Loss Damage Waiver” and “Extended Liability Coverage” are not considered reimbursable. Prepaid fuel or refueling charges at the time of return are not reimbursable. Rental cars should be refueled before returning to the rental company, since gas purchased through the rental company carries an expensive refueling service charge.</w:t>
      </w:r>
    </w:p>
    <w:p>
      <w:pPr>
        <w:spacing w:after="0" w:line="83"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Use of Personal Vehicle</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When use of personal vehicle is required, the currently applicable IRS mileage rate for miles driven for the business portion of the trip should be the maximum used to determine the amount to be reimbursed.</w:t>
      </w:r>
    </w:p>
    <w:p>
      <w:pPr>
        <w:spacing w:after="0" w:line="72"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Parking</w:t>
      </w:r>
    </w:p>
    <w:p>
      <w:pPr>
        <w:spacing w:after="0" w:line="121"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72"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Entertainment</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SBC personnel, golf fees, tickets to events and related incidental expenses. Hotel charges for a pay-per-view movie, individual sightseeing tours, or other individual activities (i.e., golf, sporting event, movie, etc.) are not reimbursable.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Reasonable laundry charges during business trips of seven or more </w:t>
      </w:r>
      <w:r>
        <w:rPr>
          <w:rFonts w:ascii="Arial" w:cs="Arial" w:eastAsia="Arial" w:hAnsi="Arial"/>
          <w:sz w:val="16"/>
          <w:szCs w:val="16"/>
          <w:b w:val="1"/>
          <w:bCs w:val="1"/>
          <w:color w:val="auto"/>
        </w:rPr>
        <w:t>consecutive</w:t>
      </w:r>
      <w:r>
        <w:rPr>
          <w:rFonts w:ascii="Arial" w:cs="Arial" w:eastAsia="Arial" w:hAnsi="Arial"/>
          <w:sz w:val="16"/>
          <w:szCs w:val="16"/>
          <w:color w:val="auto"/>
        </w:rPr>
        <w:t xml:space="preserve"> nights are reimbursable based on actual expenses incurred.</w:t>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80" w:top="27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3.11  Communications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actual costs of landline telephone calls for SBC business are reimbursable. The use of SBC products is required when available.</w:t>
      </w:r>
    </w:p>
    <w:p>
      <w:pPr>
        <w:spacing w:after="0" w:line="125" w:lineRule="exact"/>
        <w:rPr>
          <w:sz w:val="20"/>
          <w:szCs w:val="20"/>
          <w:color w:val="auto"/>
        </w:rPr>
      </w:pPr>
    </w:p>
    <w:p>
      <w:pPr>
        <w:ind w:left="780" w:right="40"/>
        <w:spacing w:after="0" w:line="282" w:lineRule="auto"/>
        <w:rPr>
          <w:sz w:val="20"/>
          <w:szCs w:val="20"/>
          <w:color w:val="auto"/>
        </w:rPr>
      </w:pPr>
      <w:r>
        <w:rPr>
          <w:rFonts w:ascii="Arial" w:cs="Arial" w:eastAsia="Arial" w:hAnsi="Arial"/>
          <w:sz w:val="18"/>
          <w:szCs w:val="18"/>
          <w:color w:val="auto"/>
        </w:rPr>
        <w:t xml:space="preserve">SBC will not reimburse vendors for cell phone bills. With prior consent of the sponsoring SBC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SBC may be reimbursed.</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Charges for high speed internet access are not reimbursable.</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780" w:right="40"/>
        <w:spacing w:after="0" w:line="259" w:lineRule="auto"/>
        <w:rPr>
          <w:sz w:val="20"/>
          <w:szCs w:val="20"/>
          <w:color w:val="auto"/>
        </w:rPr>
      </w:pPr>
      <w:r>
        <w:rPr>
          <w:rFonts w:ascii="Arial" w:cs="Arial" w:eastAsia="Arial" w:hAnsi="Arial"/>
          <w:sz w:val="18"/>
          <w:szCs w:val="18"/>
          <w:color w:val="auto"/>
        </w:rPr>
        <w:t>Vendors are expected to find reasonably priced dining alternatives. As a general rule, vendors are expected to spend[**] inclusive of tax and gratuity. This includes all meals, beverages and refreshments purchased during the day. Requests for reimbursement should break out the amount for meals and list the related number of travel days. Vendors may not submit expenses to cover meals or expenses for an SBC employee, whether in a home location or on official travel.</w:t>
      </w:r>
    </w:p>
    <w:p>
      <w:pPr>
        <w:spacing w:after="0" w:line="79"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SBC managers authorizing invoices will be held accountable for ensuring that vendors are following this policy and are spending Company funds economically.</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780" w:right="340"/>
        <w:spacing w:after="0" w:line="308" w:lineRule="auto"/>
        <w:rPr>
          <w:sz w:val="20"/>
          <w:szCs w:val="20"/>
          <w:color w:val="auto"/>
        </w:rPr>
      </w:pPr>
      <w:r>
        <w:rPr>
          <w:rFonts w:ascii="Arial" w:cs="Arial" w:eastAsia="Arial" w:hAnsi="Arial"/>
          <w:sz w:val="17"/>
          <w:szCs w:val="17"/>
          <w:color w:val="auto"/>
        </w:rPr>
        <w:t>The cost of gifts, flowers, birthday lunches, or greeting cards is considered a personal expense and is not reimbursable. For example, vendors making a donation or providing a gift for a fund-raiser for SBC may not submit such an expense to SBC for reimbursement.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assumes no responsibility for loss or damage to a vendor’s personal property during business functions or hours.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8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20" w:type="dxa"/>
            <w:vAlign w:val="bottom"/>
          </w:tcPr>
          <w:p>
            <w:pPr>
              <w:ind w:left="480"/>
              <w:spacing w:after="0"/>
              <w:rPr>
                <w:sz w:val="20"/>
                <w:szCs w:val="20"/>
                <w:color w:val="auto"/>
              </w:rPr>
            </w:pPr>
            <w:r>
              <w:rPr>
                <w:rFonts w:ascii="Arial" w:cs="Arial" w:eastAsia="Arial" w:hAnsi="Arial"/>
                <w:sz w:val="14"/>
                <w:szCs w:val="14"/>
                <w:b w:val="1"/>
                <w:bCs w:val="1"/>
                <w:color w:val="auto"/>
                <w:w w:val="96"/>
              </w:rPr>
              <w:t>2005 Room</w:t>
            </w:r>
          </w:p>
        </w:tc>
        <w:tc>
          <w:tcPr>
            <w:tcW w:w="2840" w:type="dxa"/>
            <w:vAlign w:val="bottom"/>
          </w:tcPr>
          <w:p>
            <w:pPr>
              <w:spacing w:after="0"/>
              <w:rPr>
                <w:sz w:val="14"/>
                <w:szCs w:val="14"/>
                <w:color w:val="auto"/>
              </w:rPr>
            </w:pP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w w:val="96"/>
              </w:rPr>
              <w:t>2005 Room</w:t>
            </w:r>
          </w:p>
        </w:tc>
        <w:tc>
          <w:tcPr>
            <w:tcW w:w="280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w w:val="90"/>
              </w:rPr>
              <w:t>2005 Room</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City</w:t>
            </w:r>
          </w:p>
        </w:tc>
        <w:tc>
          <w:tcPr>
            <w:tcW w:w="12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Rate Only</w:t>
            </w:r>
          </w:p>
        </w:tc>
        <w:tc>
          <w:tcPr>
            <w:tcW w:w="28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City</w:t>
            </w:r>
          </w:p>
        </w:tc>
        <w:tc>
          <w:tcPr>
            <w:tcW w:w="10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Rate Only</w:t>
            </w:r>
          </w:p>
        </w:tc>
        <w:tc>
          <w:tcPr>
            <w:tcW w:w="280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City</w:t>
            </w: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w w:val="97"/>
              </w:rPr>
              <w:t>Rate Only</w:t>
            </w:r>
          </w:p>
        </w:tc>
        <w:tc>
          <w:tcPr>
            <w:tcW w:w="0" w:type="dxa"/>
            <w:vAlign w:val="bottom"/>
          </w:tcPr>
          <w:p>
            <w:pPr>
              <w:spacing w:after="0"/>
              <w:rPr>
                <w:sz w:val="1"/>
                <w:szCs w:val="1"/>
                <w:color w:val="auto"/>
              </w:rPr>
            </w:pPr>
          </w:p>
        </w:tc>
      </w:tr>
      <w:tr>
        <w:trPr>
          <w:trHeight w:val="157"/>
        </w:trPr>
        <w:tc>
          <w:tcPr>
            <w:tcW w:w="2600" w:type="dxa"/>
            <w:vAlign w:val="bottom"/>
            <w:vMerge w:val="continue"/>
          </w:tcPr>
          <w:p>
            <w:pPr>
              <w:spacing w:after="0"/>
              <w:rPr>
                <w:sz w:val="13"/>
                <w:szCs w:val="13"/>
                <w:color w:val="auto"/>
              </w:rPr>
            </w:pPr>
          </w:p>
        </w:tc>
        <w:tc>
          <w:tcPr>
            <w:tcW w:w="1220" w:type="dxa"/>
            <w:vAlign w:val="bottom"/>
          </w:tcPr>
          <w:p>
            <w:pPr>
              <w:ind w:left="500"/>
              <w:spacing w:after="0" w:line="157" w:lineRule="exact"/>
              <w:rPr>
                <w:sz w:val="20"/>
                <w:szCs w:val="20"/>
                <w:color w:val="auto"/>
              </w:rPr>
            </w:pPr>
            <w:r>
              <w:rPr>
                <w:rFonts w:ascii="Arial" w:cs="Arial" w:eastAsia="Arial" w:hAnsi="Arial"/>
                <w:sz w:val="14"/>
                <w:szCs w:val="14"/>
                <w:b w:val="1"/>
                <w:bCs w:val="1"/>
                <w:color w:val="auto"/>
                <w:w w:val="97"/>
              </w:rPr>
              <w:t>Guidelines</w:t>
            </w:r>
          </w:p>
        </w:tc>
        <w:tc>
          <w:tcPr>
            <w:tcW w:w="2840" w:type="dxa"/>
            <w:vAlign w:val="bottom"/>
            <w:vMerge w:val="continue"/>
          </w:tcPr>
          <w:p>
            <w:pPr>
              <w:spacing w:after="0"/>
              <w:rPr>
                <w:sz w:val="13"/>
                <w:szCs w:val="13"/>
                <w:color w:val="auto"/>
              </w:rPr>
            </w:pPr>
          </w:p>
        </w:tc>
        <w:tc>
          <w:tcPr>
            <w:tcW w:w="1020" w:type="dxa"/>
            <w:vAlign w:val="bottom"/>
          </w:tcPr>
          <w:p>
            <w:pPr>
              <w:ind w:left="300"/>
              <w:spacing w:after="0" w:line="157" w:lineRule="exact"/>
              <w:rPr>
                <w:sz w:val="20"/>
                <w:szCs w:val="20"/>
                <w:color w:val="auto"/>
              </w:rPr>
            </w:pPr>
            <w:r>
              <w:rPr>
                <w:rFonts w:ascii="Arial" w:cs="Arial" w:eastAsia="Arial" w:hAnsi="Arial"/>
                <w:sz w:val="14"/>
                <w:szCs w:val="14"/>
                <w:b w:val="1"/>
                <w:bCs w:val="1"/>
                <w:color w:val="auto"/>
                <w:w w:val="97"/>
              </w:rPr>
              <w:t>Guidelines</w:t>
            </w:r>
          </w:p>
        </w:tc>
        <w:tc>
          <w:tcPr>
            <w:tcW w:w="2800" w:type="dxa"/>
            <w:vAlign w:val="bottom"/>
            <w:vMerge w:val="continue"/>
          </w:tcPr>
          <w:p>
            <w:pPr>
              <w:spacing w:after="0"/>
              <w:rPr>
                <w:sz w:val="13"/>
                <w:szCs w:val="13"/>
                <w:color w:val="auto"/>
              </w:rPr>
            </w:pPr>
          </w:p>
        </w:tc>
        <w:tc>
          <w:tcPr>
            <w:tcW w:w="940" w:type="dxa"/>
            <w:vAlign w:val="bottom"/>
          </w:tcPr>
          <w:p>
            <w:pPr>
              <w:ind w:left="260"/>
              <w:spacing w:after="0" w:line="157" w:lineRule="exact"/>
              <w:rPr>
                <w:sz w:val="20"/>
                <w:szCs w:val="20"/>
                <w:color w:val="auto"/>
              </w:rPr>
            </w:pPr>
            <w:r>
              <w:rPr>
                <w:rFonts w:ascii="Arial" w:cs="Arial" w:eastAsia="Arial" w:hAnsi="Arial"/>
                <w:sz w:val="14"/>
                <w:szCs w:val="14"/>
                <w:b w:val="1"/>
                <w:bCs w:val="1"/>
                <w:color w:val="auto"/>
                <w:w w:val="92"/>
              </w:rPr>
              <w:t>Guidelines</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Addison, TX (Dallas)</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Las Vegas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Springfield, IL</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Akron</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Lisle, IL</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Springfield, MO</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Amarillo</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Little Rock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St. Louis</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Anaheim, CA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Livonia, Ml</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Sterling, VA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Arlington. Hgts, IL</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Lombard, (L (Chicago)</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Stockton</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Arlington, VA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Long Beach</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Sunnyvale</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Atlanta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Los Angeles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Tampa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Arcadia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Lubbock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Temecula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Auburn Hills, Ml (Detroit)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Madison</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Tempe, AZ (Phoenix)</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Austin</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Maryland Heights. MO (St. Louis)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Toledo</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Bakersfield</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Mc Allen</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Topeka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Baltimore</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McLean, VA</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Torrance, CA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Beaumont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Melbourne</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Troy, Ml (Detroit)</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Boston</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Memphis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Tukwila. WA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Bridgeton, MO (St. Louis)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Meriden, CT (New Haven)</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Tulsa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Brookfield, WI (Milwaukee)</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Miami</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Visalia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Burbank</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Midland</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Wallingford. CT (New Haven)</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Burlingame, CA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Milwaukee</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w w:val="98"/>
              </w:rPr>
              <w:t>Walnut Creek, CA (San Francisco)</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Charlotte</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Minneapolis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Wait ham</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Chesterfield, MO (St. Louis)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Modesto</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Warren, Ml (Detroit)</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Chicago</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Monterey</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Washington Dc</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Chico</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 Little Rock, AR (Little Rock)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Waterford. Ml (Detroit)</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Cleveland</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Nashville</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Wausau</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Collinsville, IL (St. Louis)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New Haven</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West Dundee. IL (Chicago)</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Columbus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New Orleans</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Westford. MA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Concord, CA</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New York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Westminster, CO (Denver)</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Corpus Christi</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Newark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White Plains</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Creve Coeur, MO (St. Louis)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Norfolk</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Wichita</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Dallas</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2840" w:type="dxa"/>
            <w:vAlign w:val="bottom"/>
          </w:tcPr>
          <w:p>
            <w:pPr>
              <w:ind w:left="60"/>
              <w:spacing w:after="0"/>
              <w:rPr>
                <w:sz w:val="20"/>
                <w:szCs w:val="20"/>
                <w:color w:val="auto"/>
              </w:rPr>
            </w:pPr>
            <w:r>
              <w:rPr>
                <w:rFonts w:ascii="Arial" w:cs="Arial" w:eastAsia="Arial" w:hAnsi="Arial"/>
                <w:sz w:val="18"/>
                <w:szCs w:val="18"/>
                <w:color w:val="auto"/>
              </w:rPr>
              <w:t>Oakbrook, IL (Chicago)</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Windsor Locks, CT (Hartford)</w:t>
            </w:r>
          </w:p>
        </w:tc>
        <w:tc>
          <w:tcPr>
            <w:tcW w:w="9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w w:val="96"/>
              </w:rPr>
              <w:t>2005 Room</w:t>
            </w:r>
          </w:p>
        </w:tc>
        <w:tc>
          <w:tcPr>
            <w:tcW w:w="276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Arial" w:cs="Arial" w:eastAsia="Arial" w:hAnsi="Arial"/>
                <w:sz w:val="14"/>
                <w:szCs w:val="14"/>
                <w:b w:val="1"/>
                <w:bCs w:val="1"/>
                <w:color w:val="auto"/>
              </w:rPr>
              <w:t>2005 Room</w:t>
            </w:r>
          </w:p>
        </w:tc>
        <w:tc>
          <w:tcPr>
            <w:tcW w:w="1620" w:type="dxa"/>
            <w:vAlign w:val="bottom"/>
          </w:tcPr>
          <w:p>
            <w:pPr>
              <w:spacing w:after="0"/>
              <w:rPr>
                <w:sz w:val="14"/>
                <w:szCs w:val="14"/>
                <w:color w:val="auto"/>
              </w:rPr>
            </w:pPr>
          </w:p>
        </w:tc>
        <w:tc>
          <w:tcPr>
            <w:tcW w:w="1380" w:type="dxa"/>
            <w:vAlign w:val="bottom"/>
          </w:tcPr>
          <w:p>
            <w:pPr>
              <w:jc w:val="center"/>
              <w:ind w:left="608"/>
              <w:spacing w:after="0"/>
              <w:rPr>
                <w:sz w:val="20"/>
                <w:szCs w:val="20"/>
                <w:color w:val="auto"/>
              </w:rPr>
            </w:pPr>
            <w:r>
              <w:rPr>
                <w:rFonts w:ascii="Arial" w:cs="Arial" w:eastAsia="Arial" w:hAnsi="Arial"/>
                <w:sz w:val="14"/>
                <w:szCs w:val="14"/>
                <w:b w:val="1"/>
                <w:bCs w:val="1"/>
                <w:color w:val="auto"/>
                <w:w w:val="93"/>
              </w:rPr>
              <w:t>2005 Room</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City</w:t>
            </w:r>
          </w:p>
        </w:tc>
        <w:tc>
          <w:tcPr>
            <w:tcW w:w="120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Rate Only</w:t>
            </w:r>
          </w:p>
        </w:tc>
        <w:tc>
          <w:tcPr>
            <w:tcW w:w="27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City</w:t>
            </w:r>
          </w:p>
        </w:tc>
        <w:tc>
          <w:tcPr>
            <w:tcW w:w="17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Rate Only</w:t>
            </w:r>
          </w:p>
        </w:tc>
        <w:tc>
          <w:tcPr>
            <w:tcW w:w="16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City</w:t>
            </w:r>
          </w:p>
        </w:tc>
        <w:tc>
          <w:tcPr>
            <w:tcW w:w="138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4"/>
              </w:rPr>
              <w:t>Rate Only</w:t>
            </w:r>
          </w:p>
        </w:tc>
        <w:tc>
          <w:tcPr>
            <w:tcW w:w="0" w:type="dxa"/>
            <w:vAlign w:val="bottom"/>
          </w:tcPr>
          <w:p>
            <w:pPr>
              <w:spacing w:after="0"/>
              <w:rPr>
                <w:sz w:val="1"/>
                <w:szCs w:val="1"/>
                <w:color w:val="auto"/>
              </w:rPr>
            </w:pPr>
          </w:p>
        </w:tc>
      </w:tr>
      <w:tr>
        <w:trPr>
          <w:trHeight w:val="157"/>
        </w:trPr>
        <w:tc>
          <w:tcPr>
            <w:tcW w:w="2680" w:type="dxa"/>
            <w:vAlign w:val="bottom"/>
            <w:vMerge w:val="continue"/>
          </w:tcPr>
          <w:p>
            <w:pPr>
              <w:spacing w:after="0"/>
              <w:rPr>
                <w:sz w:val="13"/>
                <w:szCs w:val="13"/>
                <w:color w:val="auto"/>
              </w:rPr>
            </w:pPr>
          </w:p>
        </w:tc>
        <w:tc>
          <w:tcPr>
            <w:tcW w:w="1200" w:type="dxa"/>
            <w:vAlign w:val="bottom"/>
          </w:tcPr>
          <w:p>
            <w:pPr>
              <w:ind w:left="480"/>
              <w:spacing w:after="0" w:line="157" w:lineRule="exact"/>
              <w:rPr>
                <w:sz w:val="20"/>
                <w:szCs w:val="20"/>
                <w:color w:val="auto"/>
              </w:rPr>
            </w:pPr>
            <w:r>
              <w:rPr>
                <w:rFonts w:ascii="Arial" w:cs="Arial" w:eastAsia="Arial" w:hAnsi="Arial"/>
                <w:sz w:val="14"/>
                <w:szCs w:val="14"/>
                <w:b w:val="1"/>
                <w:bCs w:val="1"/>
                <w:color w:val="auto"/>
                <w:w w:val="97"/>
              </w:rPr>
              <w:t>Guidelines</w:t>
            </w:r>
          </w:p>
        </w:tc>
        <w:tc>
          <w:tcPr>
            <w:tcW w:w="2760" w:type="dxa"/>
            <w:vAlign w:val="bottom"/>
            <w:vMerge w:val="continue"/>
          </w:tcPr>
          <w:p>
            <w:pPr>
              <w:spacing w:after="0"/>
              <w:rPr>
                <w:sz w:val="13"/>
                <w:szCs w:val="13"/>
                <w:color w:val="auto"/>
              </w:rPr>
            </w:pPr>
          </w:p>
        </w:tc>
        <w:tc>
          <w:tcPr>
            <w:tcW w:w="1780" w:type="dxa"/>
            <w:vAlign w:val="bottom"/>
          </w:tcPr>
          <w:p>
            <w:pPr>
              <w:ind w:left="420"/>
              <w:spacing w:after="0" w:line="157" w:lineRule="exact"/>
              <w:rPr>
                <w:sz w:val="20"/>
                <w:szCs w:val="20"/>
                <w:color w:val="auto"/>
              </w:rPr>
            </w:pPr>
            <w:r>
              <w:rPr>
                <w:rFonts w:ascii="Arial" w:cs="Arial" w:eastAsia="Arial" w:hAnsi="Arial"/>
                <w:sz w:val="14"/>
                <w:szCs w:val="14"/>
                <w:b w:val="1"/>
                <w:bCs w:val="1"/>
                <w:color w:val="auto"/>
              </w:rPr>
              <w:t>Guidelines</w:t>
            </w:r>
          </w:p>
        </w:tc>
        <w:tc>
          <w:tcPr>
            <w:tcW w:w="1620" w:type="dxa"/>
            <w:vAlign w:val="bottom"/>
            <w:vMerge w:val="continue"/>
          </w:tcPr>
          <w:p>
            <w:pPr>
              <w:spacing w:after="0"/>
              <w:rPr>
                <w:sz w:val="13"/>
                <w:szCs w:val="13"/>
                <w:color w:val="auto"/>
              </w:rPr>
            </w:pPr>
          </w:p>
        </w:tc>
        <w:tc>
          <w:tcPr>
            <w:tcW w:w="1380" w:type="dxa"/>
            <w:vAlign w:val="bottom"/>
          </w:tcPr>
          <w:p>
            <w:pPr>
              <w:jc w:val="center"/>
              <w:ind w:left="608"/>
              <w:spacing w:after="0" w:line="157" w:lineRule="exact"/>
              <w:rPr>
                <w:sz w:val="20"/>
                <w:szCs w:val="20"/>
                <w:color w:val="auto"/>
              </w:rPr>
            </w:pPr>
            <w:r>
              <w:rPr>
                <w:rFonts w:ascii="Arial" w:cs="Arial" w:eastAsia="Arial" w:hAnsi="Arial"/>
                <w:sz w:val="14"/>
                <w:szCs w:val="14"/>
                <w:b w:val="1"/>
                <w:bCs w:val="1"/>
                <w:color w:val="auto"/>
                <w:w w:val="92"/>
              </w:rPr>
              <w:t>Guidelines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Dayton</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Oakland</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Dearborn, Ml</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Oklahoma City</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Denver</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Ontario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Detroit</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Orange County</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Dublin, CA (San Francisco)</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Orlando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Dublin, OH (Columbus)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Overland Park, KS</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Dulles, VA</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Pasadena</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Earth City. MO (St. Louis)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Peoria</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Eau Claire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Pewaukee, WI (Milwaukee)</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El Paso</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Philadelphia</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Emeryville, CA (Oakland)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Phoenix</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Englewood, CO (Denver)</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Piscataway, NJ (Newark)</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Eureka/Arcata</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Piano. TX</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Fairfax, Virginia</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Pleasanton</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Farmington Hills, Ml (Detroit)</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Portland</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Fayetteville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Raleigh</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Fort Wayne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Reno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Fresno</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Reston. VA</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Ft Lauderdale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Richardson, TX</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Ft. Worth, TX (Dallas)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Rockville, MD</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Gaithersburg, MD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Rolling Meadows, IL (Chicago)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Grand Rapids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Rosemont, IL</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Green Bay</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Sacramento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Greenbelt, MD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Saginaw</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Harlingen</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Salt Lake City</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Herndon, VA</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San Antonio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Hartford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San Diego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Hoffman Estates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San Francisco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Houston</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San Jose</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Hudson. OH (Cleveland)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2760" w:type="dxa"/>
            <w:vAlign w:val="bottom"/>
          </w:tcPr>
          <w:p>
            <w:pPr>
              <w:ind w:left="40"/>
              <w:spacing w:after="0"/>
              <w:rPr>
                <w:sz w:val="20"/>
                <w:szCs w:val="20"/>
                <w:color w:val="auto"/>
              </w:rPr>
            </w:pPr>
            <w:r>
              <w:rPr>
                <w:rFonts w:ascii="Arial" w:cs="Arial" w:eastAsia="Arial" w:hAnsi="Arial"/>
                <w:sz w:val="18"/>
                <w:szCs w:val="18"/>
                <w:color w:val="auto"/>
              </w:rPr>
              <w:t>San Luis Obispo</w:t>
            </w:r>
          </w:p>
        </w:tc>
        <w:tc>
          <w:tcPr>
            <w:tcW w:w="178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w w:val="96"/>
              </w:rPr>
              <w:t>2005 Room</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20" w:type="dxa"/>
            <w:vAlign w:val="bottom"/>
          </w:tcPr>
          <w:p>
            <w:pPr>
              <w:ind w:left="740"/>
              <w:spacing w:after="0"/>
              <w:rPr>
                <w:sz w:val="20"/>
                <w:szCs w:val="20"/>
                <w:color w:val="auto"/>
              </w:rPr>
            </w:pPr>
            <w:r>
              <w:rPr>
                <w:rFonts w:ascii="Arial" w:cs="Arial" w:eastAsia="Arial" w:hAnsi="Arial"/>
                <w:sz w:val="14"/>
                <w:szCs w:val="14"/>
                <w:b w:val="1"/>
                <w:bCs w:val="1"/>
                <w:color w:val="auto"/>
              </w:rPr>
              <w:t>2005 Room</w:t>
            </w:r>
          </w:p>
        </w:tc>
        <w:tc>
          <w:tcPr>
            <w:tcW w:w="1620" w:type="dxa"/>
            <w:vAlign w:val="bottom"/>
          </w:tcPr>
          <w:p>
            <w:pPr>
              <w:spacing w:after="0"/>
              <w:rPr>
                <w:sz w:val="14"/>
                <w:szCs w:val="14"/>
                <w:color w:val="auto"/>
              </w:rPr>
            </w:pPr>
          </w:p>
        </w:tc>
        <w:tc>
          <w:tcPr>
            <w:tcW w:w="1380" w:type="dxa"/>
            <w:vAlign w:val="bottom"/>
          </w:tcPr>
          <w:p>
            <w:pPr>
              <w:jc w:val="center"/>
              <w:ind w:left="608"/>
              <w:spacing w:after="0"/>
              <w:rPr>
                <w:sz w:val="20"/>
                <w:szCs w:val="20"/>
                <w:color w:val="auto"/>
              </w:rPr>
            </w:pPr>
            <w:r>
              <w:rPr>
                <w:rFonts w:ascii="Arial" w:cs="Arial" w:eastAsia="Arial" w:hAnsi="Arial"/>
                <w:sz w:val="14"/>
                <w:szCs w:val="14"/>
                <w:b w:val="1"/>
                <w:bCs w:val="1"/>
                <w:color w:val="auto"/>
                <w:w w:val="93"/>
              </w:rPr>
              <w:t>2005 Room</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City</w:t>
            </w:r>
          </w:p>
        </w:tc>
        <w:tc>
          <w:tcPr>
            <w:tcW w:w="120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Rate Only</w:t>
            </w:r>
          </w:p>
        </w:tc>
        <w:tc>
          <w:tcPr>
            <w:tcW w:w="1360" w:type="dxa"/>
            <w:vAlign w:val="bottom"/>
          </w:tcPr>
          <w:p>
            <w:pPr>
              <w:spacing w:after="0"/>
              <w:rPr>
                <w:sz w:val="12"/>
                <w:szCs w:val="12"/>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212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Rate Only</w:t>
            </w:r>
          </w:p>
        </w:tc>
        <w:tc>
          <w:tcPr>
            <w:tcW w:w="16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City</w:t>
            </w:r>
          </w:p>
        </w:tc>
        <w:tc>
          <w:tcPr>
            <w:tcW w:w="138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4"/>
              </w:rPr>
              <w:t>Rate Only</w:t>
            </w:r>
          </w:p>
        </w:tc>
        <w:tc>
          <w:tcPr>
            <w:tcW w:w="0" w:type="dxa"/>
            <w:vAlign w:val="bottom"/>
          </w:tcPr>
          <w:p>
            <w:pPr>
              <w:spacing w:after="0"/>
              <w:rPr>
                <w:sz w:val="1"/>
                <w:szCs w:val="1"/>
                <w:color w:val="auto"/>
              </w:rPr>
            </w:pPr>
          </w:p>
        </w:tc>
      </w:tr>
      <w:tr>
        <w:trPr>
          <w:trHeight w:val="157"/>
        </w:trPr>
        <w:tc>
          <w:tcPr>
            <w:tcW w:w="2680" w:type="dxa"/>
            <w:vAlign w:val="bottom"/>
            <w:vMerge w:val="continue"/>
          </w:tcPr>
          <w:p>
            <w:pPr>
              <w:spacing w:after="0"/>
              <w:rPr>
                <w:sz w:val="13"/>
                <w:szCs w:val="13"/>
                <w:color w:val="auto"/>
              </w:rPr>
            </w:pPr>
          </w:p>
        </w:tc>
        <w:tc>
          <w:tcPr>
            <w:tcW w:w="1200" w:type="dxa"/>
            <w:vAlign w:val="bottom"/>
          </w:tcPr>
          <w:p>
            <w:pPr>
              <w:ind w:left="480"/>
              <w:spacing w:after="0" w:line="157" w:lineRule="exact"/>
              <w:rPr>
                <w:sz w:val="20"/>
                <w:szCs w:val="20"/>
                <w:color w:val="auto"/>
              </w:rPr>
            </w:pPr>
            <w:r>
              <w:rPr>
                <w:rFonts w:ascii="Arial" w:cs="Arial" w:eastAsia="Arial" w:hAnsi="Arial"/>
                <w:sz w:val="14"/>
                <w:szCs w:val="14"/>
                <w:b w:val="1"/>
                <w:bCs w:val="1"/>
                <w:color w:val="auto"/>
                <w:w w:val="97"/>
              </w:rPr>
              <w:t>Guidelines</w:t>
            </w:r>
          </w:p>
        </w:tc>
        <w:tc>
          <w:tcPr>
            <w:tcW w:w="1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120" w:type="dxa"/>
            <w:vAlign w:val="bottom"/>
          </w:tcPr>
          <w:p>
            <w:pPr>
              <w:ind w:left="760"/>
              <w:spacing w:after="0" w:line="157" w:lineRule="exact"/>
              <w:rPr>
                <w:sz w:val="20"/>
                <w:szCs w:val="20"/>
                <w:color w:val="auto"/>
              </w:rPr>
            </w:pPr>
            <w:r>
              <w:rPr>
                <w:rFonts w:ascii="Arial" w:cs="Arial" w:eastAsia="Arial" w:hAnsi="Arial"/>
                <w:sz w:val="14"/>
                <w:szCs w:val="14"/>
                <w:b w:val="1"/>
                <w:bCs w:val="1"/>
                <w:color w:val="auto"/>
              </w:rPr>
              <w:t>Guidelines</w:t>
            </w:r>
          </w:p>
        </w:tc>
        <w:tc>
          <w:tcPr>
            <w:tcW w:w="1620" w:type="dxa"/>
            <w:vAlign w:val="bottom"/>
            <w:vMerge w:val="continue"/>
          </w:tcPr>
          <w:p>
            <w:pPr>
              <w:spacing w:after="0"/>
              <w:rPr>
                <w:sz w:val="13"/>
                <w:szCs w:val="13"/>
                <w:color w:val="auto"/>
              </w:rPr>
            </w:pPr>
          </w:p>
        </w:tc>
        <w:tc>
          <w:tcPr>
            <w:tcW w:w="1380" w:type="dxa"/>
            <w:vAlign w:val="bottom"/>
          </w:tcPr>
          <w:p>
            <w:pPr>
              <w:jc w:val="center"/>
              <w:ind w:left="608"/>
              <w:spacing w:after="0" w:line="157" w:lineRule="exact"/>
              <w:rPr>
                <w:sz w:val="20"/>
                <w:szCs w:val="20"/>
                <w:color w:val="auto"/>
              </w:rPr>
            </w:pPr>
            <w:r>
              <w:rPr>
                <w:rFonts w:ascii="Arial" w:cs="Arial" w:eastAsia="Arial" w:hAnsi="Arial"/>
                <w:sz w:val="14"/>
                <w:szCs w:val="14"/>
                <w:b w:val="1"/>
                <w:bCs w:val="1"/>
                <w:color w:val="auto"/>
                <w:w w:val="92"/>
              </w:rPr>
              <w:t>Guidelines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Huntsville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San Ramon</w:t>
            </w:r>
          </w:p>
        </w:tc>
        <w:tc>
          <w:tcPr>
            <w:tcW w:w="1060" w:type="dxa"/>
            <w:vAlign w:val="bottom"/>
          </w:tcPr>
          <w:p>
            <w:pPr>
              <w:spacing w:after="0"/>
              <w:rPr>
                <w:sz w:val="20"/>
                <w:szCs w:val="20"/>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Independence, OH (Cleveland)</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w w:val="94"/>
              </w:rPr>
              <w:t>San Leandro, CA</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Indianapolis</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Santa Clara</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Irving, TX</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Santa Monica</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Jacksonville</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Santa Rosa</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Kalamazoo</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Sarasota</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Kansas City</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Schaumburg, IL</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La Jolla</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Scottsdale</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Lansing</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Seattle</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Laredo</w:t>
            </w:r>
          </w:p>
        </w:tc>
        <w:tc>
          <w:tcPr>
            <w:tcW w:w="1200" w:type="dxa"/>
            <w:vAlign w:val="bottom"/>
          </w:tcPr>
          <w:p>
            <w:pPr>
              <w:ind w:left="440"/>
              <w:spacing w:after="0"/>
              <w:rPr>
                <w:sz w:val="20"/>
                <w:szCs w:val="20"/>
                <w:color w:val="auto"/>
              </w:rPr>
            </w:pPr>
            <w:r>
              <w:rPr>
                <w:rFonts w:ascii="Arial" w:cs="Arial" w:eastAsia="Arial" w:hAnsi="Arial"/>
                <w:sz w:val="18"/>
                <w:szCs w:val="18"/>
                <w:color w:val="auto"/>
              </w:rPr>
              <w:t>[**]</w:t>
            </w:r>
          </w:p>
        </w:tc>
        <w:tc>
          <w:tcPr>
            <w:tcW w:w="1360" w:type="dxa"/>
            <w:vAlign w:val="bottom"/>
          </w:tcPr>
          <w:p>
            <w:pPr>
              <w:ind w:left="40"/>
              <w:spacing w:after="0"/>
              <w:rPr>
                <w:sz w:val="20"/>
                <w:szCs w:val="20"/>
                <w:color w:val="auto"/>
              </w:rPr>
            </w:pPr>
            <w:r>
              <w:rPr>
                <w:rFonts w:ascii="Arial" w:cs="Arial" w:eastAsia="Arial" w:hAnsi="Arial"/>
                <w:sz w:val="18"/>
                <w:szCs w:val="18"/>
                <w:color w:val="auto"/>
              </w:rPr>
              <w:t>Southfield, Ml</w:t>
            </w:r>
          </w:p>
        </w:tc>
        <w:tc>
          <w:tcPr>
            <w:tcW w:w="106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Cities not listed on the Top City Hotel Room Rate Only Guideline Matrix, default to $[**] nightly rate.</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left="260" w:right="12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SBC,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B</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International travel expenses shall be limited to the round-trip between the SBC on-site location and the resource’s point of entry into the United States.</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SBC will provide Supplier with at least [**] day prior notice of all required travel to permit Supplier to obtain the lowest possible airfare. Travel costs for flights for which Supplier received [**] days notice will be calculated per the following table with the exception that, for international travel, flight costs will be charged at the rate of [**]. All other travel costs will be calculated in accordance with Section 3.4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Aggregate travel and living expenses under all Work Order(s) shall be limited to no more than [**] of the aggregate amount paid by SBC under all Orders.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Destination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60" w:type="dxa"/>
            <w:vAlign w:val="bottom"/>
            <w:vMerge w:val="restart"/>
          </w:tcPr>
          <w:p>
            <w:pPr>
              <w:spacing w:after="0"/>
              <w:rPr>
                <w:sz w:val="20"/>
                <w:szCs w:val="20"/>
                <w:color w:val="auto"/>
              </w:rPr>
            </w:pPr>
            <w:r>
              <w:rPr>
                <w:rFonts w:ascii="Arial" w:cs="Arial" w:eastAsia="Arial" w:hAnsi="Arial"/>
                <w:sz w:val="18"/>
                <w:szCs w:val="18"/>
                <w:b w:val="1"/>
                <w:bCs w:val="1"/>
                <w:color w:val="auto"/>
              </w:rPr>
              <w:t>Originating Location</w:t>
            </w:r>
          </w:p>
        </w:tc>
        <w:tc>
          <w:tcPr>
            <w:tcW w:w="56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Dallas</w:t>
            </w:r>
          </w:p>
        </w:tc>
        <w:tc>
          <w:tcPr>
            <w:tcW w:w="6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Dallas</w:t>
            </w: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St Louis</w:t>
            </w:r>
          </w:p>
        </w:tc>
        <w:tc>
          <w:tcPr>
            <w:tcW w:w="8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Bay Area</w:t>
            </w: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Chicago</w:t>
            </w: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6"/>
              </w:rPr>
              <w:t>Israel/Cyprus</w:t>
            </w:r>
          </w:p>
        </w:tc>
        <w:tc>
          <w:tcPr>
            <w:tcW w:w="0" w:type="dxa"/>
            <w:vAlign w:val="bottom"/>
          </w:tcPr>
          <w:p>
            <w:pPr>
              <w:spacing w:after="0"/>
              <w:rPr>
                <w:sz w:val="1"/>
                <w:szCs w:val="1"/>
                <w:color w:val="auto"/>
              </w:rPr>
            </w:pPr>
          </w:p>
        </w:tc>
      </w:tr>
      <w:tr>
        <w:trPr>
          <w:trHeight w:val="191"/>
        </w:trPr>
        <w:tc>
          <w:tcPr>
            <w:tcW w:w="1860" w:type="dxa"/>
            <w:vAlign w:val="bottom"/>
            <w:vMerge w:val="continue"/>
          </w:tcPr>
          <w:p>
            <w:pPr>
              <w:spacing w:after="0"/>
              <w:rPr>
                <w:sz w:val="16"/>
                <w:szCs w:val="16"/>
                <w:color w:val="auto"/>
              </w:rPr>
            </w:pPr>
          </w:p>
        </w:tc>
        <w:tc>
          <w:tcPr>
            <w:tcW w:w="5680" w:type="dxa"/>
            <w:vAlign w:val="bottom"/>
            <w:vMerge w:val="continue"/>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b w:val="1"/>
                <w:bCs w:val="1"/>
                <w:color w:val="auto"/>
              </w:rPr>
              <w:t>St Louis</w:t>
            </w: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b w:val="1"/>
                <w:bCs w:val="1"/>
                <w:color w:val="auto"/>
              </w:rPr>
              <w:t>Bay Area</w:t>
            </w: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b w:val="1"/>
                <w:bCs w:val="1"/>
                <w:color w:val="auto"/>
              </w:rPr>
              <w:t>Chicago</w:t>
            </w: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5680" w:type="dxa"/>
            <w:vAlign w:val="bottom"/>
          </w:tcPr>
          <w:p>
            <w:pPr>
              <w:ind w:left="220"/>
              <w:spacing w:after="0"/>
              <w:rPr>
                <w:sz w:val="20"/>
                <w:szCs w:val="20"/>
                <w:color w:val="auto"/>
              </w:rPr>
            </w:pPr>
            <w:r>
              <w:rPr>
                <w:rFonts w:ascii="Arial" w:cs="Arial" w:eastAsia="Arial" w:hAnsi="Arial"/>
                <w:sz w:val="18"/>
                <w:szCs w:val="18"/>
                <w:b w:val="1"/>
                <w:bCs w:val="1"/>
                <w:color w:val="auto"/>
              </w:rPr>
              <w:t>Israel /Cyprus</w:t>
            </w: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SBC,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 02026713.A.004</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AT&amp;T Services, Inc.</w:t>
      </w:r>
    </w:p>
    <w:p>
      <w:pPr>
        <w:sectPr>
          <w:pgSz w:w="11900" w:h="16838" w:orient="portrait"/>
          <w:cols w:equalWidth="0" w:num="1">
            <w:col w:w="9019"/>
          </w:cols>
          <w:pgMar w:left="1440" w:top="274"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Amendment No. 4, effective on the date when signed by the last Party (“Effective Date”), and amending Agreement No. 02026713, is by and between Amdocs, Inc., a Delaware corporation (“Supplier”) and AT&amp;T Services, Inc., formerly known as SBC Services, Inc. (“SBC”), a Delaware corporation (“AT&amp;T”), each of which may be referred to in the singular as “Party” or in the plural as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August 7, 2003, as amended by Amendment No. 1 effective December 19, 2003, as amended by Amendment No. 2 effective January 10, 2005, and as further amended by Amendment No. 3 effective December 15 2005, (collectively, the “Agreement”); and</w:t>
      </w:r>
    </w:p>
    <w:p>
      <w:pPr>
        <w:spacing w:after="0" w:line="176"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03032360-1 pursuant to which AT&amp;T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right to obtain a license to use Amdocs’ Software;</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may desire Amdocs to implement customizations to such Software pursuant to the terms and conditions of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herein; and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Amdocs desires to implement customizations to the Software pursuant to the terms and conditions of the Agreement as amended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920" w:right="3340" w:hanging="912"/>
        <w:spacing w:after="0" w:line="378" w:lineRule="auto"/>
        <w:tabs>
          <w:tab w:leader="none" w:pos="453"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TABLE OF CONTENTS, APPENDICES AND EXHIBITS is hereby amended to add the following: </w:t>
      </w:r>
      <w:r>
        <w:rPr>
          <w:rFonts w:ascii="Arial" w:cs="Arial" w:eastAsia="Arial" w:hAnsi="Arial"/>
          <w:sz w:val="18"/>
          <w:szCs w:val="18"/>
          <w:color w:val="auto"/>
        </w:rPr>
        <w:t>Appendix 6.5 - Background Check</w:t>
      </w:r>
    </w:p>
    <w:p>
      <w:pPr>
        <w:ind w:left="920" w:right="6120"/>
        <w:spacing w:after="0" w:line="438" w:lineRule="auto"/>
        <w:rPr>
          <w:rFonts w:ascii="Arial" w:cs="Arial" w:eastAsia="Arial" w:hAnsi="Arial"/>
          <w:sz w:val="18"/>
          <w:szCs w:val="18"/>
          <w:b w:val="1"/>
          <w:bCs w:val="1"/>
          <w:color w:val="auto"/>
        </w:rPr>
      </w:pPr>
      <w:r>
        <w:rPr>
          <w:rFonts w:ascii="Arial" w:cs="Arial" w:eastAsia="Arial" w:hAnsi="Arial"/>
          <w:sz w:val="16"/>
          <w:szCs w:val="16"/>
          <w:color w:val="auto"/>
        </w:rPr>
        <w:t>Exhibit F – Confidentiality and Invention Agreement Exhibit G – Software/Technology Nondisclosure Agreement Exhibit H – Disaster Recovery and Business Continuity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 - DEFINITIONS </w:t>
      </w:r>
      <w:r>
        <w:rPr>
          <w:rFonts w:ascii="Arial" w:cs="Arial" w:eastAsia="Arial" w:hAnsi="Arial"/>
          <w:sz w:val="18"/>
          <w:szCs w:val="18"/>
          <w:color w:val="auto"/>
        </w:rPr>
        <w:t>is hereby amended to include the following:</w:t>
      </w:r>
    </w:p>
    <w:p>
      <w:pPr>
        <w:spacing w:after="0" w:line="131" w:lineRule="exact"/>
        <w:rPr>
          <w:sz w:val="20"/>
          <w:szCs w:val="20"/>
          <w:color w:val="auto"/>
        </w:rPr>
      </w:pPr>
    </w:p>
    <w:p>
      <w:pPr>
        <w:ind w:left="1480" w:right="140" w:hanging="566"/>
        <w:spacing w:after="0" w:line="282" w:lineRule="auto"/>
        <w:tabs>
          <w:tab w:leader="none" w:pos="1460" w:val="left"/>
        </w:tabs>
        <w:rPr>
          <w:sz w:val="20"/>
          <w:szCs w:val="20"/>
          <w:color w:val="auto"/>
        </w:rPr>
      </w:pPr>
      <w:r>
        <w:rPr>
          <w:rFonts w:ascii="Arial" w:cs="Arial" w:eastAsia="Arial" w:hAnsi="Arial"/>
          <w:sz w:val="18"/>
          <w:szCs w:val="18"/>
          <w:b w:val="1"/>
          <w:bCs w:val="1"/>
          <w:color w:val="auto"/>
        </w:rPr>
        <w:t>2.42</w:t>
        <w:tab/>
        <w:t>“AT&amp;T Personal Data</w:t>
      </w:r>
      <w:r>
        <w:rPr>
          <w:rFonts w:ascii="Arial" w:cs="Arial" w:eastAsia="Arial" w:hAnsi="Arial"/>
          <w:sz w:val="18"/>
          <w:szCs w:val="18"/>
          <w:color w:val="auto"/>
        </w:rPr>
        <w:t>” means that portion of AT&amp;T Data that is subject to any Privacy Laws and includes CPI (for example, under 47</w:t>
      </w:r>
      <w:r>
        <w:rPr>
          <w:rFonts w:ascii="Arial" w:cs="Arial" w:eastAsia="Arial" w:hAnsi="Arial"/>
          <w:sz w:val="18"/>
          <w:szCs w:val="18"/>
          <w:b w:val="1"/>
          <w:bCs w:val="1"/>
          <w:color w:val="auto"/>
        </w:rPr>
        <w:t xml:space="preserve"> </w:t>
      </w:r>
      <w:r>
        <w:rPr>
          <w:rFonts w:ascii="Arial" w:cs="Arial" w:eastAsia="Arial" w:hAnsi="Arial"/>
          <w:sz w:val="18"/>
          <w:szCs w:val="18"/>
          <w:color w:val="auto"/>
        </w:rPr>
        <w:t>U.S.C. § 222(b)) and CPNI.</w:t>
      </w:r>
    </w:p>
    <w:p>
      <w:pPr>
        <w:spacing w:after="0" w:line="6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 xml:space="preserve">“CPI” </w:t>
      </w:r>
      <w:r>
        <w:rPr>
          <w:rFonts w:ascii="Arial" w:cs="Arial" w:eastAsia="Arial" w:hAnsi="Arial"/>
          <w:sz w:val="16"/>
          <w:szCs w:val="16"/>
          <w:color w:val="auto"/>
        </w:rPr>
        <w:t>means Customer Proprietary Information.</w:t>
      </w:r>
    </w:p>
    <w:p>
      <w:pPr>
        <w:spacing w:after="0" w:line="131" w:lineRule="exact"/>
        <w:rPr>
          <w:sz w:val="20"/>
          <w:szCs w:val="20"/>
          <w:color w:val="auto"/>
        </w:rPr>
      </w:pPr>
    </w:p>
    <w:p>
      <w:pPr>
        <w:ind w:left="1480" w:right="40" w:hanging="566"/>
        <w:spacing w:after="0" w:line="285" w:lineRule="auto"/>
        <w:tabs>
          <w:tab w:leader="none" w:pos="146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b w:val="1"/>
          <w:bCs w:val="1"/>
          <w:color w:val="auto"/>
        </w:rPr>
        <w:t xml:space="preserve">“CPNI” </w:t>
      </w:r>
      <w:r>
        <w:rPr>
          <w:rFonts w:ascii="Arial" w:cs="Arial" w:eastAsia="Arial" w:hAnsi="Arial"/>
          <w:sz w:val="16"/>
          <w:szCs w:val="16"/>
          <w:color w:val="auto"/>
        </w:rPr>
        <w:t>“</w:t>
      </w:r>
      <w:r>
        <w:rPr>
          <w:rFonts w:ascii="Arial" w:cs="Arial" w:eastAsia="Arial" w:hAnsi="Arial"/>
          <w:sz w:val="16"/>
          <w:szCs w:val="16"/>
          <w:b w:val="1"/>
          <w:bCs w:val="1"/>
          <w:color w:val="auto"/>
        </w:rPr>
        <w:t>Customer Proprietary Network Information</w:t>
      </w:r>
      <w:r>
        <w:rPr>
          <w:rFonts w:ascii="Arial" w:cs="Arial" w:eastAsia="Arial" w:hAnsi="Arial"/>
          <w:sz w:val="16"/>
          <w:szCs w:val="16"/>
          <w:color w:val="auto"/>
        </w:rPr>
        <w:t>” or “CPNI” means (i)“customer proprietary network information”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Communications Act of 1934, as amended, including by the Telecommunications Act of 1996, and applicable Federal Communications Commission orders and regulations; (ii) any of the following information of any customer of AT&amp;T, or any customer of any such customer, whether individual or aggregate, whether or not including identifying information: names, addresses, phone numbers, calling patterns, quantity, nature, technical configurations, locations, types, destinations or amount of use of telecommunications services received or calls received or made; (iii) information contained on the telephone bills of AT&amp;T’s customers (including the customers of such customers) pertaining to telephone exchange service or telephone toll service received by a customer of AT&amp;T or of any customer;</w:t>
      </w:r>
    </w:p>
    <w:p>
      <w:pPr>
        <w:spacing w:after="0" w:line="2" w:lineRule="exact"/>
        <w:rPr>
          <w:sz w:val="20"/>
          <w:szCs w:val="20"/>
          <w:color w:val="auto"/>
        </w:rPr>
      </w:pPr>
    </w:p>
    <w:p>
      <w:pPr>
        <w:ind w:left="1480" w:right="20"/>
        <w:spacing w:after="0" w:line="277" w:lineRule="auto"/>
        <w:tabs>
          <w:tab w:leader="none" w:pos="17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unlisted customer numbers; (v) aggregate customer data with individual identifying information deleted; or (vi) information available to AT&amp;T by virtue of AT&amp;T’s relationship with its customers as a provider of telecommunications service, or by virtue of their customers’ relationships with their own customers as a provider(s) of telecommunications services.</w:t>
      </w:r>
    </w:p>
    <w:p>
      <w:pPr>
        <w:spacing w:after="0" w:line="75" w:lineRule="exact"/>
        <w:rPr>
          <w:sz w:val="20"/>
          <w:szCs w:val="20"/>
          <w:color w:val="auto"/>
        </w:rPr>
      </w:pPr>
    </w:p>
    <w:p>
      <w:pPr>
        <w:ind w:left="1480" w:right="440" w:hanging="566"/>
        <w:spacing w:after="0" w:line="266" w:lineRule="auto"/>
        <w:tabs>
          <w:tab w:leader="none" w:pos="1460" w:val="left"/>
        </w:tabs>
        <w:rPr>
          <w:sz w:val="20"/>
          <w:szCs w:val="20"/>
          <w:color w:val="auto"/>
        </w:rPr>
      </w:pPr>
      <w:r>
        <w:rPr>
          <w:rFonts w:ascii="Arial" w:cs="Arial" w:eastAsia="Arial" w:hAnsi="Arial"/>
          <w:sz w:val="18"/>
          <w:szCs w:val="18"/>
          <w:b w:val="1"/>
          <w:bCs w:val="1"/>
          <w:color w:val="auto"/>
        </w:rPr>
        <w:t>2.45</w:t>
        <w:tab/>
        <w:t xml:space="preserve">“EAR Denied Persons List” </w:t>
      </w:r>
      <w:r>
        <w:rPr>
          <w:rFonts w:ascii="Arial" w:cs="Arial" w:eastAsia="Arial" w:hAnsi="Arial"/>
          <w:sz w:val="18"/>
          <w:szCs w:val="18"/>
          <w:color w:val="auto"/>
        </w:rPr>
        <w:t>shall mean the Export Administration Regulations denied persons list of the Bureau of Industry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of the United States Department of Commerce, as updated, or such other list of the United States that may replace, or be of similar subject matter to, the Export Administration Regulations denied persons list.</w:t>
      </w:r>
    </w:p>
    <w:p>
      <w:pPr>
        <w:spacing w:after="0" w:line="82"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 xml:space="preserve">“Offshore Services” </w:t>
      </w:r>
      <w:r>
        <w:rPr>
          <w:rFonts w:ascii="Arial" w:cs="Arial" w:eastAsia="Arial" w:hAnsi="Arial"/>
          <w:sz w:val="16"/>
          <w:szCs w:val="16"/>
          <w:color w:val="auto"/>
        </w:rPr>
        <w:t>has the meaning given to it in Section 6.13.</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 xml:space="preserve">“Privacy Laws” </w:t>
      </w:r>
      <w:r>
        <w:rPr>
          <w:rFonts w:ascii="Arial" w:cs="Arial" w:eastAsia="Arial" w:hAnsi="Arial"/>
          <w:sz w:val="16"/>
          <w:szCs w:val="16"/>
          <w:color w:val="auto"/>
        </w:rPr>
        <w:t>means Laws relating to data privacy, trans-border data flow or data protection.</w:t>
      </w:r>
    </w:p>
    <w:p>
      <w:pPr>
        <w:spacing w:after="0" w:line="131" w:lineRule="exact"/>
        <w:rPr>
          <w:sz w:val="20"/>
          <w:szCs w:val="20"/>
          <w:color w:val="auto"/>
        </w:rPr>
      </w:pPr>
    </w:p>
    <w:p>
      <w:pPr>
        <w:ind w:left="1480" w:right="200" w:hanging="566"/>
        <w:spacing w:after="0" w:line="266" w:lineRule="auto"/>
        <w:tabs>
          <w:tab w:leader="none" w:pos="1460" w:val="left"/>
        </w:tabs>
        <w:rPr>
          <w:sz w:val="20"/>
          <w:szCs w:val="20"/>
          <w:color w:val="auto"/>
        </w:rPr>
      </w:pPr>
      <w:r>
        <w:rPr>
          <w:rFonts w:ascii="Arial" w:cs="Arial" w:eastAsia="Arial" w:hAnsi="Arial"/>
          <w:sz w:val="18"/>
          <w:szCs w:val="18"/>
          <w:b w:val="1"/>
          <w:bCs w:val="1"/>
          <w:color w:val="auto"/>
        </w:rPr>
        <w:t>2.48</w:t>
        <w:tab/>
        <w:t xml:space="preserve">“SDN Blocked Persons List” </w:t>
      </w:r>
      <w:r>
        <w:rPr>
          <w:rFonts w:ascii="Arial" w:cs="Arial" w:eastAsia="Arial" w:hAnsi="Arial"/>
          <w:sz w:val="18"/>
          <w:szCs w:val="18"/>
          <w:color w:val="auto"/>
        </w:rPr>
        <w:t>means the Specially Designated Nationals and Blocked Persons List of the Office of Foreign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of the United States Department of the Treasury, as it is updated, or such other list of the United States as may replace, or be of similar subject matter to, the Specially Designated Nationals and Blocked Persons list.</w:t>
      </w:r>
    </w:p>
    <w:p>
      <w:pPr>
        <w:spacing w:after="0" w:line="82" w:lineRule="exact"/>
        <w:rPr>
          <w:sz w:val="20"/>
          <w:szCs w:val="20"/>
          <w:color w:val="auto"/>
        </w:rPr>
      </w:pPr>
    </w:p>
    <w:p>
      <w:pPr>
        <w:ind w:left="1480" w:right="360" w:hanging="566"/>
        <w:spacing w:after="0" w:line="282" w:lineRule="auto"/>
        <w:tabs>
          <w:tab w:leader="none" w:pos="1460" w:val="left"/>
        </w:tabs>
        <w:rPr>
          <w:sz w:val="20"/>
          <w:szCs w:val="20"/>
          <w:color w:val="auto"/>
        </w:rPr>
      </w:pPr>
      <w:r>
        <w:rPr>
          <w:rFonts w:ascii="Arial" w:cs="Arial" w:eastAsia="Arial" w:hAnsi="Arial"/>
          <w:sz w:val="18"/>
          <w:szCs w:val="18"/>
          <w:b w:val="1"/>
          <w:bCs w:val="1"/>
          <w:color w:val="auto"/>
        </w:rPr>
        <w:t>2.49</w:t>
        <w:tab/>
        <w:t xml:space="preserve">“Laws” </w:t>
      </w:r>
      <w:r>
        <w:rPr>
          <w:rFonts w:ascii="Arial" w:cs="Arial" w:eastAsia="Arial" w:hAnsi="Arial"/>
          <w:sz w:val="18"/>
          <w:szCs w:val="18"/>
          <w:color w:val="auto"/>
        </w:rPr>
        <w:t>means all national, federal, intergovernmental, regional, common, state and local laws, statutes, regulations, rules,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supervisory requirements,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8" w:name="page139"/>
    <w:bookmarkEnd w:id="138"/>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81" w:lineRule="exact"/>
        <w:rPr>
          <w:sz w:val="20"/>
          <w:szCs w:val="20"/>
          <w:color w:val="auto"/>
        </w:rPr>
      </w:pPr>
    </w:p>
    <w:p>
      <w:pPr>
        <w:ind w:left="1480" w:right="200"/>
        <w:spacing w:after="0" w:line="264" w:lineRule="auto"/>
        <w:rPr>
          <w:sz w:val="20"/>
          <w:szCs w:val="20"/>
          <w:color w:val="auto"/>
        </w:rPr>
      </w:pPr>
      <w:r>
        <w:rPr>
          <w:rFonts w:ascii="Arial" w:cs="Arial" w:eastAsia="Arial" w:hAnsi="Arial"/>
          <w:sz w:val="18"/>
          <w:szCs w:val="18"/>
          <w:color w:val="auto"/>
        </w:rPr>
        <w:t>directives, circulars, opinions, orders, interpretive letters and other official releases of or by any government or quasi-governmental authority, or any authority, department or agency thereof, or any self-regulatory organization, anywhere in the world, including Privacy Laws.</w:t>
      </w:r>
    </w:p>
    <w:p>
      <w:pPr>
        <w:spacing w:after="0" w:line="8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3 - GENERAL TERMS Section 3.4 Compliance with Laws </w:t>
      </w:r>
      <w:r>
        <w:rPr>
          <w:rFonts w:ascii="Arial" w:cs="Arial" w:eastAsia="Arial" w:hAnsi="Arial"/>
          <w:sz w:val="18"/>
          <w:szCs w:val="18"/>
          <w:color w:val="auto"/>
        </w:rPr>
        <w:t>is hereby deleted and replaced in its entirety with the following:</w:t>
      </w:r>
    </w:p>
    <w:p>
      <w:pPr>
        <w:spacing w:after="0" w:line="13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3.4    Compliance with Laws:</w:t>
      </w:r>
    </w:p>
    <w:p>
      <w:pPr>
        <w:spacing w:after="0" w:line="134" w:lineRule="exact"/>
        <w:rPr>
          <w:rFonts w:ascii="Arial" w:cs="Arial" w:eastAsia="Arial" w:hAnsi="Arial"/>
          <w:sz w:val="18"/>
          <w:szCs w:val="18"/>
          <w:b w:val="1"/>
          <w:bCs w:val="1"/>
          <w:color w:val="auto"/>
        </w:rPr>
      </w:pPr>
    </w:p>
    <w:p>
      <w:pPr>
        <w:ind w:left="1480" w:right="280" w:hanging="567"/>
        <w:spacing w:after="0" w:line="255"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Compliance with FCC Docket No. 96-115. Notwithstanding and without limiting any other provisions of this Agreement, Supplier represents and warrants that, with respect to the provision of the Services and the performance of its other legal and contractual obligations hereunder, it shall be in compliance with any Laws based on 47 U.S.C. § 222 (including the rules and orders issued from Federal Communications Commission’s CC Docket No. 96-115) and any Laws addressing similar subject matters, and shall remain in compliance with such Laws for the entire term of this Agreement, including identifying and procuring applicable permits, certificates, approvals and inspections required under such Laws.</w:t>
      </w:r>
    </w:p>
    <w:p>
      <w:pPr>
        <w:spacing w:after="0" w:line="98" w:lineRule="exact"/>
        <w:rPr>
          <w:rFonts w:ascii="Arial" w:cs="Arial" w:eastAsia="Arial" w:hAnsi="Arial"/>
          <w:sz w:val="18"/>
          <w:szCs w:val="18"/>
          <w:color w:val="auto"/>
        </w:rPr>
      </w:pPr>
    </w:p>
    <w:p>
      <w:pPr>
        <w:ind w:left="1480" w:right="300" w:hanging="567"/>
        <w:spacing w:after="0" w:line="259"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Software, Equipment, Systems and Materials Compliance. Supplier warrants that, as of the Effective Date, the Software, Equipment, Systems and materials owned, provided or used by Supplier in providing the Services are in compliance with all applicable Laws, and Supplier covenants that they shall remain in compliance with all applicable Laws for the entire term of this Agreement and/or any applicable Order.</w:t>
      </w:r>
    </w:p>
    <w:p>
      <w:pPr>
        <w:spacing w:after="0" w:line="92"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Compliance with Data Privacy Laws. Without limiting any other provisions of this Agreement, with respect to any AT&amp;T Personal Data, Supplier shall comply with all Laws under applicable Privacy Laws (as well as Laws with respect to any CPNI or CPI). Supplier shall also provide AT&amp;T with such assistance as AT&amp;T may reasonably require to fulfill its responsibilities under the respective applicable Privacy Laws.</w:t>
      </w:r>
    </w:p>
    <w:p>
      <w:pPr>
        <w:spacing w:after="0" w:line="92" w:lineRule="exact"/>
        <w:rPr>
          <w:rFonts w:ascii="Arial" w:cs="Arial" w:eastAsia="Arial" w:hAnsi="Arial"/>
          <w:sz w:val="18"/>
          <w:szCs w:val="18"/>
          <w:color w:val="auto"/>
        </w:rPr>
      </w:pPr>
    </w:p>
    <w:p>
      <w:pPr>
        <w:ind w:left="1480" w:right="60" w:hanging="567"/>
        <w:spacing w:after="0" w:line="270" w:lineRule="auto"/>
        <w:tabs>
          <w:tab w:leader="none" w:pos="14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Compliance with Export Control Laws. The Parties expressly acknowledge their obligation to comply with all applicable Laws regarding export from the United States of computer hardware, Software, technical data or derivatives thereof, as such Laws may be modified from time to time. In their respective performance of the activities contemplated under this Agreement, neither party will directly or indirectly export (or re-export) any computer hardware, Software, technical data or derivatives of such hardware, Software or technical data, or permit the shipment of same: (a) into any country to which the United States has embargoed goods; (b) to anyone on the Denied Persons List, List of Specially Designated Terrorists or List of Specially Designated Narcotics Traffickers or (c) to any country or destination for which the United States government or a United States governmental agency requires an export license or other approval for export without first having obtained such license or other approval. Each Party will reasonably cooperate with the other and will provide to the other promptly upon request any end-user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9" w:name="page140"/>
    <w:bookmarkEnd w:id="13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02026713.A.004</w:t>
      </w:r>
    </w:p>
    <w:p>
      <w:pPr>
        <w:spacing w:after="0" w:line="181" w:lineRule="exact"/>
        <w:rPr>
          <w:sz w:val="20"/>
          <w:szCs w:val="20"/>
          <w:color w:val="auto"/>
        </w:rPr>
      </w:pPr>
    </w:p>
    <w:p>
      <w:pPr>
        <w:ind w:left="1480" w:right="20"/>
        <w:spacing w:after="0" w:line="255" w:lineRule="auto"/>
        <w:rPr>
          <w:sz w:val="20"/>
          <w:szCs w:val="20"/>
          <w:color w:val="auto"/>
        </w:rPr>
      </w:pPr>
      <w:r>
        <w:rPr>
          <w:rFonts w:ascii="Arial" w:cs="Arial" w:eastAsia="Arial" w:hAnsi="Arial"/>
          <w:sz w:val="18"/>
          <w:szCs w:val="18"/>
          <w:color w:val="auto"/>
        </w:rPr>
        <w:t>certificates, affidavits regarding re-export or other certificates or documents as are reasonably requested to obtain approvals, consents, licenses and/or permits required for any payment or any export or import of products or Services under this Agreement. To the extent within Supplier’ control, Supplier shall be responsible for, and shall coordinate and oversee, compliance with such export Laws in respect of such items exported or imported hereunder. This Section 3.4(i) shall not relieve Supplier of its obligation to perform the Services as provided herein, but such performance shall be undertaken in a manner complying with such Laws. Further, a change of any such Law shall not constitute a force majeure event pursuant to Section 3.10. The provisions of this Section 3.4(i) will survive the expiration or termination of this Agreement for any reason.</w:t>
      </w:r>
    </w:p>
    <w:p>
      <w:pPr>
        <w:spacing w:after="0" w:line="95" w:lineRule="exact"/>
        <w:rPr>
          <w:sz w:val="20"/>
          <w:szCs w:val="20"/>
          <w:color w:val="auto"/>
        </w:rPr>
      </w:pPr>
    </w:p>
    <w:p>
      <w:pPr>
        <w:ind w:left="1480" w:right="80" w:hanging="567"/>
        <w:spacing w:after="0" w:line="264"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Executive Order Compliance. Supplier’s obligation to comply with all Laws includes the procurement of permits, certificates, approvals, inspections and licenses, when needed, in the performance of this Agreement. Supplier further agrees to comply with all applicable Executive and Federal regulations.</w:t>
      </w:r>
    </w:p>
    <w:p>
      <w:pPr>
        <w:spacing w:after="0" w:line="82"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3 - GENERAL TERMS Section 3.9 Export Control </w:t>
      </w:r>
      <w:r>
        <w:rPr>
          <w:rFonts w:ascii="Arial" w:cs="Arial" w:eastAsia="Arial" w:hAnsi="Arial"/>
          <w:sz w:val="18"/>
          <w:szCs w:val="18"/>
          <w:color w:val="auto"/>
        </w:rPr>
        <w:t>is hereby deleted and replaced in its entirety with the following:</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Export Control:</w:t>
      </w:r>
    </w:p>
    <w:p>
      <w:pPr>
        <w:spacing w:after="0" w:line="117"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b w:val="1"/>
          <w:bCs w:val="1"/>
          <w:color w:val="auto"/>
        </w:rPr>
        <w:t xml:space="preserve">Export Laws. </w:t>
      </w:r>
      <w:r>
        <w:rPr>
          <w:rFonts w:ascii="Arial" w:cs="Arial" w:eastAsia="Arial" w:hAnsi="Arial"/>
          <w:sz w:val="18"/>
          <w:szCs w:val="18"/>
          <w:color w:val="auto"/>
        </w:rPr>
        <w:t>Supplier understands and agrees that any and all AT&amp;T applications may not be exported or reexported to an embargoed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or discussed, or reviewed by any citizen of the embargoed countries or entities (i.e., Cuba, Iran, Iraq, Libya, North Korea, and Syria). For all purposes, an embargoed country is considered both the geographic area containing the land mass and the citizens of that country, whether they are within the borders of the country or not. Additionally, Supplier understands and agrees that it will not allow access to any and all AT&amp;T applications to any person from an embargoed country, even if living/working in another country. No one is authorized to work on this Work Order, if they are from an embargoed country.</w:t>
      </w:r>
    </w:p>
    <w:p>
      <w:pPr>
        <w:spacing w:after="0" w:line="9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ARTICLE III - GENERAL TERMS Section 3.13 Information </w:t>
      </w:r>
      <w:r>
        <w:rPr>
          <w:rFonts w:ascii="Arial" w:cs="Arial" w:eastAsia="Arial" w:hAnsi="Arial"/>
          <w:sz w:val="17"/>
          <w:szCs w:val="17"/>
          <w:color w:val="auto"/>
        </w:rPr>
        <w:t>is hereby amended to add the following paragraph C Information – Customer.</w:t>
      </w:r>
    </w:p>
    <w:p>
      <w:pPr>
        <w:spacing w:after="0" w:line="142" w:lineRule="exact"/>
        <w:rPr>
          <w:rFonts w:ascii="Arial" w:cs="Arial" w:eastAsia="Arial" w:hAnsi="Arial"/>
          <w:sz w:val="17"/>
          <w:szCs w:val="17"/>
          <w:b w:val="1"/>
          <w:bCs w:val="1"/>
          <w:color w:val="auto"/>
        </w:rPr>
      </w:pPr>
    </w:p>
    <w:p>
      <w:pPr>
        <w:ind w:left="920"/>
        <w:spacing w:after="0"/>
        <w:rPr>
          <w:rFonts w:ascii="Arial" w:cs="Arial" w:eastAsia="Arial" w:hAnsi="Arial"/>
          <w:sz w:val="17"/>
          <w:szCs w:val="17"/>
          <w:b w:val="1"/>
          <w:bCs w:val="1"/>
          <w:color w:val="auto"/>
        </w:rPr>
      </w:pPr>
      <w:r>
        <w:rPr>
          <w:rFonts w:ascii="Arial" w:cs="Arial" w:eastAsia="Arial" w:hAnsi="Arial"/>
          <w:sz w:val="18"/>
          <w:szCs w:val="18"/>
          <w:color w:val="auto"/>
        </w:rPr>
        <w:t>C.</w:t>
      </w:r>
      <w:r>
        <w:rPr>
          <w:rFonts w:ascii="Arial" w:cs="Arial" w:eastAsia="Arial" w:hAnsi="Arial"/>
          <w:sz w:val="16"/>
          <w:szCs w:val="16"/>
          <w:color w:val="auto"/>
        </w:rPr>
        <w:t>Information - Customer</w:t>
      </w:r>
      <w:r>
        <w:rPr>
          <w:rFonts w:ascii="Arial" w:cs="Arial" w:eastAsia="Arial" w:hAnsi="Arial"/>
          <w:sz w:val="16"/>
          <w:szCs w:val="16"/>
          <w:b w:val="1"/>
          <w:bCs w:val="1"/>
          <w:color w:val="auto"/>
        </w:rPr>
        <w:t>:</w:t>
      </w:r>
    </w:p>
    <w:p>
      <w:pPr>
        <w:spacing w:after="0" w:line="135" w:lineRule="exact"/>
        <w:rPr>
          <w:sz w:val="20"/>
          <w:szCs w:val="20"/>
          <w:color w:val="auto"/>
        </w:rPr>
      </w:pPr>
    </w:p>
    <w:p>
      <w:pPr>
        <w:ind w:left="1480" w:right="60" w:hanging="567"/>
        <w:spacing w:after="0" w:line="257"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purposes of this clause, “Information – Customer,” “Customer Information” includes, but is not limited to, customer name, address, phone number, information concerning a customer’s calling patterns, unlisted customer numbers, aggregate customer data with individual identifying information deleted, and Customer Proprietary Network Information (“CPNI”) which includes information available to AT&amp;T by virtue of the AT&amp;T’s relationship with its customers as a provider of telecommunications service and may include: the quantity, technical configuration, location, type, destination, amount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0" w:name="page141"/>
    <w:bookmarkEnd w:id="140"/>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81" w:lineRule="exact"/>
        <w:rPr>
          <w:sz w:val="20"/>
          <w:szCs w:val="20"/>
          <w:color w:val="auto"/>
        </w:rPr>
      </w:pPr>
    </w:p>
    <w:p>
      <w:pPr>
        <w:ind w:left="1400" w:right="280"/>
        <w:spacing w:after="0" w:line="259" w:lineRule="auto"/>
        <w:rPr>
          <w:sz w:val="20"/>
          <w:szCs w:val="20"/>
          <w:color w:val="auto"/>
        </w:rPr>
      </w:pPr>
      <w:r>
        <w:rPr>
          <w:rFonts w:ascii="Arial" w:cs="Arial" w:eastAsia="Arial" w:hAnsi="Arial"/>
          <w:sz w:val="18"/>
          <w:szCs w:val="18"/>
          <w:color w:val="auto"/>
        </w:rPr>
        <w:t>use of telecommunications service subscribed to, and information contained on the telephone bills of AT&amp;T’s customers pertaining to telephone exchange service or telephone toll service received by a customer of AT&amp;T. Except as provided herein, title to all Customer Information shall be in AT&amp;T. Except as otherwise provided herein, no license or rights to any Customer Information are granted to Supplier hereunder.</w:t>
      </w:r>
    </w:p>
    <w:p>
      <w:pPr>
        <w:spacing w:after="0" w:line="92" w:lineRule="exact"/>
        <w:rPr>
          <w:sz w:val="20"/>
          <w:szCs w:val="20"/>
          <w:color w:val="auto"/>
        </w:rPr>
      </w:pPr>
    </w:p>
    <w:p>
      <w:pPr>
        <w:ind w:left="1400" w:right="200" w:hanging="567"/>
        <w:spacing w:after="0" w:line="286" w:lineRule="auto"/>
        <w:tabs>
          <w:tab w:leader="none" w:pos="14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Supplier acknowledges that Customer Information received may be subject to certain privacy laws and regulations and requirements of AT&amp;T. Supplier shall consider Customer Information to be private, sensitive and confidential. Accordingly, with respect to Customer Information, Supplier shall comply with all applicable CPNI restrictions of the Telecommunications Act (47 U.S.C. § 222) and, for AT&amp;T’s customers residing in California, the Constitution of California (Article I, § 1), the California Public Utilities Code (§§ 2891 –</w:t>
      </w:r>
    </w:p>
    <w:p>
      <w:pPr>
        <w:spacing w:after="0" w:line="1"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2894), and General Order 107-B of the California Public Utilities Commission. Accordingly, Supplier shall:</w:t>
      </w:r>
    </w:p>
    <w:p>
      <w:pPr>
        <w:spacing w:after="0" w:line="116" w:lineRule="exact"/>
        <w:rPr>
          <w:rFonts w:ascii="Arial" w:cs="Arial" w:eastAsia="Arial" w:hAnsi="Arial"/>
          <w:sz w:val="16"/>
          <w:szCs w:val="16"/>
          <w:color w:val="auto"/>
        </w:rPr>
      </w:pPr>
    </w:p>
    <w:p>
      <w:pPr>
        <w:ind w:left="2300" w:hanging="441"/>
        <w:spacing w:after="0"/>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 use any CPNI to market or otherwise sell products to AT&amp;T’s customers;</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make no disclosure of Customer Information to any party other than AT&amp;T.</w:t>
      </w:r>
    </w:p>
    <w:p>
      <w:pPr>
        <w:spacing w:after="0" w:line="130" w:lineRule="exact"/>
        <w:rPr>
          <w:rFonts w:ascii="Arial" w:cs="Arial" w:eastAsia="Arial" w:hAnsi="Arial"/>
          <w:sz w:val="18"/>
          <w:szCs w:val="18"/>
          <w:color w:val="auto"/>
        </w:rPr>
      </w:pPr>
    </w:p>
    <w:p>
      <w:pPr>
        <w:ind w:left="2300" w:right="16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 incorporate any Customer Information into any database other than in a database maintained exclusively for the storage of AT&amp;T’s Customer Information;</w:t>
      </w:r>
    </w:p>
    <w:p>
      <w:pPr>
        <w:spacing w:after="0" w:line="75" w:lineRule="exact"/>
        <w:rPr>
          <w:rFonts w:ascii="Arial" w:cs="Arial" w:eastAsia="Arial" w:hAnsi="Arial"/>
          <w:sz w:val="18"/>
          <w:szCs w:val="18"/>
          <w:color w:val="auto"/>
        </w:rPr>
      </w:pPr>
    </w:p>
    <w:p>
      <w:pPr>
        <w:ind w:left="2300" w:right="52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 incorporate any data from any of Supplier’s other customers, including Affiliates of AT&amp;T, into AT&amp;T’s customer database;</w:t>
      </w:r>
    </w:p>
    <w:p>
      <w:pPr>
        <w:spacing w:after="0" w:line="75" w:lineRule="exact"/>
        <w:rPr>
          <w:rFonts w:ascii="Arial" w:cs="Arial" w:eastAsia="Arial" w:hAnsi="Arial"/>
          <w:sz w:val="18"/>
          <w:szCs w:val="18"/>
          <w:color w:val="auto"/>
        </w:rPr>
      </w:pPr>
    </w:p>
    <w:p>
      <w:pPr>
        <w:ind w:left="2300" w:hanging="441"/>
        <w:spacing w:after="0"/>
        <w:tabs>
          <w:tab w:leader="none" w:pos="2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make no use whatsoever of any Customer Information for any purpose except to comply with the terms of this Agreement;</w:t>
      </w:r>
    </w:p>
    <w:p>
      <w:pPr>
        <w:spacing w:after="0" w:line="153" w:lineRule="exact"/>
        <w:rPr>
          <w:rFonts w:ascii="Arial" w:cs="Arial" w:eastAsia="Arial" w:hAnsi="Arial"/>
          <w:sz w:val="16"/>
          <w:szCs w:val="16"/>
          <w:color w:val="auto"/>
        </w:rPr>
      </w:pPr>
    </w:p>
    <w:p>
      <w:pPr>
        <w:ind w:left="2300" w:hanging="441"/>
        <w:spacing w:after="0"/>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make no sale, license or lease of Customer Information to any other party;</w:t>
      </w:r>
    </w:p>
    <w:p>
      <w:pPr>
        <w:spacing w:after="0" w:line="130" w:lineRule="exact"/>
        <w:rPr>
          <w:rFonts w:ascii="Arial" w:cs="Arial" w:eastAsia="Arial" w:hAnsi="Arial"/>
          <w:sz w:val="18"/>
          <w:szCs w:val="18"/>
          <w:color w:val="auto"/>
        </w:rPr>
      </w:pPr>
    </w:p>
    <w:p>
      <w:pPr>
        <w:ind w:left="2300" w:right="10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restrict access to Customer Information to only those employees of Supplier that require access in order to perform Services under this Agreement;</w:t>
      </w:r>
    </w:p>
    <w:p>
      <w:pPr>
        <w:spacing w:after="0" w:line="75" w:lineRule="exact"/>
        <w:rPr>
          <w:rFonts w:ascii="Arial" w:cs="Arial" w:eastAsia="Arial" w:hAnsi="Arial"/>
          <w:sz w:val="18"/>
          <w:szCs w:val="18"/>
          <w:color w:val="auto"/>
        </w:rPr>
      </w:pPr>
    </w:p>
    <w:p>
      <w:pPr>
        <w:ind w:left="2300" w:right="20" w:hanging="441"/>
        <w:spacing w:after="0" w:line="342" w:lineRule="auto"/>
        <w:tabs>
          <w:tab w:leader="none" w:pos="2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implement and comply with a data security plan, approved in advance in writing by AT&amp;T, and other procedures as may be agreed by AT&amp;T and Supplier relative to the security of Customer Information at all times in performing Services hereunder;</w:t>
      </w:r>
    </w:p>
    <w:p>
      <w:pPr>
        <w:spacing w:after="0" w:line="29" w:lineRule="exact"/>
        <w:rPr>
          <w:rFonts w:ascii="Arial" w:cs="Arial" w:eastAsia="Arial" w:hAnsi="Arial"/>
          <w:sz w:val="16"/>
          <w:szCs w:val="16"/>
          <w:color w:val="auto"/>
        </w:rPr>
      </w:pPr>
    </w:p>
    <w:p>
      <w:pPr>
        <w:ind w:left="2300" w:right="24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prohibit access or use of Customer Information by any of Supplier’s other customers, Supplier’s Affiliates, or third parties except as may be agreed otherwise by AT&amp;T; and</w:t>
      </w:r>
    </w:p>
    <w:p>
      <w:pPr>
        <w:spacing w:after="0" w:line="75" w:lineRule="exact"/>
        <w:rPr>
          <w:rFonts w:ascii="Arial" w:cs="Arial" w:eastAsia="Arial" w:hAnsi="Arial"/>
          <w:sz w:val="18"/>
          <w:szCs w:val="18"/>
          <w:color w:val="auto"/>
        </w:rPr>
      </w:pPr>
    </w:p>
    <w:p>
      <w:pPr>
        <w:ind w:left="2300" w:right="48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promptly return all Customer Information to AT&amp;T upon expiration, Termination or Cancellation of this Agreement or applicable schedule, unless expressly agreed or instructed otherwise by AT&amp;T.</w:t>
      </w:r>
    </w:p>
    <w:p>
      <w:pPr>
        <w:spacing w:after="0" w:line="75" w:lineRule="exact"/>
        <w:rPr>
          <w:rFonts w:ascii="Arial" w:cs="Arial" w:eastAsia="Arial" w:hAnsi="Arial"/>
          <w:sz w:val="18"/>
          <w:szCs w:val="18"/>
          <w:color w:val="auto"/>
        </w:rPr>
      </w:pPr>
    </w:p>
    <w:p>
      <w:pPr>
        <w:ind w:left="2300" w:right="1880" w:hanging="441"/>
        <w:spacing w:after="0" w:line="277" w:lineRule="auto"/>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comply with AT&amp;T’s privacy policy, which can be found at privacy policies (which are available at http://att.sbc.com/gen/privacy-policy?pid=2506).; and</w:t>
      </w:r>
    </w:p>
    <w:p>
      <w:pPr>
        <w:spacing w:after="0" w:line="75" w:lineRule="exact"/>
        <w:rPr>
          <w:rFonts w:ascii="Arial" w:cs="Arial" w:eastAsia="Arial" w:hAnsi="Arial"/>
          <w:sz w:val="18"/>
          <w:szCs w:val="18"/>
          <w:color w:val="auto"/>
        </w:rPr>
      </w:pPr>
    </w:p>
    <w:p>
      <w:pPr>
        <w:ind w:left="2300" w:hanging="441"/>
        <w:spacing w:after="0"/>
        <w:tabs>
          <w:tab w:leader="none" w:pos="2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immediately notify AT&amp;T of any violation of this Subsection 5.C.</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27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Section 3.15 Insurance </w:t>
      </w:r>
      <w:r>
        <w:rPr>
          <w:rFonts w:ascii="Arial" w:cs="Arial" w:eastAsia="Arial" w:hAnsi="Arial"/>
          <w:sz w:val="18"/>
          <w:szCs w:val="18"/>
          <w:color w:val="auto"/>
        </w:rPr>
        <w:t>is hereby deleted and replaced in its entirety with the following:</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 respect to Supplier’s performance under this Agreement, and in addition to Supplier’s obligation to indemnify, Supplier shall:</w:t>
      </w:r>
    </w:p>
    <w:p>
      <w:pPr>
        <w:spacing w:after="0" w:line="130" w:lineRule="exact"/>
        <w:rPr>
          <w:rFonts w:ascii="Arial" w:cs="Arial" w:eastAsia="Arial" w:hAnsi="Arial"/>
          <w:sz w:val="18"/>
          <w:szCs w:val="18"/>
          <w:color w:val="auto"/>
        </w:rPr>
      </w:pPr>
    </w:p>
    <w:p>
      <w:pPr>
        <w:ind w:left="1480" w:right="320" w:hanging="567"/>
        <w:spacing w:after="0" w:line="277" w:lineRule="auto"/>
        <w:tabs>
          <w:tab w:leader="none" w:pos="14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maintain the minimum insurance coverages and limits required by this Section and any additional insurance and/or bonds required by law.</w:t>
      </w:r>
    </w:p>
    <w:p>
      <w:pPr>
        <w:spacing w:after="0" w:line="75" w:lineRule="exact"/>
        <w:rPr>
          <w:rFonts w:ascii="Arial" w:cs="Arial" w:eastAsia="Arial" w:hAnsi="Arial"/>
          <w:sz w:val="18"/>
          <w:szCs w:val="18"/>
          <w:color w:val="auto"/>
        </w:rPr>
      </w:pPr>
    </w:p>
    <w:p>
      <w:pPr>
        <w:ind w:left="4000" w:right="280" w:hanging="575"/>
        <w:spacing w:after="0" w:line="277" w:lineRule="auto"/>
        <w:tabs>
          <w:tab w:leader="none" w:pos="40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until completion of all Work associated with this Agreement, whichever is later; and</w:t>
      </w:r>
    </w:p>
    <w:p>
      <w:pPr>
        <w:spacing w:after="0" w:line="75" w:lineRule="exact"/>
        <w:rPr>
          <w:rFonts w:ascii="Arial" w:cs="Arial" w:eastAsia="Arial" w:hAnsi="Arial"/>
          <w:sz w:val="18"/>
          <w:szCs w:val="18"/>
          <w:color w:val="auto"/>
        </w:rPr>
      </w:pPr>
    </w:p>
    <w:p>
      <w:pPr>
        <w:ind w:left="4000" w:hanging="575"/>
        <w:spacing w:after="0"/>
        <w:tabs>
          <w:tab w:leader="none" w:pos="4000" w:val="left"/>
        </w:tabs>
        <w:numPr>
          <w:ilvl w:val="3"/>
          <w:numId w:val="95"/>
        </w:numPr>
        <w:rPr>
          <w:rFonts w:ascii="Arial" w:cs="Arial" w:eastAsia="Arial" w:hAnsi="Arial"/>
          <w:sz w:val="17"/>
          <w:szCs w:val="17"/>
          <w:color w:val="auto"/>
        </w:rPr>
      </w:pPr>
      <w:r>
        <w:rPr>
          <w:rFonts w:ascii="Arial" w:cs="Arial" w:eastAsia="Arial" w:hAnsi="Arial"/>
          <w:sz w:val="17"/>
          <w:szCs w:val="17"/>
          <w:color w:val="auto"/>
        </w:rPr>
        <w:t>with respect to any coverage maintained in a “claims-made” policy, for two (2) years thereafter;</w:t>
      </w:r>
    </w:p>
    <w:p>
      <w:pPr>
        <w:spacing w:after="0" w:line="142" w:lineRule="exact"/>
        <w:rPr>
          <w:rFonts w:ascii="Arial" w:cs="Arial" w:eastAsia="Arial" w:hAnsi="Arial"/>
          <w:sz w:val="17"/>
          <w:szCs w:val="17"/>
          <w:color w:val="auto"/>
        </w:rPr>
      </w:pPr>
    </w:p>
    <w:p>
      <w:pPr>
        <w:jc w:val="both"/>
        <w:ind w:left="1480" w:right="20" w:hanging="567"/>
        <w:spacing w:after="0" w:line="264" w:lineRule="auto"/>
        <w:tabs>
          <w:tab w:leader="none" w:pos="14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require each subcontractor that may perform Work under this Agreement or enter upon the Work site to maintain the same coverages and limits listed in this Section from the time when the subcontractor begins Work, throughout the term of the subcontractor’s Work and, with respect to any coverage maintained on a “claims-made” policy, for two (2) years thereafter;</w:t>
      </w:r>
    </w:p>
    <w:p>
      <w:pPr>
        <w:spacing w:after="0" w:line="86" w:lineRule="exact"/>
        <w:rPr>
          <w:rFonts w:ascii="Arial" w:cs="Arial" w:eastAsia="Arial" w:hAnsi="Arial"/>
          <w:sz w:val="18"/>
          <w:szCs w:val="18"/>
          <w:color w:val="auto"/>
        </w:rPr>
      </w:pPr>
    </w:p>
    <w:p>
      <w:pPr>
        <w:ind w:left="1480" w:right="100" w:hanging="567"/>
        <w:spacing w:after="0" w:line="279" w:lineRule="auto"/>
        <w:tabs>
          <w:tab w:leader="none" w:pos="1480" w:val="left"/>
        </w:tabs>
        <w:numPr>
          <w:ilvl w:val="2"/>
          <w:numId w:val="95"/>
        </w:numPr>
        <w:rPr>
          <w:rFonts w:ascii="Arial" w:cs="Arial" w:eastAsia="Arial" w:hAnsi="Arial"/>
          <w:sz w:val="17"/>
          <w:szCs w:val="17"/>
          <w:color w:val="auto"/>
        </w:rPr>
      </w:pPr>
      <w:r>
        <w:rPr>
          <w:rFonts w:ascii="Arial" w:cs="Arial" w:eastAsia="Arial" w:hAnsi="Arial"/>
          <w:sz w:val="17"/>
          <w:szCs w:val="17"/>
          <w:color w:val="auto"/>
        </w:rPr>
        <w:t xml:space="preserve">procure the required insurance from an insurance company eligible to do business in the State where Work will be performed and having and maintaining a Financial Strength Rating of “A” or better and a Financial Size Category of “VIII” or better, as rated in the A.M. Best Key Rating Guide for Property and Casualty Insurance Companies, except that, in the case of </w:t>
      </w:r>
      <w:r>
        <w:rPr>
          <w:rFonts w:ascii="Arial" w:cs="Arial" w:eastAsia="Arial" w:hAnsi="Arial"/>
          <w:sz w:val="17"/>
          <w:szCs w:val="17"/>
          <w:b w:val="1"/>
          <w:bCs w:val="1"/>
          <w:color w:val="auto"/>
        </w:rPr>
        <w:t>Workers’ Compensation</w:t>
      </w:r>
      <w:r>
        <w:rPr>
          <w:rFonts w:ascii="Arial" w:cs="Arial" w:eastAsia="Arial" w:hAnsi="Arial"/>
          <w:sz w:val="17"/>
          <w:szCs w:val="17"/>
          <w:color w:val="auto"/>
        </w:rPr>
        <w:t xml:space="preserve"> insurance, Supplier may procure insurance from the state fund of the state where Work is to be performed; and</w:t>
      </w:r>
    </w:p>
    <w:p>
      <w:pPr>
        <w:spacing w:after="0" w:line="76" w:lineRule="exact"/>
        <w:rPr>
          <w:rFonts w:ascii="Arial" w:cs="Arial" w:eastAsia="Arial" w:hAnsi="Arial"/>
          <w:sz w:val="17"/>
          <w:szCs w:val="17"/>
          <w:color w:val="auto"/>
        </w:rPr>
      </w:pPr>
    </w:p>
    <w:p>
      <w:pPr>
        <w:ind w:left="1480" w:right="200" w:hanging="567"/>
        <w:spacing w:after="0" w:line="264" w:lineRule="auto"/>
        <w:tabs>
          <w:tab w:leader="none" w:pos="14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deliver to AT&amp;T certificates of insurance stating the types of insurance and policy limits, with a cancellation clause amended to read as follows: “The issuing company will endeavor to provide at least 30 days advance written notice of cancellation or non-renewal to AT&amp;T”. Supplier shall deliver such certificates:</w:t>
      </w:r>
    </w:p>
    <w:p>
      <w:pPr>
        <w:spacing w:after="0" w:line="86" w:lineRule="exact"/>
        <w:rPr>
          <w:rFonts w:ascii="Arial" w:cs="Arial" w:eastAsia="Arial" w:hAnsi="Arial"/>
          <w:sz w:val="18"/>
          <w:szCs w:val="18"/>
          <w:color w:val="auto"/>
        </w:rPr>
      </w:pPr>
    </w:p>
    <w:p>
      <w:pPr>
        <w:ind w:left="4000" w:hanging="575"/>
        <w:spacing w:after="0"/>
        <w:tabs>
          <w:tab w:leader="none" w:pos="40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prior to commencement of any Work;</w:t>
      </w:r>
    </w:p>
    <w:p>
      <w:pPr>
        <w:spacing w:after="0" w:line="130" w:lineRule="exact"/>
        <w:rPr>
          <w:rFonts w:ascii="Arial" w:cs="Arial" w:eastAsia="Arial" w:hAnsi="Arial"/>
          <w:sz w:val="18"/>
          <w:szCs w:val="18"/>
          <w:color w:val="auto"/>
        </w:rPr>
      </w:pPr>
    </w:p>
    <w:p>
      <w:pPr>
        <w:ind w:left="4000" w:hanging="575"/>
        <w:spacing w:after="0"/>
        <w:tabs>
          <w:tab w:leader="none" w:pos="4000" w:val="left"/>
        </w:tabs>
        <w:numPr>
          <w:ilvl w:val="3"/>
          <w:numId w:val="95"/>
        </w:numPr>
        <w:rPr>
          <w:rFonts w:ascii="Arial" w:cs="Arial" w:eastAsia="Arial" w:hAnsi="Arial"/>
          <w:sz w:val="18"/>
          <w:szCs w:val="18"/>
          <w:color w:val="auto"/>
        </w:rPr>
      </w:pPr>
      <w:r>
        <w:rPr>
          <w:rFonts w:ascii="Arial" w:cs="Arial" w:eastAsia="Arial" w:hAnsi="Arial"/>
          <w:sz w:val="18"/>
          <w:szCs w:val="18"/>
          <w:color w:val="auto"/>
        </w:rPr>
        <w:t>prior to expiration of any insurance policy required in this Section; and</w:t>
      </w:r>
    </w:p>
    <w:p>
      <w:pPr>
        <w:spacing w:after="0" w:line="130" w:lineRule="exact"/>
        <w:rPr>
          <w:rFonts w:ascii="Arial" w:cs="Arial" w:eastAsia="Arial" w:hAnsi="Arial"/>
          <w:sz w:val="18"/>
          <w:szCs w:val="18"/>
          <w:color w:val="auto"/>
        </w:rPr>
      </w:pPr>
    </w:p>
    <w:p>
      <w:pPr>
        <w:ind w:left="4000" w:right="500" w:hanging="575"/>
        <w:spacing w:after="0" w:line="308" w:lineRule="auto"/>
        <w:tabs>
          <w:tab w:leader="none" w:pos="4000" w:val="left"/>
        </w:tabs>
        <w:numPr>
          <w:ilvl w:val="3"/>
          <w:numId w:val="95"/>
        </w:numPr>
        <w:rPr>
          <w:rFonts w:ascii="Arial" w:cs="Arial" w:eastAsia="Arial" w:hAnsi="Arial"/>
          <w:sz w:val="17"/>
          <w:szCs w:val="17"/>
          <w:color w:val="auto"/>
        </w:rPr>
      </w:pPr>
      <w:r>
        <w:rPr>
          <w:rFonts w:ascii="Arial" w:cs="Arial" w:eastAsia="Arial" w:hAnsi="Arial"/>
          <w:sz w:val="17"/>
          <w:szCs w:val="17"/>
          <w:color w:val="auto"/>
        </w:rPr>
        <w:t>for any coverage maintained on a “claims-made” policy, for two years following the term of this Agreement or completion of all Work associated with this Agreement, whichever is later.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insurance coverage required by this Section includes:</w:t>
      </w:r>
    </w:p>
    <w:p>
      <w:pPr>
        <w:spacing w:after="0" w:line="126" w:lineRule="exact"/>
        <w:rPr>
          <w:rFonts w:ascii="Arial" w:cs="Arial" w:eastAsia="Arial" w:hAnsi="Arial"/>
          <w:sz w:val="18"/>
          <w:szCs w:val="18"/>
          <w:color w:val="auto"/>
        </w:rPr>
      </w:pPr>
    </w:p>
    <w:p>
      <w:pPr>
        <w:ind w:left="1480" w:right="720" w:hanging="567"/>
        <w:spacing w:after="0" w:line="282" w:lineRule="auto"/>
        <w:tabs>
          <w:tab w:leader="none" w:pos="1480" w:val="left"/>
        </w:tabs>
        <w:numPr>
          <w:ilvl w:val="2"/>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insurance with benefits afforded under the laws of the state in which the Work is to be performed and</w:t>
      </w:r>
      <w:r>
        <w:rPr>
          <w:rFonts w:ascii="Arial" w:cs="Arial" w:eastAsia="Arial" w:hAnsi="Arial"/>
          <w:sz w:val="18"/>
          <w:szCs w:val="18"/>
          <w:b w:val="1"/>
          <w:bCs w:val="1"/>
          <w:color w:val="auto"/>
        </w:rPr>
        <w:t xml:space="preserve"> Employers Liability </w:t>
      </w:r>
      <w:r>
        <w:rPr>
          <w:rFonts w:ascii="Arial" w:cs="Arial" w:eastAsia="Arial" w:hAnsi="Arial"/>
          <w:sz w:val="18"/>
          <w:szCs w:val="18"/>
          <w:color w:val="auto"/>
        </w:rPr>
        <w:t>insurance with minimum limits of:</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for Bodily Injury – each accident</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for Bodily Injury be disease – policy limits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for Bodily Injury by disease – each employee</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To the fullest extent allowable by law, the policy must include a waiver of subrogation endorsed in favor of AT&amp;T, its</w:t>
      </w:r>
    </w:p>
    <w:p>
      <w:pPr>
        <w:spacing w:after="0" w:line="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Affiliates, and their directors, officers and employees.</w:t>
      </w:r>
    </w:p>
    <w:p>
      <w:pPr>
        <w:spacing w:after="0" w:line="13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ind w:left="1480" w:right="420" w:hanging="567"/>
        <w:spacing w:after="0" w:line="282"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Commercial General Liability </w:t>
      </w:r>
      <w:r>
        <w:rPr>
          <w:rFonts w:ascii="Arial" w:cs="Arial" w:eastAsia="Arial" w:hAnsi="Arial"/>
          <w:sz w:val="18"/>
          <w:szCs w:val="18"/>
          <w:color w:val="auto"/>
        </w:rPr>
        <w:t>insurance written on Insurance Services Office (ISO) Form CG 00 01 10 01 or later, with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limits of:</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$2,000,000 General Aggregate limit</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each occurrence limit for all bodily injury or property damage incurred in any one (1) occurrence</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each occurrence limit for Personal Injury and Advertising Injury</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$2,000,000 Products/Completed Operations Aggregate limit</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each occurrence limit for Products/Completed Operations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$1,000,000 Fire Legal Liability</w:t>
      </w:r>
    </w:p>
    <w:p>
      <w:pPr>
        <w:spacing w:after="0" w:line="11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xml:space="preserve">The total limit may be met with any combination of primary and Umbrella/Excess Liability limits. The </w:t>
      </w:r>
      <w:r>
        <w:rPr>
          <w:rFonts w:ascii="Arial" w:cs="Arial" w:eastAsia="Arial" w:hAnsi="Arial"/>
          <w:sz w:val="18"/>
          <w:szCs w:val="18"/>
          <w:b w:val="1"/>
          <w:bCs w:val="1"/>
          <w:color w:val="auto"/>
        </w:rPr>
        <w:t>Commercial</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 xml:space="preserve">General Liability </w:t>
      </w:r>
      <w:r>
        <w:rPr>
          <w:rFonts w:ascii="Arial" w:cs="Arial" w:eastAsia="Arial" w:hAnsi="Arial"/>
          <w:sz w:val="18"/>
          <w:szCs w:val="18"/>
          <w:color w:val="auto"/>
        </w:rPr>
        <w:t>insurance policy must:</w:t>
      </w:r>
    </w:p>
    <w:p>
      <w:pPr>
        <w:spacing w:after="0" w:line="116" w:lineRule="exact"/>
        <w:rPr>
          <w:sz w:val="20"/>
          <w:szCs w:val="20"/>
          <w:color w:val="auto"/>
        </w:rPr>
      </w:pPr>
    </w:p>
    <w:p>
      <w:pPr>
        <w:ind w:left="4000" w:right="80" w:hanging="575"/>
        <w:spacing w:after="0" w:line="259" w:lineRule="auto"/>
        <w:tabs>
          <w:tab w:leader="none" w:pos="40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 xml:space="preserve">be endorsed to include AT&amp;T, its Affiliates, and their directors, officers, and employees as Additional Insureds. Supplier shall provide a copy of the Additional Insured endorsement to AT&amp;T prior to Work being performed. A copy of the Additional Insured endorsement must be provided at each </w:t>
      </w:r>
      <w:r>
        <w:rPr>
          <w:rFonts w:ascii="Arial" w:cs="Arial" w:eastAsia="Arial" w:hAnsi="Arial"/>
          <w:sz w:val="18"/>
          <w:szCs w:val="18"/>
          <w:b w:val="1"/>
          <w:bCs w:val="1"/>
          <w:color w:val="auto"/>
        </w:rPr>
        <w:t xml:space="preserve">Commercial General Liability </w:t>
      </w:r>
      <w:r>
        <w:rPr>
          <w:rFonts w:ascii="Arial" w:cs="Arial" w:eastAsia="Arial" w:hAnsi="Arial"/>
          <w:sz w:val="18"/>
          <w:szCs w:val="18"/>
          <w:color w:val="auto"/>
        </w:rPr>
        <w:t>policy renewal;</w:t>
      </w:r>
    </w:p>
    <w:p>
      <w:pPr>
        <w:spacing w:after="0" w:line="92" w:lineRule="exact"/>
        <w:rPr>
          <w:rFonts w:ascii="Arial" w:cs="Arial" w:eastAsia="Arial" w:hAnsi="Arial"/>
          <w:sz w:val="18"/>
          <w:szCs w:val="18"/>
          <w:color w:val="auto"/>
        </w:rPr>
      </w:pPr>
    </w:p>
    <w:p>
      <w:pPr>
        <w:ind w:left="4000" w:right="140" w:hanging="575"/>
        <w:spacing w:after="0" w:line="277" w:lineRule="auto"/>
        <w:tabs>
          <w:tab w:leader="none" w:pos="40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include a waiver of subrogation endorsed in favor of AT&amp;T, its Affiliates, and their directors, officers and employees; and</w:t>
      </w:r>
    </w:p>
    <w:p>
      <w:pPr>
        <w:spacing w:after="0" w:line="75" w:lineRule="exact"/>
        <w:rPr>
          <w:rFonts w:ascii="Arial" w:cs="Arial" w:eastAsia="Arial" w:hAnsi="Arial"/>
          <w:sz w:val="18"/>
          <w:szCs w:val="18"/>
          <w:color w:val="auto"/>
        </w:rPr>
      </w:pPr>
    </w:p>
    <w:p>
      <w:pPr>
        <w:ind w:left="4000" w:right="140" w:hanging="575"/>
        <w:spacing w:after="0" w:line="277" w:lineRule="auto"/>
        <w:tabs>
          <w:tab w:leader="none" w:pos="40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be primary and non-contributory with respect to any insurance or self-insurance that is maintained by AT&amp;T.</w:t>
      </w:r>
    </w:p>
    <w:p>
      <w:pPr>
        <w:spacing w:after="0" w:line="71" w:lineRule="exact"/>
        <w:rPr>
          <w:rFonts w:ascii="Arial" w:cs="Arial" w:eastAsia="Arial" w:hAnsi="Arial"/>
          <w:sz w:val="18"/>
          <w:szCs w:val="18"/>
          <w:color w:val="auto"/>
        </w:rPr>
      </w:pPr>
    </w:p>
    <w:p>
      <w:pPr>
        <w:ind w:left="1480" w:right="260" w:hanging="567"/>
        <w:spacing w:after="0" w:line="282"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Automobile Liability </w:t>
      </w:r>
      <w:r>
        <w:rPr>
          <w:rFonts w:ascii="Arial" w:cs="Arial" w:eastAsia="Arial" w:hAnsi="Arial"/>
          <w:sz w:val="18"/>
          <w:szCs w:val="18"/>
          <w:color w:val="auto"/>
        </w:rPr>
        <w:t>insurance with minimum limits of $1,000,000 combined single limit per accident for bodily injury and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damage, extending to all owned, hired, and non-owned vehicles.</w:t>
      </w:r>
    </w:p>
    <w:p>
      <w:pPr>
        <w:spacing w:after="0" w:line="67" w:lineRule="exact"/>
        <w:rPr>
          <w:rFonts w:ascii="Arial" w:cs="Arial" w:eastAsia="Arial" w:hAnsi="Arial"/>
          <w:sz w:val="18"/>
          <w:szCs w:val="18"/>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Professional Liability (Errors &amp; Omissions) </w:t>
      </w:r>
      <w:r>
        <w:rPr>
          <w:rFonts w:ascii="Arial" w:cs="Arial" w:eastAsia="Arial" w:hAnsi="Arial"/>
          <w:sz w:val="18"/>
          <w:szCs w:val="18"/>
          <w:color w:val="auto"/>
        </w:rPr>
        <w:t>insurance with minimum limits of $1,000,000 each wrongful act.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Internet Liability and Network Protection (Cyberrisk) </w:t>
      </w:r>
      <w:r>
        <w:rPr>
          <w:rFonts w:ascii="Arial" w:cs="Arial" w:eastAsia="Arial" w:hAnsi="Arial"/>
          <w:sz w:val="18"/>
          <w:szCs w:val="18"/>
          <w:color w:val="auto"/>
        </w:rPr>
        <w:t>insurance with minimum limits of $1,000,000 each wrongful act.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Media Liability </w:t>
      </w:r>
      <w:r>
        <w:rPr>
          <w:rFonts w:ascii="Arial" w:cs="Arial" w:eastAsia="Arial" w:hAnsi="Arial"/>
          <w:sz w:val="18"/>
          <w:szCs w:val="18"/>
          <w:color w:val="auto"/>
        </w:rPr>
        <w:t>insurance with minimum limits of $1,000,000 each wrongful act.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ARTICLE V – SPECIAL SOFTWARE TERMS, Section 5.4 Technology Standards </w:t>
      </w:r>
      <w:r>
        <w:rPr>
          <w:rFonts w:ascii="Arial" w:cs="Arial" w:eastAsia="Arial" w:hAnsi="Arial"/>
          <w:sz w:val="17"/>
          <w:szCs w:val="17"/>
          <w:color w:val="auto"/>
        </w:rPr>
        <w:t>is hereby amended to include the following paragraph C:</w:t>
      </w:r>
    </w:p>
    <w:p>
      <w:pPr>
        <w:spacing w:after="0" w:line="146" w:lineRule="exact"/>
        <w:rPr>
          <w:sz w:val="20"/>
          <w:szCs w:val="20"/>
          <w:color w:val="auto"/>
        </w:rPr>
      </w:pPr>
    </w:p>
    <w:p>
      <w:pPr>
        <w:ind w:left="1480" w:right="120" w:hanging="567"/>
        <w:spacing w:after="0" w:line="279" w:lineRule="auto"/>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AT&amp;T shall have final authority to promulgate its information technology architectures and standards (the “AT&amp;T Standards”) and to modify or grant waivers from such AT&amp;T Standards. Supplier shall comply with the AT&amp;T Standards as set forth in this Agreement and subject to amendments to such Appendices through written amendment to this Agreement in its performance of the Services, subject to obtaining AT&amp;T’s prior written approval for any deviations from such AT&amp;T Standards.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02026713.A.004</w:t>
      </w:r>
    </w:p>
    <w:p>
      <w:pPr>
        <w:spacing w:after="0" w:line="15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6.4 Access to AT&amp;T Facilities </w:t>
      </w:r>
      <w:r>
        <w:rPr>
          <w:rFonts w:ascii="Arial" w:cs="Arial" w:eastAsia="Arial" w:hAnsi="Arial"/>
          <w:sz w:val="18"/>
          <w:szCs w:val="18"/>
          <w:color w:val="auto"/>
        </w:rPr>
        <w:t>is hereby amended to include the following:</w:t>
      </w:r>
    </w:p>
    <w:p>
      <w:pPr>
        <w:spacing w:after="0" w:line="134" w:lineRule="exact"/>
        <w:rPr>
          <w:rFonts w:ascii="Arial" w:cs="Arial" w:eastAsia="Arial" w:hAnsi="Arial"/>
          <w:sz w:val="18"/>
          <w:szCs w:val="18"/>
          <w:b w:val="1"/>
          <w:bCs w:val="1"/>
          <w:color w:val="auto"/>
        </w:rPr>
      </w:pPr>
    </w:p>
    <w:p>
      <w:pPr>
        <w:ind w:left="1480" w:right="220" w:hanging="567"/>
        <w:spacing w:after="0" w:line="264"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Supplier’s employees include “foreign persons” within the meaning of the U.S. export control laws, and foreign persons employed by Supplier may, subject to Section 6.5, have access to AT&amp;T computer or electronic data storage systems or networks in order to provide Services under this Agreement unless otherwise specifically set forth in a Work Order.</w:t>
      </w:r>
    </w:p>
    <w:p>
      <w:pPr>
        <w:spacing w:after="0" w:line="86" w:lineRule="exact"/>
        <w:rPr>
          <w:rFonts w:ascii="Arial" w:cs="Arial" w:eastAsia="Arial" w:hAnsi="Arial"/>
          <w:sz w:val="18"/>
          <w:szCs w:val="18"/>
          <w:color w:val="auto"/>
        </w:rPr>
      </w:pPr>
    </w:p>
    <w:p>
      <w:pPr>
        <w:ind w:left="1920" w:right="40" w:hanging="440"/>
        <w:spacing w:after="0" w:line="268" w:lineRule="auto"/>
        <w:tabs>
          <w:tab w:leader="none" w:pos="1920" w:val="left"/>
        </w:tabs>
        <w:numPr>
          <w:ilvl w:val="2"/>
          <w:numId w:val="101"/>
        </w:numPr>
        <w:rPr>
          <w:rFonts w:ascii="Arial" w:cs="Arial" w:eastAsia="Arial" w:hAnsi="Arial"/>
          <w:sz w:val="17"/>
          <w:szCs w:val="17"/>
          <w:color w:val="auto"/>
        </w:rPr>
      </w:pPr>
      <w:r>
        <w:rPr>
          <w:rFonts w:ascii="Arial" w:cs="Arial" w:eastAsia="Arial" w:hAnsi="Arial"/>
          <w:sz w:val="17"/>
          <w:szCs w:val="17"/>
          <w:color w:val="auto"/>
        </w:rPr>
        <w:t>Online Access. If Supplier is given access, whether at AT&amp;T’s premises or through remote facilities, to any AT&amp;T computer or electronic data storage system in order for Supplier to perform the Services, Supplier shall limit such access and use solely to perform Services within the scope of the applicable Order(s) and will not attempt to access any AT&amp;T computer system, electronic file, Software or other electronic services other than those specifically required to perform the Services specified in such Order (s). Supplier shall (i) limit such access to those Supplier personnel with an express requirement to have such access in connection with this Agreement and/or any Order and, in doing so, shall comply with Section 6.5, (ii) advise AT&amp;T in writing of the name of each individual who will be granted such access, and (iii) strictly follow all AT&amp;T security rules and procedures for use of AT&amp;T’s electronic resources provided to Supplier from time to time. Upon AT&amp;T’s request, Supplier shall provide the social security number or other personal identification of each of its representatives, including Supplier’s employees and subcontractors’ employees, who will need access to any AT&amp;T system to perform Supplier’s obligations under this Agreement. All user identification numbers and passwords disclosed to Supplier and any information obtained by Supplier as a result of Supplier’s access to, and use of, AT&amp;T’s computer and electronic storage systems shall be deemed to be, and shall be treated as, Information of AT&amp;T pursuant to this Agreement hereof. Supplier shall cooperate with AT&amp;T in the investigation of any apparent unauthorized access by Supplier to AT&amp;T’s computer or electronic data storage systems or unauthorized release of Information of AT&amp;T by Supplier or any Supplier personnel.</w:t>
      </w:r>
    </w:p>
    <w:p>
      <w:pPr>
        <w:spacing w:after="0" w:line="88" w:lineRule="exact"/>
        <w:rPr>
          <w:rFonts w:ascii="Arial" w:cs="Arial" w:eastAsia="Arial" w:hAnsi="Arial"/>
          <w:sz w:val="17"/>
          <w:szCs w:val="17"/>
          <w:color w:val="auto"/>
        </w:rPr>
      </w:pPr>
    </w:p>
    <w:p>
      <w:pPr>
        <w:ind w:left="1920" w:right="60" w:hanging="440"/>
        <w:spacing w:after="0" w:line="255" w:lineRule="auto"/>
        <w:tabs>
          <w:tab w:leader="none" w:pos="19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Network Access: Without limiting the foregoing, to the extent any Hardware provided or used by Supplier or Supplier Personnel is connected directly to the network(s) of AT&amp;T, such Hardware shall be (i) subject to review and approval in advance by AT&amp;T, (ii) in strict compliance with AT&amp;T’s then-current security policies, architectures, standards, rules and procedures provided to Supplier in writing, and (iii) in strict compliance with AT&amp;T’s then-current hardware and Software Specifications provided to Supplier in writing. Supplier shall not install or permit the installation of any other Software on such Hardware without AT&amp;T’s prior approval.</w:t>
      </w:r>
    </w:p>
    <w:p>
      <w:pPr>
        <w:spacing w:after="0" w:line="98" w:lineRule="exact"/>
        <w:rPr>
          <w:rFonts w:ascii="Arial" w:cs="Arial" w:eastAsia="Arial" w:hAnsi="Arial"/>
          <w:sz w:val="18"/>
          <w:szCs w:val="18"/>
          <w:color w:val="auto"/>
        </w:rPr>
      </w:pPr>
    </w:p>
    <w:p>
      <w:pPr>
        <w:ind w:left="1920" w:right="60" w:hanging="440"/>
        <w:spacing w:after="0" w:line="302" w:lineRule="auto"/>
        <w:tabs>
          <w:tab w:leader="none" w:pos="19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Additionally, the presence of any Supplier Personnel on-site raises certain day-to-day practical issues as recognized in this Section, involving compliance with AT&amp;T policies specified in the AT&amp;T Code of Conduct as provided to Supplier in writing. AT&amp;T will confirm that these rules incorporate site specific rules respecting access, security and similar matters. Supplier shall adhere to similar if not the same rules at Supplier’s location(s) from which Services and Materials are provided pursuant to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8" w:lineRule="exact"/>
        <w:rPr>
          <w:sz w:val="20"/>
          <w:szCs w:val="20"/>
          <w:color w:val="auto"/>
        </w:rPr>
      </w:pPr>
    </w:p>
    <w:p>
      <w:pPr>
        <w:ind w:left="1920" w:right="80" w:hanging="440"/>
        <w:spacing w:after="0" w:line="264" w:lineRule="auto"/>
        <w:tabs>
          <w:tab w:leader="none" w:pos="1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Supplier Personnel working offshore can only access AT&amp;T Systems/data while physically located in an AT&amp;T approved Supplier facility as stated in the Work Order. Offshore Supplier Personnel may not at any time remotely access any AT&amp;T System or data. Any exceptions must be submitted in writing to the OMO for approval.</w:t>
      </w:r>
    </w:p>
    <w:p>
      <w:pPr>
        <w:spacing w:after="0" w:line="86" w:lineRule="exact"/>
        <w:rPr>
          <w:rFonts w:ascii="Arial" w:cs="Arial" w:eastAsia="Arial" w:hAnsi="Arial"/>
          <w:sz w:val="18"/>
          <w:szCs w:val="18"/>
          <w:color w:val="auto"/>
        </w:rPr>
      </w:pPr>
    </w:p>
    <w:p>
      <w:pPr>
        <w:ind w:left="1920" w:right="60" w:hanging="440"/>
        <w:spacing w:after="0" w:line="302" w:lineRule="auto"/>
        <w:tabs>
          <w:tab w:leader="none" w:pos="19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As soon as reasonably possible after the execution of this Agreement and on [**] basis thereafter, Supplier will, [**], perform a security audit utilizing an independent auditor, as mutually agreed by the parties. Such security audit shall ensure that Supplier will strictly follow all AT&amp;T security rules and procedures for use of AT&amp;T’s electronic resources provided to Supplier and that Supplier will be in strict compliance with AT&amp;T’s then-current security policies, architectures, standards, rules and procedures.</w:t>
      </w:r>
    </w:p>
    <w:p>
      <w:pPr>
        <w:spacing w:after="0" w:line="55" w:lineRule="exact"/>
        <w:rPr>
          <w:rFonts w:ascii="Arial" w:cs="Arial" w:eastAsia="Arial" w:hAnsi="Arial"/>
          <w:sz w:val="16"/>
          <w:szCs w:val="16"/>
          <w:color w:val="auto"/>
        </w:rPr>
      </w:pPr>
    </w:p>
    <w:p>
      <w:pPr>
        <w:ind w:left="460" w:right="760" w:hanging="452"/>
        <w:spacing w:after="0" w:line="282" w:lineRule="auto"/>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6.5 Background Check </w:t>
      </w:r>
      <w:r>
        <w:rPr>
          <w:rFonts w:ascii="Arial" w:cs="Arial" w:eastAsia="Arial" w:hAnsi="Arial"/>
          <w:sz w:val="18"/>
          <w:szCs w:val="18"/>
          <w:color w:val="auto"/>
        </w:rPr>
        <w:t>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6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Background Check: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Supplier shall comply with the requirements of Appendix 6.5 entitled Background Checks.</w:t>
      </w:r>
    </w:p>
    <w:p>
      <w:pPr>
        <w:spacing w:after="0" w:line="127" w:lineRule="exact"/>
        <w:rPr>
          <w:sz w:val="20"/>
          <w:szCs w:val="20"/>
          <w:color w:val="auto"/>
        </w:rPr>
      </w:pPr>
    </w:p>
    <w:p>
      <w:pPr>
        <w:ind w:left="580" w:right="160" w:hanging="572"/>
        <w:spacing w:after="0" w:line="282" w:lineRule="auto"/>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6.6 Confidentiality and Invention Agreement </w:t>
      </w:r>
      <w:r>
        <w:rPr>
          <w:rFonts w:ascii="Arial" w:cs="Arial" w:eastAsia="Arial" w:hAnsi="Arial"/>
          <w:sz w:val="18"/>
          <w:szCs w:val="18"/>
          <w:color w:val="auto"/>
        </w:rPr>
        <w:t>is hereby deleted and replaced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with the following:</w:t>
      </w:r>
    </w:p>
    <w:p>
      <w:pPr>
        <w:spacing w:after="0" w:line="6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Confidentiality and Invention Agreement and Non-Disclosure Agreement:</w:t>
      </w:r>
    </w:p>
    <w:p>
      <w:pPr>
        <w:spacing w:after="0" w:line="135" w:lineRule="exact"/>
        <w:rPr>
          <w:sz w:val="20"/>
          <w:szCs w:val="20"/>
          <w:color w:val="auto"/>
        </w:rPr>
      </w:pPr>
    </w:p>
    <w:p>
      <w:pPr>
        <w:jc w:val="both"/>
        <w:ind w:left="1480" w:right="140" w:hanging="567"/>
        <w:spacing w:after="0" w:line="264" w:lineRule="auto"/>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any employee or agent of Supplier or Supplier’s Sub-suppliers accessing any AT&amp;T Software or Third Party Software provided by AT&amp;T to Supplier, said employee or agent shall execute a copy of the Confidentiality and Invention Agreement, Exhibit F, as well as the Non-disclosure Agreement (“NDA”) attached hereto and G.</w:t>
      </w:r>
    </w:p>
    <w:p>
      <w:pPr>
        <w:spacing w:after="0" w:line="86" w:lineRule="exact"/>
        <w:rPr>
          <w:rFonts w:ascii="Arial" w:cs="Arial" w:eastAsia="Arial" w:hAnsi="Arial"/>
          <w:sz w:val="18"/>
          <w:szCs w:val="18"/>
          <w:color w:val="auto"/>
        </w:rPr>
      </w:pPr>
    </w:p>
    <w:p>
      <w:pPr>
        <w:ind w:left="1480" w:right="480" w:hanging="567"/>
        <w:spacing w:after="0" w:line="277" w:lineRule="auto"/>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existing employees or agents, Supplier will require any such employee or agent to execute the NDA and submit the originals to AT&amp;T’s Offshore Management Office (“OMO”) as soon as possible.</w:t>
      </w:r>
    </w:p>
    <w:p>
      <w:pPr>
        <w:spacing w:after="0" w:line="75" w:lineRule="exact"/>
        <w:rPr>
          <w:rFonts w:ascii="Arial" w:cs="Arial" w:eastAsia="Arial" w:hAnsi="Arial"/>
          <w:sz w:val="18"/>
          <w:szCs w:val="18"/>
          <w:color w:val="auto"/>
        </w:rPr>
      </w:pPr>
    </w:p>
    <w:p>
      <w:pPr>
        <w:ind w:left="1480" w:right="180" w:hanging="567"/>
        <w:spacing w:after="0" w:line="276" w:lineRule="auto"/>
        <w:tabs>
          <w:tab w:leader="none" w:pos="14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For any such employee or agent subsequently assigned to perform Services on AT&amp;T’s behalf, prior to said employee or agent having access to any such Software, including without limitation logging onto an AT&amp;T’s network, Supplier will be required to ensure AT&amp;T receives an executed NDA from each such employee or agent. In the event Supplier can not send the NDA to AT&amp;T’s OMO for receipt prior to such access, Supplier will require such employee or agent to execute the NDA and Supplier will fax a copy of the NDA to AT&amp;T’s OMO prior to such access and Supplier will immediately send the original to AT&amp;T’s OMO.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8" w:lineRule="exact"/>
        <w:rPr>
          <w:sz w:val="20"/>
          <w:szCs w:val="20"/>
          <w:color w:val="auto"/>
        </w:rPr>
      </w:pPr>
    </w:p>
    <w:p>
      <w:pPr>
        <w:ind w:left="2980" w:right="7500" w:hanging="2067"/>
        <w:spacing w:after="0" w:line="383" w:lineRule="auto"/>
        <w:tabs>
          <w:tab w:leader="none" w:pos="1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address for AT&amp;T’s OMO is: [**]</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Exhibits F and G are attached and incorporated hereby and becomes an integral part of this Agreement.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w:t>
      </w:r>
      <w:r>
        <w:rPr>
          <w:rFonts w:ascii="Arial" w:cs="Arial" w:eastAsia="Arial" w:hAnsi="Arial"/>
          <w:sz w:val="18"/>
          <w:szCs w:val="18"/>
          <w:color w:val="auto"/>
        </w:rPr>
        <w:t>is hereby amended to add the following Sections:</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Disaster Recovery and Business Continuity Plan:</w:t>
      </w:r>
    </w:p>
    <w:p>
      <w:pPr>
        <w:spacing w:after="0" w:line="121" w:lineRule="exact"/>
        <w:rPr>
          <w:sz w:val="20"/>
          <w:szCs w:val="20"/>
          <w:color w:val="auto"/>
        </w:rPr>
      </w:pPr>
    </w:p>
    <w:p>
      <w:pPr>
        <w:ind w:left="920" w:right="320"/>
        <w:spacing w:after="0" w:line="312" w:lineRule="auto"/>
        <w:rPr>
          <w:sz w:val="20"/>
          <w:szCs w:val="20"/>
          <w:color w:val="auto"/>
        </w:rPr>
      </w:pPr>
      <w:r>
        <w:rPr>
          <w:rFonts w:ascii="Arial" w:cs="Arial" w:eastAsia="Arial" w:hAnsi="Arial"/>
          <w:sz w:val="16"/>
          <w:szCs w:val="16"/>
          <w:color w:val="auto"/>
        </w:rPr>
        <w:t>Supplier will provide a Disaster Recovery and Business Continuity Plan at all times during the term of this Agreement for their offshore operations associated with each Project and or Application that is assigned to them by AT&amp;T as set forth in Exhibit H, Disaster Recovery and Business Continuity Plan. Such Disaster Recovery and Business Continuity Plan shall be reviewed and mutually agreed upon with AT&amp;T.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should include, but not be limited to:</w:t>
      </w:r>
    </w:p>
    <w:p>
      <w:pPr>
        <w:spacing w:after="0" w:line="131" w:lineRule="exact"/>
        <w:rPr>
          <w:sz w:val="20"/>
          <w:szCs w:val="20"/>
          <w:color w:val="auto"/>
        </w:rPr>
      </w:pPr>
    </w:p>
    <w:p>
      <w:pPr>
        <w:ind w:left="1920" w:right="80" w:hanging="440"/>
        <w:spacing w:after="0" w:line="277" w:lineRule="auto"/>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Demonstrate the existence of a recovery strategy, which is complimentary to AT&amp;T that is exercised with documented conclusions and recommended improvements.</w:t>
      </w:r>
    </w:p>
    <w:p>
      <w:pPr>
        <w:spacing w:after="0" w:line="75" w:lineRule="exact"/>
        <w:rPr>
          <w:rFonts w:ascii="Arial" w:cs="Arial" w:eastAsia="Arial" w:hAnsi="Arial"/>
          <w:sz w:val="18"/>
          <w:szCs w:val="18"/>
          <w:color w:val="auto"/>
        </w:rPr>
      </w:pPr>
    </w:p>
    <w:p>
      <w:pPr>
        <w:ind w:left="1920" w:right="760" w:hanging="440"/>
        <w:spacing w:after="0" w:line="277" w:lineRule="auto"/>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Ensure that failover processes and procedures are in place to support AT&amp;T applications and these failover processes and procedures are exercised [**] (at a minimum).</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Ensure that adequate communication documents, processes, and procedures are readily available and kept up to date.</w:t>
      </w:r>
    </w:p>
    <w:p>
      <w:pPr>
        <w:spacing w:after="0" w:line="12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Electronic Privacy Policy: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Supplier and all Supplier Personnel shall abide by the following policy AT&amp;T has established for all electronic information systems:</w:t>
      </w:r>
    </w:p>
    <w:p>
      <w:pPr>
        <w:spacing w:after="0" w:line="131" w:lineRule="exact"/>
        <w:rPr>
          <w:sz w:val="20"/>
          <w:szCs w:val="20"/>
          <w:color w:val="auto"/>
        </w:rPr>
      </w:pPr>
    </w:p>
    <w:p>
      <w:pPr>
        <w:ind w:left="1480" w:hanging="567"/>
        <w:spacing w:after="0" w:line="255"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AT&amp;T electronic and computer resources are provided for the transaction of company business. The policy of AT&amp;T with respect to information in electronic media (including but not limited to programs, databases, files, e-mail records) is no different from the policy concerning paper records. While AT&amp;T at all times retains the right to inspect, record and/or remove all information made or kept by employees utilizing company resources, such inspection, recording, or removing takes place only on the basis of company need. Need includes but is not limited to management’s determination that reasonable cause exists for belief that laws, AT&amp;T policies or management directives have been, are being, or may be broken or violated.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8" w:lineRule="exact"/>
        <w:rPr>
          <w:sz w:val="20"/>
          <w:szCs w:val="20"/>
          <w:color w:val="auto"/>
        </w:rPr>
      </w:pPr>
    </w:p>
    <w:p>
      <w:pPr>
        <w:ind w:left="1400" w:right="180" w:hanging="567"/>
        <w:spacing w:after="0" w:line="264" w:lineRule="auto"/>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Protection of AT&amp;T systems/networks: Supplier and all Supplier Personnel shall follow all AT&amp;T policies including AT&amp;T Personal Data policies. Supplier shall provide AT&amp;T with such assistance as AT&amp;T may reasonably require in fulfilling its responsibilities under the respective applicable Privacy Laws.</w:t>
      </w:r>
    </w:p>
    <w:p>
      <w:pPr>
        <w:spacing w:after="0" w:line="86" w:lineRule="exact"/>
        <w:rPr>
          <w:rFonts w:ascii="Arial" w:cs="Arial" w:eastAsia="Arial" w:hAnsi="Arial"/>
          <w:sz w:val="18"/>
          <w:szCs w:val="18"/>
          <w:color w:val="auto"/>
        </w:rPr>
      </w:pPr>
    </w:p>
    <w:p>
      <w:pPr>
        <w:ind w:left="1400" w:right="260" w:hanging="567"/>
        <w:spacing w:after="0" w:line="264" w:lineRule="auto"/>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AT&amp;T Personal Data shall mean that portion of AT&amp;T Data that is subject to any Privacy Laws. “Privacy Laws” shall mean Laws relating to data privacy, trans-border data flow or data protection such as the implementing legislation and regulations of the European Union member states under the European Union Directive 95/46/EC.</w:t>
      </w:r>
    </w:p>
    <w:p>
      <w:pPr>
        <w:spacing w:after="0" w:line="83"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Offshore Transfer or Processing of AT&amp;T Data:</w:t>
      </w:r>
    </w:p>
    <w:p>
      <w:pPr>
        <w:spacing w:after="0" w:line="135" w:lineRule="exact"/>
        <w:rPr>
          <w:sz w:val="20"/>
          <w:szCs w:val="20"/>
          <w:color w:val="auto"/>
        </w:rPr>
      </w:pPr>
    </w:p>
    <w:p>
      <w:pPr>
        <w:ind w:left="1400" w:right="20" w:hanging="567"/>
        <w:spacing w:after="0" w:line="273" w:lineRule="auto"/>
        <w:tabs>
          <w:tab w:leader="none" w:pos="14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Supplier represents and warrants that, to the extent that its performance of the Services includes the transfer, storage or processing outside of the United States of AT&amp;T Data or other performance of the Services outside of the United States, such Services (the “</w:t>
      </w:r>
      <w:r>
        <w:rPr>
          <w:rFonts w:ascii="Arial" w:cs="Arial" w:eastAsia="Arial" w:hAnsi="Arial"/>
          <w:sz w:val="17"/>
          <w:szCs w:val="17"/>
          <w:b w:val="1"/>
          <w:bCs w:val="1"/>
          <w:color w:val="auto"/>
        </w:rPr>
        <w:t>Offshore</w:t>
      </w:r>
      <w:r>
        <w:rPr>
          <w:rFonts w:ascii="Arial" w:cs="Arial" w:eastAsia="Arial" w:hAnsi="Arial"/>
          <w:sz w:val="17"/>
          <w:szCs w:val="17"/>
          <w:color w:val="auto"/>
        </w:rPr>
        <w:t xml:space="preserve"> </w:t>
      </w:r>
      <w:r>
        <w:rPr>
          <w:rFonts w:ascii="Arial" w:cs="Arial" w:eastAsia="Arial" w:hAnsi="Arial"/>
          <w:sz w:val="17"/>
          <w:szCs w:val="17"/>
          <w:b w:val="1"/>
          <w:bCs w:val="1"/>
          <w:color w:val="auto"/>
        </w:rPr>
        <w:t>Services</w:t>
      </w:r>
      <w:r>
        <w:rPr>
          <w:rFonts w:ascii="Arial" w:cs="Arial" w:eastAsia="Arial" w:hAnsi="Arial"/>
          <w:sz w:val="17"/>
          <w:szCs w:val="17"/>
          <w:color w:val="auto"/>
        </w:rPr>
        <w:t>”) will be (i) performed in accordance with the Agreement and Laws (including Privacy Laws) of the United States, European</w:t>
      </w:r>
      <w:r>
        <w:rPr>
          <w:rFonts w:ascii="Arial" w:cs="Arial" w:eastAsia="Arial" w:hAnsi="Arial"/>
          <w:sz w:val="17"/>
          <w:szCs w:val="17"/>
          <w:b w:val="1"/>
          <w:bCs w:val="1"/>
          <w:color w:val="auto"/>
        </w:rPr>
        <w:t xml:space="preserve"> </w:t>
      </w:r>
      <w:r>
        <w:rPr>
          <w:rFonts w:ascii="Arial" w:cs="Arial" w:eastAsia="Arial" w:hAnsi="Arial"/>
          <w:sz w:val="17"/>
          <w:szCs w:val="17"/>
          <w:color w:val="auto"/>
        </w:rPr>
        <w:t>Union (if applicable) and any jurisdiction in which the Offshore Services are performed and (ii) performed such that Laws permit the transfer of the AT&amp;T Data back into the United States, and future performance of the Services within the United States, without any additional cost to AT&amp;T or authorization or permission of any Entity or government.</w:t>
      </w:r>
    </w:p>
    <w:p>
      <w:pPr>
        <w:spacing w:after="0" w:line="79" w:lineRule="exact"/>
        <w:rPr>
          <w:rFonts w:ascii="Arial" w:cs="Arial" w:eastAsia="Arial" w:hAnsi="Arial"/>
          <w:sz w:val="17"/>
          <w:szCs w:val="17"/>
          <w:color w:val="auto"/>
        </w:rPr>
      </w:pPr>
    </w:p>
    <w:p>
      <w:pPr>
        <w:ind w:left="1400" w:hanging="567"/>
        <w:spacing w:after="0"/>
        <w:tabs>
          <w:tab w:leader="none" w:pos="14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 the event that new Laws or changes in Laws (including as contemplated in </w:t>
      </w:r>
      <w:r>
        <w:rPr>
          <w:rFonts w:ascii="Arial" w:cs="Arial" w:eastAsia="Arial" w:hAnsi="Arial"/>
          <w:sz w:val="16"/>
          <w:szCs w:val="16"/>
          <w:b w:val="1"/>
          <w:bCs w:val="1"/>
          <w:color w:val="auto"/>
        </w:rPr>
        <w:t>Section a, Compliance with FCC Docket No. 96-115)</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1400" w:right="40"/>
        <w:spacing w:after="0" w:line="267" w:lineRule="auto"/>
        <w:rPr>
          <w:rFonts w:ascii="Arial" w:cs="Arial" w:eastAsia="Arial" w:hAnsi="Arial"/>
          <w:sz w:val="16"/>
          <w:szCs w:val="16"/>
          <w:color w:val="auto"/>
        </w:rPr>
      </w:pPr>
      <w:r>
        <w:rPr>
          <w:rFonts w:ascii="Arial" w:cs="Arial" w:eastAsia="Arial" w:hAnsi="Arial"/>
          <w:sz w:val="17"/>
          <w:szCs w:val="17"/>
          <w:color w:val="auto"/>
        </w:rPr>
        <w:t>(i) require that any such Services be performed within the United States or any other jurisdiction; (ii) prohibit the performance of any Services as Offshore Services; or (iii) require that the AT&amp;T Data used in connection with such Offshore Services be transferred back to the United States or restrict such AT&amp;T Data from being transferred to or from, or processed in, stored in or accessed from any jurisdiction (collectively, “Offshore Impact”), and additional costs are required to be incurred in order to cause the Services to be performed in accordance with Laws, the Parties shall use commercially reasonable efforts to agree upon responsibility for such costs and any required modifications of the effected Work Order(s). In such event, and subject to the foregoing Supplier shall perform all necessary tasks in order to continue to perform the Services, including any Offshore Services, in compliance with Laws, including, as required by Laws, the performance of any or all Services within the United States. Upon the event of an Offshore Impact, the Parties will discuss and consider whether to allow Supplier to increase the number of resources working onsite, provided that AT&amp;T will not be required to consent to any such increase. If the Parties are unable to agree upon responsibility for such costs and any required modifications of the effected Work Order(s) within [**] days of either Party’s request to do so, AT&amp;T shall be entitled to Terminate the effected Work Order(s) for convenience in accordance with the Agreement.</w:t>
      </w:r>
    </w:p>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320" w:top="27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8" w:lineRule="exact"/>
        <w:rPr>
          <w:sz w:val="20"/>
          <w:szCs w:val="20"/>
          <w:color w:val="auto"/>
        </w:rPr>
      </w:pPr>
    </w:p>
    <w:p>
      <w:pPr>
        <w:ind w:left="1400" w:right="120" w:hanging="567"/>
        <w:spacing w:after="0" w:line="271" w:lineRule="auto"/>
        <w:tabs>
          <w:tab w:leader="none" w:pos="14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Supplier represents and warrants that, to the extent that Offshore Services are performed and to the extent that AT&amp;T Data is transferred to, processed or stored outside, or accessed from outside of the United States and in addition to its other obligations under this Agreement, Supplier shall store and process AT&amp;T Data and store and operate all Application Software in a secure environment designed, monitored and administered to prevent the violation of Laws or this Agreement. In addition, Supplier shall establish, and require all Supplier Personnel to comply with, stringent policies and rules regarding the removal of AT&amp;T Data or Application Software from Supplier Facilities and otherwise requiring Supplier Personnel to act in accordance with this Agreement and Laws, and Supplier shall establish physical and logical measures to ensure that such policies and rules are followed. Under no circumstances shall AT&amp;T Data or Application Software used in Offshore Services be removed from Supplier Facilities.</w:t>
      </w:r>
    </w:p>
    <w:p>
      <w:pPr>
        <w:spacing w:after="0" w:line="80"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Service Facilities/Location:</w:t>
      </w:r>
    </w:p>
    <w:p>
      <w:pPr>
        <w:spacing w:after="0" w:line="121" w:lineRule="exact"/>
        <w:rPr>
          <w:sz w:val="20"/>
          <w:szCs w:val="20"/>
          <w:color w:val="auto"/>
        </w:rPr>
      </w:pPr>
    </w:p>
    <w:p>
      <w:pPr>
        <w:ind w:left="840" w:right="240"/>
        <w:spacing w:after="0" w:line="259" w:lineRule="auto"/>
        <w:rPr>
          <w:sz w:val="20"/>
          <w:szCs w:val="20"/>
          <w:color w:val="auto"/>
        </w:rPr>
      </w:pPr>
      <w:r>
        <w:rPr>
          <w:rFonts w:ascii="Arial" w:cs="Arial" w:eastAsia="Arial" w:hAnsi="Arial"/>
          <w:sz w:val="18"/>
          <w:szCs w:val="18"/>
          <w:color w:val="auto"/>
        </w:rPr>
        <w:t>The Services shall be provided at or from (i) an AT&amp;T facility, (ii) service locations owned or leased by Supplier or (iii) an AT&amp;T IT Sourcing approved Supplier’s offshore facility located in one of the approved locations listed below. Except to the extent set forth in this Agreement or otherwise solely agreed to by AT&amp;T, Supplier shall provide the Services from within the continental United States or shall be limited to operations in Israel, Cyprus and India at all times during the term of this Agreement.</w:t>
      </w:r>
    </w:p>
    <w:p>
      <w:pPr>
        <w:spacing w:after="0" w:line="88" w:lineRule="exact"/>
        <w:rPr>
          <w:sz w:val="20"/>
          <w:szCs w:val="20"/>
          <w:color w:val="auto"/>
        </w:rPr>
      </w:pPr>
    </w:p>
    <w:p>
      <w:pPr>
        <w:ind w:left="1400" w:hanging="567"/>
        <w:spacing w:after="0"/>
        <w:tabs>
          <w:tab w:leader="none" w:pos="14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Approved Offshore Locations: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Amdocs’ India resources will be located at the following address:</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Cyber City Tower 2</w:t>
      </w:r>
    </w:p>
    <w:p>
      <w:pPr>
        <w:spacing w:after="0" w:line="2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Magarpatta City</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Hadapsar, Pune, India 411028</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Amdocs’ Israel resources will be located at the following addresses:</w:t>
      </w:r>
    </w:p>
    <w:p>
      <w:pPr>
        <w:spacing w:after="0" w:line="131"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3"/>
              </w:rPr>
              <w:t>8 Hapnina St.</w:t>
            </w:r>
          </w:p>
        </w:tc>
        <w:tc>
          <w:tcPr>
            <w:tcW w:w="1140" w:type="dxa"/>
            <w:vAlign w:val="bottom"/>
          </w:tcPr>
          <w:p>
            <w:pPr>
              <w:ind w:left="60"/>
              <w:spacing w:after="0"/>
              <w:rPr>
                <w:sz w:val="20"/>
                <w:szCs w:val="20"/>
                <w:color w:val="auto"/>
              </w:rPr>
            </w:pPr>
            <w:r>
              <w:rPr>
                <w:rFonts w:ascii="Arial" w:cs="Arial" w:eastAsia="Arial" w:hAnsi="Arial"/>
                <w:sz w:val="18"/>
                <w:szCs w:val="18"/>
                <w:color w:val="auto"/>
                <w:w w:val="96"/>
              </w:rPr>
              <w:t>4 Hahrash St.</w:t>
            </w:r>
          </w:p>
        </w:tc>
        <w:tc>
          <w:tcPr>
            <w:tcW w:w="1160" w:type="dxa"/>
            <w:vAlign w:val="bottom"/>
          </w:tcPr>
          <w:p>
            <w:pPr>
              <w:ind w:left="60"/>
              <w:spacing w:after="0"/>
              <w:rPr>
                <w:sz w:val="20"/>
                <w:szCs w:val="20"/>
                <w:color w:val="auto"/>
              </w:rPr>
            </w:pPr>
            <w:r>
              <w:rPr>
                <w:rFonts w:ascii="Arial" w:cs="Arial" w:eastAsia="Arial" w:hAnsi="Arial"/>
                <w:sz w:val="18"/>
                <w:szCs w:val="18"/>
                <w:color w:val="auto"/>
                <w:w w:val="86"/>
              </w:rPr>
              <w:t>Shaar Hanegev</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Ra’anana</w:t>
            </w:r>
          </w:p>
        </w:tc>
        <w:tc>
          <w:tcPr>
            <w:tcW w:w="1140" w:type="dxa"/>
            <w:vAlign w:val="bottom"/>
          </w:tcPr>
          <w:p>
            <w:pPr>
              <w:ind w:left="60"/>
              <w:spacing w:after="0"/>
              <w:rPr>
                <w:sz w:val="20"/>
                <w:szCs w:val="20"/>
                <w:color w:val="auto"/>
              </w:rPr>
            </w:pPr>
            <w:r>
              <w:rPr>
                <w:rFonts w:ascii="Arial" w:cs="Arial" w:eastAsia="Arial" w:hAnsi="Arial"/>
                <w:sz w:val="18"/>
                <w:szCs w:val="18"/>
                <w:color w:val="auto"/>
                <w:w w:val="92"/>
              </w:rPr>
              <w:t>Neve Neeman</w:t>
            </w:r>
          </w:p>
        </w:tc>
        <w:tc>
          <w:tcPr>
            <w:tcW w:w="1160" w:type="dxa"/>
            <w:vAlign w:val="bottom"/>
          </w:tcPr>
          <w:p>
            <w:pPr>
              <w:ind w:left="60"/>
              <w:spacing w:after="0"/>
              <w:rPr>
                <w:sz w:val="20"/>
                <w:szCs w:val="20"/>
                <w:color w:val="auto"/>
              </w:rPr>
            </w:pPr>
            <w:r>
              <w:rPr>
                <w:rFonts w:ascii="Arial" w:cs="Arial" w:eastAsia="Arial" w:hAnsi="Arial"/>
                <w:sz w:val="18"/>
                <w:szCs w:val="18"/>
                <w:color w:val="auto"/>
                <w:w w:val="90"/>
              </w:rPr>
              <w:t>Industrial Zone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43000</w:t>
            </w:r>
          </w:p>
        </w:tc>
        <w:tc>
          <w:tcPr>
            <w:tcW w:w="1140" w:type="dxa"/>
            <w:vAlign w:val="bottom"/>
          </w:tcPr>
          <w:p>
            <w:pPr>
              <w:ind w:left="60"/>
              <w:spacing w:after="0"/>
              <w:rPr>
                <w:sz w:val="20"/>
                <w:szCs w:val="20"/>
                <w:color w:val="auto"/>
              </w:rPr>
            </w:pPr>
            <w:r>
              <w:rPr>
                <w:rFonts w:ascii="Arial" w:cs="Arial" w:eastAsia="Arial" w:hAnsi="Arial"/>
                <w:sz w:val="18"/>
                <w:szCs w:val="18"/>
                <w:color w:val="auto"/>
                <w:w w:val="91"/>
              </w:rPr>
              <w:t>Hod Hasharon</w:t>
            </w:r>
          </w:p>
        </w:tc>
        <w:tc>
          <w:tcPr>
            <w:tcW w:w="1160" w:type="dxa"/>
            <w:vAlign w:val="bottom"/>
          </w:tcPr>
          <w:p>
            <w:pPr>
              <w:ind w:left="60"/>
              <w:spacing w:after="0"/>
              <w:rPr>
                <w:sz w:val="20"/>
                <w:szCs w:val="20"/>
                <w:color w:val="auto"/>
              </w:rPr>
            </w:pPr>
            <w:r>
              <w:rPr>
                <w:rFonts w:ascii="Arial" w:cs="Arial" w:eastAsia="Arial" w:hAnsi="Arial"/>
                <w:sz w:val="18"/>
                <w:szCs w:val="18"/>
                <w:color w:val="auto"/>
              </w:rPr>
              <w:t>Shderot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Israel</w:t>
            </w:r>
          </w:p>
        </w:tc>
        <w:tc>
          <w:tcPr>
            <w:tcW w:w="1140" w:type="dxa"/>
            <w:vAlign w:val="bottom"/>
          </w:tcPr>
          <w:p>
            <w:pPr>
              <w:ind w:left="60"/>
              <w:spacing w:after="0"/>
              <w:rPr>
                <w:sz w:val="20"/>
                <w:szCs w:val="20"/>
                <w:color w:val="auto"/>
              </w:rPr>
            </w:pPr>
            <w:r>
              <w:rPr>
                <w:rFonts w:ascii="Arial" w:cs="Arial" w:eastAsia="Arial" w:hAnsi="Arial"/>
                <w:sz w:val="18"/>
                <w:szCs w:val="18"/>
                <w:color w:val="auto"/>
              </w:rPr>
              <w:t>Israel</w:t>
            </w:r>
          </w:p>
        </w:tc>
        <w:tc>
          <w:tcPr>
            <w:tcW w:w="1160" w:type="dxa"/>
            <w:vAlign w:val="bottom"/>
          </w:tcPr>
          <w:p>
            <w:pPr>
              <w:ind w:left="60"/>
              <w:spacing w:after="0"/>
              <w:rPr>
                <w:sz w:val="20"/>
                <w:szCs w:val="20"/>
                <w:color w:val="auto"/>
              </w:rPr>
            </w:pPr>
            <w:r>
              <w:rPr>
                <w:rFonts w:ascii="Arial" w:cs="Arial" w:eastAsia="Arial" w:hAnsi="Arial"/>
                <w:sz w:val="18"/>
                <w:szCs w:val="18"/>
                <w:color w:val="auto"/>
              </w:rPr>
              <w:t>Israel</w:t>
            </w:r>
          </w:p>
        </w:tc>
      </w:tr>
    </w:tbl>
    <w:p>
      <w:pPr>
        <w:spacing w:after="0" w:line="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Amdocs’ Cyprus resources will be located at the following address:</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Cyprus Limassol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141, Omonia Avenue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Maritime Center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P.O. Box 50483 3506 Limassol</w:t>
      </w:r>
    </w:p>
    <w:p>
      <w:pPr>
        <w:spacing w:after="0" w:line="1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02026713.A.004</w:t>
      </w:r>
    </w:p>
    <w:p>
      <w:pPr>
        <w:spacing w:after="0" w:line="154" w:lineRule="exact"/>
        <w:rPr>
          <w:sz w:val="20"/>
          <w:szCs w:val="20"/>
          <w:color w:val="auto"/>
        </w:rPr>
      </w:pPr>
    </w:p>
    <w:p>
      <w:pPr>
        <w:ind w:left="1400" w:hanging="567"/>
        <w:spacing w:after="0"/>
        <w:tabs>
          <w:tab w:leader="none" w:pos="14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Establishing New Locations:</w:t>
      </w:r>
    </w:p>
    <w:p>
      <w:pPr>
        <w:spacing w:after="0" w:line="131" w:lineRule="exact"/>
        <w:rPr>
          <w:sz w:val="20"/>
          <w:szCs w:val="20"/>
          <w:color w:val="auto"/>
        </w:rPr>
      </w:pPr>
    </w:p>
    <w:p>
      <w:pPr>
        <w:ind w:left="1840" w:hanging="440"/>
        <w:spacing w:after="0"/>
        <w:tabs>
          <w:tab w:leader="none" w:pos="18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New Country/City:</w:t>
      </w:r>
    </w:p>
    <w:p>
      <w:pPr>
        <w:spacing w:after="0" w:line="12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In the event that an Offshore Supplier wants to start up business in a new country or city where AT&amp;T work is to be performed:</w:t>
      </w:r>
    </w:p>
    <w:p>
      <w:pPr>
        <w:spacing w:after="0" w:line="154" w:lineRule="exact"/>
        <w:rPr>
          <w:sz w:val="20"/>
          <w:szCs w:val="20"/>
          <w:color w:val="auto"/>
        </w:rPr>
      </w:pPr>
    </w:p>
    <w:p>
      <w:pPr>
        <w:ind w:left="2880" w:right="500" w:hanging="562"/>
        <w:spacing w:after="0" w:line="277" w:lineRule="auto"/>
        <w:tabs>
          <w:tab w:leader="none" w:pos="28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Offshore Supplier must notify the AT&amp;T Offshore Management Office to seek a formal approval from the Executive Director of the AT&amp;T Offshore Management Office.</w:t>
      </w:r>
    </w:p>
    <w:p>
      <w:pPr>
        <w:spacing w:after="0" w:line="71" w:lineRule="exact"/>
        <w:rPr>
          <w:rFonts w:ascii="Arial" w:cs="Arial" w:eastAsia="Arial" w:hAnsi="Arial"/>
          <w:sz w:val="18"/>
          <w:szCs w:val="18"/>
          <w:color w:val="auto"/>
        </w:rPr>
      </w:pPr>
    </w:p>
    <w:p>
      <w:pPr>
        <w:ind w:left="1840" w:hanging="440"/>
        <w:spacing w:after="0"/>
        <w:tabs>
          <w:tab w:leader="none" w:pos="18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New Building in Approved City:</w:t>
      </w:r>
    </w:p>
    <w:p>
      <w:pPr>
        <w:spacing w:after="0" w:line="121" w:lineRule="exact"/>
        <w:rPr>
          <w:sz w:val="20"/>
          <w:szCs w:val="20"/>
          <w:color w:val="auto"/>
        </w:rPr>
      </w:pPr>
    </w:p>
    <w:p>
      <w:pPr>
        <w:ind w:left="1860" w:right="420"/>
        <w:spacing w:after="0" w:line="277" w:lineRule="auto"/>
        <w:rPr>
          <w:sz w:val="20"/>
          <w:szCs w:val="20"/>
          <w:color w:val="auto"/>
        </w:rPr>
      </w:pPr>
      <w:r>
        <w:rPr>
          <w:rFonts w:ascii="Arial" w:cs="Arial" w:eastAsia="Arial" w:hAnsi="Arial"/>
          <w:sz w:val="18"/>
          <w:szCs w:val="18"/>
          <w:color w:val="auto"/>
        </w:rPr>
        <w:t>In the event that an Offshore Supplier wants to begin providing services from a new building to perform AT&amp;T work and it is within a city where they are currently working:</w:t>
      </w:r>
    </w:p>
    <w:p>
      <w:pPr>
        <w:spacing w:after="0" w:line="76" w:lineRule="exact"/>
        <w:rPr>
          <w:sz w:val="20"/>
          <w:szCs w:val="20"/>
          <w:color w:val="auto"/>
        </w:rPr>
      </w:pPr>
    </w:p>
    <w:p>
      <w:pPr>
        <w:ind w:left="2880" w:right="500" w:hanging="562"/>
        <w:spacing w:after="0" w:line="277" w:lineRule="auto"/>
        <w:tabs>
          <w:tab w:leader="none" w:pos="28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Offshore Supplier must notify the AT&amp;T Offshore Management Office to seek a formal approval from the Executive Director of the Offshore Management Office.</w:t>
      </w:r>
    </w:p>
    <w:p>
      <w:pPr>
        <w:spacing w:after="0" w:line="75" w:lineRule="exact"/>
        <w:rPr>
          <w:rFonts w:ascii="Arial" w:cs="Arial" w:eastAsia="Arial" w:hAnsi="Arial"/>
          <w:sz w:val="18"/>
          <w:szCs w:val="18"/>
          <w:color w:val="auto"/>
        </w:rPr>
      </w:pPr>
    </w:p>
    <w:p>
      <w:pPr>
        <w:ind w:left="2880" w:hanging="562"/>
        <w:spacing w:after="0"/>
        <w:tabs>
          <w:tab w:leader="none" w:pos="28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Offshore Supplier must have the new address of the building audited by a reputable third party auditor.</w:t>
      </w:r>
    </w:p>
    <w:p>
      <w:pPr>
        <w:spacing w:after="0" w:line="142" w:lineRule="exact"/>
        <w:rPr>
          <w:rFonts w:ascii="Arial" w:cs="Arial" w:eastAsia="Arial" w:hAnsi="Arial"/>
          <w:sz w:val="17"/>
          <w:szCs w:val="17"/>
          <w:color w:val="auto"/>
        </w:rPr>
      </w:pPr>
    </w:p>
    <w:p>
      <w:pPr>
        <w:ind w:left="2880" w:right="200" w:hanging="562"/>
        <w:spacing w:after="0" w:line="277" w:lineRule="auto"/>
        <w:tabs>
          <w:tab w:leader="none" w:pos="28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Offshore Supplier must give the most current version of AT&amp;T’s Offshore Management Office External Audit Controls to the third party auditor to conduct the audit.</w:t>
      </w:r>
    </w:p>
    <w:p>
      <w:pPr>
        <w:spacing w:after="0" w:line="71" w:lineRule="exact"/>
        <w:rPr>
          <w:rFonts w:ascii="Arial" w:cs="Arial" w:eastAsia="Arial" w:hAnsi="Arial"/>
          <w:sz w:val="18"/>
          <w:szCs w:val="18"/>
          <w:color w:val="auto"/>
        </w:rPr>
      </w:pPr>
    </w:p>
    <w:p>
      <w:pPr>
        <w:ind w:left="1380" w:hanging="547"/>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The audit must be conducted within [**] of the Offshore Personnel starting work in the new building.</w:t>
      </w:r>
    </w:p>
    <w:p>
      <w:pPr>
        <w:spacing w:after="0" w:line="131" w:lineRule="exact"/>
        <w:rPr>
          <w:sz w:val="20"/>
          <w:szCs w:val="20"/>
          <w:color w:val="auto"/>
        </w:rPr>
      </w:pPr>
    </w:p>
    <w:p>
      <w:pPr>
        <w:ind w:left="840"/>
        <w:spacing w:after="0"/>
        <w:tabs>
          <w:tab w:leader="none" w:pos="138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6"/>
          <w:szCs w:val="16"/>
          <w:b w:val="1"/>
          <w:bCs w:val="1"/>
          <w:color w:val="auto"/>
        </w:rPr>
        <w:t>Software and Hardware provided by AT&amp;T to Supplier Personnel:</w:t>
      </w:r>
    </w:p>
    <w:p>
      <w:pPr>
        <w:spacing w:after="0" w:line="135" w:lineRule="exact"/>
        <w:rPr>
          <w:sz w:val="20"/>
          <w:szCs w:val="20"/>
          <w:color w:val="auto"/>
        </w:rPr>
      </w:pPr>
    </w:p>
    <w:p>
      <w:pPr>
        <w:ind w:left="1400" w:right="260" w:hanging="567"/>
        <w:spacing w:after="0" w:line="264" w:lineRule="auto"/>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Supplier will provide standard desktop Hardware and Software required for the Project for offshore Supplier Personnel that Supplier would normally provide for Supplier’s own personnel working in a particular job title, while working from Supplier’s offshore service locations.</w:t>
      </w:r>
    </w:p>
    <w:p>
      <w:pPr>
        <w:spacing w:after="0" w:line="86" w:lineRule="exact"/>
        <w:rPr>
          <w:rFonts w:ascii="Arial" w:cs="Arial" w:eastAsia="Arial" w:hAnsi="Arial"/>
          <w:sz w:val="18"/>
          <w:szCs w:val="18"/>
          <w:color w:val="auto"/>
        </w:rPr>
      </w:pPr>
    </w:p>
    <w:p>
      <w:pPr>
        <w:ind w:left="1400" w:right="320" w:hanging="567"/>
        <w:spacing w:after="0" w:line="277" w:lineRule="auto"/>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Supplier will bear the expense of any special accommodations or evaluations for Supplier’s own employees at an AT&amp;T facility or an AT&amp;T IT Sourcing approved facility.</w:t>
      </w:r>
    </w:p>
    <w:p>
      <w:pPr>
        <w:spacing w:after="0" w:line="75" w:lineRule="exact"/>
        <w:rPr>
          <w:rFonts w:ascii="Arial" w:cs="Arial" w:eastAsia="Arial" w:hAnsi="Arial"/>
          <w:sz w:val="18"/>
          <w:szCs w:val="18"/>
          <w:color w:val="auto"/>
        </w:rPr>
      </w:pPr>
    </w:p>
    <w:p>
      <w:pPr>
        <w:jc w:val="both"/>
        <w:ind w:left="1400" w:right="280" w:hanging="567"/>
        <w:spacing w:after="0" w:line="264" w:lineRule="auto"/>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Software licenses provided and / or purchased by AT&amp;T for a Project for Use by Supplier Personnel, shall remain the property of AT&amp;T and be returned to AT&amp;T at end of the Term, Cancellation or Termination of the Work Order and / or this Agreement. Licenses will also be returned as any Supplier Personnel roll off any Project.</w:t>
      </w:r>
    </w:p>
    <w:p>
      <w:pPr>
        <w:spacing w:after="0" w:line="86" w:lineRule="exact"/>
        <w:rPr>
          <w:rFonts w:ascii="Arial" w:cs="Arial" w:eastAsia="Arial" w:hAnsi="Arial"/>
          <w:sz w:val="18"/>
          <w:szCs w:val="18"/>
          <w:color w:val="auto"/>
        </w:rPr>
      </w:pPr>
    </w:p>
    <w:p>
      <w:pPr>
        <w:ind w:left="1400" w:right="160" w:hanging="567"/>
        <w:spacing w:after="0" w:line="286" w:lineRule="auto"/>
        <w:tabs>
          <w:tab w:leader="none" w:pos="14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Hardware or memory upgrades provided and / or purchased by AT&amp;T for a Project for Use by Supplier Personnel, shall remain the property of AT&amp;T and be returned to AT&amp;T at end of the Term, Cancellation or Termination of the Work Order and or this Agreement. Hardware and / or memory will also be returned as any Supplier Personnel roll off any Project.</w:t>
      </w:r>
    </w:p>
    <w:p>
      <w:pPr>
        <w:spacing w:after="0" w:line="70" w:lineRule="exact"/>
        <w:rPr>
          <w:rFonts w:ascii="Arial" w:cs="Arial" w:eastAsia="Arial" w:hAnsi="Arial"/>
          <w:sz w:val="17"/>
          <w:szCs w:val="17"/>
          <w:color w:val="auto"/>
        </w:rPr>
      </w:pPr>
    </w:p>
    <w:p>
      <w:pPr>
        <w:ind w:left="1400" w:right="280" w:hanging="567"/>
        <w:spacing w:after="0" w:line="277" w:lineRule="auto"/>
        <w:tabs>
          <w:tab w:leader="none" w:pos="1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Supplier will be responsible for tracking any Software licenses and or Hardware provided and or purchased by AT&amp;T for a Project for use by the Supplier Personnel including the date received and the date returned to AT&amp;T.</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274" w:right="239" w:bottom="1440" w:gutter="0" w:footer="0" w:header="0"/>
        </w:sectPr>
      </w:pPr>
    </w:p>
    <w:bookmarkStart w:id="149" w:name="page150"/>
    <w:bookmarkEnd w:id="14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02026713 in all other respects remain unmodified and in full force and effect.</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Agreement No. 02026713 to be executed, which may be in duplicate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will be deemed to be an original instrument, as of the date the last Party signs.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Amdocs, Inc.</w:t>
            </w:r>
          </w:p>
        </w:tc>
        <w:tc>
          <w:tcPr>
            <w:tcW w:w="4200" w:type="dxa"/>
            <w:vAlign w:val="bottom"/>
          </w:tcPr>
          <w:p>
            <w:pPr>
              <w:spacing w:after="0"/>
              <w:rPr>
                <w:sz w:val="20"/>
                <w:szCs w:val="20"/>
                <w:color w:val="auto"/>
              </w:rPr>
            </w:pPr>
          </w:p>
        </w:tc>
        <w:tc>
          <w:tcPr>
            <w:tcW w:w="5780" w:type="dxa"/>
            <w:vAlign w:val="bottom"/>
            <w:gridSpan w:val="5"/>
          </w:tcPr>
          <w:p>
            <w:pPr>
              <w:ind w:left="3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/s/ John J. Horgan</w:t>
            </w:r>
          </w:p>
        </w:tc>
        <w:tc>
          <w:tcPr>
            <w:tcW w:w="780" w:type="dxa"/>
            <w:vAlign w:val="bottom"/>
          </w:tcPr>
          <w:p>
            <w:pPr>
              <w:ind w:left="300"/>
              <w:spacing w:after="0"/>
              <w:rPr>
                <w:sz w:val="20"/>
                <w:szCs w:val="20"/>
                <w:color w:val="auto"/>
              </w:rPr>
            </w:pPr>
            <w:r>
              <w:rPr>
                <w:rFonts w:ascii="Arial" w:cs="Arial" w:eastAsia="Arial" w:hAnsi="Arial"/>
                <w:sz w:val="18"/>
                <w:szCs w:val="18"/>
                <w:color w:val="auto"/>
              </w:rPr>
              <w:t>By:</w:t>
            </w:r>
          </w:p>
        </w:tc>
        <w:tc>
          <w:tcPr>
            <w:tcW w:w="5000" w:type="dxa"/>
            <w:vAlign w:val="bottom"/>
            <w:gridSpan w:val="4"/>
          </w:tcPr>
          <w:p>
            <w:pPr>
              <w:ind w:left="80"/>
              <w:spacing w:after="0"/>
              <w:rPr>
                <w:sz w:val="20"/>
                <w:szCs w:val="20"/>
                <w:color w:val="auto"/>
              </w:rPr>
            </w:pPr>
            <w:r>
              <w:rPr>
                <w:rFonts w:ascii="Arial" w:cs="Arial" w:eastAsia="Arial" w:hAnsi="Arial"/>
                <w:sz w:val="18"/>
                <w:szCs w:val="18"/>
                <w:color w:val="auto"/>
              </w:rPr>
              <w:t>/s/ Beverly J. Madsen</w:t>
            </w: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r>
      <w:tr>
        <w:trPr>
          <w:trHeight w:val="331"/>
        </w:trPr>
        <w:tc>
          <w:tcPr>
            <w:tcW w:w="126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4200" w:type="dxa"/>
            <w:vAlign w:val="bottom"/>
          </w:tcPr>
          <w:p>
            <w:pPr>
              <w:ind w:left="220"/>
              <w:spacing w:after="0"/>
              <w:rPr>
                <w:sz w:val="20"/>
                <w:szCs w:val="20"/>
                <w:color w:val="auto"/>
              </w:rPr>
            </w:pPr>
            <w:r>
              <w:rPr>
                <w:rFonts w:ascii="Arial" w:cs="Arial" w:eastAsia="Arial" w:hAnsi="Arial"/>
                <w:sz w:val="18"/>
                <w:szCs w:val="18"/>
                <w:color w:val="auto"/>
              </w:rPr>
              <w:t>John J. Horgan</w:t>
            </w:r>
          </w:p>
        </w:tc>
        <w:tc>
          <w:tcPr>
            <w:tcW w:w="1560" w:type="dxa"/>
            <w:vAlign w:val="bottom"/>
            <w:gridSpan w:val="4"/>
          </w:tcPr>
          <w:p>
            <w:pPr>
              <w:ind w:left="300"/>
              <w:spacing w:after="0"/>
              <w:rPr>
                <w:sz w:val="20"/>
                <w:szCs w:val="20"/>
                <w:color w:val="auto"/>
              </w:rPr>
            </w:pPr>
            <w:r>
              <w:rPr>
                <w:rFonts w:ascii="Arial" w:cs="Arial" w:eastAsia="Arial" w:hAnsi="Arial"/>
                <w:sz w:val="18"/>
                <w:szCs w:val="18"/>
                <w:color w:val="auto"/>
              </w:rPr>
              <w:t>Printed Name:</w:t>
            </w:r>
          </w:p>
        </w:tc>
        <w:tc>
          <w:tcPr>
            <w:tcW w:w="4220" w:type="dxa"/>
            <w:vAlign w:val="bottom"/>
          </w:tcPr>
          <w:p>
            <w:pPr>
              <w:ind w:left="220"/>
              <w:spacing w:after="0"/>
              <w:rPr>
                <w:sz w:val="20"/>
                <w:szCs w:val="20"/>
                <w:color w:val="auto"/>
              </w:rPr>
            </w:pPr>
            <w:r>
              <w:rPr>
                <w:rFonts w:ascii="Arial" w:cs="Arial" w:eastAsia="Arial" w:hAnsi="Arial"/>
                <w:sz w:val="18"/>
                <w:szCs w:val="18"/>
                <w:color w:val="auto"/>
              </w:rPr>
              <w:t>Beverly J. Madsen</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President - Administrative Operations, North America</w:t>
            </w:r>
          </w:p>
        </w:tc>
        <w:tc>
          <w:tcPr>
            <w:tcW w:w="780" w:type="dxa"/>
            <w:vAlign w:val="bottom"/>
          </w:tcPr>
          <w:p>
            <w:pPr>
              <w:ind w:left="30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Associate Director- Strategic Sourcing</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60" w:type="dxa"/>
            <w:vAlign w:val="bottom"/>
          </w:tcPr>
          <w:p>
            <w:pPr>
              <w:spacing w:after="0"/>
              <w:rPr>
                <w:sz w:val="24"/>
                <w:szCs w:val="24"/>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27, 2006</w:t>
            </w:r>
          </w:p>
        </w:tc>
        <w:tc>
          <w:tcPr>
            <w:tcW w:w="780" w:type="dxa"/>
            <w:vAlign w:val="bottom"/>
          </w:tcPr>
          <w:p>
            <w:pPr>
              <w:ind w:left="300"/>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27, 2006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6.5 – Background Check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7 pages were omitted. [**]</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 - Confidentiality and Invention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INVENTION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This Agreement (“Agreement”) dated</w:t>
            </w:r>
          </w:p>
        </w:tc>
        <w:tc>
          <w:tcPr>
            <w:tcW w:w="8120" w:type="dxa"/>
            <w:vAlign w:val="bottom"/>
            <w:gridSpan w:val="4"/>
          </w:tcPr>
          <w:p>
            <w:pPr>
              <w:ind w:left="500"/>
              <w:spacing w:after="0"/>
              <w:rPr>
                <w:sz w:val="20"/>
                <w:szCs w:val="20"/>
                <w:color w:val="auto"/>
              </w:rPr>
            </w:pPr>
            <w:r>
              <w:rPr>
                <w:rFonts w:ascii="Arial" w:cs="Arial" w:eastAsia="Arial" w:hAnsi="Arial"/>
                <w:sz w:val="18"/>
                <w:szCs w:val="18"/>
                <w:color w:val="auto"/>
              </w:rPr>
              <w:t>is made by the individual named below (“I” or “me”), who is engaged to perform work at</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[Insert name of AT&amp;T company that worker will be doing work for.]</w:t>
            </w:r>
          </w:p>
        </w:tc>
        <w:tc>
          <w:tcPr>
            <w:tcW w:w="3780" w:type="dxa"/>
            <w:vAlign w:val="bottom"/>
            <w:gridSpan w:val="2"/>
          </w:tcPr>
          <w:p>
            <w:pPr>
              <w:ind w:left="660"/>
              <w:spacing w:after="0"/>
              <w:rPr>
                <w:sz w:val="20"/>
                <w:szCs w:val="20"/>
                <w:color w:val="auto"/>
              </w:rPr>
            </w:pPr>
            <w:r>
              <w:rPr>
                <w:rFonts w:ascii="Arial" w:cs="Arial" w:eastAsia="Arial" w:hAnsi="Arial"/>
                <w:sz w:val="18"/>
                <w:szCs w:val="18"/>
                <w:color w:val="auto"/>
              </w:rPr>
              <w:t>(“AT&amp;T Company”), as a worker of</w:t>
            </w:r>
          </w:p>
        </w:tc>
        <w:tc>
          <w:tcPr>
            <w:tcW w:w="2100" w:type="dxa"/>
            <w:vAlign w:val="bottom"/>
          </w:tcPr>
          <w:p>
            <w:pPr>
              <w:ind w:left="480"/>
              <w:spacing w:after="0"/>
              <w:rPr>
                <w:sz w:val="20"/>
                <w:szCs w:val="20"/>
                <w:color w:val="auto"/>
              </w:rPr>
            </w:pPr>
            <w:r>
              <w:rPr>
                <w:rFonts w:ascii="Arial" w:cs="Arial" w:eastAsia="Arial" w:hAnsi="Arial"/>
                <w:sz w:val="18"/>
                <w:szCs w:val="18"/>
                <w:color w:val="auto"/>
                <w:w w:val="93"/>
              </w:rPr>
              <w:t>(“Supplier”) under the</w:t>
            </w:r>
          </w:p>
        </w:tc>
      </w:tr>
      <w:tr>
        <w:trPr>
          <w:trHeight w:val="190"/>
        </w:trPr>
        <w:tc>
          <w:tcPr>
            <w:tcW w:w="9240" w:type="dxa"/>
            <w:vAlign w:val="bottom"/>
            <w:gridSpan w:val="4"/>
          </w:tcPr>
          <w:p>
            <w:pPr>
              <w:spacing w:after="0" w:line="190" w:lineRule="exact"/>
              <w:rPr>
                <w:sz w:val="20"/>
                <w:szCs w:val="20"/>
                <w:color w:val="auto"/>
              </w:rPr>
            </w:pPr>
            <w:r>
              <w:rPr>
                <w:rFonts w:ascii="Arial" w:cs="Arial" w:eastAsia="Arial" w:hAnsi="Arial"/>
                <w:sz w:val="18"/>
                <w:szCs w:val="18"/>
                <w:color w:val="auto"/>
              </w:rPr>
              <w:t>terms and conditions of the agreement named below, between Supplier and &lt;!AT&amp;T!&gt;.</w:t>
            </w:r>
          </w:p>
        </w:tc>
        <w:tc>
          <w:tcPr>
            <w:tcW w:w="2100" w:type="dxa"/>
            <w:vAlign w:val="bottom"/>
          </w:tcPr>
          <w:p>
            <w:pPr>
              <w:spacing w:after="0"/>
              <w:rPr>
                <w:sz w:val="16"/>
                <w:szCs w:val="16"/>
                <w:color w:val="auto"/>
              </w:rPr>
            </w:pPr>
          </w:p>
        </w:tc>
      </w:tr>
      <w:tr>
        <w:trPr>
          <w:trHeight w:val="20"/>
        </w:trPr>
        <w:tc>
          <w:tcPr>
            <w:tcW w:w="3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373"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21"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 have been engaged by Supplier to provide services to AT&amp;T Company. I may be hired by Supplier as a full or part-time employee, a temporary worker, or as an independent contractor</w:t>
      </w:r>
    </w:p>
    <w:p>
      <w:pPr>
        <w:spacing w:after="0" w:line="315" w:lineRule="exact"/>
        <w:rPr>
          <w:sz w:val="20"/>
          <w:szCs w:val="20"/>
          <w:color w:val="auto"/>
        </w:rPr>
      </w:pPr>
    </w:p>
    <w:p>
      <w:pPr>
        <w:ind w:left="460" w:right="40" w:hanging="452"/>
        <w:spacing w:after="0" w:line="289" w:lineRule="auto"/>
        <w:tabs>
          <w:tab w:leader="none" w:pos="46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w:t>
      </w:r>
      <w:r>
        <w:rPr>
          <w:rFonts w:ascii="Arial" w:cs="Arial" w:eastAsia="Arial" w:hAnsi="Arial"/>
          <w:sz w:val="16"/>
          <w:szCs w:val="16"/>
          <w:color w:val="auto"/>
        </w:rPr>
        <w:t>I agree and understand that the term “Information” means any technical, customer or business information in written, graphical,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tangible or intangible forms, including but not limited to, specifications, records, data, computer programs, tax returns, tax workpapers, drawings, models and secrets which AT&amp;T Company may have in its possession or be legally obligated to keep confidential. I understand that during the course of my work at AT&amp;T Company, I may have access to Information that belongs to AT&amp;T Company, its customers or other parties, or may be subject to privacy laws and laws regarding secrecy of communications, and that unauthorized disclosure of such Information may be harmful or prejudicial to the interests of AT&amp;T Company. I agree not to disclose, copy, publish, or any way use, directly or indirectly, such Information for my purposes or the purposes of others, unless such disclosure or use is expressly authorized in writing by AT&amp;T Company. I agree to keep such Information in a secure environment to prevent the inadvertent disclosure of such Information to others. I acknowledge and agree that all such Information remains the exclusive property of AT&amp;T Company and I agree not to remove such Information from AT&amp;T Company’s possession or premises by physical removal or electronic transmission unless I have written authorization from AT&amp;T Company to do so.</w:t>
      </w:r>
    </w:p>
    <w:p>
      <w:pPr>
        <w:spacing w:after="0" w:line="310"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Innovations</w:t>
      </w:r>
    </w:p>
    <w:p>
      <w:pPr>
        <w:spacing w:after="0" w:line="135" w:lineRule="exact"/>
        <w:rPr>
          <w:sz w:val="20"/>
          <w:szCs w:val="20"/>
          <w:color w:val="auto"/>
        </w:rPr>
      </w:pPr>
    </w:p>
    <w:p>
      <w:pPr>
        <w:ind w:left="460" w:right="20" w:hanging="452"/>
        <w:spacing w:after="0" w:line="255"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understand that during and incident to my work at AT&amp;T Company, I may create inventions, discoveries, improvements, computer or other apparatus programs, and related documentation and other works of authorship (“Innovations”), whether or not patentable, copyrightable, or subject to other forms of legal protection. I assign to AT&amp;T Company all of my rights, title and interest (including rights in copyright) in and to all Innovations I make, create or develop, either solely or jointly with others, during my work at AT&amp;T Company for which Supplier was paid by AT&amp;T Company for my work or for which I used AT&amp;T Company’s materials or facilities. I agree that the above assignment is binding upon my estate, administrators, or other legal representatives or assigns.</w:t>
      </w:r>
    </w:p>
    <w:p>
      <w:pPr>
        <w:spacing w:after="0" w:line="98"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agree to promptly notify AT&amp;T Company of all such Innovations. Whenever requested by AT&amp;T Company, I shall promptly execute, without additional compensation, any and all instruments which AT&amp;T Company may deem necessary to assign and convey to AT&amp;T Company all of my rights, title and interest in and to all such Innovations. In addition, I agree to assist AT&amp;T Company in preparing copyright or patent applications and to execute such applications and all documents required to obtain copyrights or patents for such Innovation, all at AT&amp;T Company’s expense including compensation to me at the rates specified in the agreement named below. I agree that my obligation to execute such instruments shall continue after the expiration of my work with AT&amp;T Company.</w:t>
      </w:r>
    </w:p>
    <w:p>
      <w:pPr>
        <w:spacing w:after="0" w:line="98" w:lineRule="exact"/>
        <w:rPr>
          <w:rFonts w:ascii="Arial" w:cs="Arial" w:eastAsia="Arial" w:hAnsi="Arial"/>
          <w:sz w:val="18"/>
          <w:szCs w:val="18"/>
          <w:color w:val="auto"/>
        </w:rPr>
      </w:pPr>
    </w:p>
    <w:p>
      <w:pPr>
        <w:ind w:left="460" w:right="160" w:hanging="452"/>
        <w:spacing w:after="0" w:line="271"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THIS AGREEMENT DOES NOT APPLY TO ANY INVENTION MADE IN THE STATE OF KANSAS FOR WHICH NO EQUIPMENT, SUPPLIES, FACILITIES OR TRADE SECRET INFORMATION OF AT&amp;T COMPANY WAS USED AND WHICH WAS DEVELOPED ENTIRELEY ON MY OWN TIME, UNLESS (1) THE INVENTION RELATES TO THE BUSINESS OF THE AT&amp;T COMPANY OR THE AT&amp;T COMPANY’S ACTUAL OR DEMONSTRABLY ANTICIPATED RESEARCH OR DEVELOPMENT OR (2) THE INVENTION RESULTS FROM ANY WORK PERFORMED BY ME FOR AT&amp;T COMPANY. THIS AGREEMENT DOES NOT APPLY TO AN INVENTION MADE IN CALIFORNIA WHICH QUALIFIES FULLY UNDER THE PROVISIONS OF CALIFORNIA LABOR CODE SECTION 2870. Section III, Paragraphs 1 and 2 do not apply to any Innovation which, under the provisions in the Agreement named below, is to be other than the sole and exclusive property of AT&amp;T Company; the title provisions of said agreement apply to any such above Innovation.</w:t>
      </w:r>
    </w:p>
    <w:p>
      <w:pPr>
        <w:sectPr>
          <w:pgSz w:w="11900" w:h="16838" w:orient="portrait"/>
          <w:cols w:equalWidth="0" w:num="1">
            <w:col w:w="11420"/>
          </w:cols>
          <w:pgMar w:left="240" w:top="274" w:right="239" w:bottom="1440" w:gutter="0" w:footer="0" w:header="0"/>
        </w:sectPr>
      </w:pPr>
    </w:p>
    <w:bookmarkStart w:id="152" w:name="page153"/>
    <w:bookmarkEnd w:id="152"/>
    <w:p>
      <w:pPr>
        <w:spacing w:after="0"/>
        <w:tabs>
          <w:tab w:leader="none" w:pos="440" w:val="left"/>
        </w:tabs>
        <w:rPr>
          <w:sz w:val="20"/>
          <w:szCs w:val="20"/>
          <w:color w:val="auto"/>
        </w:rPr>
      </w:pPr>
      <w:r>
        <w:rPr>
          <w:rFonts w:ascii="Arial" w:cs="Arial" w:eastAsia="Arial" w:hAnsi="Arial"/>
          <w:sz w:val="18"/>
          <w:szCs w:val="18"/>
          <w:b w:val="1"/>
          <w:bCs w:val="1"/>
          <w:color w:val="auto"/>
        </w:rPr>
        <w:t>IV.</w:t>
        <w:tab/>
        <w:t>Administrative Terms</w:t>
      </w:r>
    </w:p>
    <w:p>
      <w:pPr>
        <w:spacing w:after="0" w:line="135" w:lineRule="exact"/>
        <w:rPr>
          <w:sz w:val="20"/>
          <w:szCs w:val="20"/>
          <w:color w:val="auto"/>
        </w:rPr>
      </w:pPr>
    </w:p>
    <w:p>
      <w:pPr>
        <w:ind w:left="900" w:right="16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shall be effective as of the date executed below, and shall remain in effect notwithstanding my termination of employment with Supplier or termination of my work at AT&amp;T Company.</w:t>
      </w:r>
    </w:p>
    <w:p>
      <w:pPr>
        <w:spacing w:after="0" w:line="75"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4"/>
          </w:tcPr>
          <w:p>
            <w:pPr>
              <w:spacing w:after="0"/>
              <w:rPr>
                <w:sz w:val="20"/>
                <w:szCs w:val="20"/>
                <w:color w:val="auto"/>
              </w:rPr>
            </w:pPr>
            <w:r>
              <w:rPr>
                <w:rFonts w:ascii="Arial" w:cs="Arial" w:eastAsia="Arial" w:hAnsi="Arial"/>
                <w:sz w:val="18"/>
                <w:szCs w:val="18"/>
                <w:color w:val="auto"/>
                <w:w w:val="96"/>
              </w:rPr>
              <w:t>I have read, understand and agree to abide by this Agreement.</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3"/>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gridSpan w:val="3"/>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372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Social Security Number:</w:t>
            </w:r>
          </w:p>
        </w:tc>
        <w:tc>
          <w:tcPr>
            <w:tcW w:w="3300" w:type="dxa"/>
            <w:vAlign w:val="bottom"/>
            <w:tcBorders>
              <w:bottom w:val="single" w:sz="8" w:color="auto"/>
            </w:tcBorders>
            <w:gridSpan w:val="2"/>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72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439"/>
        </w:trPr>
        <w:tc>
          <w:tcPr>
            <w:tcW w:w="3560" w:type="dxa"/>
            <w:vAlign w:val="bottom"/>
            <w:gridSpan w:val="3"/>
          </w:tcPr>
          <w:p>
            <w:pPr>
              <w:spacing w:after="0"/>
              <w:rPr>
                <w:sz w:val="20"/>
                <w:szCs w:val="20"/>
                <w:color w:val="auto"/>
              </w:rPr>
            </w:pPr>
            <w:r>
              <w:rPr>
                <w:rFonts w:ascii="Arial" w:cs="Arial" w:eastAsia="Arial" w:hAnsi="Arial"/>
                <w:sz w:val="18"/>
                <w:szCs w:val="18"/>
                <w:color w:val="auto"/>
                <w:w w:val="94"/>
              </w:rPr>
              <w:t>Agreement No. between Supplier and &lt;!ATT!&gt;:</w:t>
            </w:r>
          </w:p>
        </w:tc>
        <w:tc>
          <w:tcPr>
            <w:tcW w:w="1300" w:type="dxa"/>
            <w:vAlign w:val="bottom"/>
            <w:tcBorders>
              <w:bottom w:val="single" w:sz="8" w:color="auto"/>
            </w:tcBorders>
          </w:tcPr>
          <w:p>
            <w:pPr>
              <w:spacing w:after="0"/>
              <w:rPr>
                <w:sz w:val="24"/>
                <w:szCs w:val="24"/>
                <w:color w:val="auto"/>
              </w:rPr>
            </w:pP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rPr>
              <w:t>Effective Date:</w:t>
            </w:r>
          </w:p>
        </w:tc>
        <w:tc>
          <w:tcPr>
            <w:tcW w:w="2540" w:type="dxa"/>
            <w:vAlign w:val="bottom"/>
            <w:tcBorders>
              <w:bottom w:val="single" w:sz="8" w:color="auto"/>
            </w:tcBorders>
            <w:gridSpan w:val="3"/>
          </w:tcPr>
          <w:p>
            <w:pPr>
              <w:spacing w:after="0"/>
              <w:rPr>
                <w:sz w:val="24"/>
                <w:szCs w:val="24"/>
                <w:color w:val="auto"/>
              </w:rPr>
            </w:pPr>
          </w:p>
        </w:tc>
        <w:tc>
          <w:tcPr>
            <w:tcW w:w="2480" w:type="dxa"/>
            <w:vAlign w:val="bottom"/>
          </w:tcPr>
          <w:p>
            <w:pPr>
              <w:spacing w:after="0"/>
              <w:rPr>
                <w:sz w:val="24"/>
                <w:szCs w:val="24"/>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8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Exhibit G - </w:t>
      </w:r>
      <w:r>
        <w:rPr>
          <w:rFonts w:ascii="Arial" w:cs="Arial" w:eastAsia="Arial" w:hAnsi="Arial"/>
          <w:sz w:val="18"/>
          <w:szCs w:val="18"/>
          <w:b w:val="1"/>
          <w:bCs w:val="1"/>
          <w:u w:val="single" w:color="auto"/>
          <w:color w:val="auto"/>
        </w:rPr>
        <w:t>Non Disclosure Agreement Concerning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Encryption Software/Technology Exported from the United States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 enter into this nondisclosure agreement with Amdocs, Inc. (“Amdocs”), in connection with its work on behalf of AT&amp;T Services, Inc., formerly known as SBC Services, Inc. (“SBC”), collectively (AT&amp;T), and agree to be bound by the following:</w:t>
      </w:r>
    </w:p>
    <w:p>
      <w:pPr>
        <w:spacing w:after="0" w:line="7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understand that I may be assigned to perform software development and maintenance work under a contract between Amdocs and AT&amp;T.</w:t>
      </w:r>
    </w:p>
    <w:p>
      <w:pPr>
        <w:spacing w:after="0" w:line="142" w:lineRule="exact"/>
        <w:rPr>
          <w:rFonts w:ascii="Arial" w:cs="Arial" w:eastAsia="Arial" w:hAnsi="Arial"/>
          <w:sz w:val="17"/>
          <w:szCs w:val="17"/>
          <w:color w:val="auto"/>
        </w:rPr>
      </w:pPr>
    </w:p>
    <w:p>
      <w:pPr>
        <w:ind w:left="900" w:right="80" w:hanging="446"/>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 understand that under this contract I may have access to certain encryption software and technology. This software/technology may be exported from the United States in accordance with the U.S. Export Administration Regulations. Diversion contrary to U.S. law is prohibited.</w:t>
      </w:r>
    </w:p>
    <w:p>
      <w:pPr>
        <w:spacing w:after="0" w:line="29"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understand my employer Amdocs and AT&amp;T have an agreement concerning the ownership of the intellectual property rights to any software and technology provided by either party under this contract referenced in paragraph 1, as well as any software and technology that may be developed pursuant to such contract, and that my access to and use of the software and technology is exclusively for the internal company use of AT&amp;T, including development of new software, services or products for AT&amp;T.</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will not re-export, re-transfer or otherwise disclose to any third party the software and technology provided to me by AT&amp;T without the prior written consent of AT&amp;T, including after the completion of my contractual duties.</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am not a citizen or lawful permanent resident of any country currently subject to Anti-Terrorism export controls under the U.S. Export Administration Regulations, which currently are designated in Country Group E:1 on the attached list.</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Under the penalties of perjury provided by law, I declare that I have examined this document, and to the best of my knowledge and belief, it is true, correct, and complete. I understand that my commitments above are made for the benefit of AT&amp;T, as well as Amdocs. I also understand that my failure to comply with my commitments above may result in my removal from all current and future work performed under contract with AT&amp;T, as well as potential legal action by the US Government agencies charged with enforcing US export control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 Export Administration Regulations – Commerce Control Chart. See the pages following</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 - Disaster Recovery and Business Continuity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Amdocs BCP/DRP Summary</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Amdocs is a global company with development centers located around the world. At Amdocs, we are totally committed to providing the best possible products and services to our customers, and our commitment includes the ability to continue providing those products and services in the event of a major catastrophe at one of our development centers.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global presence inherently supports the BCP concept. All BCP/DRP operations world-wide are coordinated by a dedicated corporate BCP/DRP team.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Since all of our development centers are interconnected, in the event of a major catastrophe, employees from damaged locations can relocate to alternate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Amdocs facilities—in the same region or another region, depending on the situation—to continue supporting customer operations.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DRP strategy is based on ongoing replication of data to other Amdocs facilities, allowing full recovery of data from damaged sites and ensuring our capability to fully restore the damaged environment. Amdocs data centers are remotely monitored 24 x 7 x 365 and supported by technical professionals spread across the globe. In addition to DRP preparations, backups are performed on a daily basis, and tapes are tested and shipped to off-site storage facilities on a regular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BCP/DRP plans are regularly tested and updated as needed to comply with changes in technologies and business needs.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size of the company and the level of expertise across sites allow Amdocs, in case of a catastrophic event, to send development, operational, and technical reinforcement teams to customer sites to provide support and resolve issues following a disaster. In addition, other professional groups can be sent to assist and reinforce disaster recovery personnel. This allows Amdocs to provide ongoing support to our customers in a disaster situation until normal operations can resume.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alternate BCP/DRP destinations for the Amdocs sites currently supporting AT&amp;T.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Raanana</w:t>
            </w:r>
          </w:p>
        </w:tc>
        <w:tc>
          <w:tcPr>
            <w:tcW w:w="336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Hod Hasharon</w:t>
            </w:r>
          </w:p>
        </w:tc>
        <w:tc>
          <w:tcPr>
            <w:tcW w:w="336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Negev</w:t>
            </w:r>
          </w:p>
        </w:tc>
        <w:tc>
          <w:tcPr>
            <w:tcW w:w="336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b w:val="1"/>
                <w:bCs w:val="1"/>
                <w:color w:val="auto"/>
              </w:rPr>
              <w:t>Cyprus / Maritime</w:t>
            </w:r>
          </w:p>
        </w:tc>
        <w:tc>
          <w:tcPr>
            <w:tcW w:w="336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India / Magarpatta</w:t>
            </w:r>
          </w:p>
        </w:tc>
        <w:tc>
          <w:tcPr>
            <w:tcW w:w="3360" w:type="dxa"/>
            <w:vAlign w:val="bottom"/>
          </w:tcPr>
          <w:p>
            <w:pPr>
              <w:jc w:val="right"/>
              <w:ind w:right="16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02026713.A.005</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27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Amendment No. 5,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w:t>
      </w:r>
      <w:r>
        <w:rPr>
          <w:rFonts w:ascii="Arial" w:cs="Arial" w:eastAsia="Arial" w:hAnsi="Arial"/>
          <w:sz w:val="18"/>
          <w:szCs w:val="18"/>
          <w:b w:val="1"/>
          <w:bCs w:val="1"/>
          <w:color w:val="auto"/>
        </w:rPr>
        <w:t xml:space="preserve"> </w:t>
      </w:r>
      <w:r>
        <w:rPr>
          <w:rFonts w:ascii="Arial" w:cs="Arial" w:eastAsia="Arial" w:hAnsi="Arial"/>
          <w:sz w:val="18"/>
          <w:szCs w:val="18"/>
          <w:color w:val="auto"/>
        </w:rPr>
        <w:t>2003, as amended by Amendment No. 1 effective December 19, 2003, as amended by Amendment No. 2 effective January 10, 2005, as amended by Amendment No. 3 effective December 15, 2005, and as further amended by Amendment No. 4 effective September 27, 2006 (collectively, the “Agreement”); and</w:t>
      </w:r>
    </w:p>
    <w:p>
      <w:pPr>
        <w:spacing w:after="0" w:line="180"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03032360-2 pursuant to which AT&amp;T has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obtain a license to use Amdocs’ Software;</w:t>
      </w:r>
    </w:p>
    <w:p>
      <w:pPr>
        <w:spacing w:after="0" w:line="162"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may desire Amdocs to implement customizations to such Software and other Software previously licensed by Amdocs to AT&amp;T,</w:t>
      </w:r>
      <w:r>
        <w:rPr>
          <w:rFonts w:ascii="Arial" w:cs="Arial" w:eastAsia="Arial" w:hAnsi="Arial"/>
          <w:sz w:val="17"/>
          <w:szCs w:val="17"/>
          <w:b w:val="1"/>
          <w:bCs w:val="1"/>
          <w:color w:val="auto"/>
        </w:rPr>
        <w:t xml:space="preserve"> </w:t>
      </w:r>
      <w:r>
        <w:rPr>
          <w:rFonts w:ascii="Arial" w:cs="Arial" w:eastAsia="Arial" w:hAnsi="Arial"/>
          <w:sz w:val="17"/>
          <w:szCs w:val="17"/>
          <w:color w:val="auto"/>
        </w:rPr>
        <w:t>and to provide other Services relating to such Software pursuant to the terms and conditions of the Agreement as amended herein; and</w:t>
      </w:r>
    </w:p>
    <w:p>
      <w:pPr>
        <w:spacing w:after="0" w:line="138"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Amdocs desires to implement customizations to the Software and provide other Services relating to such Software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Agreement as amended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TABLE OF CONTENTS, APPENDICES AND EXHIBITS </w:t>
      </w:r>
      <w:r>
        <w:rPr>
          <w:rFonts w:ascii="Arial" w:cs="Arial" w:eastAsia="Arial" w:hAnsi="Arial"/>
          <w:sz w:val="18"/>
          <w:szCs w:val="18"/>
          <w:color w:val="auto"/>
        </w:rPr>
        <w:t>is hereby amended in accordance with the following:</w:t>
      </w:r>
    </w:p>
    <w:p>
      <w:pPr>
        <w:sectPr>
          <w:pgSz w:w="11900" w:h="16838" w:orient="portrait"/>
          <w:cols w:equalWidth="0" w:num="1">
            <w:col w:w="11420"/>
          </w:cols>
          <w:pgMar w:left="240" w:top="274" w:right="239" w:bottom="1440" w:gutter="0" w:footer="0" w:header="0"/>
        </w:sectPr>
      </w:pP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Delete: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Exhibit G – Software/Technology Nondisclosure Agreement</w:t>
      </w:r>
    </w:p>
    <w:p>
      <w:pPr>
        <w:spacing w:after="0" w:line="140" w:lineRule="exact"/>
        <w:rPr>
          <w:sz w:val="20"/>
          <w:szCs w:val="20"/>
          <w:color w:val="auto"/>
        </w:rPr>
      </w:pPr>
    </w:p>
    <w:p>
      <w:pPr>
        <w:sectPr>
          <w:pgSz w:w="11900" w:h="16838" w:orient="portrait"/>
          <w:cols w:equalWidth="0" w:num="2">
            <w:col w:w="980" w:space="240"/>
            <w:col w:w="1020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Delete: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Appendix 6.5 Background Checks</w:t>
      </w:r>
    </w:p>
    <w:p>
      <w:pPr>
        <w:spacing w:after="0" w:line="140" w:lineRule="exact"/>
        <w:rPr>
          <w:sz w:val="20"/>
          <w:szCs w:val="20"/>
          <w:color w:val="auto"/>
        </w:rPr>
      </w:pPr>
    </w:p>
    <w:p>
      <w:pPr>
        <w:sectPr>
          <w:pgSz w:w="11900" w:h="16838" w:orient="portrait"/>
          <w:cols w:equalWidth="0" w:num="2">
            <w:col w:w="980" w:space="240"/>
            <w:col w:w="1020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Add: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Appendix 6.5(a) Background Checks – U.S., and Appendix 6.5(b) Background Checks – Non-U.S.</w:t>
      </w:r>
    </w:p>
    <w:p>
      <w:pPr>
        <w:spacing w:after="0" w:line="140" w:lineRule="exact"/>
        <w:rPr>
          <w:sz w:val="20"/>
          <w:szCs w:val="20"/>
          <w:color w:val="auto"/>
        </w:rPr>
      </w:pPr>
    </w:p>
    <w:p>
      <w:pPr>
        <w:sectPr>
          <w:pgSz w:w="11900" w:h="16838" w:orient="portrait"/>
          <w:cols w:equalWidth="0" w:num="2">
            <w:col w:w="820" w:space="400"/>
            <w:col w:w="1020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Add: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Appendix 7. 272 Compliance</w:t>
      </w:r>
    </w:p>
    <w:p>
      <w:pPr>
        <w:spacing w:after="0" w:line="176" w:lineRule="exact"/>
        <w:rPr>
          <w:sz w:val="20"/>
          <w:szCs w:val="20"/>
          <w:color w:val="auto"/>
        </w:rPr>
      </w:pPr>
    </w:p>
    <w:p>
      <w:pPr>
        <w:sectPr>
          <w:pgSz w:w="11900" w:h="16838" w:orient="portrait"/>
          <w:cols w:equalWidth="0" w:num="2">
            <w:col w:w="820" w:space="400"/>
            <w:col w:w="102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ARTICLE III — GENERAL TERMS 3.1 Affiliate is hereby amended to add the following paragraphs: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For the avoidance of doubt, Services provided under the Electronic Bill Payment Program (EBPP) Software Licenses and Services, Agreement</w:t>
      </w:r>
    </w:p>
    <w:p>
      <w:pPr>
        <w:spacing w:after="0" w:line="34"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20021218.4.C, dated April 28, 2003 between AT&amp;T Corp. and Amdocs Software Systems Limited are hereby incorporated under this Agreement. The EBPP application consists of Amdocs’ Licensed Software known as Amdocs Corporate Self Care along with custom code that Amdocs has delivered to AT&amp;T per Agreement Number 20021218.4.C.</w:t>
      </w:r>
    </w:p>
    <w:p>
      <w:pPr>
        <w:spacing w:after="0" w:line="82"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Agreement Number 20021218.4.C was terminated as of December 31, 2006 per Notice of Termination effective March 7, 2007. Upon the effective date of this Amendment, this change shall apply retroactively to January 1, 2007. The Parties further agree to ratify all past actions taken between the above-referenced Termination of Agreement Number 20021218.4.C and the date when this Amendment is effective.</w:t>
      </w:r>
    </w:p>
    <w:p>
      <w:pPr>
        <w:spacing w:after="0" w:line="57"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Additionally, for the avoidance of doubt, Services provided to AT&amp;T Mobility, LLC, under the draft Work Orders entered into between the parties from July 27, 2007, to the date of this Amendment No. 5 are hereby incorporated under this Agreement. The Parties further agree to ratify all past actions taken under the draft Work Orders between July 27, 2007 and the date when this Amendment No. 5 is effective.</w:t>
      </w:r>
    </w:p>
    <w:p>
      <w:pPr>
        <w:spacing w:after="0" w:line="8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ARTICLE III — GENERAL TERMS 3.1 Affiliate </w:t>
      </w:r>
      <w:r>
        <w:rPr>
          <w:rFonts w:ascii="Arial" w:cs="Arial" w:eastAsia="Arial" w:hAnsi="Arial"/>
          <w:sz w:val="17"/>
          <w:szCs w:val="17"/>
          <w:color w:val="auto"/>
        </w:rPr>
        <w:t>is hereby amended to delete the fifth sentence thereof and to replace it with the following:</w:t>
      </w:r>
    </w:p>
    <w:p>
      <w:pPr>
        <w:spacing w:after="0" w:line="133"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The parties expressly agree, however, that [**] under this Agreement [**] between the Parties, or any amendments or restatements of such agreement.</w:t>
      </w:r>
    </w:p>
    <w:p>
      <w:pPr>
        <w:spacing w:after="0" w:line="72" w:lineRule="exact"/>
        <w:rPr>
          <w:sz w:val="20"/>
          <w:szCs w:val="20"/>
          <w:color w:val="auto"/>
        </w:rPr>
      </w:pPr>
    </w:p>
    <w:p>
      <w:pPr>
        <w:ind w:left="460" w:right="340" w:hanging="452"/>
        <w:spacing w:after="0" w:line="383" w:lineRule="auto"/>
        <w:tabs>
          <w:tab w:leader="none" w:pos="449"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3.2 Amendments and Waivers, paragraph b </w:t>
      </w:r>
      <w:r>
        <w:rPr>
          <w:rFonts w:ascii="Arial" w:cs="Arial" w:eastAsia="Arial" w:hAnsi="Arial"/>
          <w:sz w:val="18"/>
          <w:szCs w:val="18"/>
          <w:color w:val="auto"/>
        </w:rPr>
        <w:t>is hereby amended to delete the following from this clause: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3.33 Title to Work, </w:t>
      </w:r>
      <w:r>
        <w:rPr>
          <w:rFonts w:ascii="Arial" w:cs="Arial" w:eastAsia="Arial" w:hAnsi="Arial"/>
          <w:sz w:val="18"/>
          <w:szCs w:val="18"/>
          <w:color w:val="auto"/>
        </w:rPr>
        <w:t>is hereby amended to add paragraph g as follows:</w:t>
      </w:r>
    </w:p>
    <w:p>
      <w:pPr>
        <w:spacing w:after="0" w:line="134" w:lineRule="exact"/>
        <w:rPr>
          <w:rFonts w:ascii="Arial" w:cs="Arial" w:eastAsia="Arial" w:hAnsi="Arial"/>
          <w:sz w:val="18"/>
          <w:szCs w:val="18"/>
          <w:b w:val="1"/>
          <w:bCs w:val="1"/>
          <w:color w:val="auto"/>
        </w:rPr>
      </w:pPr>
    </w:p>
    <w:p>
      <w:pPr>
        <w:ind w:left="900" w:right="260" w:hanging="446"/>
        <w:spacing w:after="0" w:line="259"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avoidance of doubt, the parties’ respective intellectual property rights in all Work provided by Supplier to AT&amp;T Mobility, LLC, formerly known as [**] (“AT&amp;T Mobility”) under all Work Orders and Statements of Work signed by Supplier and AT&amp;T Mobility, all licenses to Software granted to AT&amp;T Mobility, and all Maintenance Services ordered by AT&amp;T Mobility prior to July 27, 2007, shall be governed by the terms and conditions of the Master Agreement between Supplier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9" w:name="page160"/>
    <w:bookmarkEnd w:id="15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8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AT&amp;T [**] (including all applicable exhibits, annexes and amendments thereto). All such Software licenses shall apply only to [**]. In the event that [**] desires to order licenses to additional Software and/or additional Maintenance Services, the terms of such licenses and Maintenance Services shall be agreed to and specified in additional Orders under Agreement No. 03032360-2.</w:t>
      </w:r>
    </w:p>
    <w:p>
      <w:pPr>
        <w:spacing w:after="0" w:line="83"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3.8 Entire Agreement, first paragraph, last sentence </w:t>
      </w:r>
      <w:r>
        <w:rPr>
          <w:rFonts w:ascii="Arial" w:cs="Arial" w:eastAsia="Arial" w:hAnsi="Arial"/>
          <w:sz w:val="18"/>
          <w:szCs w:val="18"/>
          <w:color w:val="auto"/>
        </w:rPr>
        <w:t>is hereby amended to delete the following:</w:t>
      </w:r>
    </w:p>
    <w:p>
      <w:pPr>
        <w:spacing w:after="0" w:line="121"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and (ii) the MASTER AGREEMENT for SOFTWARE AND SERVICES between AMDOCS, INC. and [**] to be executed after completion of this Agreement.</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Section 3.15 Insurance </w:t>
      </w:r>
      <w:r>
        <w:rPr>
          <w:rFonts w:ascii="Arial" w:cs="Arial" w:eastAsia="Arial" w:hAnsi="Arial"/>
          <w:sz w:val="18"/>
          <w:szCs w:val="18"/>
          <w:color w:val="auto"/>
        </w:rPr>
        <w:t>is hereby deleted and replaced in its entirety with the following:</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3.15  Insurance.</w:t>
      </w:r>
    </w:p>
    <w:p>
      <w:pPr>
        <w:spacing w:after="0" w:line="134"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 respect to Amdocs’ performance under this Agreement, and in addition to Amdocs’ obligation to indemnify, Amdocs shall comply with this Section.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Amdocs shall maintain insurance coverages and limits required by this Section and any additional insurance and/or bonds required by law:</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at all times during the term of this Agreement and until completion of all Services associated with this Agreement, whichever is later; and</w:t>
      </w:r>
    </w:p>
    <w:p>
      <w:pPr>
        <w:spacing w:after="0" w:line="153" w:lineRule="exact"/>
        <w:rPr>
          <w:rFonts w:ascii="Arial" w:cs="Arial" w:eastAsia="Arial" w:hAnsi="Arial"/>
          <w:sz w:val="16"/>
          <w:szCs w:val="16"/>
          <w:color w:val="auto"/>
        </w:rPr>
      </w:pPr>
    </w:p>
    <w:p>
      <w:pPr>
        <w:ind w:left="1480" w:right="40" w:hanging="567"/>
        <w:spacing w:after="0" w:line="264" w:lineRule="auto"/>
        <w:tabs>
          <w:tab w:leader="none" w:pos="14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Amdocs shall require each Subcontractor that may perform Services under this Agreement or enter upon the AT&amp;T Facilities or Amdocs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92" w:lineRule="exact"/>
        <w:rPr>
          <w:rFonts w:ascii="Arial" w:cs="Arial" w:eastAsia="Arial" w:hAnsi="Arial"/>
          <w:sz w:val="18"/>
          <w:szCs w:val="18"/>
          <w:color w:val="auto"/>
        </w:rPr>
      </w:pPr>
    </w:p>
    <w:p>
      <w:pPr>
        <w:ind w:left="900" w:right="140" w:hanging="446"/>
        <w:spacing w:after="0" w:line="279" w:lineRule="auto"/>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Amdocs shall procure the required insurance from an insurance company eligible to do business in the state or states where Services will be performed and having and maintaining a Financial Strength Rating of “A-” or better and a Financial Size Category of “VII” or better, as rated in the A.M. Best Key Rating Guide for Property and Casualty Insurance Companies, except that, in the case of Workers’ Compensation insurance, Amdocs may procure insurance from the state fund of the state where Services are to be performed;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8" w:lineRule="exact"/>
        <w:rPr>
          <w:sz w:val="20"/>
          <w:szCs w:val="20"/>
          <w:color w:val="auto"/>
        </w:rPr>
      </w:pPr>
    </w:p>
    <w:p>
      <w:pPr>
        <w:ind w:left="820" w:hanging="446"/>
        <w:spacing w:after="0" w:line="264" w:lineRule="auto"/>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Amdocs shall deliver to AT&amp;T, certificates of insurance stating the types of insurance and policy limits, with a cancellation clause amended to read as follows: “The issuing company will endeavor to provide at least 30 days advance written notice of cancellation or non-renewal to AT&amp;T”. Amdocs shall deliver such certificates:</w:t>
      </w:r>
    </w:p>
    <w:p>
      <w:pPr>
        <w:spacing w:after="0" w:line="86" w:lineRule="exact"/>
        <w:rPr>
          <w:rFonts w:ascii="Arial" w:cs="Arial" w:eastAsia="Arial" w:hAnsi="Arial"/>
          <w:sz w:val="18"/>
          <w:szCs w:val="18"/>
          <w:color w:val="auto"/>
        </w:rPr>
      </w:pPr>
    </w:p>
    <w:p>
      <w:pPr>
        <w:ind w:left="1400" w:hanging="567"/>
        <w:spacing w:after="0"/>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prior to execution of this Agreement and prior to commencement of any Services;</w:t>
      </w:r>
    </w:p>
    <w:p>
      <w:pPr>
        <w:spacing w:after="0" w:line="130" w:lineRule="exact"/>
        <w:rPr>
          <w:rFonts w:ascii="Arial" w:cs="Arial" w:eastAsia="Arial" w:hAnsi="Arial"/>
          <w:sz w:val="18"/>
          <w:szCs w:val="18"/>
          <w:color w:val="auto"/>
        </w:rPr>
      </w:pPr>
    </w:p>
    <w:p>
      <w:pPr>
        <w:ind w:left="1400" w:hanging="567"/>
        <w:spacing w:after="0"/>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prior to expiration of any insurance policy required in this Section; and</w:t>
      </w:r>
    </w:p>
    <w:p>
      <w:pPr>
        <w:spacing w:after="0" w:line="130" w:lineRule="exact"/>
        <w:rPr>
          <w:rFonts w:ascii="Arial" w:cs="Arial" w:eastAsia="Arial" w:hAnsi="Arial"/>
          <w:sz w:val="18"/>
          <w:szCs w:val="18"/>
          <w:color w:val="auto"/>
        </w:rPr>
      </w:pPr>
    </w:p>
    <w:p>
      <w:pPr>
        <w:ind w:left="1400" w:right="440" w:hanging="567"/>
        <w:spacing w:after="0" w:line="277"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any coverage maintained on a “claims-made” policy, for two (2) years following the term of this Agreement or completion of all Services associated with this Agreement, whichever is later.</w:t>
      </w:r>
    </w:p>
    <w:p>
      <w:pPr>
        <w:spacing w:after="0" w:line="75" w:lineRule="exact"/>
        <w:rPr>
          <w:rFonts w:ascii="Arial" w:cs="Arial" w:eastAsia="Arial" w:hAnsi="Arial"/>
          <w:sz w:val="18"/>
          <w:szCs w:val="18"/>
          <w:color w:val="auto"/>
        </w:rPr>
      </w:pPr>
    </w:p>
    <w:p>
      <w:pPr>
        <w:ind w:left="820" w:hanging="446"/>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Parties agree:</w:t>
      </w:r>
    </w:p>
    <w:p>
      <w:pPr>
        <w:spacing w:after="0" w:line="130" w:lineRule="exact"/>
        <w:rPr>
          <w:rFonts w:ascii="Arial" w:cs="Arial" w:eastAsia="Arial" w:hAnsi="Arial"/>
          <w:sz w:val="18"/>
          <w:szCs w:val="18"/>
          <w:color w:val="auto"/>
        </w:rPr>
      </w:pPr>
    </w:p>
    <w:p>
      <w:pPr>
        <w:ind w:left="1400" w:right="80" w:hanging="567"/>
        <w:spacing w:after="0" w:line="277"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failure of AT&amp;T to demand such certificate of insurance or failure of AT&amp;T to identify a deficiency will not be construed as a waiver of Amdocs’ obligation to maintain the insurance required under this Agreement;</w:t>
      </w:r>
    </w:p>
    <w:p>
      <w:pPr>
        <w:spacing w:after="0" w:line="75" w:lineRule="exact"/>
        <w:rPr>
          <w:rFonts w:ascii="Arial" w:cs="Arial" w:eastAsia="Arial" w:hAnsi="Arial"/>
          <w:sz w:val="18"/>
          <w:szCs w:val="18"/>
          <w:color w:val="auto"/>
        </w:rPr>
      </w:pPr>
    </w:p>
    <w:p>
      <w:pPr>
        <w:ind w:left="1400" w:right="500" w:hanging="567"/>
        <w:spacing w:after="0" w:line="277"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the insurance required under this Agreement does not represent that coverage and limits will necessarily be adequate to protect Amdocs, nor be deemed as a limitation on Amdocs’ liability to AT&amp;T in this Agreement;</w:t>
      </w:r>
    </w:p>
    <w:p>
      <w:pPr>
        <w:spacing w:after="0" w:line="75" w:lineRule="exact"/>
        <w:rPr>
          <w:rFonts w:ascii="Arial" w:cs="Arial" w:eastAsia="Arial" w:hAnsi="Arial"/>
          <w:sz w:val="18"/>
          <w:szCs w:val="18"/>
          <w:color w:val="auto"/>
        </w:rPr>
      </w:pPr>
    </w:p>
    <w:p>
      <w:pPr>
        <w:ind w:left="1400" w:right="20" w:hanging="567"/>
        <w:spacing w:after="0" w:line="277"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Amdocs may meet the required insurance coverages and limits with any combination of primary and Umbrella/Excess liability insurance; and</w:t>
      </w:r>
    </w:p>
    <w:p>
      <w:pPr>
        <w:spacing w:after="0" w:line="75" w:lineRule="exact"/>
        <w:rPr>
          <w:rFonts w:ascii="Arial" w:cs="Arial" w:eastAsia="Arial" w:hAnsi="Arial"/>
          <w:sz w:val="18"/>
          <w:szCs w:val="18"/>
          <w:color w:val="auto"/>
        </w:rPr>
      </w:pPr>
    </w:p>
    <w:p>
      <w:pPr>
        <w:ind w:left="1400" w:hanging="567"/>
        <w:spacing w:after="0"/>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Amdocs is responsible for any deductible or self-insured retention.</w:t>
      </w:r>
    </w:p>
    <w:p>
      <w:pPr>
        <w:spacing w:after="0" w:line="130" w:lineRule="exact"/>
        <w:rPr>
          <w:rFonts w:ascii="Arial" w:cs="Arial" w:eastAsia="Arial" w:hAnsi="Arial"/>
          <w:sz w:val="18"/>
          <w:szCs w:val="18"/>
          <w:color w:val="auto"/>
        </w:rPr>
      </w:pPr>
    </w:p>
    <w:p>
      <w:pPr>
        <w:ind w:left="820" w:hanging="446"/>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insurance coverage required of Amdocs by this Section shall include:</w:t>
      </w:r>
    </w:p>
    <w:p>
      <w:pPr>
        <w:spacing w:after="0" w:line="130" w:lineRule="exact"/>
        <w:rPr>
          <w:rFonts w:ascii="Arial" w:cs="Arial" w:eastAsia="Arial" w:hAnsi="Arial"/>
          <w:sz w:val="18"/>
          <w:szCs w:val="18"/>
          <w:color w:val="auto"/>
        </w:rPr>
      </w:pPr>
    </w:p>
    <w:p>
      <w:pPr>
        <w:ind w:left="1400" w:right="540" w:hanging="567"/>
        <w:spacing w:after="0" w:line="277"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Workers’ Compensation insurance with benefits afforded under the laws of the state in which the Services are to be performed and Employers Liability insurance with minimum limits of:</w:t>
      </w:r>
    </w:p>
    <w:p>
      <w:pPr>
        <w:spacing w:after="0" w:line="6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$500,000 for Bodily Injury – each accident</w:t>
      </w:r>
    </w:p>
    <w:p>
      <w:pPr>
        <w:spacing w:after="0" w:line="117" w:lineRule="exact"/>
        <w:rPr>
          <w:rFonts w:ascii="Arial" w:cs="Arial" w:eastAsia="Arial" w:hAnsi="Arial"/>
          <w:sz w:val="18"/>
          <w:szCs w:val="18"/>
          <w:color w:val="auto"/>
        </w:rPr>
      </w:pPr>
    </w:p>
    <w:p>
      <w:pPr>
        <w:ind w:left="1420" w:right="5940"/>
        <w:spacing w:after="0" w:line="446" w:lineRule="auto"/>
        <w:rPr>
          <w:rFonts w:ascii="Arial" w:cs="Arial" w:eastAsia="Arial" w:hAnsi="Arial"/>
          <w:sz w:val="18"/>
          <w:szCs w:val="18"/>
          <w:color w:val="auto"/>
        </w:rPr>
      </w:pPr>
      <w:r>
        <w:rPr>
          <w:rFonts w:ascii="Arial" w:cs="Arial" w:eastAsia="Arial" w:hAnsi="Arial"/>
          <w:sz w:val="16"/>
          <w:szCs w:val="16"/>
          <w:color w:val="auto"/>
        </w:rPr>
        <w:t>$500,000 for Bodily Injury be disease – policy limits $500,000 for Bodily Injury by disease – each employee</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sectPr>
      </w:pPr>
    </w:p>
    <w:bookmarkStart w:id="161" w:name="page162"/>
    <w:bookmarkEnd w:id="16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ind w:left="1420" w:right="700"/>
        <w:spacing w:after="0" w:line="277" w:lineRule="auto"/>
        <w:rPr>
          <w:sz w:val="20"/>
          <w:szCs w:val="20"/>
          <w:color w:val="auto"/>
        </w:rPr>
      </w:pPr>
      <w:r>
        <w:rPr>
          <w:rFonts w:ascii="Arial" w:cs="Arial" w:eastAsia="Arial" w:hAnsi="Arial"/>
          <w:sz w:val="18"/>
          <w:szCs w:val="18"/>
          <w:color w:val="auto"/>
        </w:rPr>
        <w:t>To the fullest extent allowable by law, the policy must include a waiver of subrogation in favor of AT&amp;T, its Affiliates, and their directors, officers and employees.</w:t>
      </w:r>
    </w:p>
    <w:p>
      <w:pPr>
        <w:spacing w:after="0" w:line="62" w:lineRule="exact"/>
        <w:rPr>
          <w:sz w:val="20"/>
          <w:szCs w:val="20"/>
          <w:color w:val="auto"/>
        </w:rPr>
      </w:pPr>
    </w:p>
    <w:p>
      <w:pPr>
        <w:ind w:left="1420" w:right="240"/>
        <w:spacing w:after="0" w:line="277" w:lineRule="auto"/>
        <w:rPr>
          <w:sz w:val="20"/>
          <w:szCs w:val="20"/>
          <w:color w:val="auto"/>
        </w:rPr>
      </w:pPr>
      <w:r>
        <w:rPr>
          <w:rFonts w:ascii="Arial" w:cs="Arial" w:eastAsia="Arial" w:hAnsi="Arial"/>
          <w:sz w:val="18"/>
          <w:szCs w:val="18"/>
          <w:color w:val="auto"/>
        </w:rPr>
        <w:t>In states where Workers’ Compensation insurance is a monopolistic state-run system, Amdocs shall add Stop Gap Employers Liability with limits not less than $500,000 each accident or disease.</w:t>
      </w:r>
    </w:p>
    <w:p>
      <w:pPr>
        <w:spacing w:after="0" w:line="76" w:lineRule="exact"/>
        <w:rPr>
          <w:sz w:val="20"/>
          <w:szCs w:val="20"/>
          <w:color w:val="auto"/>
        </w:rPr>
      </w:pPr>
    </w:p>
    <w:p>
      <w:pPr>
        <w:ind w:left="1400" w:right="80" w:hanging="567"/>
        <w:spacing w:after="0" w:line="301" w:lineRule="auto"/>
        <w:tabs>
          <w:tab w:leader="none" w:pos="14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Insurance Services Office (ISO) Form CG 00 01 12 04 or a substitute form providing equivalent coverage, covering liability arising from premises, operations, personal injury, products/completed operations, and liability assumed under an insured contract (including the tort liability of another assumed in a business contract) with minimum limits of: $2,000,000 General Aggregate limit</w:t>
      </w:r>
    </w:p>
    <w:p>
      <w:pPr>
        <w:spacing w:after="0" w:line="42" w:lineRule="exact"/>
        <w:rPr>
          <w:rFonts w:ascii="Arial" w:cs="Arial" w:eastAsia="Arial" w:hAnsi="Arial"/>
          <w:sz w:val="18"/>
          <w:szCs w:val="18"/>
          <w:color w:val="auto"/>
        </w:rPr>
      </w:pPr>
    </w:p>
    <w:p>
      <w:pPr>
        <w:ind w:left="1420" w:right="2080"/>
        <w:spacing w:after="0" w:line="375" w:lineRule="auto"/>
        <w:rPr>
          <w:rFonts w:ascii="Arial" w:cs="Arial" w:eastAsia="Arial" w:hAnsi="Arial"/>
          <w:sz w:val="18"/>
          <w:szCs w:val="18"/>
          <w:color w:val="auto"/>
        </w:rPr>
      </w:pPr>
      <w:r>
        <w:rPr>
          <w:rFonts w:ascii="Arial" w:cs="Arial" w:eastAsia="Arial" w:hAnsi="Arial"/>
          <w:sz w:val="18"/>
          <w:szCs w:val="18"/>
          <w:color w:val="auto"/>
        </w:rPr>
        <w:t>$1,000,000 each occurrence limit for all bodily injury or property damage incurred in any one (1) occurrence $1,000,000 each occurrence limit for Personal Injury and Advertising Injury</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$2,000,000 Products/Completed Operations Aggregate limit</w:t>
      </w:r>
    </w:p>
    <w:p>
      <w:pPr>
        <w:spacing w:after="0" w:line="117" w:lineRule="exact"/>
        <w:rPr>
          <w:rFonts w:ascii="Arial" w:cs="Arial" w:eastAsia="Arial" w:hAnsi="Arial"/>
          <w:sz w:val="18"/>
          <w:szCs w:val="18"/>
          <w:color w:val="auto"/>
        </w:rPr>
      </w:pPr>
    </w:p>
    <w:p>
      <w:pPr>
        <w:jc w:val="both"/>
        <w:ind w:left="1420" w:right="4920"/>
        <w:spacing w:after="0" w:line="431" w:lineRule="auto"/>
        <w:rPr>
          <w:rFonts w:ascii="Arial" w:cs="Arial" w:eastAsia="Arial" w:hAnsi="Arial"/>
          <w:sz w:val="18"/>
          <w:szCs w:val="18"/>
          <w:color w:val="auto"/>
        </w:rPr>
      </w:pPr>
      <w:r>
        <w:rPr>
          <w:rFonts w:ascii="Arial" w:cs="Arial" w:eastAsia="Arial" w:hAnsi="Arial"/>
          <w:sz w:val="16"/>
          <w:szCs w:val="16"/>
          <w:color w:val="auto"/>
        </w:rPr>
        <w:t>$1,000,000 each occurrence limit for Products/Completed Operations $1,000,000 Damage to Premises Rented to You (Fire Legal Liability)</w:t>
      </w:r>
    </w:p>
    <w:p>
      <w:pPr>
        <w:ind w:left="1400" w:hanging="567"/>
        <w:spacing w:after="0"/>
        <w:tabs>
          <w:tab w:leader="none" w:pos="14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must:</w:t>
      </w:r>
    </w:p>
    <w:p>
      <w:pPr>
        <w:spacing w:after="0" w:line="130" w:lineRule="exact"/>
        <w:rPr>
          <w:rFonts w:ascii="Arial" w:cs="Arial" w:eastAsia="Arial" w:hAnsi="Arial"/>
          <w:sz w:val="18"/>
          <w:szCs w:val="18"/>
          <w:color w:val="auto"/>
        </w:rPr>
      </w:pPr>
    </w:p>
    <w:p>
      <w:pPr>
        <w:ind w:left="1840" w:right="40" w:hanging="440"/>
        <w:spacing w:after="0" w:line="257" w:lineRule="auto"/>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include AT&amp;T, its Affiliates, and their directors, officers, and employees as Additional Insured. Amdocs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60 days of execution of this Agreement and within 60 days of each Commercial General Liability policy renewal;</w:t>
      </w:r>
    </w:p>
    <w:p>
      <w:pPr>
        <w:spacing w:after="0" w:line="93" w:lineRule="exact"/>
        <w:rPr>
          <w:rFonts w:ascii="Arial" w:cs="Arial" w:eastAsia="Arial" w:hAnsi="Arial"/>
          <w:sz w:val="18"/>
          <w:szCs w:val="18"/>
          <w:color w:val="auto"/>
        </w:rPr>
      </w:pPr>
    </w:p>
    <w:p>
      <w:pPr>
        <w:ind w:left="1840" w:hanging="440"/>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include a waiver of subrogation in favor of AT&amp;T, its Affiliates, and their directors, officers and employees; and</w:t>
      </w:r>
    </w:p>
    <w:p>
      <w:pPr>
        <w:spacing w:after="0" w:line="130" w:lineRule="exact"/>
        <w:rPr>
          <w:rFonts w:ascii="Arial" w:cs="Arial" w:eastAsia="Arial" w:hAnsi="Arial"/>
          <w:sz w:val="18"/>
          <w:szCs w:val="18"/>
          <w:color w:val="auto"/>
        </w:rPr>
      </w:pPr>
    </w:p>
    <w:p>
      <w:pPr>
        <w:ind w:left="1840" w:hanging="440"/>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be primary and non-contributory with respect to any insurance or self-insurance that is maintained by AT&amp;T.</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27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8" w:lineRule="exact"/>
        <w:rPr>
          <w:sz w:val="20"/>
          <w:szCs w:val="20"/>
          <w:color w:val="auto"/>
        </w:rPr>
      </w:pPr>
    </w:p>
    <w:p>
      <w:pPr>
        <w:ind w:left="1480" w:right="520" w:hanging="567"/>
        <w:spacing w:after="0" w:line="277"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Business Automobile Liability insurance with minimum limits of $1,000,000 each accident for bodily injury and property damage, extending to all owned, hired, and non-owned vehicles.</w:t>
      </w:r>
    </w:p>
    <w:p>
      <w:pPr>
        <w:spacing w:after="0" w:line="75" w:lineRule="exact"/>
        <w:rPr>
          <w:rFonts w:ascii="Arial" w:cs="Arial" w:eastAsia="Arial" w:hAnsi="Arial"/>
          <w:sz w:val="18"/>
          <w:szCs w:val="18"/>
          <w:color w:val="auto"/>
        </w:rPr>
      </w:pPr>
    </w:p>
    <w:p>
      <w:pPr>
        <w:ind w:left="1480" w:right="100" w:hanging="567"/>
        <w:spacing w:after="0" w:line="259"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Umbrella/Excess Liability insurance with limits of at least $1,000,000 each occurrence and in the aggregate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92" w:lineRule="exact"/>
        <w:rPr>
          <w:rFonts w:ascii="Arial" w:cs="Arial" w:eastAsia="Arial" w:hAnsi="Arial"/>
          <w:sz w:val="18"/>
          <w:szCs w:val="18"/>
          <w:color w:val="auto"/>
        </w:rPr>
      </w:pPr>
    </w:p>
    <w:p>
      <w:pPr>
        <w:ind w:left="1480" w:right="400" w:hanging="567"/>
        <w:spacing w:after="0" w:line="277"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Fidelity or Crime insurance covering employee dishonesty. Amdocs shall include a client coverage endorsement written for limits of $1,000,000 in the aggregate and shall include AT&amp;T as Loss Payee.</w:t>
      </w:r>
    </w:p>
    <w:p>
      <w:pPr>
        <w:spacing w:after="0" w:line="75" w:lineRule="exact"/>
        <w:rPr>
          <w:rFonts w:ascii="Arial" w:cs="Arial" w:eastAsia="Arial" w:hAnsi="Arial"/>
          <w:sz w:val="18"/>
          <w:szCs w:val="18"/>
          <w:color w:val="auto"/>
        </w:rPr>
      </w:pPr>
    </w:p>
    <w:p>
      <w:pPr>
        <w:ind w:left="1480" w:right="700" w:hanging="567"/>
        <w:spacing w:after="0" w:line="277"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Professional Liability (Errors &amp; Omissions) insurance with minimum limits of $1,000,000 each claim or wrongful act and in the aggregate.</w:t>
      </w:r>
    </w:p>
    <w:p>
      <w:pPr>
        <w:spacing w:after="0" w:line="75" w:lineRule="exact"/>
        <w:rPr>
          <w:rFonts w:ascii="Arial" w:cs="Arial" w:eastAsia="Arial" w:hAnsi="Arial"/>
          <w:sz w:val="18"/>
          <w:szCs w:val="18"/>
          <w:color w:val="auto"/>
        </w:rPr>
      </w:pPr>
    </w:p>
    <w:p>
      <w:pPr>
        <w:ind w:left="1480" w:right="220" w:hanging="567"/>
        <w:spacing w:after="0" w:line="277"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Internet Liability and Network Protection (Cyber risk) insurance with minimum limits of $1,000,000 each claim or wrongful act and in the aggregate.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Media Liability insurance with minimum limits of $1,000,000 each claim or wrongful act and in the aggregate.</w:t>
      </w:r>
    </w:p>
    <w:p>
      <w:pPr>
        <w:spacing w:after="0" w:line="130" w:lineRule="exact"/>
        <w:rPr>
          <w:rFonts w:ascii="Arial" w:cs="Arial" w:eastAsia="Arial" w:hAnsi="Arial"/>
          <w:sz w:val="18"/>
          <w:szCs w:val="18"/>
          <w:color w:val="auto"/>
        </w:rPr>
      </w:pPr>
    </w:p>
    <w:p>
      <w:pPr>
        <w:ind w:left="1480" w:right="60" w:hanging="567"/>
        <w:spacing w:after="0" w:line="264" w:lineRule="auto"/>
        <w:tabs>
          <w:tab w:leader="none" w:pos="14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Property insurance with limits equal to the replacement cost of Amdocs’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82" w:lineRule="exact"/>
        <w:rPr>
          <w:rFonts w:ascii="Arial" w:cs="Arial" w:eastAsia="Arial" w:hAnsi="Arial"/>
          <w:sz w:val="18"/>
          <w:szCs w:val="18"/>
          <w:color w:val="auto"/>
        </w:rPr>
      </w:pPr>
    </w:p>
    <w:p>
      <w:pPr>
        <w:ind w:left="460" w:right="20" w:hanging="452"/>
        <w:spacing w:after="0" w:line="282" w:lineRule="auto"/>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6.1 Allowable Expenses, </w:t>
      </w:r>
      <w:r>
        <w:rPr>
          <w:rFonts w:ascii="Arial" w:cs="Arial" w:eastAsia="Arial" w:hAnsi="Arial"/>
          <w:sz w:val="18"/>
          <w:szCs w:val="18"/>
          <w:color w:val="auto"/>
        </w:rPr>
        <w:t>is hereby amended by adding the following to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Additionally, the Parties agree as follows:</w:t>
      </w:r>
    </w:p>
    <w:p>
      <w:pPr>
        <w:spacing w:after="0" w:line="130" w:lineRule="exact"/>
        <w:rPr>
          <w:rFonts w:ascii="Arial" w:cs="Arial" w:eastAsia="Arial" w:hAnsi="Arial"/>
          <w:sz w:val="18"/>
          <w:szCs w:val="18"/>
          <w:b w:val="1"/>
          <w:bCs w:val="1"/>
          <w:color w:val="auto"/>
        </w:rPr>
      </w:pPr>
    </w:p>
    <w:p>
      <w:pPr>
        <w:ind w:left="900" w:right="40" w:hanging="446"/>
        <w:spacing w:after="0" w:line="277"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Travel and living expenses for Telegence and Amdocs Charging (previously known as Enabler) Custom Software Development release Orders for AT&amp;T Mobility</w:t>
      </w:r>
      <w:r>
        <w:rPr>
          <w:rFonts w:ascii="Arial" w:cs="Arial" w:eastAsia="Arial" w:hAnsi="Arial"/>
          <w:sz w:val="18"/>
          <w:szCs w:val="18"/>
          <w:color w:val="auto"/>
        </w:rPr>
        <w:t>:</w:t>
      </w:r>
    </w:p>
    <w:p>
      <w:pPr>
        <w:spacing w:after="0" w:line="6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 aggregate travel and living expenses shall be limited to no more than [**] of the aggregate amount paid by AT&amp;T for Work under all the Custom Software Development release Orders during the applicable [**] period. Specific Custom Software Development release Orders will be capped at [**] for Work under such Orders as long as the annual average of all the Custom Software Development release Orders will not exceed [**] under all of the Custom Software Development release Orders.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8"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Travel and living expenses for Lightspeed Custom Software Development release Orders</w:t>
      </w:r>
      <w:r>
        <w:rPr>
          <w:rFonts w:ascii="Arial" w:cs="Arial" w:eastAsia="Arial" w:hAnsi="Arial"/>
          <w:sz w:val="18"/>
          <w:szCs w:val="18"/>
          <w:color w:val="auto"/>
        </w:rPr>
        <w:t>:</w:t>
      </w:r>
    </w:p>
    <w:p>
      <w:pPr>
        <w:spacing w:after="0" w:line="117"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The [**] aggregate travel and living expenses shall be limited to no more than [**] for Work under all the Custom Software Development release Orders during the applicable [**] period. Specific Custom Software Development release Orders will be [**] as long as the [**] average of all the Custom Software Development release Orders will [**].</w:t>
      </w:r>
    </w:p>
    <w:p>
      <w:pPr>
        <w:spacing w:after="0" w:line="87" w:lineRule="exact"/>
        <w:rPr>
          <w:sz w:val="20"/>
          <w:szCs w:val="20"/>
          <w:color w:val="auto"/>
        </w:rPr>
      </w:pP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 travel and living expenses for Production Support Orders shall be limited to no more than [**].</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Travel and living expenses for all other Orders shall be limited to no more than [**], unless agreed otherwise by the Parties in a specific Order as long as the [**] average of all the Orders will not exceed [**].</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 of travel and living expenses will occur each [**]. In the event that the total travel and living expenses exceed [**] Amdocs will provide AT&amp;T a credit for the dollar amount that exceeds [**].</w:t>
      </w:r>
    </w:p>
    <w:p>
      <w:pPr>
        <w:spacing w:after="0" w:line="71" w:lineRule="exact"/>
        <w:rPr>
          <w:rFonts w:ascii="Arial" w:cs="Arial" w:eastAsia="Arial" w:hAnsi="Arial"/>
          <w:sz w:val="18"/>
          <w:szCs w:val="18"/>
          <w:color w:val="auto"/>
        </w:rPr>
      </w:pPr>
    </w:p>
    <w:p>
      <w:pPr>
        <w:ind w:left="460" w:right="640" w:hanging="452"/>
        <w:spacing w:after="0" w:line="282" w:lineRule="auto"/>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6.5 Background Check </w:t>
      </w:r>
      <w:r>
        <w:rPr>
          <w:rFonts w:ascii="Arial" w:cs="Arial" w:eastAsia="Arial" w:hAnsi="Arial"/>
          <w:sz w:val="18"/>
          <w:szCs w:val="18"/>
          <w:color w:val="auto"/>
        </w:rPr>
        <w:t>is hereby deleted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6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6.5  Background Check/Drug Screening:</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respect to any Amdocs Personnel providing Services from locations in the United States, Amdocs shall comply with the requirements of Appendix 6.5(a) (Background Checks (U.S.)). With respect to any Amdocs Personnel who provide Services from locations outside of the United States, Amdocs shall comply with the requirements of Appendix 6.5 (b) (Background Checks — non-U.S.).</w:t>
      </w:r>
    </w:p>
    <w:p>
      <w:pPr>
        <w:spacing w:after="0" w:line="82" w:lineRule="exact"/>
        <w:rPr>
          <w:rFonts w:ascii="Arial" w:cs="Arial" w:eastAsia="Arial" w:hAnsi="Arial"/>
          <w:sz w:val="18"/>
          <w:szCs w:val="18"/>
          <w:b w:val="1"/>
          <w:bCs w:val="1"/>
          <w:color w:val="auto"/>
        </w:rPr>
      </w:pPr>
    </w:p>
    <w:p>
      <w:pPr>
        <w:jc w:val="both"/>
        <w:ind w:left="460" w:right="20" w:hanging="452"/>
        <w:spacing w:after="0" w:line="266" w:lineRule="auto"/>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Section 6.6 Confidentiality and Invention Agreement, </w:t>
      </w:r>
      <w:r>
        <w:rPr>
          <w:rFonts w:ascii="Arial" w:cs="Arial" w:eastAsia="Arial" w:hAnsi="Arial"/>
          <w:sz w:val="18"/>
          <w:szCs w:val="18"/>
          <w:color w:val="auto"/>
        </w:rPr>
        <w:t>reference to Exhibit G in paragraph a</w:t>
      </w:r>
      <w:r>
        <w:rPr>
          <w:rFonts w:ascii="Arial" w:cs="Arial" w:eastAsia="Arial" w:hAnsi="Arial"/>
          <w:sz w:val="18"/>
          <w:szCs w:val="18"/>
          <w:b w:val="1"/>
          <w:bCs w:val="1"/>
          <w:color w:val="auto"/>
        </w:rPr>
        <w:t xml:space="preserve"> </w:t>
      </w:r>
      <w:r>
        <w:rPr>
          <w:rFonts w:ascii="Arial" w:cs="Arial" w:eastAsia="Arial" w:hAnsi="Arial"/>
          <w:sz w:val="18"/>
          <w:szCs w:val="18"/>
          <w:color w:val="auto"/>
        </w:rPr>
        <w:t>and paragraph e is hereby deleted. Paragraph f. Compliance with Export/Import Law and Foreign Trade Controls is hereby added in its entirety with the following:</w:t>
      </w:r>
    </w:p>
    <w:p>
      <w:pPr>
        <w:spacing w:after="0" w:line="6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 Compliance with Export/Import Law and Foreign Trade Controls</w:t>
      </w:r>
    </w:p>
    <w:p>
      <w:pPr>
        <w:spacing w:after="0" w:line="135" w:lineRule="exact"/>
        <w:rPr>
          <w:sz w:val="20"/>
          <w:szCs w:val="20"/>
          <w:color w:val="auto"/>
        </w:rPr>
      </w:pPr>
    </w:p>
    <w:p>
      <w:pPr>
        <w:ind w:left="900" w:right="220" w:hanging="445"/>
        <w:spacing w:after="0" w:line="259" w:lineRule="auto"/>
        <w:tabs>
          <w:tab w:leader="none" w:pos="880" w:val="left"/>
        </w:tabs>
        <w:rPr>
          <w:sz w:val="20"/>
          <w:szCs w:val="20"/>
          <w:color w:val="auto"/>
        </w:rPr>
      </w:pPr>
      <w:r>
        <w:rPr>
          <w:rFonts w:ascii="Arial" w:cs="Arial" w:eastAsia="Arial" w:hAnsi="Arial"/>
          <w:sz w:val="18"/>
          <w:szCs w:val="18"/>
          <w:color w:val="auto"/>
        </w:rPr>
        <w:t>1.1</w:t>
        <w:tab/>
        <w:t>Each Party shall comply with all export control, import and foreign trade sanctions laws, rules and regulations, in its performance of this Agreement. Without prejudice to the generality of the foregoing, Supplier understands and acknowledges that certain AT&amp;T applications and Materials and Services (including technical assistance and technical data) to be provided hereunder may be subject to export controls under the laws and regulations of the United States,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4" w:name="page165"/>
    <w:bookmarkEnd w:id="164"/>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ind w:left="840" w:right="20"/>
        <w:spacing w:after="0" w:line="276" w:lineRule="auto"/>
        <w:rPr>
          <w:sz w:val="20"/>
          <w:szCs w:val="20"/>
          <w:color w:val="auto"/>
        </w:rPr>
      </w:pPr>
      <w:r>
        <w:rPr>
          <w:rFonts w:ascii="Arial" w:cs="Arial" w:eastAsia="Arial" w:hAnsi="Arial"/>
          <w:sz w:val="17"/>
          <w:szCs w:val="17"/>
          <w:color w:val="auto"/>
        </w:rPr>
        <w:t>the European Union and other foreign trade control laws, rules and regulations restricting their transfer to certain countries and parties including but not limited to the US Export Administration Regulations and trade sanctions programs administered by the US Department of the Treasury. Supplier shall comply with all applicable export control and other foreign trade laws, rules and regulations in performance of its obligations hereunder, and shall not use, resell, export, transfer, distribute, dispose or otherwise deal with the AT&amp;T applications or any technical data related thereto, directly or indirectly, except in full compliance with such laws, rules and regulations.</w:t>
      </w:r>
    </w:p>
    <w:p>
      <w:pPr>
        <w:spacing w:after="0" w:line="78" w:lineRule="exact"/>
        <w:rPr>
          <w:sz w:val="20"/>
          <w:szCs w:val="20"/>
          <w:color w:val="auto"/>
        </w:rPr>
      </w:pPr>
    </w:p>
    <w:p>
      <w:pPr>
        <w:ind w:left="820" w:right="120" w:hanging="445"/>
        <w:spacing w:after="0" w:line="264" w:lineRule="auto"/>
        <w:tabs>
          <w:tab w:leader="none" w:pos="800" w:val="left"/>
        </w:tabs>
        <w:rPr>
          <w:sz w:val="20"/>
          <w:szCs w:val="20"/>
          <w:color w:val="auto"/>
        </w:rPr>
      </w:pPr>
      <w:r>
        <w:rPr>
          <w:rFonts w:ascii="Arial" w:cs="Arial" w:eastAsia="Arial" w:hAnsi="Arial"/>
          <w:sz w:val="18"/>
          <w:szCs w:val="18"/>
          <w:color w:val="auto"/>
        </w:rPr>
        <w:t>1.2.</w:t>
        <w:tab/>
        <w:t>Neither Party shall use, sell, export, re-export, distribute, transfer, dispose or otherwise deal with any such Material or any direct product thereof nor undertake any transaction or Service without first obtaining all necessary written consents, permits and authorizations and completing such formalities as may be required by any such laws or regulations.</w:t>
      </w:r>
    </w:p>
    <w:p>
      <w:pPr>
        <w:spacing w:after="0" w:line="87" w:lineRule="exact"/>
        <w:rPr>
          <w:sz w:val="20"/>
          <w:szCs w:val="20"/>
          <w:color w:val="auto"/>
        </w:rPr>
      </w:pPr>
    </w:p>
    <w:p>
      <w:pPr>
        <w:ind w:left="820" w:right="220" w:hanging="445"/>
        <w:spacing w:after="0" w:line="255" w:lineRule="auto"/>
        <w:tabs>
          <w:tab w:leader="none" w:pos="800" w:val="left"/>
        </w:tabs>
        <w:rPr>
          <w:sz w:val="20"/>
          <w:szCs w:val="20"/>
          <w:color w:val="auto"/>
        </w:rPr>
      </w:pPr>
      <w:r>
        <w:rPr>
          <w:rFonts w:ascii="Arial" w:cs="Arial" w:eastAsia="Arial" w:hAnsi="Arial"/>
          <w:sz w:val="18"/>
          <w:szCs w:val="18"/>
          <w:color w:val="auto"/>
        </w:rPr>
        <w:t>1.3</w:t>
        <w:tab/>
        <w:t>Supplier shall be solely responsible for arranging export clearance, including applying for and obtaining any permits, licenses or other authorizations and complying with export clearance formalities, for all exports of Materials and Services made hereunder, including but not limited to exports by Supplier to its affiliates or subcontractors and exports from such affiliates or subcontractors to Supplier or to AT&amp;T in the United States. AT&amp;T agrees to use reasonable efforts to obtain and provide to Supplier in a timely manner any end-user, end-use and other documentation and certifications as may reasonably be requested by Supplier in support of any applications made to relevant government authorities in connection with such exports.</w:t>
      </w:r>
    </w:p>
    <w:p>
      <w:pPr>
        <w:spacing w:after="0" w:line="99" w:lineRule="exact"/>
        <w:rPr>
          <w:sz w:val="20"/>
          <w:szCs w:val="20"/>
          <w:color w:val="auto"/>
        </w:rPr>
      </w:pPr>
    </w:p>
    <w:p>
      <w:pPr>
        <w:ind w:left="820" w:right="500" w:hanging="445"/>
        <w:spacing w:after="0" w:line="277" w:lineRule="auto"/>
        <w:tabs>
          <w:tab w:leader="none" w:pos="800" w:val="left"/>
        </w:tabs>
        <w:rPr>
          <w:sz w:val="20"/>
          <w:szCs w:val="20"/>
          <w:color w:val="auto"/>
        </w:rPr>
      </w:pPr>
      <w:r>
        <w:rPr>
          <w:rFonts w:ascii="Arial" w:cs="Arial" w:eastAsia="Arial" w:hAnsi="Arial"/>
          <w:sz w:val="18"/>
          <w:szCs w:val="18"/>
          <w:color w:val="auto"/>
        </w:rPr>
        <w:t>1.4.</w:t>
        <w:tab/>
        <w:t>AT&amp;T shall not be responsible or otherwise assume any responsibility for the importation of articles into any country (including the United States). Supplier expressly agrees to be responsible for any and all importations.</w:t>
      </w:r>
    </w:p>
    <w:p>
      <w:pPr>
        <w:spacing w:after="0" w:line="76" w:lineRule="exact"/>
        <w:rPr>
          <w:sz w:val="20"/>
          <w:szCs w:val="20"/>
          <w:color w:val="auto"/>
        </w:rPr>
      </w:pPr>
    </w:p>
    <w:p>
      <w:pPr>
        <w:ind w:left="820" w:right="20" w:hanging="445"/>
        <w:spacing w:after="0" w:line="293" w:lineRule="auto"/>
        <w:tabs>
          <w:tab w:leader="none" w:pos="8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Supplier specifically represents and warrants that it shall not export/re-export or otherwise transfer the AT&amp;T applications, Materials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(the US Department of Commerce’s Denied Party List, Entity List, Unverified List; the US Department of the Treasury’s List of Specially Designated Nationals and Other Blocked Persons; the US Department of State’s various non-proliferation lists).]</w:t>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274" w:right="239" w:bottom="1440" w:gutter="0" w:footer="0" w:header="0"/>
        </w:sectPr>
      </w:pPr>
    </w:p>
    <w:bookmarkStart w:id="165" w:name="page166"/>
    <w:bookmarkEnd w:id="16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81" w:lineRule="exact"/>
        <w:rPr>
          <w:sz w:val="20"/>
          <w:szCs w:val="20"/>
          <w:color w:val="auto"/>
        </w:rPr>
      </w:pPr>
    </w:p>
    <w:p>
      <w:pPr>
        <w:ind w:left="900" w:right="220" w:hanging="445"/>
        <w:spacing w:after="0" w:line="257" w:lineRule="auto"/>
        <w:tabs>
          <w:tab w:leader="none" w:pos="880" w:val="left"/>
        </w:tabs>
        <w:rPr>
          <w:sz w:val="20"/>
          <w:szCs w:val="20"/>
          <w:color w:val="auto"/>
        </w:rPr>
      </w:pPr>
      <w:r>
        <w:rPr>
          <w:rFonts w:ascii="Arial" w:cs="Arial" w:eastAsia="Arial" w:hAnsi="Arial"/>
          <w:sz w:val="18"/>
          <w:szCs w:val="18"/>
          <w:color w:val="auto"/>
        </w:rPr>
        <w:t>1.6</w:t>
        <w:tab/>
        <w:t>Supplier represents and warrants that it has in place compliance mechanisms sufficient to assure compliance with applicable export control and foreign trade control laws, rules and regulations. Supplier shall not do anything which would cause AT&amp;T to be in breach of applicable export control or foreign trade control laws, rules and regulations, and shall protect, indemnify and hold harmless AT&amp;T from any claim, damages, liability costs, fees and expenses incurred by AT&amp;T as a result of the failure of omission of Supplier to comply with such laws, rules and regulations.</w:t>
      </w:r>
    </w:p>
    <w:p>
      <w:pPr>
        <w:spacing w:after="0" w:line="94" w:lineRule="exact"/>
        <w:rPr>
          <w:sz w:val="20"/>
          <w:szCs w:val="20"/>
          <w:color w:val="auto"/>
        </w:rPr>
      </w:pPr>
    </w:p>
    <w:p>
      <w:pPr>
        <w:ind w:left="900" w:right="460" w:hanging="445"/>
        <w:spacing w:after="0" w:line="277" w:lineRule="auto"/>
        <w:tabs>
          <w:tab w:leader="none" w:pos="880" w:val="left"/>
        </w:tabs>
        <w:rPr>
          <w:sz w:val="20"/>
          <w:szCs w:val="20"/>
          <w:color w:val="auto"/>
        </w:rPr>
      </w:pPr>
      <w:r>
        <w:rPr>
          <w:rFonts w:ascii="Arial" w:cs="Arial" w:eastAsia="Arial" w:hAnsi="Arial"/>
          <w:sz w:val="18"/>
          <w:szCs w:val="18"/>
          <w:color w:val="auto"/>
        </w:rPr>
        <w:t>1.7</w:t>
        <w:tab/>
        <w:t>Failure by Supplier to comply with applicable export control and foreign trade control laws, rules and regulations shall constitute a material breach of this Agreement.</w:t>
      </w:r>
    </w:p>
    <w:p>
      <w:pPr>
        <w:spacing w:after="0" w:line="72"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w:t>
      </w:r>
      <w:r>
        <w:rPr>
          <w:rFonts w:ascii="Arial" w:cs="Arial" w:eastAsia="Arial" w:hAnsi="Arial"/>
          <w:sz w:val="18"/>
          <w:szCs w:val="18"/>
          <w:color w:val="auto"/>
        </w:rPr>
        <w:t>is hereby amended to add the following Section: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6.16. Amdocs shall comply with the requirements of Appendix 7 entitled 272 Compliance.</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Appendix 1.2(4) Reimbursable Expenses</w:t>
      </w:r>
    </w:p>
    <w:p>
      <w:pPr>
        <w:spacing w:after="0" w:line="121" w:lineRule="exact"/>
        <w:rPr>
          <w:rFonts w:ascii="Arial" w:cs="Arial" w:eastAsia="Arial" w:hAnsi="Arial"/>
          <w:sz w:val="18"/>
          <w:szCs w:val="18"/>
          <w:b w:val="1"/>
          <w:bCs w:val="1"/>
          <w:color w:val="auto"/>
        </w:rPr>
      </w:pPr>
    </w:p>
    <w:p>
      <w:pPr>
        <w:ind w:left="4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and AT&amp;T agree to delete the Appendix 1.2(4) Reimbursable Expenses attached to the Agreement, in its entirety, and replace it with the revised Appendix 1.2(4) Vendor Expense Policy, attached herewith.</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Exhibit G — Software/Technology Nondisclosure 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Amdocs and AT&amp;T agree to delete the Exhibit G – Software/Technology Nondisclosure Agreement attached to the Agreement, in its entirety.</w:t>
      </w:r>
    </w:p>
    <w:p>
      <w:pPr>
        <w:spacing w:after="0" w:line="138"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Appendix 7. 272 Compliance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Amdocs and AT&amp;T agree to add Appendix 7., 272 Compliance, which is attached to the Agreement, in its entirety.</w:t>
      </w:r>
    </w:p>
    <w:p>
      <w:pPr>
        <w:spacing w:after="0" w:line="126" w:lineRule="exact"/>
        <w:rPr>
          <w:rFonts w:ascii="Arial" w:cs="Arial" w:eastAsia="Arial" w:hAnsi="Arial"/>
          <w:sz w:val="18"/>
          <w:szCs w:val="18"/>
          <w:b w:val="1"/>
          <w:bCs w:val="1"/>
          <w:color w:val="auto"/>
        </w:rPr>
      </w:pPr>
    </w:p>
    <w:p>
      <w:pPr>
        <w:ind w:left="460" w:right="180" w:hanging="452"/>
        <w:spacing w:after="0" w:line="282" w:lineRule="auto"/>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3.39 Form of Qualified Custom Software Development Order for Custom Software Development Associated with Software Master Agreement # 03032360, </w:t>
      </w:r>
      <w:r>
        <w:rPr>
          <w:rFonts w:ascii="Arial" w:cs="Arial" w:eastAsia="Arial" w:hAnsi="Arial"/>
          <w:sz w:val="18"/>
          <w:szCs w:val="18"/>
          <w:color w:val="auto"/>
        </w:rPr>
        <w:t>Section 14. Compensation, with respect to [**] only is hereby amended as follows:</w:t>
      </w:r>
    </w:p>
    <w:p>
      <w:pPr>
        <w:spacing w:after="0" w:line="57"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first paragraph of Section 14 shall not apply to [**], and Mobility Custom Software Development Orders may include a final payment milestone and such provisions will be negotiated and mutually agreed to on an Order by Order basis.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ARTICLE III GENERAL TERMS Section 3.19 MBE/WBE/DVBE </w:t>
      </w:r>
      <w:r>
        <w:rPr>
          <w:rFonts w:ascii="Arial" w:cs="Arial" w:eastAsia="Arial" w:hAnsi="Arial"/>
          <w:sz w:val="18"/>
          <w:szCs w:val="18"/>
          <w:color w:val="auto"/>
        </w:rPr>
        <w:t>shall apply to Orders placed by [**] commencing on October 1,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7" w:name="page168"/>
    <w:bookmarkEnd w:id="167"/>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02026713 in all other respects remain unmodified and in full force and effect.</w:t>
      </w:r>
    </w:p>
    <w:p>
      <w:pPr>
        <w:spacing w:after="0" w:line="221"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Amdocs, Inc.</w:t>
            </w:r>
          </w:p>
        </w:tc>
        <w:tc>
          <w:tcPr>
            <w:tcW w:w="6020" w:type="dxa"/>
            <w:vAlign w:val="bottom"/>
            <w:gridSpan w:val="3"/>
          </w:tcPr>
          <w:p>
            <w:pPr>
              <w:ind w:left="64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400" w:type="dxa"/>
            <w:vAlign w:val="bottom"/>
            <w:gridSpan w:val="5"/>
          </w:tcPr>
          <w:p>
            <w:pPr>
              <w:spacing w:after="0"/>
              <w:rPr>
                <w:sz w:val="20"/>
                <w:szCs w:val="20"/>
                <w:color w:val="auto"/>
              </w:rPr>
            </w:pPr>
            <w:r>
              <w:rPr>
                <w:rFonts w:ascii="Arial" w:cs="Arial" w:eastAsia="Arial" w:hAnsi="Arial"/>
                <w:sz w:val="18"/>
                <w:szCs w:val="18"/>
                <w:color w:val="auto"/>
              </w:rPr>
              <w:t>By:  /s/ Thomas C. Drury</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By:  /s/ Maureen Merkle</w:t>
            </w: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gridSpan w:val="2"/>
            <w:shd w:val="clear" w:color="auto" w:fill="000000"/>
          </w:tcPr>
          <w:p>
            <w:pPr>
              <w:spacing w:after="0" w:line="20" w:lineRule="exact"/>
              <w:rPr>
                <w:sz w:val="1"/>
                <w:szCs w:val="1"/>
                <w:color w:val="auto"/>
              </w:rPr>
            </w:pPr>
          </w:p>
        </w:tc>
      </w:tr>
      <w:tr>
        <w:trPr>
          <w:trHeight w:val="331"/>
        </w:trPr>
        <w:tc>
          <w:tcPr>
            <w:tcW w:w="5400" w:type="dxa"/>
            <w:vAlign w:val="bottom"/>
            <w:gridSpan w:val="5"/>
          </w:tcPr>
          <w:p>
            <w:pPr>
              <w:spacing w:after="0"/>
              <w:rPr>
                <w:sz w:val="20"/>
                <w:szCs w:val="20"/>
                <w:color w:val="auto"/>
              </w:rPr>
            </w:pPr>
            <w:r>
              <w:rPr>
                <w:rFonts w:ascii="Arial" w:cs="Arial" w:eastAsia="Arial" w:hAnsi="Arial"/>
                <w:sz w:val="18"/>
                <w:szCs w:val="18"/>
                <w:color w:val="auto"/>
              </w:rPr>
              <w:t>Printed Name:  Thomas C. Drury</w:t>
            </w:r>
          </w:p>
        </w:tc>
        <w:tc>
          <w:tcPr>
            <w:tcW w:w="6020" w:type="dxa"/>
            <w:vAlign w:val="bottom"/>
            <w:gridSpan w:val="3"/>
          </w:tcPr>
          <w:p>
            <w:pPr>
              <w:ind w:left="680"/>
              <w:spacing w:after="0"/>
              <w:rPr>
                <w:sz w:val="20"/>
                <w:szCs w:val="20"/>
                <w:color w:val="auto"/>
              </w:rPr>
            </w:pPr>
            <w:r>
              <w:rPr>
                <w:rFonts w:ascii="Arial" w:cs="Arial" w:eastAsia="Arial" w:hAnsi="Arial"/>
                <w:sz w:val="18"/>
                <w:szCs w:val="18"/>
                <w:color w:val="auto"/>
              </w:rPr>
              <w:t>Printed Name:  Maureen Merkle</w:t>
            </w:r>
          </w:p>
        </w:tc>
      </w:tr>
      <w:tr>
        <w:trPr>
          <w:trHeight w:val="331"/>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0"/>
                <w:szCs w:val="20"/>
                <w:color w:val="auto"/>
              </w:rPr>
            </w:pPr>
            <w:r>
              <w:rPr>
                <w:rFonts w:ascii="Arial" w:cs="Arial" w:eastAsia="Arial" w:hAnsi="Arial"/>
                <w:sz w:val="18"/>
                <w:szCs w:val="18"/>
                <w:color w:val="auto"/>
                <w:w w:val="89"/>
              </w:rPr>
              <w:t>President</w:t>
            </w:r>
          </w:p>
        </w:tc>
        <w:tc>
          <w:tcPr>
            <w:tcW w:w="4140" w:type="dxa"/>
            <w:vAlign w:val="bottom"/>
            <w:tcBorders>
              <w:top w:val="single" w:sz="8" w:color="auto"/>
            </w:tcBorders>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President-Procurement</w:t>
            </w: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9-27-07</w:t>
            </w:r>
          </w:p>
        </w:tc>
        <w:tc>
          <w:tcPr>
            <w:tcW w:w="408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9-26-07</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Reimbursable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AT&amp;T Vendor Expense Policy (VEP) provides guidelines to be followed by all vendors of AT&amp;T in requesting reimbursement for business travel, meals and other business related expense. Expenses outside this policy are not reimbursable.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When spending money that is to be reimbursed, vendors must ensure that an AT&amp;T Company (“Company”) receives proper value in return. Prudent and proper judgment must be used in reporting and approving business expenses.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 These policies should be included in any new or renewed contract with a contractor or consultant.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Deviations from this VEP </w:t>
      </w:r>
      <w:r>
        <w:rPr>
          <w:rFonts w:ascii="Arial" w:cs="Arial" w:eastAsia="Arial" w:hAnsi="Arial"/>
          <w:sz w:val="18"/>
          <w:szCs w:val="18"/>
          <w:b w:val="1"/>
          <w:bCs w:val="1"/>
          <w:i w:val="1"/>
          <w:iCs w:val="1"/>
          <w:color w:val="auto"/>
        </w:rPr>
        <w:t>must be approved</w:t>
      </w:r>
      <w:r>
        <w:rPr>
          <w:rFonts w:ascii="Arial" w:cs="Arial" w:eastAsia="Arial" w:hAnsi="Arial"/>
          <w:sz w:val="18"/>
          <w:szCs w:val="18"/>
          <w:b w:val="1"/>
          <w:bCs w:val="1"/>
          <w:color w:val="auto"/>
        </w:rPr>
        <w:t xml:space="preserve"> in writing by the sponsoring Senior Manager or Officer of an AT&amp;T company.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Employees should refer to the Section entitled “Payments” in the Schedule of Authorizations For Affiliates of AT&amp;T, Inc. for appropriate vendor invoice authorization approval levels.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Receipts </w:t>
      </w:r>
      <w:r>
        <w:rPr>
          <w:rFonts w:ascii="Arial" w:cs="Arial" w:eastAsia="Arial" w:hAnsi="Arial"/>
          <w:sz w:val="18"/>
          <w:szCs w:val="18"/>
          <w:i w:val="1"/>
          <w:iCs w:val="1"/>
          <w:color w:val="auto"/>
        </w:rPr>
        <w:t>should</w:t>
      </w:r>
      <w:r>
        <w:rPr>
          <w:rFonts w:ascii="Arial" w:cs="Arial" w:eastAsia="Arial" w:hAnsi="Arial"/>
          <w:sz w:val="18"/>
          <w:szCs w:val="18"/>
          <w:color w:val="auto"/>
        </w:rPr>
        <w:t xml:space="preserve"> be requested and reviewed for any unusual or out of the ordinary expenses or where the approver cannot make a reasonable determination on the propriety of the transaction without a receipt.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Non-Reimbursable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expenses are considered non-reimbursable:</w:t>
      </w:r>
    </w:p>
    <w:p>
      <w:pPr>
        <w:spacing w:after="0" w:line="131" w:lineRule="exact"/>
        <w:rPr>
          <w:sz w:val="20"/>
          <w:szCs w:val="20"/>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Meals not consistent with AT&amp;T employee policy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Annual credit card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Car rental additional fees associated with high speed toll access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Hotel Safe rental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Upgrades on airline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of cost of meal or services, excluding tax</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PC, cell phone, and other vendor support expenses</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Meals not directly required to do business on the AT&amp;T account (e.g. vendors cannot voucher lunch with each other simply to talk about AT&amp;T)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In-flight drinks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Office expenses of vendors</w:t>
      </w:r>
    </w:p>
    <w:p>
      <w:pPr>
        <w:spacing w:after="0" w:line="130" w:lineRule="exact"/>
        <w:rPr>
          <w:rFonts w:ascii="Arial" w:cs="Arial" w:eastAsia="Arial" w:hAnsi="Arial"/>
          <w:sz w:val="18"/>
          <w:szCs w:val="18"/>
          <w:color w:val="auto"/>
        </w:rPr>
      </w:pPr>
    </w:p>
    <w:p>
      <w:pPr>
        <w:ind w:left="1460" w:right="260" w:hanging="547"/>
        <w:spacing w:after="0" w:line="264" w:lineRule="auto"/>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Surcharges for providing fast service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related to delivery charges such as Fedex, UPS, etc.). AT&amp;T expects all vendors to complete the terms of contracts in the shortest period practicable. Charges for shortening the timeframe in which contracts are fulfilled are not permissible.</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Vendors may not submit expenses to cover meals or expenses for an AT&amp;T employee, whether in a home location or on official travel</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Water (bottled or dispensed by a vendor)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Clothing, personal care, and toiletries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Flight or rental car insurance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High speed internet access in hotels (added to 3.5)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Lost luggage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Phone usage on airline unless business emergency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802" w:gutter="0" w:footer="0" w:header="0"/>
        </w:sectPr>
      </w:pPr>
    </w:p>
    <w:bookmarkStart w:id="170" w:name="page171"/>
    <w:bookmarkEnd w:id="170"/>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77"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b w:val="1"/>
          <w:bCs w:val="1"/>
          <w:color w:val="auto"/>
        </w:rPr>
        <w:t>Failure to comply with the above mentioned restrictions will result in the Company refusing payment of charges or pursuing restitution from the vendor.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RESPONSIBILITIES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2.1 Vendor’s Responsibility</w:t>
      </w:r>
    </w:p>
    <w:p>
      <w:pPr>
        <w:spacing w:after="0" w:line="121" w:lineRule="exact"/>
        <w:rPr>
          <w:sz w:val="20"/>
          <w:szCs w:val="20"/>
          <w:color w:val="auto"/>
        </w:rPr>
      </w:pPr>
    </w:p>
    <w:p>
      <w:pPr>
        <w:jc w:val="both"/>
        <w:ind w:left="1500" w:right="460"/>
        <w:spacing w:after="0" w:line="264" w:lineRule="auto"/>
        <w:rPr>
          <w:sz w:val="20"/>
          <w:szCs w:val="20"/>
          <w:color w:val="auto"/>
        </w:rPr>
      </w:pPr>
      <w:r>
        <w:rPr>
          <w:rFonts w:ascii="Arial" w:cs="Arial" w:eastAsia="Arial" w:hAnsi="Arial"/>
          <w:sz w:val="18"/>
          <w:szCs w:val="18"/>
          <w:color w:val="auto"/>
        </w:rPr>
        <w:t>AT&amp;T’s sponsoring client managers will ensure that vendors have been covered on this policy prior to incurring any expenditures. Vendors and their sponsoring client managers are responsible for clarifying any questions or uncertainties they may have relative to reimbursable business expenses.</w:t>
      </w:r>
    </w:p>
    <w:p>
      <w:pPr>
        <w:spacing w:after="0" w:line="69" w:lineRule="exact"/>
        <w:rPr>
          <w:sz w:val="20"/>
          <w:szCs w:val="20"/>
          <w:color w:val="auto"/>
        </w:rPr>
      </w:pPr>
    </w:p>
    <w:p>
      <w:pPr>
        <w:ind w:left="1500" w:right="60"/>
        <w:spacing w:after="0" w:line="314" w:lineRule="auto"/>
        <w:rPr>
          <w:sz w:val="20"/>
          <w:szCs w:val="20"/>
          <w:color w:val="auto"/>
        </w:rPr>
      </w:pPr>
      <w:r>
        <w:rPr>
          <w:rFonts w:ascii="Arial" w:cs="Arial" w:eastAsia="Arial" w:hAnsi="Arial"/>
          <w:sz w:val="16"/>
          <w:szCs w:val="16"/>
          <w:color w:val="auto"/>
        </w:rPr>
        <w:t xml:space="preserve">It is mandatory that financial transactions are recorded in a timely manner. </w:t>
      </w:r>
      <w:r>
        <w:rPr>
          <w:rFonts w:ascii="Arial" w:cs="Arial" w:eastAsia="Arial" w:hAnsi="Arial"/>
          <w:sz w:val="16"/>
          <w:szCs w:val="16"/>
          <w:b w:val="1"/>
          <w:bCs w:val="1"/>
          <w:color w:val="auto"/>
        </w:rPr>
        <w:t>Out-of-pocket business expense(s) for vendors that are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submitted for reimbursement within </w:t>
      </w:r>
      <w:r>
        <w:rPr>
          <w:rFonts w:ascii="Arial" w:cs="Arial" w:eastAsia="Arial" w:hAnsi="Arial"/>
          <w:sz w:val="16"/>
          <w:szCs w:val="16"/>
          <w:color w:val="auto"/>
        </w:rPr>
        <w:t>[**]</w:t>
      </w:r>
      <w:r>
        <w:rPr>
          <w:rFonts w:ascii="Arial" w:cs="Arial" w:eastAsia="Arial" w:hAnsi="Arial"/>
          <w:sz w:val="16"/>
          <w:szCs w:val="16"/>
          <w:b w:val="1"/>
          <w:bCs w:val="1"/>
          <w:color w:val="auto"/>
        </w:rPr>
        <w:t xml:space="preserve"> from the date incurred are considered non-reimbursable. </w:t>
      </w:r>
      <w:r>
        <w:rPr>
          <w:rFonts w:ascii="Arial" w:cs="Arial" w:eastAsia="Arial" w:hAnsi="Arial"/>
          <w:sz w:val="16"/>
          <w:szCs w:val="16"/>
          <w:color w:val="auto"/>
        </w:rPr>
        <w:t>Company managers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approving reimbursable expenses of vendors should ensure they are submitted and approved in a timely manner.</w:t>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2.2 AT&amp;T Sponsoring Management Responsibility</w:t>
      </w:r>
    </w:p>
    <w:p>
      <w:pPr>
        <w:spacing w:after="0" w:line="121" w:lineRule="exact"/>
        <w:rPr>
          <w:sz w:val="20"/>
          <w:szCs w:val="20"/>
          <w:color w:val="auto"/>
        </w:rPr>
      </w:pPr>
    </w:p>
    <w:p>
      <w:pPr>
        <w:ind w:left="1500" w:right="40"/>
        <w:spacing w:after="0" w:line="277" w:lineRule="auto"/>
        <w:rPr>
          <w:sz w:val="20"/>
          <w:szCs w:val="20"/>
          <w:color w:val="auto"/>
        </w:rPr>
      </w:pPr>
      <w:r>
        <w:rPr>
          <w:rFonts w:ascii="Arial" w:cs="Arial" w:eastAsia="Arial" w:hAnsi="Arial"/>
          <w:sz w:val="18"/>
          <w:szCs w:val="18"/>
          <w:color w:val="auto"/>
        </w:rPr>
        <w:t>Prior to authorizing reimbursement to the vendor for expenditures, it is the responsibility of the AT&amp;T managers authorizing the payment to determine that:</w:t>
      </w:r>
    </w:p>
    <w:p>
      <w:pPr>
        <w:spacing w:after="0" w:line="76" w:lineRule="exact"/>
        <w:rPr>
          <w:sz w:val="20"/>
          <w:szCs w:val="20"/>
          <w:color w:val="auto"/>
        </w:rPr>
      </w:pPr>
    </w:p>
    <w:p>
      <w:pPr>
        <w:ind w:left="1920" w:hanging="440"/>
        <w:spacing w:after="0"/>
        <w:tabs>
          <w:tab w:leader="none" w:pos="1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expenditure is reasonable and for a legitimate business purpose.</w:t>
      </w:r>
    </w:p>
    <w:p>
      <w:pPr>
        <w:spacing w:after="0" w:line="130" w:lineRule="exact"/>
        <w:rPr>
          <w:rFonts w:ascii="Arial" w:cs="Arial" w:eastAsia="Arial" w:hAnsi="Arial"/>
          <w:sz w:val="18"/>
          <w:szCs w:val="18"/>
          <w:color w:val="auto"/>
        </w:rPr>
      </w:pPr>
    </w:p>
    <w:p>
      <w:pPr>
        <w:ind w:left="1920" w:right="580" w:hanging="440"/>
        <w:spacing w:after="0" w:line="277" w:lineRule="auto"/>
        <w:tabs>
          <w:tab w:leader="none" w:pos="1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expenditure complies with the policies contained in this document, the Code of Business Conduct, and other applicable Company practices.</w:t>
      </w:r>
    </w:p>
    <w:p>
      <w:pPr>
        <w:spacing w:after="0" w:line="75" w:lineRule="exact"/>
        <w:rPr>
          <w:rFonts w:ascii="Arial" w:cs="Arial" w:eastAsia="Arial" w:hAnsi="Arial"/>
          <w:sz w:val="18"/>
          <w:szCs w:val="18"/>
          <w:color w:val="auto"/>
        </w:rPr>
      </w:pPr>
    </w:p>
    <w:p>
      <w:pPr>
        <w:ind w:left="1920" w:right="280" w:hanging="440"/>
        <w:spacing w:after="0" w:line="277" w:lineRule="auto"/>
        <w:tabs>
          <w:tab w:leader="none" w:pos="1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expenses are reviewed through Payment.Net or on form AT&amp;T-4472APA and that expenses are prepared in accordance with proper accounting details.</w:t>
      </w:r>
    </w:p>
    <w:p>
      <w:pPr>
        <w:spacing w:after="0" w:line="62" w:lineRule="exact"/>
        <w:rPr>
          <w:sz w:val="20"/>
          <w:szCs w:val="20"/>
          <w:color w:val="auto"/>
        </w:rPr>
      </w:pPr>
    </w:p>
    <w:p>
      <w:pPr>
        <w:ind w:left="1500" w:right="80"/>
        <w:spacing w:after="0" w:line="264" w:lineRule="auto"/>
        <w:rPr>
          <w:sz w:val="20"/>
          <w:szCs w:val="20"/>
          <w:color w:val="auto"/>
        </w:rPr>
      </w:pPr>
      <w:r>
        <w:rPr>
          <w:rFonts w:ascii="Arial" w:cs="Arial" w:eastAsia="Arial" w:hAnsi="Arial"/>
          <w:sz w:val="18"/>
          <w:szCs w:val="18"/>
          <w:color w:val="auto"/>
        </w:rPr>
        <w:t>In addition, the sponsoring AT&amp;T managers are responsible for ensuring the Vendor Expense Policy has been communicated to each vendor, and that the information contained herein is proprietary/confidential information and ensures its security and confidentiality. The Vendor must agree to maintain this information in confidence.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TRAVEL POLICY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Vendors must first consider the feasibility of using videoconferencing or teleconferencing as an alternative to travel. Travel that is to be reimbursed by AT&amp;T should be incurred only as necessary.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Travel Authorization</w:t>
      </w:r>
    </w:p>
    <w:p>
      <w:pPr>
        <w:spacing w:after="0" w:line="121" w:lineRule="exact"/>
        <w:rPr>
          <w:sz w:val="20"/>
          <w:szCs w:val="20"/>
          <w:color w:val="auto"/>
        </w:rPr>
      </w:pPr>
    </w:p>
    <w:p>
      <w:pPr>
        <w:ind w:left="1500" w:right="100"/>
        <w:spacing w:after="0" w:line="277" w:lineRule="auto"/>
        <w:rPr>
          <w:sz w:val="20"/>
          <w:szCs w:val="20"/>
          <w:color w:val="auto"/>
        </w:rPr>
      </w:pPr>
      <w:r>
        <w:rPr>
          <w:rFonts w:ascii="Arial" w:cs="Arial" w:eastAsia="Arial" w:hAnsi="Arial"/>
          <w:sz w:val="18"/>
          <w:szCs w:val="18"/>
          <w:color w:val="auto"/>
        </w:rPr>
        <w:t>Travel requiring overnight stays must be approved by the sponsoring AT&amp;T senior manager (5</w:t>
      </w:r>
      <w:r>
        <w:rPr>
          <w:rFonts w:ascii="Arial" w:cs="Arial" w:eastAsia="Arial" w:hAnsi="Arial"/>
          <w:sz w:val="15"/>
          <w:szCs w:val="15"/>
          <w:color w:val="auto"/>
        </w:rPr>
        <w:t>th</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3.2 Travel Reservations</w:t>
      </w:r>
    </w:p>
    <w:p>
      <w:pPr>
        <w:spacing w:after="0" w:line="121" w:lineRule="exact"/>
        <w:rPr>
          <w:sz w:val="20"/>
          <w:szCs w:val="20"/>
          <w:color w:val="auto"/>
        </w:rPr>
      </w:pPr>
    </w:p>
    <w:p>
      <w:pPr>
        <w:ind w:left="1420" w:right="2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3.3 Travel Expense Reimbursement</w:t>
      </w:r>
    </w:p>
    <w:p>
      <w:pPr>
        <w:spacing w:after="0" w:line="121"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1840" w:hanging="440"/>
        <w:spacing w:after="0"/>
        <w:tabs>
          <w:tab w:leader="none" w:pos="18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1840" w:hanging="440"/>
        <w:spacing w:after="0"/>
        <w:tabs>
          <w:tab w:leader="none" w:pos="18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1840" w:hanging="440"/>
        <w:spacing w:after="0"/>
        <w:tabs>
          <w:tab w:leader="none" w:pos="18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1840" w:hanging="440"/>
        <w:spacing w:after="0"/>
        <w:tabs>
          <w:tab w:leader="none" w:pos="18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13" w:lineRule="exact"/>
        <w:rPr>
          <w:sz w:val="20"/>
          <w:szCs w:val="20"/>
          <w:color w:val="auto"/>
        </w:rPr>
      </w:pPr>
    </w:p>
    <w:p>
      <w:pPr>
        <w:ind w:left="1420" w:right="20"/>
        <w:spacing w:after="0" w:line="266" w:lineRule="auto"/>
        <w:rPr>
          <w:sz w:val="20"/>
          <w:szCs w:val="20"/>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72" w:lineRule="exact"/>
        <w:rPr>
          <w:sz w:val="20"/>
          <w:szCs w:val="20"/>
          <w:color w:val="auto"/>
        </w:rPr>
      </w:pPr>
    </w:p>
    <w:p>
      <w:pPr>
        <w:ind w:left="1420" w:right="46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3.4 Air Travel Arrangements</w:t>
      </w:r>
    </w:p>
    <w:p>
      <w:pPr>
        <w:spacing w:after="0" w:line="121" w:lineRule="exact"/>
        <w:rPr>
          <w:sz w:val="20"/>
          <w:szCs w:val="20"/>
          <w:color w:val="auto"/>
        </w:rPr>
      </w:pPr>
    </w:p>
    <w:p>
      <w:pPr>
        <w:ind w:left="1420" w:right="2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domestic travel at all times.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layovers or ground time) is greater than 5 hours, or when flights are intercontinental.</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3.5 Hotel Arrangements</w:t>
      </w:r>
    </w:p>
    <w:p>
      <w:pPr>
        <w:spacing w:after="0" w:line="117" w:lineRule="exact"/>
        <w:rPr>
          <w:sz w:val="20"/>
          <w:szCs w:val="20"/>
          <w:color w:val="auto"/>
        </w:rPr>
      </w:pPr>
    </w:p>
    <w:p>
      <w:pPr>
        <w:ind w:left="1420" w:right="20"/>
        <w:spacing w:after="0" w:line="258" w:lineRule="auto"/>
        <w:rPr>
          <w:sz w:val="20"/>
          <w:szCs w:val="20"/>
          <w:color w:val="auto"/>
        </w:rPr>
      </w:pPr>
      <w:r>
        <w:rPr>
          <w:rFonts w:ascii="Arial" w:cs="Arial" w:eastAsia="Arial" w:hAnsi="Arial"/>
          <w:sz w:val="18"/>
          <w:szCs w:val="18"/>
          <w:color w:val="auto"/>
        </w:rPr>
        <w:t>AT&amp;T has established Market-Based Room Rate Guideline</w:t>
      </w:r>
      <w:r>
        <w:rPr>
          <w:rFonts w:ascii="Arial" w:cs="Arial" w:eastAsia="Arial" w:hAnsi="Arial"/>
          <w:sz w:val="18"/>
          <w:szCs w:val="18"/>
          <w:b w:val="1"/>
          <w:bCs w:val="1"/>
          <w:color w:val="auto"/>
        </w:rPr>
        <w:t>s</w:t>
      </w:r>
      <w:r>
        <w:rPr>
          <w:rFonts w:ascii="Arial" w:cs="Arial" w:eastAsia="Arial" w:hAnsi="Arial"/>
          <w:sz w:val="18"/>
          <w:szCs w:val="18"/>
          <w:color w:val="auto"/>
        </w:rPr>
        <w:t xml:space="preserve"> for vendors to reference when making hotel reservations (see Addendum A). Vendors are expected to abide by these guidelines when making hotel arrangements. AT&amp;T will only reimburse vendors up to the established room rate guideline in each market, or for actual hotel lodging charges incurred, whichever is less. There must be a </w:t>
      </w:r>
      <w:r>
        <w:rPr>
          <w:rFonts w:ascii="Arial" w:cs="Arial" w:eastAsia="Arial" w:hAnsi="Arial"/>
          <w:sz w:val="18"/>
          <w:szCs w:val="18"/>
          <w:u w:val="single" w:color="auto"/>
          <w:color w:val="auto"/>
        </w:rPr>
        <w:t>strong</w:t>
      </w:r>
      <w:r>
        <w:rPr>
          <w:rFonts w:ascii="Arial" w:cs="Arial" w:eastAsia="Arial" w:hAnsi="Arial"/>
          <w:sz w:val="18"/>
          <w:szCs w:val="18"/>
          <w:color w:val="auto"/>
        </w:rPr>
        <w:t xml:space="preserve"> business justification for incurring any cost for internet access, and a request for reimbursement must be accompanied by a detailed explanation regarding reason for charge.</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color w:val="auto"/>
        </w:rPr>
        <w:t>: Vendors must indicate the number of room nights on the transaction line when invoicing for reimbursement of hotel expenses.</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Copies of all hotel bills must be made available for any invoice containing lodging charges.</w:t>
      </w:r>
    </w:p>
    <w:p>
      <w:pPr>
        <w:spacing w:after="0" w:line="3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3.6 Ground Transportation</w:t>
      </w:r>
    </w:p>
    <w:p>
      <w:pPr>
        <w:spacing w:after="0" w:line="121"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274" w:right="239" w:bottom="1440" w:gutter="0" w:footer="0" w:header="0"/>
        </w:sectPr>
      </w:pPr>
    </w:p>
    <w:bookmarkStart w:id="172" w:name="page173"/>
    <w:bookmarkEnd w:id="172"/>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ind w:left="142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“Loss Damage Waiver” and “Extended Liability Coverage” are not considered reimbursable. Prepaid fuel or refueling charges at the time of return are not reimbursable.</w:t>
      </w:r>
    </w:p>
    <w:p>
      <w:pPr>
        <w:spacing w:after="0" w:line="62" w:lineRule="exact"/>
        <w:rPr>
          <w:sz w:val="20"/>
          <w:szCs w:val="20"/>
          <w:color w:val="auto"/>
        </w:rPr>
      </w:pPr>
    </w:p>
    <w:p>
      <w:pPr>
        <w:ind w:left="1420" w:right="660"/>
        <w:spacing w:after="0" w:line="277" w:lineRule="auto"/>
        <w:rPr>
          <w:sz w:val="20"/>
          <w:szCs w:val="20"/>
          <w:color w:val="auto"/>
        </w:rPr>
      </w:pPr>
      <w:r>
        <w:rPr>
          <w:rFonts w:ascii="Arial" w:cs="Arial" w:eastAsia="Arial" w:hAnsi="Arial"/>
          <w:sz w:val="18"/>
          <w:szCs w:val="18"/>
          <w:color w:val="auto"/>
        </w:rPr>
        <w:t>Rental cars should be refueled before returning to the rental company, since gas purchased through the rental company carries an expensive refueling service charge.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3.7 Use of Personal Vehicle</w:t>
      </w:r>
    </w:p>
    <w:p>
      <w:pPr>
        <w:spacing w:after="0" w:line="121" w:lineRule="exact"/>
        <w:rPr>
          <w:sz w:val="20"/>
          <w:szCs w:val="20"/>
          <w:color w:val="auto"/>
        </w:rPr>
      </w:pPr>
    </w:p>
    <w:p>
      <w:pPr>
        <w:ind w:left="1420" w:right="260"/>
        <w:spacing w:after="0" w:line="277" w:lineRule="auto"/>
        <w:rPr>
          <w:sz w:val="20"/>
          <w:szCs w:val="20"/>
          <w:color w:val="auto"/>
        </w:rPr>
      </w:pPr>
      <w:r>
        <w:rPr>
          <w:rFonts w:ascii="Arial" w:cs="Arial" w:eastAsia="Arial" w:hAnsi="Arial"/>
          <w:sz w:val="18"/>
          <w:szCs w:val="18"/>
          <w:color w:val="auto"/>
        </w:rPr>
        <w:t>When use of personal vehicle is required, the currently applicable IRS mileage rate for miles driven for the business portion of the trip should be the maximum used to determine the amount to be reimbursed.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3.8 Parking</w:t>
      </w:r>
    </w:p>
    <w:p>
      <w:pPr>
        <w:spacing w:after="0" w:line="121"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3.9 Entertainment</w:t>
      </w:r>
    </w:p>
    <w:p>
      <w:pPr>
        <w:spacing w:after="0" w:line="121" w:lineRule="exact"/>
        <w:rPr>
          <w:sz w:val="20"/>
          <w:szCs w:val="20"/>
          <w:color w:val="auto"/>
        </w:rPr>
      </w:pPr>
    </w:p>
    <w:p>
      <w:pPr>
        <w:ind w:left="1420" w:right="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1420" w:right="600"/>
        <w:spacing w:after="0" w:line="282" w:lineRule="auto"/>
        <w:rPr>
          <w:sz w:val="20"/>
          <w:szCs w:val="20"/>
          <w:color w:val="auto"/>
        </w:rPr>
      </w:pPr>
      <w:r>
        <w:rPr>
          <w:rFonts w:ascii="Arial" w:cs="Arial" w:eastAsia="Arial" w:hAnsi="Arial"/>
          <w:sz w:val="18"/>
          <w:szCs w:val="18"/>
          <w:color w:val="auto"/>
        </w:rPr>
        <w:t xml:space="preserve">Reasonable laundry charges during business trips of seven or more </w:t>
      </w:r>
      <w:r>
        <w:rPr>
          <w:rFonts w:ascii="Arial" w:cs="Arial" w:eastAsia="Arial" w:hAnsi="Arial"/>
          <w:sz w:val="18"/>
          <w:szCs w:val="18"/>
          <w:b w:val="1"/>
          <w:bCs w:val="1"/>
          <w:color w:val="auto"/>
        </w:rPr>
        <w:t>consecutive</w:t>
      </w:r>
      <w:r>
        <w:rPr>
          <w:rFonts w:ascii="Arial" w:cs="Arial" w:eastAsia="Arial" w:hAnsi="Arial"/>
          <w:sz w:val="18"/>
          <w:szCs w:val="18"/>
          <w:color w:val="auto"/>
        </w:rPr>
        <w:t xml:space="preserve"> nights are reimbursable based on actual expenses incurred.</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3.11 Communications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actual cost of landline telephone calls for AT&amp;T business are reimbursable. The use of AT&amp;T products is required when available.</w:t>
      </w:r>
    </w:p>
    <w:p>
      <w:pPr>
        <w:spacing w:after="0" w:line="140" w:lineRule="exact"/>
        <w:rPr>
          <w:sz w:val="20"/>
          <w:szCs w:val="20"/>
          <w:color w:val="auto"/>
        </w:rPr>
      </w:pPr>
    </w:p>
    <w:p>
      <w:pPr>
        <w:ind w:left="1420" w:right="80"/>
        <w:spacing w:after="0" w:line="277" w:lineRule="auto"/>
        <w:rPr>
          <w:sz w:val="20"/>
          <w:szCs w:val="20"/>
          <w:color w:val="auto"/>
        </w:rPr>
      </w:pPr>
      <w:r>
        <w:rPr>
          <w:rFonts w:ascii="Arial" w:cs="Arial" w:eastAsia="Arial" w:hAnsi="Arial"/>
          <w:sz w:val="18"/>
          <w:szCs w:val="18"/>
          <w:color w:val="auto"/>
        </w:rPr>
        <w:t xml:space="preserve">AT&amp;T will not reimburse vendors for cell phone bills.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Charges for high speed internet access are not reimbursable.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1420" w:right="20"/>
        <w:spacing w:after="0" w:line="257" w:lineRule="auto"/>
        <w:rPr>
          <w:sz w:val="20"/>
          <w:szCs w:val="20"/>
          <w:color w:val="auto"/>
        </w:rPr>
      </w:pPr>
      <w:r>
        <w:rPr>
          <w:rFonts w:ascii="Arial" w:cs="Arial" w:eastAsia="Arial" w:hAnsi="Arial"/>
          <w:sz w:val="18"/>
          <w:szCs w:val="18"/>
          <w:color w:val="auto"/>
        </w:rPr>
        <w:t>Vendors are expected to find reasonably priced dining alternatives. As a general rule, vendors are expected to spend [**] inclusive of tax and gratuity.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274" w:right="239" w:bottom="1440" w:gutter="0" w:footer="0" w:header="0"/>
        </w:sectPr>
      </w:pPr>
    </w:p>
    <w:bookmarkStart w:id="173" w:name="page174"/>
    <w:bookmarkEnd w:id="173"/>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81"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1420" w:right="120"/>
        <w:spacing w:after="0" w:line="342" w:lineRule="auto"/>
        <w:rPr>
          <w:sz w:val="20"/>
          <w:szCs w:val="20"/>
          <w:color w:val="auto"/>
        </w:rPr>
      </w:pPr>
      <w:r>
        <w:rPr>
          <w:rFonts w:ascii="Arial" w:cs="Arial" w:eastAsia="Arial" w:hAnsi="Arial"/>
          <w:sz w:val="16"/>
          <w:szCs w:val="16"/>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The Company assumes no responsibility for loss or damage to a vendor’s personal property during business functions or hours.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27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AT&amp;T 2007 Hotel Room Rate Only Guidelines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71"/>
        </w:trPr>
        <w:tc>
          <w:tcPr>
            <w:tcW w:w="19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City</w:t>
            </w:r>
          </w:p>
        </w:tc>
        <w:tc>
          <w:tcPr>
            <w:tcW w:w="1080" w:type="dxa"/>
            <w:vAlign w:val="bottom"/>
            <w:gridSpan w:val="3"/>
          </w:tcPr>
          <w:p>
            <w:pPr>
              <w:ind w:left="700"/>
              <w:spacing w:after="0" w:line="151" w:lineRule="exact"/>
              <w:rPr>
                <w:sz w:val="20"/>
                <w:szCs w:val="20"/>
                <w:color w:val="auto"/>
              </w:rPr>
            </w:pPr>
            <w:r>
              <w:rPr>
                <w:rFonts w:ascii="Arial" w:cs="Arial" w:eastAsia="Arial" w:hAnsi="Arial"/>
                <w:sz w:val="14"/>
                <w:szCs w:val="14"/>
                <w:b w:val="1"/>
                <w:bCs w:val="1"/>
                <w:color w:val="auto"/>
              </w:rPr>
              <w:t>St</w:t>
            </w: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Guideline</w:t>
            </w:r>
          </w:p>
        </w:tc>
        <w:tc>
          <w:tcPr>
            <w:tcW w:w="200" w:type="dxa"/>
            <w:vAlign w:val="bottom"/>
          </w:tcPr>
          <w:p>
            <w:pPr>
              <w:spacing w:after="0"/>
              <w:rPr>
                <w:sz w:val="14"/>
                <w:szCs w:val="14"/>
                <w:color w:val="auto"/>
              </w:rPr>
            </w:pPr>
          </w:p>
        </w:tc>
        <w:tc>
          <w:tcPr>
            <w:tcW w:w="19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City</w:t>
            </w:r>
          </w:p>
        </w:tc>
        <w:tc>
          <w:tcPr>
            <w:tcW w:w="1140" w:type="dxa"/>
            <w:vAlign w:val="bottom"/>
            <w:gridSpan w:val="3"/>
          </w:tcPr>
          <w:p>
            <w:pPr>
              <w:ind w:left="740"/>
              <w:spacing w:after="0" w:line="151" w:lineRule="exact"/>
              <w:rPr>
                <w:sz w:val="20"/>
                <w:szCs w:val="20"/>
                <w:color w:val="auto"/>
              </w:rPr>
            </w:pPr>
            <w:r>
              <w:rPr>
                <w:rFonts w:ascii="Arial" w:cs="Arial" w:eastAsia="Arial" w:hAnsi="Arial"/>
                <w:sz w:val="14"/>
                <w:szCs w:val="14"/>
                <w:b w:val="1"/>
                <w:bCs w:val="1"/>
                <w:color w:val="auto"/>
              </w:rPr>
              <w:t>St</w:t>
            </w:r>
          </w:p>
        </w:tc>
        <w:tc>
          <w:tcPr>
            <w:tcW w:w="6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Guideline</w:t>
            </w:r>
          </w:p>
        </w:tc>
        <w:tc>
          <w:tcPr>
            <w:tcW w:w="200" w:type="dxa"/>
            <w:vAlign w:val="bottom"/>
          </w:tcPr>
          <w:p>
            <w:pPr>
              <w:spacing w:after="0"/>
              <w:rPr>
                <w:sz w:val="14"/>
                <w:szCs w:val="14"/>
                <w:color w:val="auto"/>
              </w:rPr>
            </w:pPr>
          </w:p>
        </w:tc>
        <w:tc>
          <w:tcPr>
            <w:tcW w:w="26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St</w:t>
            </w: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0"/>
              </w:rPr>
              <w:t>Guideline</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2"/>
        </w:trPr>
        <w:tc>
          <w:tcPr>
            <w:tcW w:w="1920" w:type="dxa"/>
            <w:vAlign w:val="bottom"/>
            <w:gridSpan w:val="2"/>
          </w:tcPr>
          <w:p>
            <w:pPr>
              <w:spacing w:after="0" w:line="182" w:lineRule="exact"/>
              <w:rPr>
                <w:sz w:val="20"/>
                <w:szCs w:val="20"/>
                <w:color w:val="auto"/>
              </w:rPr>
            </w:pPr>
            <w:r>
              <w:rPr>
                <w:rFonts w:ascii="Arial" w:cs="Arial" w:eastAsia="Arial" w:hAnsi="Arial"/>
                <w:sz w:val="18"/>
                <w:szCs w:val="18"/>
                <w:color w:val="auto"/>
              </w:rPr>
              <w:t>Anchorage</w:t>
            </w:r>
          </w:p>
        </w:tc>
        <w:tc>
          <w:tcPr>
            <w:tcW w:w="700" w:type="dxa"/>
            <w:vAlign w:val="bottom"/>
            <w:vMerge w:val="continue"/>
          </w:tcPr>
          <w:p>
            <w:pPr>
              <w:spacing w:after="0"/>
              <w:rPr>
                <w:sz w:val="15"/>
                <w:szCs w:val="15"/>
                <w:color w:val="auto"/>
              </w:rPr>
            </w:pPr>
          </w:p>
        </w:tc>
        <w:tc>
          <w:tcPr>
            <w:tcW w:w="380" w:type="dxa"/>
            <w:vAlign w:val="bottom"/>
            <w:gridSpan w:val="2"/>
          </w:tcPr>
          <w:p>
            <w:pPr>
              <w:spacing w:after="0" w:line="182" w:lineRule="exact"/>
              <w:rPr>
                <w:sz w:val="20"/>
                <w:szCs w:val="20"/>
                <w:color w:val="auto"/>
              </w:rPr>
            </w:pPr>
            <w:r>
              <w:rPr>
                <w:rFonts w:ascii="Arial" w:cs="Arial" w:eastAsia="Arial" w:hAnsi="Arial"/>
                <w:sz w:val="18"/>
                <w:szCs w:val="18"/>
                <w:color w:val="auto"/>
              </w:rPr>
              <w:t>AK</w:t>
            </w:r>
          </w:p>
        </w:tc>
        <w:tc>
          <w:tcPr>
            <w:tcW w:w="820" w:type="dxa"/>
            <w:vAlign w:val="bottom"/>
            <w:gridSpan w:val="2"/>
            <w:vMerge w:val="continue"/>
          </w:tcPr>
          <w:p>
            <w:pPr>
              <w:spacing w:after="0"/>
              <w:rPr>
                <w:sz w:val="15"/>
                <w:szCs w:val="15"/>
                <w:color w:val="auto"/>
              </w:rPr>
            </w:pPr>
          </w:p>
        </w:tc>
        <w:tc>
          <w:tcPr>
            <w:tcW w:w="1940" w:type="dxa"/>
            <w:vAlign w:val="bottom"/>
            <w:gridSpan w:val="2"/>
          </w:tcPr>
          <w:p>
            <w:pPr>
              <w:spacing w:after="0" w:line="182" w:lineRule="exact"/>
              <w:rPr>
                <w:sz w:val="20"/>
                <w:szCs w:val="20"/>
                <w:color w:val="auto"/>
              </w:rPr>
            </w:pPr>
            <w:r>
              <w:rPr>
                <w:rFonts w:ascii="Arial" w:cs="Arial" w:eastAsia="Arial" w:hAnsi="Arial"/>
                <w:sz w:val="18"/>
                <w:szCs w:val="18"/>
                <w:color w:val="auto"/>
              </w:rPr>
              <w:t>Downers Grove</w:t>
            </w:r>
          </w:p>
        </w:tc>
        <w:tc>
          <w:tcPr>
            <w:tcW w:w="740" w:type="dxa"/>
            <w:vAlign w:val="bottom"/>
            <w:vMerge w:val="continue"/>
          </w:tcPr>
          <w:p>
            <w:pPr>
              <w:spacing w:after="0"/>
              <w:rPr>
                <w:sz w:val="15"/>
                <w:szCs w:val="15"/>
                <w:color w:val="auto"/>
              </w:rPr>
            </w:pPr>
          </w:p>
        </w:tc>
        <w:tc>
          <w:tcPr>
            <w:tcW w:w="400" w:type="dxa"/>
            <w:vAlign w:val="bottom"/>
            <w:gridSpan w:val="2"/>
          </w:tcPr>
          <w:p>
            <w:pPr>
              <w:spacing w:after="0" w:line="182" w:lineRule="exact"/>
              <w:rPr>
                <w:sz w:val="20"/>
                <w:szCs w:val="20"/>
                <w:color w:val="auto"/>
              </w:rPr>
            </w:pPr>
            <w:r>
              <w:rPr>
                <w:rFonts w:ascii="Arial" w:cs="Arial" w:eastAsia="Arial" w:hAnsi="Arial"/>
                <w:sz w:val="18"/>
                <w:szCs w:val="18"/>
                <w:color w:val="auto"/>
              </w:rPr>
              <w:t>IL</w:t>
            </w:r>
          </w:p>
        </w:tc>
        <w:tc>
          <w:tcPr>
            <w:tcW w:w="820" w:type="dxa"/>
            <w:vAlign w:val="bottom"/>
            <w:gridSpan w:val="2"/>
            <w:vMerge w:val="continue"/>
          </w:tcPr>
          <w:p>
            <w:pPr>
              <w:spacing w:after="0"/>
              <w:rPr>
                <w:sz w:val="15"/>
                <w:szCs w:val="15"/>
                <w:color w:val="auto"/>
              </w:rPr>
            </w:pPr>
          </w:p>
        </w:tc>
        <w:tc>
          <w:tcPr>
            <w:tcW w:w="2620" w:type="dxa"/>
            <w:vAlign w:val="bottom"/>
            <w:gridSpan w:val="2"/>
          </w:tcPr>
          <w:p>
            <w:pPr>
              <w:spacing w:after="0" w:line="182" w:lineRule="exact"/>
              <w:rPr>
                <w:sz w:val="20"/>
                <w:szCs w:val="20"/>
                <w:color w:val="auto"/>
              </w:rPr>
            </w:pPr>
            <w:r>
              <w:rPr>
                <w:rFonts w:ascii="Arial" w:cs="Arial" w:eastAsia="Arial" w:hAnsi="Arial"/>
                <w:sz w:val="18"/>
                <w:szCs w:val="18"/>
                <w:color w:val="auto"/>
              </w:rPr>
              <w:t>Teaneck</w:t>
            </w:r>
          </w:p>
        </w:tc>
        <w:tc>
          <w:tcPr>
            <w:tcW w:w="380" w:type="dxa"/>
            <w:vAlign w:val="bottom"/>
            <w:gridSpan w:val="2"/>
          </w:tcPr>
          <w:p>
            <w:pPr>
              <w:spacing w:after="0" w:line="182" w:lineRule="exact"/>
              <w:rPr>
                <w:sz w:val="20"/>
                <w:szCs w:val="20"/>
                <w:color w:val="auto"/>
              </w:rPr>
            </w:pPr>
            <w:r>
              <w:rPr>
                <w:rFonts w:ascii="Arial" w:cs="Arial" w:eastAsia="Arial" w:hAnsi="Arial"/>
                <w:sz w:val="18"/>
                <w:szCs w:val="18"/>
                <w:color w:val="auto"/>
              </w:rPr>
              <w:t>NJ</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Fairbanks</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AK</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Hoffman Estates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Tinton Falls</w:t>
            </w:r>
          </w:p>
        </w:tc>
        <w:tc>
          <w:tcPr>
            <w:tcW w:w="38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Ketchikan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AK</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Joliet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Warren</w:t>
            </w:r>
          </w:p>
        </w:tc>
        <w:tc>
          <w:tcPr>
            <w:tcW w:w="38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Glennallen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AK</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Matteson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Whippany</w:t>
            </w:r>
          </w:p>
        </w:tc>
        <w:tc>
          <w:tcPr>
            <w:tcW w:w="38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Fayetteville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AR</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Oak Lawn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Pahrump</w:t>
            </w:r>
          </w:p>
        </w:tc>
        <w:tc>
          <w:tcPr>
            <w:tcW w:w="380" w:type="dxa"/>
            <w:vAlign w:val="bottom"/>
            <w:gridSpan w:val="2"/>
          </w:tcPr>
          <w:p>
            <w:pPr>
              <w:spacing w:after="0"/>
              <w:rPr>
                <w:sz w:val="20"/>
                <w:szCs w:val="20"/>
                <w:color w:val="auto"/>
              </w:rPr>
            </w:pPr>
            <w:r>
              <w:rPr>
                <w:rFonts w:ascii="Arial" w:cs="Arial" w:eastAsia="Arial" w:hAnsi="Arial"/>
                <w:sz w:val="18"/>
                <w:szCs w:val="18"/>
                <w:color w:val="auto"/>
              </w:rPr>
              <w:t>NV</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Hot Springs</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AR</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Peoria</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Reno</w:t>
            </w:r>
          </w:p>
        </w:tc>
        <w:tc>
          <w:tcPr>
            <w:tcW w:w="380" w:type="dxa"/>
            <w:vAlign w:val="bottom"/>
            <w:gridSpan w:val="2"/>
          </w:tcPr>
          <w:p>
            <w:pPr>
              <w:spacing w:after="0"/>
              <w:rPr>
                <w:sz w:val="20"/>
                <w:szCs w:val="20"/>
                <w:color w:val="auto"/>
              </w:rPr>
            </w:pPr>
            <w:r>
              <w:rPr>
                <w:rFonts w:ascii="Arial" w:cs="Arial" w:eastAsia="Arial" w:hAnsi="Arial"/>
                <w:sz w:val="18"/>
                <w:szCs w:val="18"/>
                <w:color w:val="auto"/>
              </w:rPr>
              <w:t>NV</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Little Rock</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AR</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Rosemont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Buffalo</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Mesa</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AZ</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Schaumburg</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Phoenix</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AZ</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Springfield</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Syracuse</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Tempe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AZ</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Willowbrook</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IL</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White Plains</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Tucson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AZ</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Columbus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Tarrytown</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Anaheim</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Vestal</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Arcadia</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South Bend</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IN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Canton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Bakersfield</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Overland Pk</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KS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Cleveland</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Barstow</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Shawnee</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KS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Columbus</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Buena Park</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Topeka</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KS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Dayton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Burbank</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Wichita</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KS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Dublin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Burlingame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Boston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MA</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Hudson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Carson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Cambridge</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MA</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Independence</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Dublin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Tewksbury</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MA</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Pinkerington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Eureka</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Columbia</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MD</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Reynoldburg</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Fresno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Greenbelt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MD</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Richfield</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Garden Grove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Hagerstown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MD</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Toledo</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Hayward</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Ann Arbor</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Youngstown</w:t>
            </w:r>
          </w:p>
        </w:tc>
        <w:tc>
          <w:tcPr>
            <w:tcW w:w="380" w:type="dxa"/>
            <w:vAlign w:val="bottom"/>
            <w:gridSpan w:val="2"/>
          </w:tcPr>
          <w:p>
            <w:pPr>
              <w:spacing w:after="0"/>
              <w:rPr>
                <w:sz w:val="20"/>
                <w:szCs w:val="20"/>
                <w:color w:val="auto"/>
              </w:rPr>
            </w:pPr>
            <w:r>
              <w:rPr>
                <w:rFonts w:ascii="Arial" w:cs="Arial" w:eastAsia="Arial" w:hAnsi="Arial"/>
                <w:sz w:val="18"/>
                <w:szCs w:val="18"/>
                <w:color w:val="auto"/>
              </w:rPr>
              <w:t>OH</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Irvine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Deaborn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Oklahoma City</w:t>
            </w:r>
          </w:p>
        </w:tc>
        <w:tc>
          <w:tcPr>
            <w:tcW w:w="380" w:type="dxa"/>
            <w:vAlign w:val="bottom"/>
            <w:gridSpan w:val="2"/>
          </w:tcPr>
          <w:p>
            <w:pPr>
              <w:spacing w:after="0"/>
              <w:rPr>
                <w:sz w:val="20"/>
                <w:szCs w:val="20"/>
                <w:color w:val="auto"/>
              </w:rPr>
            </w:pPr>
            <w:r>
              <w:rPr>
                <w:rFonts w:ascii="Arial" w:cs="Arial" w:eastAsia="Arial" w:hAnsi="Arial"/>
                <w:sz w:val="18"/>
                <w:szCs w:val="18"/>
                <w:color w:val="auto"/>
              </w:rPr>
              <w:t>OK</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Long Beach</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Detroit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Tulsa</w:t>
            </w:r>
          </w:p>
        </w:tc>
        <w:tc>
          <w:tcPr>
            <w:tcW w:w="380" w:type="dxa"/>
            <w:vAlign w:val="bottom"/>
            <w:gridSpan w:val="2"/>
          </w:tcPr>
          <w:p>
            <w:pPr>
              <w:spacing w:after="0"/>
              <w:rPr>
                <w:sz w:val="20"/>
                <w:szCs w:val="20"/>
                <w:color w:val="auto"/>
              </w:rPr>
            </w:pPr>
            <w:r>
              <w:rPr>
                <w:rFonts w:ascii="Arial" w:cs="Arial" w:eastAsia="Arial" w:hAnsi="Arial"/>
                <w:sz w:val="18"/>
                <w:szCs w:val="18"/>
                <w:color w:val="auto"/>
              </w:rPr>
              <w:t>OK</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Los Angeles</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Grand Rapids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Pittsburg</w:t>
            </w:r>
          </w:p>
        </w:tc>
        <w:tc>
          <w:tcPr>
            <w:tcW w:w="380" w:type="dxa"/>
            <w:vAlign w:val="bottom"/>
            <w:gridSpan w:val="2"/>
          </w:tcPr>
          <w:p>
            <w:pPr>
              <w:spacing w:after="0"/>
              <w:rPr>
                <w:sz w:val="20"/>
                <w:szCs w:val="20"/>
                <w:color w:val="auto"/>
              </w:rPr>
            </w:pPr>
            <w:r>
              <w:rPr>
                <w:rFonts w:ascii="Arial" w:cs="Arial" w:eastAsia="Arial" w:hAnsi="Arial"/>
                <w:sz w:val="18"/>
                <w:szCs w:val="18"/>
                <w:color w:val="auto"/>
              </w:rPr>
              <w:t>PA</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Oakland</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Grandville</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Memphis</w:t>
            </w:r>
          </w:p>
        </w:tc>
        <w:tc>
          <w:tcPr>
            <w:tcW w:w="380" w:type="dxa"/>
            <w:vAlign w:val="bottom"/>
            <w:gridSpan w:val="2"/>
          </w:tcPr>
          <w:p>
            <w:pPr>
              <w:spacing w:after="0"/>
              <w:rPr>
                <w:sz w:val="20"/>
                <w:szCs w:val="20"/>
                <w:color w:val="auto"/>
              </w:rPr>
            </w:pPr>
            <w:r>
              <w:rPr>
                <w:rFonts w:ascii="Arial" w:cs="Arial" w:eastAsia="Arial" w:hAnsi="Arial"/>
                <w:sz w:val="18"/>
                <w:szCs w:val="18"/>
                <w:color w:val="auto"/>
              </w:rPr>
              <w:t>TN</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Pasadena</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Lansing</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Abilene</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Pleasanton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Livonia</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Amarillo</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Rancho Cordova</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Plymouth</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Austin</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Riverside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Saginaw</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Beaumont</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Sacramento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Southfield</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Corpus Christi</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Troy</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MI</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Dallas</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Francisco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Minneapolis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MN</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Gabriel</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Chesterfield</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Jose</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Earth City</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Irving</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Leandro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Festus</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San Luis Obispo</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Jefferson City</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Plano</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San Ramon</w:t>
            </w:r>
          </w:p>
        </w:tc>
        <w:tc>
          <w:tcPr>
            <w:tcW w:w="1080" w:type="dxa"/>
            <w:vAlign w:val="bottom"/>
            <w:gridSpan w:val="3"/>
          </w:tcPr>
          <w:p>
            <w:pPr>
              <w:ind w:left="700"/>
              <w:spacing w:after="0"/>
              <w:rPr>
                <w:sz w:val="20"/>
                <w:szCs w:val="20"/>
                <w:color w:val="auto"/>
              </w:rPr>
            </w:pPr>
            <w:r>
              <w:rPr>
                <w:rFonts w:ascii="Arial" w:cs="Arial" w:eastAsia="Arial" w:hAnsi="Arial"/>
                <w:sz w:val="18"/>
                <w:szCs w:val="18"/>
                <w:color w:val="auto"/>
              </w:rPr>
              <w:t>CA</w:t>
            </w:r>
          </w:p>
        </w:tc>
        <w:tc>
          <w:tcPr>
            <w:tcW w:w="6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Joplin</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MO</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Richardson</w:t>
            </w:r>
          </w:p>
        </w:tc>
        <w:tc>
          <w:tcPr>
            <w:tcW w:w="380" w:type="dxa"/>
            <w:vAlign w:val="bottom"/>
            <w:gridSpan w:val="2"/>
          </w:tcPr>
          <w:p>
            <w:pPr>
              <w:spacing w:after="0"/>
              <w:rPr>
                <w:sz w:val="20"/>
                <w:szCs w:val="20"/>
                <w:color w:val="auto"/>
              </w:rPr>
            </w:pPr>
            <w:r>
              <w:rPr>
                <w:rFonts w:ascii="Arial" w:cs="Arial" w:eastAsia="Arial" w:hAnsi="Arial"/>
                <w:sz w:val="18"/>
                <w:szCs w:val="18"/>
                <w:color w:val="auto"/>
              </w:rPr>
              <w:t>TX</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75" w:name="page176"/>
    <w:bookmarkEnd w:id="175"/>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Santa Ana</w:t>
            </w:r>
          </w:p>
        </w:tc>
        <w:tc>
          <w:tcPr>
            <w:tcW w:w="1120" w:type="dxa"/>
            <w:vAlign w:val="bottom"/>
          </w:tcPr>
          <w:p>
            <w:pPr>
              <w:ind w:left="780"/>
              <w:spacing w:after="0"/>
              <w:rPr>
                <w:sz w:val="20"/>
                <w:szCs w:val="20"/>
                <w:color w:val="auto"/>
              </w:rPr>
            </w:pPr>
            <w:r>
              <w:rPr>
                <w:rFonts w:ascii="Arial" w:cs="Arial" w:eastAsia="Arial" w:hAnsi="Arial"/>
                <w:sz w:val="18"/>
                <w:szCs w:val="18"/>
                <w:color w:val="auto"/>
              </w:rPr>
              <w:t>CA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Kansas City</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Temucla</w:t>
            </w:r>
          </w:p>
        </w:tc>
        <w:tc>
          <w:tcPr>
            <w:tcW w:w="1120" w:type="dxa"/>
            <w:vAlign w:val="bottom"/>
          </w:tcPr>
          <w:p>
            <w:pPr>
              <w:ind w:left="780"/>
              <w:spacing w:after="0"/>
              <w:rPr>
                <w:sz w:val="20"/>
                <w:szCs w:val="20"/>
                <w:color w:val="auto"/>
              </w:rPr>
            </w:pPr>
            <w:r>
              <w:rPr>
                <w:rFonts w:ascii="Arial" w:cs="Arial" w:eastAsia="Arial" w:hAnsi="Arial"/>
                <w:sz w:val="18"/>
                <w:szCs w:val="18"/>
                <w:color w:val="auto"/>
              </w:rPr>
              <w:t>CA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w w:val="92"/>
              </w:rPr>
              <w:t>Maryland Heights</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Torrance</w:t>
            </w:r>
          </w:p>
        </w:tc>
        <w:tc>
          <w:tcPr>
            <w:tcW w:w="1120" w:type="dxa"/>
            <w:vAlign w:val="bottom"/>
          </w:tcPr>
          <w:p>
            <w:pPr>
              <w:ind w:left="780"/>
              <w:spacing w:after="0"/>
              <w:rPr>
                <w:sz w:val="20"/>
                <w:szCs w:val="20"/>
                <w:color w:val="auto"/>
              </w:rPr>
            </w:pPr>
            <w:r>
              <w:rPr>
                <w:rFonts w:ascii="Arial" w:cs="Arial" w:eastAsia="Arial" w:hAnsi="Arial"/>
                <w:sz w:val="18"/>
                <w:szCs w:val="18"/>
                <w:color w:val="auto"/>
              </w:rPr>
              <w:t>CA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Poplar Bluff</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Walnut Creek</w:t>
            </w:r>
          </w:p>
        </w:tc>
        <w:tc>
          <w:tcPr>
            <w:tcW w:w="1120" w:type="dxa"/>
            <w:vAlign w:val="bottom"/>
          </w:tcPr>
          <w:p>
            <w:pPr>
              <w:ind w:left="780"/>
              <w:spacing w:after="0"/>
              <w:rPr>
                <w:sz w:val="20"/>
                <w:szCs w:val="20"/>
                <w:color w:val="auto"/>
              </w:rPr>
            </w:pPr>
            <w:r>
              <w:rPr>
                <w:rFonts w:ascii="Arial" w:cs="Arial" w:eastAsia="Arial" w:hAnsi="Arial"/>
                <w:sz w:val="18"/>
                <w:szCs w:val="18"/>
                <w:color w:val="auto"/>
              </w:rPr>
              <w:t>CA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St Josept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Denver</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Saint Louis</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Colorodo Springs</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Charlotte</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Greenwood Village</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Durham</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Meriden</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Triangle Park</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New Haven</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BaskingRidge</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Washington</w:t>
            </w:r>
          </w:p>
        </w:tc>
        <w:tc>
          <w:tcPr>
            <w:tcW w:w="1120" w:type="dxa"/>
            <w:vAlign w:val="bottom"/>
          </w:tcPr>
          <w:p>
            <w:pPr>
              <w:ind w:left="780"/>
              <w:spacing w:after="0"/>
              <w:rPr>
                <w:sz w:val="20"/>
                <w:szCs w:val="20"/>
                <w:color w:val="auto"/>
              </w:rPr>
            </w:pPr>
            <w:r>
              <w:rPr>
                <w:rFonts w:ascii="Arial" w:cs="Arial" w:eastAsia="Arial" w:hAnsi="Arial"/>
                <w:sz w:val="18"/>
                <w:szCs w:val="18"/>
                <w:color w:val="auto"/>
              </w:rPr>
              <w:t>DC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Bernardsville</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Wilmington</w:t>
            </w:r>
          </w:p>
        </w:tc>
        <w:tc>
          <w:tcPr>
            <w:tcW w:w="1120" w:type="dxa"/>
            <w:vAlign w:val="bottom"/>
          </w:tcPr>
          <w:p>
            <w:pPr>
              <w:ind w:left="780"/>
              <w:spacing w:after="0"/>
              <w:rPr>
                <w:sz w:val="20"/>
                <w:szCs w:val="20"/>
                <w:color w:val="auto"/>
              </w:rPr>
            </w:pPr>
            <w:r>
              <w:rPr>
                <w:rFonts w:ascii="Arial" w:cs="Arial" w:eastAsia="Arial" w:hAnsi="Arial"/>
                <w:sz w:val="18"/>
                <w:szCs w:val="18"/>
                <w:color w:val="auto"/>
              </w:rPr>
              <w:t>DE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Bridgewater</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Ft. Lauderdale</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Cranbury</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Jacksonville</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Edison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Orlando</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Iselin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Tampa</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Morristown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Alpharetta</w:t>
            </w:r>
          </w:p>
        </w:tc>
        <w:tc>
          <w:tcPr>
            <w:tcW w:w="1120" w:type="dxa"/>
            <w:vAlign w:val="bottom"/>
          </w:tcPr>
          <w:p>
            <w:pPr>
              <w:ind w:left="780"/>
              <w:spacing w:after="0"/>
              <w:rPr>
                <w:sz w:val="20"/>
                <w:szCs w:val="20"/>
                <w:color w:val="auto"/>
              </w:rPr>
            </w:pPr>
            <w:r>
              <w:rPr>
                <w:rFonts w:ascii="Arial" w:cs="Arial" w:eastAsia="Arial" w:hAnsi="Arial"/>
                <w:sz w:val="18"/>
                <w:szCs w:val="18"/>
                <w:color w:val="auto"/>
              </w:rPr>
              <w:t>GA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Parsippany</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Atlanta</w:t>
            </w:r>
          </w:p>
        </w:tc>
        <w:tc>
          <w:tcPr>
            <w:tcW w:w="1120" w:type="dxa"/>
            <w:vAlign w:val="bottom"/>
          </w:tcPr>
          <w:p>
            <w:pPr>
              <w:ind w:left="780"/>
              <w:spacing w:after="0"/>
              <w:rPr>
                <w:sz w:val="20"/>
                <w:szCs w:val="20"/>
                <w:color w:val="auto"/>
              </w:rPr>
            </w:pPr>
            <w:r>
              <w:rPr>
                <w:rFonts w:ascii="Arial" w:cs="Arial" w:eastAsia="Arial" w:hAnsi="Arial"/>
                <w:sz w:val="18"/>
                <w:szCs w:val="18"/>
                <w:color w:val="auto"/>
              </w:rPr>
              <w:t>GA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Piscataway</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Augusta</w:t>
            </w:r>
          </w:p>
        </w:tc>
        <w:tc>
          <w:tcPr>
            <w:tcW w:w="1120" w:type="dxa"/>
            <w:vAlign w:val="bottom"/>
          </w:tcPr>
          <w:p>
            <w:pPr>
              <w:ind w:left="780"/>
              <w:spacing w:after="0"/>
              <w:rPr>
                <w:sz w:val="20"/>
                <w:szCs w:val="20"/>
                <w:color w:val="auto"/>
              </w:rPr>
            </w:pPr>
            <w:r>
              <w:rPr>
                <w:rFonts w:ascii="Arial" w:cs="Arial" w:eastAsia="Arial" w:hAnsi="Arial"/>
                <w:sz w:val="18"/>
                <w:szCs w:val="18"/>
                <w:color w:val="auto"/>
              </w:rPr>
              <w:t>GA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Princeton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Lawrenceville</w:t>
            </w:r>
          </w:p>
        </w:tc>
        <w:tc>
          <w:tcPr>
            <w:tcW w:w="1120" w:type="dxa"/>
            <w:vAlign w:val="bottom"/>
          </w:tcPr>
          <w:p>
            <w:pPr>
              <w:ind w:left="780"/>
              <w:spacing w:after="0"/>
              <w:rPr>
                <w:sz w:val="20"/>
                <w:szCs w:val="20"/>
                <w:color w:val="auto"/>
              </w:rPr>
            </w:pPr>
            <w:r>
              <w:rPr>
                <w:rFonts w:ascii="Arial" w:cs="Arial" w:eastAsia="Arial" w:hAnsi="Arial"/>
                <w:sz w:val="18"/>
                <w:szCs w:val="18"/>
                <w:color w:val="auto"/>
              </w:rPr>
              <w:t>GA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Red Bank</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Arlington Heights</w:t>
            </w:r>
          </w:p>
        </w:tc>
        <w:tc>
          <w:tcPr>
            <w:tcW w:w="1120" w:type="dxa"/>
            <w:vAlign w:val="bottom"/>
          </w:tcPr>
          <w:p>
            <w:pPr>
              <w:ind w:left="780"/>
              <w:spacing w:after="0"/>
              <w:rPr>
                <w:sz w:val="20"/>
                <w:szCs w:val="20"/>
                <w:color w:val="auto"/>
              </w:rPr>
            </w:pPr>
            <w:r>
              <w:rPr>
                <w:rFonts w:ascii="Arial" w:cs="Arial" w:eastAsia="Arial" w:hAnsi="Arial"/>
                <w:sz w:val="18"/>
                <w:szCs w:val="18"/>
                <w:color w:val="auto"/>
              </w:rPr>
              <w:t>IL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Short Hills</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Chicago</w:t>
            </w:r>
          </w:p>
        </w:tc>
        <w:tc>
          <w:tcPr>
            <w:tcW w:w="1120" w:type="dxa"/>
            <w:vAlign w:val="bottom"/>
          </w:tcPr>
          <w:p>
            <w:pPr>
              <w:ind w:left="780"/>
              <w:spacing w:after="0"/>
              <w:rPr>
                <w:sz w:val="20"/>
                <w:szCs w:val="20"/>
                <w:color w:val="auto"/>
              </w:rPr>
            </w:pPr>
            <w:r>
              <w:rPr>
                <w:rFonts w:ascii="Arial" w:cs="Arial" w:eastAsia="Arial" w:hAnsi="Arial"/>
                <w:sz w:val="18"/>
                <w:szCs w:val="18"/>
                <w:color w:val="auto"/>
              </w:rPr>
              <w:t>IL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60"/>
              <w:spacing w:after="0"/>
              <w:rPr>
                <w:sz w:val="20"/>
                <w:szCs w:val="20"/>
                <w:color w:val="auto"/>
              </w:rPr>
            </w:pPr>
            <w:r>
              <w:rPr>
                <w:rFonts w:ascii="Arial" w:cs="Arial" w:eastAsia="Arial" w:hAnsi="Arial"/>
                <w:sz w:val="18"/>
                <w:szCs w:val="18"/>
                <w:color w:val="auto"/>
              </w:rPr>
              <w:t>Somerset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80" w:type="dxa"/>
            <w:vAlign w:val="bottom"/>
            <w:gridSpan w:val="3"/>
          </w:tcPr>
          <w:p>
            <w:pPr>
              <w:ind w:left="1100"/>
              <w:spacing w:after="0"/>
              <w:rPr>
                <w:sz w:val="20"/>
                <w:szCs w:val="20"/>
                <w:color w:val="auto"/>
              </w:rPr>
            </w:pPr>
            <w:r>
              <w:rPr>
                <w:rFonts w:ascii="Arial" w:cs="Arial" w:eastAsia="Arial" w:hAnsi="Arial"/>
                <w:sz w:val="18"/>
                <w:szCs w:val="18"/>
                <w:color w:val="auto"/>
                <w:w w:val="90"/>
              </w:rPr>
              <w:t>Agreement Number 02026713.A.005</w:t>
            </w:r>
          </w:p>
        </w:tc>
      </w:tr>
      <w:tr>
        <w:trPr>
          <w:trHeight w:val="350"/>
        </w:trPr>
        <w:tc>
          <w:tcPr>
            <w:tcW w:w="340" w:type="dxa"/>
            <w:vAlign w:val="bottom"/>
          </w:tcPr>
          <w:p>
            <w:pPr>
              <w:spacing w:after="0"/>
              <w:rPr>
                <w:sz w:val="20"/>
                <w:szCs w:val="20"/>
                <w:color w:val="auto"/>
              </w:rPr>
            </w:pPr>
            <w:r>
              <w:rPr>
                <w:rFonts w:ascii="Arial" w:cs="Arial" w:eastAsia="Arial" w:hAnsi="Arial"/>
                <w:sz w:val="18"/>
                <w:szCs w:val="18"/>
                <w:color w:val="auto"/>
              </w:rPr>
              <w:t>MO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San Antonio</w:t>
            </w:r>
          </w:p>
        </w:tc>
        <w:tc>
          <w:tcPr>
            <w:tcW w:w="1260" w:type="dxa"/>
            <w:vAlign w:val="bottom"/>
          </w:tcPr>
          <w:p>
            <w:pPr>
              <w:ind w:left="920"/>
              <w:spacing w:after="0"/>
              <w:rPr>
                <w:sz w:val="20"/>
                <w:szCs w:val="20"/>
                <w:color w:val="auto"/>
              </w:rPr>
            </w:pPr>
            <w:r>
              <w:rPr>
                <w:rFonts w:ascii="Arial" w:cs="Arial" w:eastAsia="Arial" w:hAnsi="Arial"/>
                <w:sz w:val="18"/>
                <w:szCs w:val="18"/>
                <w:color w:val="auto"/>
              </w:rPr>
              <w:t>TX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MO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The Woodlands</w:t>
            </w:r>
          </w:p>
        </w:tc>
        <w:tc>
          <w:tcPr>
            <w:tcW w:w="1260" w:type="dxa"/>
            <w:vAlign w:val="bottom"/>
          </w:tcPr>
          <w:p>
            <w:pPr>
              <w:ind w:left="920"/>
              <w:spacing w:after="0"/>
              <w:rPr>
                <w:sz w:val="20"/>
                <w:szCs w:val="20"/>
                <w:color w:val="auto"/>
              </w:rPr>
            </w:pPr>
            <w:r>
              <w:rPr>
                <w:rFonts w:ascii="Arial" w:cs="Arial" w:eastAsia="Arial" w:hAnsi="Arial"/>
                <w:sz w:val="18"/>
                <w:szCs w:val="18"/>
                <w:color w:val="auto"/>
              </w:rPr>
              <w:t>TX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MO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Waco</w:t>
            </w:r>
          </w:p>
        </w:tc>
        <w:tc>
          <w:tcPr>
            <w:tcW w:w="1260" w:type="dxa"/>
            <w:vAlign w:val="bottom"/>
          </w:tcPr>
          <w:p>
            <w:pPr>
              <w:ind w:left="920"/>
              <w:spacing w:after="0"/>
              <w:rPr>
                <w:sz w:val="20"/>
                <w:szCs w:val="20"/>
                <w:color w:val="auto"/>
              </w:rPr>
            </w:pPr>
            <w:r>
              <w:rPr>
                <w:rFonts w:ascii="Arial" w:cs="Arial" w:eastAsia="Arial" w:hAnsi="Arial"/>
                <w:sz w:val="18"/>
                <w:szCs w:val="18"/>
                <w:color w:val="auto"/>
              </w:rPr>
              <w:t>TX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MO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Chantilly</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MO</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Arlington</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Fairfax</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Falls Church</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Herndon</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Sandston</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Sterling</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Vienna</w:t>
            </w:r>
          </w:p>
        </w:tc>
        <w:tc>
          <w:tcPr>
            <w:tcW w:w="1260" w:type="dxa"/>
            <w:vAlign w:val="bottom"/>
          </w:tcPr>
          <w:p>
            <w:pPr>
              <w:ind w:left="920"/>
              <w:spacing w:after="0"/>
              <w:rPr>
                <w:sz w:val="20"/>
                <w:szCs w:val="20"/>
                <w:color w:val="auto"/>
              </w:rPr>
            </w:pPr>
            <w:r>
              <w:rPr>
                <w:rFonts w:ascii="Arial" w:cs="Arial" w:eastAsia="Arial" w:hAnsi="Arial"/>
                <w:sz w:val="18"/>
                <w:szCs w:val="18"/>
                <w:color w:val="auto"/>
              </w:rPr>
              <w:t>VA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Bellevue</w:t>
            </w:r>
          </w:p>
        </w:tc>
        <w:tc>
          <w:tcPr>
            <w:tcW w:w="1260" w:type="dxa"/>
            <w:vAlign w:val="bottom"/>
          </w:tcPr>
          <w:p>
            <w:pPr>
              <w:ind w:left="920"/>
              <w:spacing w:after="0"/>
              <w:rPr>
                <w:sz w:val="20"/>
                <w:szCs w:val="20"/>
                <w:color w:val="auto"/>
              </w:rPr>
            </w:pPr>
            <w:r>
              <w:rPr>
                <w:rFonts w:ascii="Arial" w:cs="Arial" w:eastAsia="Arial" w:hAnsi="Arial"/>
                <w:sz w:val="18"/>
                <w:szCs w:val="18"/>
                <w:color w:val="auto"/>
              </w:rPr>
              <w:t>WA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Seattle</w:t>
            </w:r>
          </w:p>
        </w:tc>
        <w:tc>
          <w:tcPr>
            <w:tcW w:w="1260" w:type="dxa"/>
            <w:vAlign w:val="bottom"/>
          </w:tcPr>
          <w:p>
            <w:pPr>
              <w:ind w:left="920"/>
              <w:spacing w:after="0"/>
              <w:rPr>
                <w:sz w:val="20"/>
                <w:szCs w:val="20"/>
                <w:color w:val="auto"/>
              </w:rPr>
            </w:pPr>
            <w:r>
              <w:rPr>
                <w:rFonts w:ascii="Arial" w:cs="Arial" w:eastAsia="Arial" w:hAnsi="Arial"/>
                <w:sz w:val="18"/>
                <w:szCs w:val="18"/>
                <w:color w:val="auto"/>
              </w:rPr>
              <w:t>WA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Bellevue</w:t>
            </w:r>
          </w:p>
        </w:tc>
        <w:tc>
          <w:tcPr>
            <w:tcW w:w="1260" w:type="dxa"/>
            <w:vAlign w:val="bottom"/>
          </w:tcPr>
          <w:p>
            <w:pPr>
              <w:ind w:left="920"/>
              <w:spacing w:after="0"/>
              <w:rPr>
                <w:sz w:val="20"/>
                <w:szCs w:val="20"/>
                <w:color w:val="auto"/>
              </w:rPr>
            </w:pPr>
            <w:r>
              <w:rPr>
                <w:rFonts w:ascii="Arial" w:cs="Arial" w:eastAsia="Arial" w:hAnsi="Arial"/>
                <w:sz w:val="18"/>
                <w:szCs w:val="18"/>
                <w:color w:val="auto"/>
              </w:rPr>
              <w:t>WA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Appleton</w:t>
            </w:r>
          </w:p>
        </w:tc>
        <w:tc>
          <w:tcPr>
            <w:tcW w:w="1260" w:type="dxa"/>
            <w:vAlign w:val="bottom"/>
          </w:tcPr>
          <w:p>
            <w:pPr>
              <w:ind w:left="920"/>
              <w:spacing w:after="0"/>
              <w:rPr>
                <w:sz w:val="20"/>
                <w:szCs w:val="20"/>
                <w:color w:val="auto"/>
              </w:rPr>
            </w:pPr>
            <w:r>
              <w:rPr>
                <w:rFonts w:ascii="Arial" w:cs="Arial" w:eastAsia="Arial" w:hAnsi="Arial"/>
                <w:sz w:val="18"/>
                <w:szCs w:val="18"/>
                <w:color w:val="auto"/>
              </w:rPr>
              <w:t>WI</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Brookfield</w:t>
            </w:r>
          </w:p>
        </w:tc>
        <w:tc>
          <w:tcPr>
            <w:tcW w:w="1260" w:type="dxa"/>
            <w:vAlign w:val="bottom"/>
          </w:tcPr>
          <w:p>
            <w:pPr>
              <w:ind w:left="920"/>
              <w:spacing w:after="0"/>
              <w:rPr>
                <w:sz w:val="20"/>
                <w:szCs w:val="20"/>
                <w:color w:val="auto"/>
              </w:rPr>
            </w:pPr>
            <w:r>
              <w:rPr>
                <w:rFonts w:ascii="Arial" w:cs="Arial" w:eastAsia="Arial" w:hAnsi="Arial"/>
                <w:sz w:val="18"/>
                <w:szCs w:val="18"/>
                <w:color w:val="auto"/>
              </w:rPr>
              <w:t>WI</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Milwaukee</w:t>
            </w:r>
          </w:p>
        </w:tc>
        <w:tc>
          <w:tcPr>
            <w:tcW w:w="1260" w:type="dxa"/>
            <w:vAlign w:val="bottom"/>
          </w:tcPr>
          <w:p>
            <w:pPr>
              <w:ind w:left="920"/>
              <w:spacing w:after="0"/>
              <w:rPr>
                <w:sz w:val="20"/>
                <w:szCs w:val="20"/>
                <w:color w:val="auto"/>
              </w:rPr>
            </w:pPr>
            <w:r>
              <w:rPr>
                <w:rFonts w:ascii="Arial" w:cs="Arial" w:eastAsia="Arial" w:hAnsi="Arial"/>
                <w:sz w:val="18"/>
                <w:szCs w:val="18"/>
                <w:color w:val="auto"/>
              </w:rPr>
              <w:t>WI</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Madison</w:t>
            </w:r>
          </w:p>
        </w:tc>
        <w:tc>
          <w:tcPr>
            <w:tcW w:w="1260" w:type="dxa"/>
            <w:vAlign w:val="bottom"/>
          </w:tcPr>
          <w:p>
            <w:pPr>
              <w:ind w:left="920"/>
              <w:spacing w:after="0"/>
              <w:rPr>
                <w:sz w:val="20"/>
                <w:szCs w:val="20"/>
                <w:color w:val="auto"/>
              </w:rPr>
            </w:pPr>
            <w:r>
              <w:rPr>
                <w:rFonts w:ascii="Arial" w:cs="Arial" w:eastAsia="Arial" w:hAnsi="Arial"/>
                <w:sz w:val="18"/>
                <w:szCs w:val="18"/>
                <w:color w:val="auto"/>
              </w:rPr>
              <w:t>WI</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ind w:left="60"/>
              <w:spacing w:after="0"/>
              <w:rPr>
                <w:sz w:val="20"/>
                <w:szCs w:val="20"/>
                <w:color w:val="auto"/>
              </w:rPr>
            </w:pPr>
            <w:r>
              <w:rPr>
                <w:rFonts w:ascii="Arial" w:cs="Arial" w:eastAsia="Arial" w:hAnsi="Arial"/>
                <w:sz w:val="18"/>
                <w:szCs w:val="18"/>
                <w:color w:val="auto"/>
              </w:rPr>
              <w:t>Oak Creek</w:t>
            </w:r>
          </w:p>
        </w:tc>
        <w:tc>
          <w:tcPr>
            <w:tcW w:w="1260" w:type="dxa"/>
            <w:vAlign w:val="bottom"/>
          </w:tcPr>
          <w:p>
            <w:pPr>
              <w:ind w:left="920"/>
              <w:spacing w:after="0"/>
              <w:rPr>
                <w:sz w:val="20"/>
                <w:szCs w:val="20"/>
                <w:color w:val="auto"/>
              </w:rPr>
            </w:pPr>
            <w:r>
              <w:rPr>
                <w:rFonts w:ascii="Arial" w:cs="Arial" w:eastAsia="Arial" w:hAnsi="Arial"/>
                <w:sz w:val="18"/>
                <w:szCs w:val="18"/>
                <w:color w:val="auto"/>
              </w:rPr>
              <w:t>WI</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NJ</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2">
            <w:col w:w="6140" w:space="720"/>
            <w:col w:w="45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color w:val="auto"/>
        </w:rPr>
        <w:t>Cities not listed on this Top City Hotel Room Rate Only Guideline Matrix, default to $</w:t>
      </w:r>
      <w:r>
        <w:rPr>
          <w:rFonts w:ascii="Arial" w:cs="Arial" w:eastAsia="Arial" w:hAnsi="Arial"/>
          <w:sz w:val="18"/>
          <w:szCs w:val="18"/>
          <w:color w:val="auto"/>
        </w:rPr>
        <w:t>[**]</w:t>
      </w:r>
      <w:r>
        <w:rPr>
          <w:rFonts w:ascii="Arial" w:cs="Arial" w:eastAsia="Arial" w:hAnsi="Arial"/>
          <w:sz w:val="18"/>
          <w:szCs w:val="18"/>
          <w:b w:val="1"/>
          <w:bCs w:val="1"/>
          <w:color w:val="auto"/>
        </w:rPr>
        <w:t xml:space="preserve"> nightly rate</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left="32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6.5(a)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Checks -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Check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5 pages were omitted. [**]</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6.5(b)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Checks – Non-U.S.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10 pages were omitted. [**]</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272 Compliance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Amdocs, Inc. (“Amdocs”) and </w:t>
      </w:r>
      <w:r>
        <w:rPr>
          <w:rFonts w:ascii="Arial" w:cs="Arial" w:eastAsia="Arial" w:hAnsi="Arial"/>
          <w:sz w:val="18"/>
          <w:szCs w:val="18"/>
          <w:u w:val="single" w:color="auto"/>
          <w:color w:val="auto"/>
        </w:rPr>
        <w:t>AT&amp;T</w:t>
      </w:r>
      <w:r>
        <w:rPr>
          <w:rFonts w:ascii="Arial" w:cs="Arial" w:eastAsia="Arial" w:hAnsi="Arial"/>
          <w:sz w:val="18"/>
          <w:szCs w:val="18"/>
          <w:color w:val="auto"/>
        </w:rPr>
        <w:t xml:space="preserve"> Services, Inc. (“AT&amp;T”) are parties Services under this Agreement for the benefit of AT&amp;T’s Section 272-Restricted Separate Affiliates.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Section 15.10 (Compliance with Laws) of the Agreement, each Party must comply with Law, including the Federal Telecommunications Act of 1996 (the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272 of the Act conditions a Bell Operating Company’s (“</w:t>
      </w:r>
      <w:r>
        <w:rPr>
          <w:rFonts w:ascii="Arial" w:cs="Arial" w:eastAsia="Arial" w:hAnsi="Arial"/>
          <w:sz w:val="18"/>
          <w:szCs w:val="18"/>
          <w:u w:val="single" w:color="auto"/>
          <w:color w:val="auto"/>
        </w:rPr>
        <w:t>BOC’s</w:t>
      </w:r>
      <w:r>
        <w:rPr>
          <w:rFonts w:ascii="Arial" w:cs="Arial" w:eastAsia="Arial" w:hAnsi="Arial"/>
          <w:sz w:val="18"/>
          <w:szCs w:val="18"/>
          <w:color w:val="auto"/>
        </w:rPr>
        <w:t>”) provision of certain in-region interLATA telecommunications services, among other things, on a Federal Communications Commission (“</w:t>
      </w:r>
      <w:r>
        <w:rPr>
          <w:rFonts w:ascii="Arial" w:cs="Arial" w:eastAsia="Arial" w:hAnsi="Arial"/>
          <w:sz w:val="18"/>
          <w:szCs w:val="18"/>
          <w:u w:val="single" w:color="auto"/>
          <w:color w:val="auto"/>
        </w:rPr>
        <w:t>FCC</w:t>
      </w:r>
      <w:r>
        <w:rPr>
          <w:rFonts w:ascii="Arial" w:cs="Arial" w:eastAsia="Arial" w:hAnsi="Arial"/>
          <w:sz w:val="18"/>
          <w:szCs w:val="18"/>
          <w:color w:val="auto"/>
        </w:rPr>
        <w:t>”) finding that such BOC complies with the safeguards and requirements of Section 272 of the Act. The FCC adopted certain rules interpreting and implementing the requirements of Section 272. AT&amp;T and its affiliates have compliance obligations under Section 272 and such FCC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such compliance obligations and FCC rules, Amdocs shall:</w:t>
      </w:r>
    </w:p>
    <w:p>
      <w:pPr>
        <w:spacing w:after="0" w:line="225" w:lineRule="exact"/>
        <w:rPr>
          <w:sz w:val="20"/>
          <w:szCs w:val="20"/>
          <w:color w:val="auto"/>
        </w:rPr>
      </w:pPr>
    </w:p>
    <w:p>
      <w:pPr>
        <w:ind w:right="80" w:firstLine="8"/>
        <w:spacing w:after="0" w:line="264" w:lineRule="auto"/>
        <w:tabs>
          <w:tab w:leader="none" w:pos="2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furnish Amdocs Personnel providing support for, or Services to, AT&amp;T’s Section 272-Restricted Separate Affiliates with a copy of “The Separate Affiliate Safeguards, Section 272 Compliance Obligations Applicable to InterLATA Telecommunications Services and Manufacturing Under the Federal Telecommunications Act of 1996”</w:t>
      </w:r>
      <w:r>
        <w:rPr>
          <w:rFonts w:ascii="Arial" w:cs="Arial" w:eastAsia="Arial" w:hAnsi="Arial"/>
          <w:sz w:val="15"/>
          <w:szCs w:val="15"/>
          <w:color w:val="auto"/>
        </w:rPr>
        <w:t>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Section 272 Compliance Guide</w:t>
      </w:r>
      <w:r>
        <w:rPr>
          <w:rFonts w:ascii="Arial" w:cs="Arial" w:eastAsia="Arial" w:hAnsi="Arial"/>
          <w:sz w:val="18"/>
          <w:szCs w:val="18"/>
          <w:color w:val="auto"/>
        </w:rPr>
        <w:t>”, attached hereto in Schedule E.3, AT&amp;T Rules),</w:t>
      </w:r>
    </w:p>
    <w:p>
      <w:pPr>
        <w:spacing w:after="0" w:line="181" w:lineRule="exact"/>
        <w:rPr>
          <w:rFonts w:ascii="Arial" w:cs="Arial" w:eastAsia="Arial" w:hAnsi="Arial"/>
          <w:sz w:val="18"/>
          <w:szCs w:val="18"/>
          <w:color w:val="auto"/>
        </w:rPr>
      </w:pPr>
    </w:p>
    <w:p>
      <w:pPr>
        <w:ind w:right="140" w:firstLine="8"/>
        <w:spacing w:after="0" w:line="277" w:lineRule="auto"/>
        <w:tabs>
          <w:tab w:leader="none" w:pos="2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require that each Amdocs Personnel (a) read and review the Section 272 Compliance Guide, and (b) provide written acknowledgment thereof to Amdocs (no later than [**] of each year of the Term), and</w:t>
      </w:r>
    </w:p>
    <w:p>
      <w:pPr>
        <w:spacing w:after="0" w:line="170" w:lineRule="exact"/>
        <w:rPr>
          <w:rFonts w:ascii="Arial" w:cs="Arial" w:eastAsia="Arial" w:hAnsi="Arial"/>
          <w:sz w:val="18"/>
          <w:szCs w:val="18"/>
          <w:color w:val="auto"/>
        </w:rPr>
      </w:pPr>
    </w:p>
    <w:p>
      <w:pPr>
        <w:ind w:right="140" w:firstLine="8"/>
        <w:spacing w:after="0" w:line="277" w:lineRule="auto"/>
        <w:tabs>
          <w:tab w:leader="none" w:pos="3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furnish to AT&amp;T no later than [**] of each year of the Term a written acknowledgment in the form attached hereto as in Schedule E.3, AT&amp;T Rules (the “Supplier’s Acknowledgment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60" w:hanging="452"/>
        <w:spacing w:after="0" w:line="259"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More commonly referred to as the “Section 272 Compliance Guide for Temporary Workers and Independent Contractors.” With respect to Section 272, the guide provides (i) a glossary of key terms, (ii) describes the activities generally subject to the Section 272 affiliate safeguards, (iii) details the principal structural and transactional requirements, (iv) explains the nondiscrimination and accounting requirements, and (v) reviews certain joint marketing requirements.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79" w:name="page180"/>
    <w:bookmarkEnd w:id="179"/>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7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Section 272 Compliance Guide for Temporary Workers and Independent Contractors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AT&amp;T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 SEPARATE AFFILIATE SAFEGUARDS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SECTION 272 COMPLIANCE OBLIGATIONS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APPLICABLE TO INTERLATA TELECOMMUNICATIONS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SERVICES AND MANUFACTURING UNDER THE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FEDERAL TELECOMMUNICATIONS ACT OF 1996</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October 2006</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Section 272 Compliance Guide</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Temporary Workers and Independent Contractors</w:t>
      </w:r>
    </w:p>
    <w:p>
      <w:pPr>
        <w:spacing w:after="0" w:line="211" w:lineRule="exact"/>
        <w:rPr>
          <w:sz w:val="20"/>
          <w:szCs w:val="20"/>
          <w:color w:val="auto"/>
        </w:rPr>
      </w:pPr>
    </w:p>
    <w:p>
      <w:pPr>
        <w:jc w:val="center"/>
        <w:ind w:right="60"/>
        <w:spacing w:after="0" w:line="286" w:lineRule="auto"/>
        <w:rPr>
          <w:sz w:val="20"/>
          <w:szCs w:val="20"/>
          <w:color w:val="auto"/>
        </w:rPr>
      </w:pPr>
      <w:r>
        <w:rPr>
          <w:rFonts w:ascii="Arial" w:cs="Arial" w:eastAsia="Arial" w:hAnsi="Arial"/>
          <w:sz w:val="17"/>
          <w:szCs w:val="17"/>
          <w:color w:val="auto"/>
        </w:rPr>
        <w:t>The fact that you are reviewing Section 272 Compliance Information should not be construed as employee training. The contract between AT&amp;T Inc. and your employer requires you to comply with all laws and regulations. Even though you are not an employee of AT&amp;T Inc. your review today is required because your job function involves providing support for, or services to, AT&amp;T Inc.’s Section 272-Restricted affiliates.</w:t>
      </w:r>
    </w:p>
    <w:p>
      <w:pPr>
        <w:spacing w:after="0" w:line="166" w:lineRule="exact"/>
        <w:rPr>
          <w:sz w:val="20"/>
          <w:szCs w:val="20"/>
          <w:color w:val="auto"/>
        </w:rPr>
      </w:pPr>
    </w:p>
    <w:p>
      <w:pPr>
        <w:jc w:val="center"/>
        <w:ind w:right="80"/>
        <w:spacing w:after="0" w:line="259" w:lineRule="auto"/>
        <w:rPr>
          <w:sz w:val="20"/>
          <w:szCs w:val="20"/>
          <w:color w:val="auto"/>
        </w:rPr>
      </w:pPr>
      <w:r>
        <w:rPr>
          <w:rFonts w:ascii="Arial" w:cs="Arial" w:eastAsia="Arial" w:hAnsi="Arial"/>
          <w:sz w:val="18"/>
          <w:szCs w:val="18"/>
          <w:color w:val="auto"/>
        </w:rPr>
        <w:t>In the course of performing your job functions related to AT&amp;T Inc.’s Section 272-Restricted affiliates your actions could have serious consequences for SBC. Section 272 compliance information will educate you about your responsibility to comply with Section 272 of the Federal Telecommunications Act of 1996 requirements and FCC rules and regulations. Section 272 governs the relationship between the AT&amp;T BOCs/ILECs, the Advanced Services affiliates (ASI/AADS), and AT&amp;T’s long distance affiliates.</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27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February 1996, the Federal Telecommunications Act of 1996 (the Act) became law. While the Act permitted each Bell Operating Company (BOC) (see Glossary of Key Terms for specific company names), or any affiliate of a BOC, to immediately provide interLATA telecommunications services that originate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its in-region states, the Act conditioned a BOC’s provision of </w:t>
      </w:r>
      <w:r>
        <w:rPr>
          <w:rFonts w:ascii="Arial" w:cs="Arial" w:eastAsia="Arial" w:hAnsi="Arial"/>
          <w:sz w:val="17"/>
          <w:szCs w:val="17"/>
          <w:u w:val="single" w:color="auto"/>
          <w:color w:val="auto"/>
        </w:rPr>
        <w:t>in-region</w:t>
      </w:r>
      <w:r>
        <w:rPr>
          <w:rFonts w:ascii="Arial" w:cs="Arial" w:eastAsia="Arial" w:hAnsi="Arial"/>
          <w:sz w:val="17"/>
          <w:szCs w:val="17"/>
          <w:color w:val="auto"/>
        </w:rPr>
        <w:t xml:space="preserve"> interLATA telecommunications services (other than those services previously authorized or considered incidental interLATA services under the Act) upon approval from the Federal Communications Commission (FCC) to provide such services and meet certain conditions under Section 271 of the Act. Under Section 271, the FCC is required to find, among other things, that the BOC will comply with the safeguards and requirements stated in Section 272 of the Act.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Since the Act was passed, the FCC adopted certain rules interpreting and implementing the requirements of Section 272. The purpose of this employee guide is to provide an overview of compliance obligations under Section 272 and the FCC rules for AT&amp;T Inc. and its affiliates. The guide addresses the BOC’s obligations relative to AT&amp;T’s long distance affiliates (SBC Long Distance, LLC, AT&amp;T Corp. and certain of its affiliates</w:t>
      </w:r>
      <w:r>
        <w:rPr>
          <w:rFonts w:ascii="Arial" w:cs="Arial" w:eastAsia="Arial" w:hAnsi="Arial"/>
          <w:sz w:val="15"/>
          <w:szCs w:val="15"/>
          <w:color w:val="auto"/>
        </w:rPr>
        <w:t>2</w:t>
      </w:r>
      <w:r>
        <w:rPr>
          <w:rFonts w:ascii="Arial" w:cs="Arial" w:eastAsia="Arial" w:hAnsi="Arial"/>
          <w:sz w:val="18"/>
          <w:szCs w:val="18"/>
          <w:color w:val="auto"/>
        </w:rPr>
        <w:t>, and SNET America, Inc.) and AT&amp;T’s advanced services affiliates (ASI and AADS.</w:t>
      </w:r>
      <w:r>
        <w:rPr>
          <w:rFonts w:ascii="Arial" w:cs="Arial" w:eastAsia="Arial" w:hAnsi="Arial"/>
          <w:sz w:val="15"/>
          <w:szCs w:val="15"/>
          <w:color w:val="auto"/>
        </w:rPr>
        <w:t>3</w:t>
      </w:r>
      <w:r>
        <w:rPr>
          <w:rFonts w:ascii="Arial" w:cs="Arial" w:eastAsia="Arial" w:hAnsi="Arial"/>
          <w:sz w:val="18"/>
          <w:szCs w:val="18"/>
          <w:color w:val="auto"/>
        </w:rPr>
        <w:t>) For purposes of this guide, SBC Long Distance, AT&amp;T Corp. and certain of its affiliates, SNET America, Inc., and ASI/AADS are collectively referred to as the Section 272-Restricted Separate Affiliates. Questions about other portions of the Act should be directed to your supervisor or Legal Department.</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employee guide provides a Glossary of Key Terms (Section II), describes the activities generally subject to the affiliate safeguards (Section III), details the principal Section 272 structural and transactional requirements (Section IV), explains the nondiscrimination requirements (Section V) and accounting requirements (Section VI), and reviews certain Joint Marketing requirements (Section VII). The guide closes with a brief discussion to assist employees in obtaining answers to questions (Section VIII).</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AT&amp;T Inc. and its subsidiaries are committed to compliance with both the letter and the spirit of the Act, including Section 272. Each employee is responsible for knowing and understanding these requirements and acting in accordance with them when performing their job.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Glossary of Key Terms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Specific activities of the BOCs/ILECs and their affiliates are subject to separate affiliate safeguards and requirements of Section 272 of the Act and the FCC’s rules. The following definitions will assist you in understanding when these safeguards and requirements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For a complete list of the AT&amp;T Corp. 272 affiliates,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end of 272 Compliance following Section VIII.</w:t>
      </w:r>
    </w:p>
    <w:p>
      <w:pPr>
        <w:spacing w:after="0" w:line="23" w:lineRule="exact"/>
        <w:rPr>
          <w:rFonts w:ascii="Arial" w:cs="Arial" w:eastAsia="Arial" w:hAnsi="Arial"/>
          <w:sz w:val="18"/>
          <w:szCs w:val="18"/>
          <w:color w:val="auto"/>
        </w:rPr>
      </w:pPr>
    </w:p>
    <w:p>
      <w:pPr>
        <w:ind w:left="460" w:right="520" w:hanging="452"/>
        <w:spacing w:after="0" w:line="323" w:lineRule="auto"/>
        <w:tabs>
          <w:tab w:leader="none" w:pos="4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FCC, in its December 2002 ASI Forbearance Order, continued the 272-like obligations originally imposed under the SBC/Ameritech merger conditions on SBC’s Advanced Services affiliates (SBC Advanced Solutions, Inc. (ASI), and Ameritech Advanced Data Services (AADS)).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81" w:name="page182"/>
    <w:bookmarkEnd w:id="181"/>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Advanced Services </w:t>
      </w:r>
      <w:r>
        <w:rPr>
          <w:rFonts w:ascii="Arial" w:cs="Arial" w:eastAsia="Arial" w:hAnsi="Arial"/>
          <w:sz w:val="18"/>
          <w:szCs w:val="18"/>
          <w:color w:val="auto"/>
        </w:rPr>
        <w:t>- wireline telecommunications services such as Frame and Cell Relay, ATM, and DSL that rely on packetized technology and support bi-directional speeds in excess of 56 kilobits per second.</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Advanced Solutions, Inc. (ASI) / Ameritech Advanced Data Services (AADS) </w:t>
      </w:r>
      <w:r>
        <w:rPr>
          <w:rFonts w:ascii="Arial" w:cs="Arial" w:eastAsia="Arial" w:hAnsi="Arial"/>
          <w:sz w:val="18"/>
          <w:szCs w:val="18"/>
          <w:color w:val="auto"/>
        </w:rPr>
        <w:t>– affiliates, structurally separate from the former SBC BOCs and ILECs,</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provide interstate or intrastate advanced services. (Also known as Section 272-like Affiliates.)</w:t>
      </w:r>
    </w:p>
    <w:p>
      <w:pPr>
        <w:spacing w:after="0" w:line="16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AT&amp;T Corp. (and all pre-merger affiliates) – </w:t>
      </w:r>
      <w:r>
        <w:rPr>
          <w:rFonts w:ascii="Arial" w:cs="Arial" w:eastAsia="Arial" w:hAnsi="Arial"/>
          <w:sz w:val="18"/>
          <w:szCs w:val="18"/>
          <w:color w:val="auto"/>
        </w:rPr>
        <w:t>the legal entity consisting of AT&amp;T Corp. and its pre-merger subsidiaries that are structurally separate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former SBC BOCs and ILECs and provide interLATA telecommunications services on both an in-region and out-of-region basis. For 272 compliance purposes, AT&amp;T Corp. and all pre-merger affiliates will be considered Section 272 Separate Affiliates.</w:t>
      </w:r>
    </w:p>
    <w:p>
      <w:pPr>
        <w:spacing w:after="0" w:line="176"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BOC – </w:t>
      </w:r>
      <w:r>
        <w:rPr>
          <w:rFonts w:ascii="Arial" w:cs="Arial" w:eastAsia="Arial" w:hAnsi="Arial"/>
          <w:sz w:val="17"/>
          <w:szCs w:val="17"/>
          <w:color w:val="auto"/>
        </w:rPr>
        <w:t>Bell Operating Company, which includes Illinois Bell Telephone Company, Indiana Bell Telephone Company, Inc., Michigan Bell Telephone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Nevada Bell Telephone Company, Pacific Bell Telephone Company, Southwestern Bell Telephone Company, The Ohio Bell Telephone Company, Wisconsin Bell, Inc. and any successor or assign of these companies that provide wireline telephone exchange service.</w:t>
      </w:r>
    </w:p>
    <w:p>
      <w:pPr>
        <w:spacing w:after="0" w:line="15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ILEC – </w:t>
      </w:r>
      <w:r>
        <w:rPr>
          <w:rFonts w:ascii="Arial" w:cs="Arial" w:eastAsia="Arial" w:hAnsi="Arial"/>
          <w:sz w:val="18"/>
          <w:szCs w:val="18"/>
          <w:color w:val="auto"/>
        </w:rPr>
        <w:t>Incumbent Local Exchange Carrier, which includes Southern New England Telephone Company and The Woodbury Telephone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BOCs listed above.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InterLATA telecommunications service - </w:t>
      </w:r>
      <w:r>
        <w:rPr>
          <w:rFonts w:ascii="Arial" w:cs="Arial" w:eastAsia="Arial" w:hAnsi="Arial"/>
          <w:sz w:val="18"/>
          <w:szCs w:val="18"/>
          <w:color w:val="auto"/>
        </w:rPr>
        <w:t>the offering of telecommunications for a fee directly to the public, between a point located in a local access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 area (LATA) and a point located outside that LATA.</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In-region interLATA telecommunications service of a BOC - </w:t>
      </w:r>
      <w:r>
        <w:rPr>
          <w:rFonts w:ascii="Arial" w:cs="Arial" w:eastAsia="Arial" w:hAnsi="Arial"/>
          <w:sz w:val="18"/>
          <w:szCs w:val="18"/>
          <w:color w:val="auto"/>
        </w:rPr>
        <w:t>interLATA telecommunication service of a BOC that originates in a state where a BOC is the</w:t>
      </w:r>
      <w:r>
        <w:rPr>
          <w:rFonts w:ascii="Arial" w:cs="Arial" w:eastAsia="Arial" w:hAnsi="Arial"/>
          <w:sz w:val="18"/>
          <w:szCs w:val="18"/>
          <w:b w:val="1"/>
          <w:bCs w:val="1"/>
          <w:color w:val="auto"/>
        </w:rPr>
        <w:t xml:space="preserve"> </w:t>
      </w:r>
      <w:r>
        <w:rPr>
          <w:rFonts w:ascii="Arial" w:cs="Arial" w:eastAsia="Arial" w:hAnsi="Arial"/>
          <w:sz w:val="18"/>
          <w:szCs w:val="18"/>
          <w:color w:val="auto"/>
        </w:rPr>
        <w:t>incumbent provider of local exchange and exchange access services (i.e.</w:t>
      </w:r>
      <w:r>
        <w:rPr>
          <w:rFonts w:ascii="Arial" w:cs="Arial" w:eastAsia="Arial" w:hAnsi="Arial"/>
          <w:sz w:val="18"/>
          <w:szCs w:val="18"/>
          <w:u w:val="single" w:color="auto"/>
          <w:color w:val="auto"/>
        </w:rPr>
        <w:t>,</w:t>
      </w:r>
      <w:r>
        <w:rPr>
          <w:rFonts w:ascii="Arial" w:cs="Arial" w:eastAsia="Arial" w:hAnsi="Arial"/>
          <w:sz w:val="18"/>
          <w:szCs w:val="18"/>
          <w:color w:val="auto"/>
        </w:rPr>
        <w:t xml:space="preserve"> in-region). SBC’s in-region states are Arkansas, California, Kansas, Missouri, Nevada, Oklahoma, Texas, Illinois, Ohio, Indiana, Michigan and Wisconsin. (Connecticut is deemed to be an out-of-region state for purposes of interLATA telecommunications services but in-region for purposes of advanced services.)</w:t>
      </w:r>
    </w:p>
    <w:p>
      <w:pPr>
        <w:spacing w:after="0" w:line="180"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Information service - </w:t>
      </w:r>
      <w:r>
        <w:rPr>
          <w:rFonts w:ascii="Arial" w:cs="Arial" w:eastAsia="Arial" w:hAnsi="Arial"/>
          <w:sz w:val="16"/>
          <w:szCs w:val="16"/>
          <w:color w:val="auto"/>
        </w:rPr>
        <w:t>generally speaking, the offering of a capability for generating, acquiring, storing, transforming, processing, retrieving, utilizing or</w:t>
      </w:r>
      <w:r>
        <w:rPr>
          <w:rFonts w:ascii="Arial" w:cs="Arial" w:eastAsia="Arial" w:hAnsi="Arial"/>
          <w:sz w:val="16"/>
          <w:szCs w:val="16"/>
          <w:b w:val="1"/>
          <w:bCs w:val="1"/>
          <w:color w:val="auto"/>
        </w:rPr>
        <w:t xml:space="preserve"> </w:t>
      </w:r>
      <w:r>
        <w:rPr>
          <w:rFonts w:ascii="Arial" w:cs="Arial" w:eastAsia="Arial" w:hAnsi="Arial"/>
          <w:sz w:val="16"/>
          <w:szCs w:val="16"/>
          <w:color w:val="auto"/>
        </w:rPr>
        <w:t>making available information via telecommunications. The term encompasses each service that the FCC previously considers to be an “enhanced service.”</w:t>
      </w:r>
    </w:p>
    <w:p>
      <w:pPr>
        <w:spacing w:after="0" w:line="116"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InterLATA information service - </w:t>
      </w:r>
      <w:r>
        <w:rPr>
          <w:rFonts w:ascii="Arial" w:cs="Arial" w:eastAsia="Arial" w:hAnsi="Arial"/>
          <w:sz w:val="18"/>
          <w:szCs w:val="18"/>
          <w:color w:val="auto"/>
        </w:rPr>
        <w:t>any information service which incorporates as a necessary, bundled element an interLATA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component, provided to the customer for a single charge.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82" w:name="page183"/>
    <w:bookmarkEnd w:id="18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InterLATA information service of a BOC - </w:t>
      </w:r>
      <w:r>
        <w:rPr>
          <w:rFonts w:ascii="Arial" w:cs="Arial" w:eastAsia="Arial" w:hAnsi="Arial"/>
          <w:sz w:val="18"/>
          <w:szCs w:val="18"/>
          <w:color w:val="auto"/>
        </w:rPr>
        <w:t>an interLATA information service in which a BOC provides the interLATA telecommunications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either over its own facilities or by reselling the interLATA telecommunications services of an interexchange carrier.</w:t>
      </w:r>
    </w:p>
    <w:p>
      <w:pPr>
        <w:spacing w:after="0" w:line="162"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Manufacturing </w:t>
      </w:r>
      <w:r>
        <w:rPr>
          <w:rFonts w:ascii="Arial" w:cs="Arial" w:eastAsia="Arial" w:hAnsi="Arial"/>
          <w:sz w:val="16"/>
          <w:szCs w:val="16"/>
          <w:color w:val="auto"/>
        </w:rPr>
        <w:t>- the design, development, and fabrication of telecommunications equipment and customer premises equipment (CPE),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firmware or software integral to the functioning of telecommunications equipment or CPE. This does not include design and development of applications software, or provision of generic requirements and functional specifications to manufacturers. It also does not include research related to manufacturing, close collaboration with manufacturers during the design and development phase, and entering into royalty agreements with manufacturers.</w:t>
      </w:r>
    </w:p>
    <w:p>
      <w:pPr>
        <w:spacing w:after="0" w:line="1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Section 272 Oversight Team </w:t>
      </w:r>
      <w:r>
        <w:rPr>
          <w:rFonts w:ascii="Arial" w:cs="Arial" w:eastAsia="Arial" w:hAnsi="Arial"/>
          <w:sz w:val="18"/>
          <w:szCs w:val="18"/>
          <w:color w:val="auto"/>
        </w:rPr>
        <w:t>– the internal interdepartmental team established to provide advice, counsel and direction for the BOCs and Section 272</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in interpreting and implementing Section 272 of the Federal Telecommunications Act. This team provides employee training and reviews proposed product/service offerings, reorganizations, management changes and other activities impacting the BOCs/ILECs and the Section 272-Restricted Separate Affiliates.</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Section 272-Restricted Separate Affiliates </w:t>
      </w:r>
      <w:r>
        <w:rPr>
          <w:rFonts w:ascii="Arial" w:cs="Arial" w:eastAsia="Arial" w:hAnsi="Arial"/>
          <w:sz w:val="18"/>
          <w:szCs w:val="18"/>
          <w:color w:val="auto"/>
        </w:rPr>
        <w:t>– refers collectively to SBCLD, AT&amp;T Corp. and its affiliates, and ASI/AADS. These entities, along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BOCs (and to a certain extent, the ILECs), are subject to Section 272 requirements as described herein.</w:t>
      </w:r>
    </w:p>
    <w:p>
      <w:pPr>
        <w:spacing w:after="0" w:line="162"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 xml:space="preserve">SBC Long Distance, LLC. (SBCLD) - </w:t>
      </w:r>
      <w:r>
        <w:rPr>
          <w:rFonts w:ascii="Arial" w:cs="Arial" w:eastAsia="Arial" w:hAnsi="Arial"/>
          <w:sz w:val="16"/>
          <w:szCs w:val="16"/>
          <w:color w:val="auto"/>
        </w:rPr>
        <w:t>an affiliate, structurally separate from AT&amp;T’s BOCs and ILECs, that provides interLATA telecommunications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on an in-region and out-of-region basis and local exchange services on an out-or-region basis. (Also known as a Section 272 Separate Affiliate).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Activities Subject to the Separate Affiliate Safeguards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certain exceptions, a BOC may engage in the following activities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through one or more affiliates that are “separate” (as defined by Section 272)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from the BOC:</w:t>
      </w:r>
    </w:p>
    <w:p>
      <w:pPr>
        <w:spacing w:after="0" w:line="116"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provision of in-region interLATA telecommunications services,</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provision of a service that permits a customer to store information in or retrieve information from BOC-owned (or BOC affiliate-owned) information storage facilities located in a LATA different than where the customer is located,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manufacturing of telecommunications equipment and CPE,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provision of in-region intraLATA advanced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The exceptions in which a BOC may provide an interLATA service, or engage in manufacturing-related activities, without a separate affiliate requirement are:</w:t>
      </w:r>
    </w:p>
    <w:p>
      <w:pPr>
        <w:spacing w:after="0" w:line="154" w:lineRule="exact"/>
        <w:rPr>
          <w:sz w:val="20"/>
          <w:szCs w:val="20"/>
          <w:color w:val="auto"/>
        </w:rPr>
      </w:pP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provision of interLATA information services (both in-region and out-of-region);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provision of interLATA telecommunications services (but not interLATA information services) previously authorized by the Modified Final Judgment (MFJ);</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research related to manufacturing, close collaboration with manufacturers during the design and development phase, and entering into royalty agreements with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“incidental” interLATA services, including: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audio/video programming,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two-way interactive video or Internet services over dedicated facilities to elementary and secondary schools,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commercial mobile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alarm monitoring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information storage and retrieval services across LATA boundaries from company-owned database and information storage facilities,</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provision of signaling information related to telephone exchange/exchange access services provided by a local exchange carrier,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provision and receipt of interexchange carrier network control signaling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Structural and Transactional Requirements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Section 272-Restricted Separate Affiliates must be structurally and transactionally separate from any BOC with which they are affiliated. There are several aspects to this separation requirement: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First</w:t>
      </w:r>
      <w:r>
        <w:rPr>
          <w:rFonts w:ascii="Arial" w:cs="Arial" w:eastAsia="Arial" w:hAnsi="Arial"/>
          <w:sz w:val="18"/>
          <w:szCs w:val="18"/>
          <w:color w:val="auto"/>
        </w:rPr>
        <w:t>, the Section 272-Restricted Separate Affiliates must “operate independently” from a BOC/ILEC affiliate. The intent of this requirement is to prevent a</w:t>
      </w:r>
      <w:r>
        <w:rPr>
          <w:rFonts w:ascii="Arial" w:cs="Arial" w:eastAsia="Arial" w:hAnsi="Arial"/>
          <w:sz w:val="18"/>
          <w:szCs w:val="18"/>
          <w:i w:val="1"/>
          <w:iCs w:val="1"/>
          <w:color w:val="auto"/>
        </w:rPr>
        <w:t xml:space="preserve"> </w:t>
      </w:r>
      <w:r>
        <w:rPr>
          <w:rFonts w:ascii="Arial" w:cs="Arial" w:eastAsia="Arial" w:hAnsi="Arial"/>
          <w:sz w:val="18"/>
          <w:szCs w:val="18"/>
          <w:color w:val="auto"/>
        </w:rPr>
        <w:t>BOC/ILEC from integrating its local exchange and exchange access operations with its Section 272-Restricted Separate Affiliates’ activities to such an extent that the affiliate could not reasonably be found to be operating independently and to be self-governing. Pursuant to this requirement, a BOC/ILEC and its Section 272-Restricted Separate Affiliate may not jointly own any transmission and switching facilities, nor the land or buildings where such facilities are located. Activities permitted under the “operate independently” requirement include:</w:t>
      </w:r>
    </w:p>
    <w:p>
      <w:pPr>
        <w:spacing w:after="0" w:line="94" w:lineRule="exact"/>
        <w:rPr>
          <w:sz w:val="20"/>
          <w:szCs w:val="20"/>
          <w:color w:val="auto"/>
        </w:rPr>
      </w:pPr>
    </w:p>
    <w:p>
      <w:pPr>
        <w:ind w:left="900" w:right="60" w:hanging="325"/>
        <w:spacing w:after="0" w:line="25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BOC/ILEC may perform operations, installation and maintenance (OI&amp;M) functions, including network planning and engineering, associated with the facilities that the Section 272-Restricted Separate Affiliates owns or leases if done so on a non-discriminatory basis (that is, under the same price, terms and conditions) and subject to the FCC’s affiliate accounting rules.</w:t>
      </w:r>
      <w:r>
        <w:rPr>
          <w:rFonts w:ascii="Arial" w:cs="Arial" w:eastAsia="Arial" w:hAnsi="Arial"/>
          <w:sz w:val="15"/>
          <w:szCs w:val="15"/>
          <w:color w:val="auto"/>
        </w:rPr>
        <w:t>4</w:t>
      </w:r>
      <w:r>
        <w:rPr>
          <w:rFonts w:ascii="Arial" w:cs="Arial" w:eastAsia="Arial" w:hAnsi="Arial"/>
          <w:sz w:val="18"/>
          <w:szCs w:val="18"/>
          <w:color w:val="auto"/>
        </w:rPr>
        <w:t xml:space="preserve"> Before an OI&amp;M service is provided to an affiliate, (1) the service request must be channeled through the Industry Markets Account Team, and (2) necessary revisions to the BOCs Cost Allocation Manual (CAM) must be made.</w:t>
      </w:r>
    </w:p>
    <w:p>
      <w:pPr>
        <w:spacing w:after="0" w:line="93" w:lineRule="exact"/>
        <w:rPr>
          <w:rFonts w:ascii="Arial" w:cs="Arial" w:eastAsia="Arial" w:hAnsi="Arial"/>
          <w:sz w:val="18"/>
          <w:szCs w:val="18"/>
          <w:color w:val="auto"/>
        </w:rPr>
      </w:pPr>
    </w:p>
    <w:p>
      <w:pPr>
        <w:ind w:left="1480" w:right="320" w:hanging="446"/>
        <w:spacing w:after="0" w:line="277" w:lineRule="auto"/>
        <w:tabs>
          <w:tab w:leader="none" w:pos="14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Likewise, the Section 272-Restricted Separate Affiliates may perform OI&amp;M functions for a BOC subject to the BOC meeting a non-discriminatory procurement obligation. (See Section V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line="264"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Prior to March 31, 2004, SBC’s BOCs/ILECs were prohibited from providing operation, installation and maintenance (OI&amp;M) functions for SBC LD. This prohibition was lifted pursuant to the FCC OI&amp;M Relief Order that eliminated rules prohibiting the sharing of OI&amp;M functions (including network planning and engineering) between the BOCs/ILECs and SBC LD.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8" w:lineRule="exact"/>
        <w:rPr>
          <w:sz w:val="20"/>
          <w:szCs w:val="20"/>
          <w:color w:val="auto"/>
        </w:rPr>
      </w:pPr>
    </w:p>
    <w:p>
      <w:pPr>
        <w:ind w:left="900" w:right="16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Section 272-Restricted Separate Affiliates may negotiate with the BOC/ILEC on an arm’s length basis (subject to a nondiscrimination obligation imposed on the BOC) to obtain telecommunications services or transmission and switching facilities (</w:t>
      </w:r>
      <w:r>
        <w:rPr>
          <w:rFonts w:ascii="Arial" w:cs="Arial" w:eastAsia="Arial" w:hAnsi="Arial"/>
          <w:sz w:val="18"/>
          <w:szCs w:val="18"/>
          <w:i w:val="1"/>
          <w:iCs w:val="1"/>
          <w:color w:val="auto"/>
        </w:rPr>
        <w:t>e.g.</w:t>
      </w:r>
      <w:r>
        <w:rPr>
          <w:rFonts w:ascii="Arial" w:cs="Arial" w:eastAsia="Arial" w:hAnsi="Arial"/>
          <w:sz w:val="18"/>
          <w:szCs w:val="18"/>
          <w:color w:val="auto"/>
        </w:rPr>
        <w:t>, unbundled elements) from the BOC.</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BOC may provide to, or obtain from, the Section 272-Restricted Separate Affiliates goods, services, facilities and information if done so on a non-discriminatory basis. (See Section V for more information.)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Second</w:t>
      </w:r>
      <w:r>
        <w:rPr>
          <w:rFonts w:ascii="Arial" w:cs="Arial" w:eastAsia="Arial" w:hAnsi="Arial"/>
          <w:sz w:val="18"/>
          <w:szCs w:val="18"/>
          <w:color w:val="auto"/>
        </w:rPr>
        <w:t>, the Section 272-Restricted Separate Affiliates must maintain books, records, and accounts that are separate from the books, records, and accounts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BOC/ILEC.</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the Section 272-Restricted Separate Affiliates must have officers, directors, and employees that are separate from the officers, directors, and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BOC/ILEC. This means that the same person may not simultaneously serve as an officer, director or employee, in any combination, of both a BOC/ILEC and its Section 272-Restricted Separate Affiliates.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the Section 272-Restricted Separate Affiliates may not obtain credit under any arrangement that would permit a creditor, upon default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272-Restricted Separate Affiliate, to have recourse to the assets of the BOC/ILEC. No BOC/ILEC, parent of a BOC/ILEC, or any other affiliate of a BOC/ILEC may co-sign a contract or any other instrument with the Section 272-Restricted Separate Affiliates that would grant a creditor recourse to the BOC/ILEC’s assets in the event of default by the Section 272-Restricted Separate Affiliates.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Fifth</w:t>
      </w:r>
      <w:r>
        <w:rPr>
          <w:rFonts w:ascii="Arial" w:cs="Arial" w:eastAsia="Arial" w:hAnsi="Arial"/>
          <w:sz w:val="18"/>
          <w:szCs w:val="18"/>
          <w:color w:val="auto"/>
        </w:rPr>
        <w:t>, transactions between the Section 272-Restricted Separate Affiliates and a BOC/ILEC must be conducted on an arm’s length basis, priced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transaction pricing rules,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85" w:name="page186"/>
    <w:bookmarkEnd w:id="18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reduced to writing, and made available for public inspection. Among other things, this means that a BOC/ILEC must not conduct business with its</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272-Restricted Separate Affiliates without a written contract or tariff, and no service may be provided until the written contract is executed and signed by both parties. In addition, requests for any type of service to be provided by a BOC/ILEC to a 272 affiliate must be coordinated through the appropriate BOC Industry Markets account team as well as reviewed by the Section 272 Oversight Team. Finally, within [**] of a transaction, the Section 272-Restricted Separate Affiliates must provide, on AT&amp;T’s external Internet home page, a detailed description of the transaction, including terms, conditions and pricing. The information must also be made available for public inspection at the BOC’s or ILEC’s principal place of business. (See Operating Practice 125 for affiliate transaction procedures and VI Accounting Requirements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Nondiscrimination Requirements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Several nondiscrimination requirements are meant to ensure that a BOC treats all other entities in the same manner as it treats its Section 272-Restricted Separate Affiliates. These requirements are applicable to the ILECS (Southern New England Telephone Company and The Woodbury Telephone Company) only to the extent that they are dealing with the advanced services affiliates, ASI/AADS.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 specifically, outside a limited exception relating to the Joint Marketing of interLATA services</w:t>
      </w:r>
      <w:r>
        <w:rPr>
          <w:rFonts w:ascii="Arial" w:cs="Arial" w:eastAsia="Arial" w:hAnsi="Arial"/>
          <w:sz w:val="15"/>
          <w:szCs w:val="15"/>
          <w:color w:val="auto"/>
        </w:rPr>
        <w:t>5</w:t>
      </w:r>
      <w:r>
        <w:rPr>
          <w:rFonts w:ascii="Arial" w:cs="Arial" w:eastAsia="Arial" w:hAnsi="Arial"/>
          <w:sz w:val="18"/>
          <w:szCs w:val="18"/>
          <w:color w:val="auto"/>
        </w:rPr>
        <w:t xml:space="preserve">, a BOC may not discriminate in favor of its Section 272-Restricted Separate Affiliates regarding either the </w:t>
      </w:r>
      <w:r>
        <w:rPr>
          <w:rFonts w:ascii="Arial" w:cs="Arial" w:eastAsia="Arial" w:hAnsi="Arial"/>
          <w:sz w:val="18"/>
          <w:szCs w:val="18"/>
          <w:u w:val="single" w:color="auto"/>
          <w:color w:val="auto"/>
        </w:rPr>
        <w:t>provision</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procurement</w:t>
      </w:r>
      <w:r>
        <w:rPr>
          <w:rFonts w:ascii="Arial" w:cs="Arial" w:eastAsia="Arial" w:hAnsi="Arial"/>
          <w:sz w:val="18"/>
          <w:szCs w:val="18"/>
          <w:color w:val="auto"/>
        </w:rPr>
        <w:t xml:space="preserve"> of “goods, services, facilities and information.” Accordingly, a BOC must provide to any other entity the same “goods, services, facilities and information” that it provides to its separate affiliate, at the same rates, terms and conditions. This quoted phrase is </w:t>
      </w:r>
      <w:r>
        <w:rPr>
          <w:rFonts w:ascii="Arial" w:cs="Arial" w:eastAsia="Arial" w:hAnsi="Arial"/>
          <w:sz w:val="18"/>
          <w:szCs w:val="18"/>
          <w:u w:val="single" w:color="auto"/>
          <w:color w:val="auto"/>
        </w:rPr>
        <w:t>broadly</w:t>
      </w:r>
      <w:r>
        <w:rPr>
          <w:rFonts w:ascii="Arial" w:cs="Arial" w:eastAsia="Arial" w:hAnsi="Arial"/>
          <w:sz w:val="18"/>
          <w:szCs w:val="18"/>
          <w:color w:val="auto"/>
        </w:rPr>
        <w:t xml:space="preserve"> interpreted. It encompasses, but is not limited to:</w:t>
      </w:r>
    </w:p>
    <w:p>
      <w:pPr>
        <w:spacing w:after="0" w:line="92"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unbundled network elements,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collocation of equipment, facilities, or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network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nonpublic information belonging to or about a BOC (does not include customer proprietary network information (CPNI)),</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administrative and support services (</w:t>
      </w:r>
      <w:r>
        <w:rPr>
          <w:rFonts w:ascii="Arial" w:cs="Arial" w:eastAsia="Arial" w:hAnsi="Arial"/>
          <w:sz w:val="18"/>
          <w:szCs w:val="18"/>
          <w:i w:val="1"/>
          <w:iCs w:val="1"/>
          <w:color w:val="auto"/>
        </w:rPr>
        <w:t>e.g.</w:t>
      </w:r>
      <w:r>
        <w:rPr>
          <w:rFonts w:ascii="Arial" w:cs="Arial" w:eastAsia="Arial" w:hAnsi="Arial"/>
          <w:sz w:val="18"/>
          <w:szCs w:val="18"/>
          <w:color w:val="auto"/>
        </w:rPr>
        <w:t>, human resources/accounting/tax/data processing/regulatory),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access to operational support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transfers of ownership of facilities,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development of new products or services.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example, employees who have access to and use BOC non-public information, may not share that information with a Section 272-Restricted Separate Affiliate or use that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is a limited exception for shared administrative floor space by ASI/AADS, the Section 272-like Affiliates.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86" w:name="page187"/>
    <w:bookmarkEnd w:id="186"/>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benefit a Section 272-Restricted Affiliate, unless the BOC makes the information available to third parties. These rules relating to information use and sharing apply whether the employee works for a BOC or another affiliate. In addition, if such an employee transfers to a Section 272-Restricted Separate Affiliate, no BOC information may be transferred or used in the new job.</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Non-BOC affiliates, such as a shared services affiliate, may provide services to Section 272-Restricted Separate Affiliate absent a nondiscrimination obligation. However, if the shared services affiliate uses any BOC goods, services, facilities or information to provide services to the Section 272-Restricted Separate Affiliate, the BOC must make these “inputs” available on a nondiscriminatory basis. This situation is known as a chaining transaction, and must be properly recorded under the affiliate transaction procedures.</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order to ensure BOC non-public information is appropriately safeguarded by certain employees in shared services affiliates, company policy requires “siloing” or separation of employees who perform services for a Section 272-Restricted Separate Affiliate away from employees with access to BOC non-public information. Implementing this control, where there would otherwise be a risk of sharing BOC non-public information with employees performing services for a Section 272-Restricted Separate Affiliate, helps ensure compliance with the nondiscrimination obligation.</w:t>
      </w:r>
    </w:p>
    <w:p>
      <w:pPr>
        <w:spacing w:after="0" w:line="171"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Protecting access to non-public BOC information is a matter of high importance. The Code of Business Conduct makes employees responsible for understanding and applying applicable laws and regulations, and for protecting proprietary information. It is important that proper safeguards are implemented to protect data and information in corporate databases and websites from inadvertent access by unauthorized employees. As a general rule, employees of the Section 272-Restricted Separate Affiliates as well as employees of shared services affiliates who are siloed to perform services for the Section 272-Restricted Separate Affiliates should not receive or have access to non-public BOC information. Exceptions to such rule must be approved in advance by the Section 272 Oversight Team and/or the Legal Department. Any inadvertent disclosure of non-public BOC information to the Section 272-Restricted Separate Affiliates is considered provision of such information and must be properly recorded as an affiliate transaction and made available to other entities on a non-discriminatory basis.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Although the nondiscrimination rules of Section 272 do not apply to customer proprietary network information (CPNI), there are specific rules that do apply to the use and sharing of CPNI. Employees must be familiar with those rules or check with a supervisor or the Legal Department before using CPNI on behalf of, or sharing CPNI with, any affiliate, including any Section 272-Restricted Separate Affiliate.</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Under the nondiscriminatory procurement requirement, a BOC is subject to an unqualified prohibition against discriminating between its Section 272-Restricted Separate Affiliates and 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87" w:name="page188"/>
    <w:bookmarkEnd w:id="187"/>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unaffiliated entity in the procurement of goods, services, facilities, or information. For example, a BOC may not purchase interLATA telecommunications services solely from its Section 272-Restricted Separate Affiliate, purchase equipment from its Section 272-Restricted Separate Affiliate at inflated prices, or give any preference to the Section 272-Restricted Separate Affiliate’s interLATA services in the procurement process.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 BOC also may not discriminate between its Section 272-Restricted Separate Affiliates and other entities in the establishment of standards. A BOC may not establish or adopt any standard – “industry-wide” or otherwise — that has the effect of favoring the separate affiliate and disadvantaging an unaffiliated entity. The FCC has indicated that, with respect to “industry-wide” standards, an open and nondiscriminatory public process in which all interested parties have an opportunity to participate (as required by Section 273), will be sufficient to satisfy this nondiscrimination requirement. However, standards established by a BOC in some other manner that have the effect of favoring the separate affiliate and disadvantaging an unaffiliated entity may be a violation of this nondiscrimination requirement.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Finally, there are several nondiscrimination requirements applicable to the “fulfillment of certain requests.” Under these requirements a BOC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any affiliated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ILEC):</w:t>
      </w:r>
    </w:p>
    <w:p>
      <w:pPr>
        <w:spacing w:after="0" w:line="116" w:lineRule="exact"/>
        <w:rPr>
          <w:sz w:val="20"/>
          <w:szCs w:val="20"/>
          <w:color w:val="auto"/>
        </w:rPr>
      </w:pPr>
    </w:p>
    <w:p>
      <w:pPr>
        <w:ind w:left="900" w:right="140" w:hanging="325"/>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must fulfill any unaffiliated entity’s request for telephone exchange service and exchange access within a response time no greater than the response time it provides to itself or its affiliates, and make available to unaffiliated entities information regarding the service intervals provided to themselves or their affiliates;</w:t>
      </w:r>
    </w:p>
    <w:p>
      <w:pPr>
        <w:spacing w:after="0" w:line="86"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must not provide any facilities, services or information concerning its provision of exchange access to its Section 272-Restricted Separate Affiliates unless the facilities, services or information are made available to other providers of interLATA services in that market on the same terms and conditions;</w:t>
      </w:r>
    </w:p>
    <w:p>
      <w:pPr>
        <w:spacing w:after="0" w:line="86"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must charge the Section 272-Restricted Separate Affiliates, or impute to itself, an amount for access to its telephone exchange service and exchange access that is no less than the amount charged to any unaffiliated interexchange carrier. A BOC’s volume and term discounts are subject to this requirement. A Section 272-Restricted Separate Affiliates’ purchase of telephone exchange service and exchange access at tariffed rates, or a BOC’s imputation of tariffed rates, would meet this requirement; and</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may provide to its Section 272-Restricted Separate Affiliates any interLATA or intraLATA facilities or services which it is otherwise authorized to provide (</w:t>
      </w:r>
      <w:r>
        <w:rPr>
          <w:rFonts w:ascii="Arial" w:cs="Arial" w:eastAsia="Arial" w:hAnsi="Arial"/>
          <w:sz w:val="18"/>
          <w:szCs w:val="18"/>
          <w:i w:val="1"/>
          <w:iCs w:val="1"/>
          <w:color w:val="auto"/>
        </w:rPr>
        <w:t>e.g.</w:t>
      </w:r>
      <w:r>
        <w:rPr>
          <w:rFonts w:ascii="Arial" w:cs="Arial" w:eastAsia="Arial" w:hAnsi="Arial"/>
          <w:sz w:val="18"/>
          <w:szCs w:val="18"/>
          <w:color w:val="auto"/>
        </w:rPr>
        <w:t>, the incidental interLATA services described above) if the facilities or services are made available to all carriers at the same rates and on the same terms and conditions, and so long as the costs are appropriately allocated.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Accounting Requirements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BOC (or any affiliated ILEC) must account for all transactions with the Section 272-Restricted Separate Affiliates in accordance with the FCC’s accounting rules. Generally, these rules provide that:</w:t>
      </w:r>
    </w:p>
    <w:p>
      <w:pPr>
        <w:spacing w:after="0" w:line="76" w:lineRule="exact"/>
        <w:rPr>
          <w:sz w:val="20"/>
          <w:szCs w:val="20"/>
          <w:color w:val="auto"/>
        </w:rPr>
      </w:pPr>
    </w:p>
    <w:p>
      <w:pPr>
        <w:ind w:left="900" w:right="36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Assets or services sold or transferred between a BOC (or any affiliated ILEC) and its Section 272-Restricted Separate Affiliates pursuant to a tariff must be recorded at the tariffed rate. Rates in publicly filed interconnection agreements or statements of generally available terms and conditions may be used if a tariff rate is not available.</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Non-tariffed assets or services sold or transferred between a BOC (or any affiliated ILEC) and its Section 272-Restricted Separate Affiliates that qualify for a prevailing price must be recorded at the prevailing price. (Prevailing price has a specific meaning. Please consult your supervisor or the legal or regulatory departments if you need further information about the application of the prevailing price rule in transactions between a BOC and its Section 272-Restricted Separate Affiliates.)</w:t>
      </w:r>
    </w:p>
    <w:p>
      <w:pPr>
        <w:spacing w:after="0" w:line="92"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other assets sold or transferred by a BOC (or any affiliated ILEC) to its Section 272-Restricted Separate Affiliates must be recorded at the higher of fair market value (FMV) and net book cost. All other assets purchased by or transferred to a BOC (or any affiliated ILEC) from its Section 272-Restricted Separate Affiliates must be recorded at the lower of FMV and net book cost.</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other services provided by a BOC (or any affiliated ILEC) to its separate affiliate must be recorded at the higher of FMV and fully distributed cost (FDC). All other services provided by a Section 272-Restricted Separate Affiliates to a BOC (or any affiliated ILEC) must be recorded at the lower of FMV and FDC.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Employees may refer any questions regarding affiliate transaction rules and processes to the Affiliate Oversight Group, as outlined in Operating Practice 125.</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an additional accounting safeguard, the Act requires that a BOC pay for audits that test compliance with the requirements of Section 272. An audit will be conducted every [**] by an independent auditor under the direction of federal and state regulators. Employees are expected to comply with requests for data and/or information from the independent auditor as deemed necessary to conduct and complete the audit engagement.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Joint Marketing</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 BOC may market and sell the interLATA services provided by its Section 272 Affiliates on an exclusive basis; however, the BOC must continue to advise new customers of their right to select their choice of interexchange carrier in compliance with the FCC’s equal access rules. Generally, the exclusive joint marketing functions are defined as customer ordering, inquiries, and sales activity. To the extent that the BOC allows its Section 272 Separate Affiliate to market and sell the BOC’s local telephone exchange services, the BOC must allow other unaffiliated entities to do the same.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For More Information</w:t>
      </w:r>
    </w:p>
    <w:p>
      <w:pPr>
        <w:spacing w:after="0" w:line="12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Every effort has been made to ensure that this employee guide will answer any general questions you may have; however, there may be occasions where either no answer is provided to your specific question or the answer may be unclear even after you refer to this guide. Those questions should be directed through your organization’s Section 272 Compliance Coordinator and/or Legal department to the Section 272 Oversight Team as necessary.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ATT Inc. Affiliate List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Internet</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Service</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line="147" w:lineRule="exact"/>
              <w:rPr>
                <w:sz w:val="20"/>
                <w:szCs w:val="20"/>
                <w:color w:val="auto"/>
              </w:rPr>
            </w:pPr>
            <w:r>
              <w:rPr>
                <w:rFonts w:ascii="Arial" w:cs="Arial" w:eastAsia="Arial" w:hAnsi="Arial"/>
                <w:sz w:val="14"/>
                <w:szCs w:val="14"/>
                <w:color w:val="auto"/>
                <w:w w:val="90"/>
              </w:rPr>
              <w:t>BOCS</w:t>
            </w:r>
          </w:p>
        </w:tc>
        <w:tc>
          <w:tcPr>
            <w:tcW w:w="3500" w:type="dxa"/>
            <w:vAlign w:val="bottom"/>
          </w:tcPr>
          <w:p>
            <w:pPr>
              <w:spacing w:after="0"/>
              <w:rPr>
                <w:sz w:val="14"/>
                <w:szCs w:val="14"/>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w w:val="93"/>
              </w:rPr>
              <w:t>ILECS</w:t>
            </w:r>
          </w:p>
        </w:tc>
        <w:tc>
          <w:tcPr>
            <w:tcW w:w="2420" w:type="dxa"/>
            <w:vAlign w:val="bottom"/>
          </w:tcPr>
          <w:p>
            <w:pPr>
              <w:spacing w:after="0"/>
              <w:rPr>
                <w:sz w:val="14"/>
                <w:szCs w:val="14"/>
                <w:color w:val="auto"/>
              </w:rPr>
            </w:pPr>
          </w:p>
        </w:tc>
        <w:tc>
          <w:tcPr>
            <w:tcW w:w="9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92"/>
              </w:rPr>
              <w:t>Providers (ISP)</w:t>
            </w:r>
          </w:p>
        </w:tc>
        <w:tc>
          <w:tcPr>
            <w:tcW w:w="420" w:type="dxa"/>
            <w:vAlign w:val="bottom"/>
          </w:tcPr>
          <w:p>
            <w:pPr>
              <w:spacing w:after="0"/>
              <w:rPr>
                <w:sz w:val="14"/>
                <w:szCs w:val="14"/>
                <w:color w:val="auto"/>
              </w:rPr>
            </w:pPr>
          </w:p>
        </w:tc>
        <w:tc>
          <w:tcPr>
            <w:tcW w:w="1220" w:type="dxa"/>
            <w:vAlign w:val="bottom"/>
            <w:gridSpan w:val="2"/>
          </w:tcPr>
          <w:p>
            <w:pPr>
              <w:ind w:left="420"/>
              <w:spacing w:after="0" w:line="147" w:lineRule="exact"/>
              <w:rPr>
                <w:sz w:val="20"/>
                <w:szCs w:val="20"/>
                <w:color w:val="auto"/>
              </w:rPr>
            </w:pPr>
            <w:r>
              <w:rPr>
                <w:rFonts w:ascii="Arial" w:cs="Arial" w:eastAsia="Arial" w:hAnsi="Arial"/>
                <w:sz w:val="14"/>
                <w:szCs w:val="14"/>
                <w:color w:val="auto"/>
                <w:w w:val="97"/>
              </w:rPr>
              <w:t>272 Affiliates</w:t>
            </w:r>
          </w:p>
        </w:tc>
        <w:tc>
          <w:tcPr>
            <w:tcW w:w="840" w:type="dxa"/>
            <w:vAlign w:val="bottom"/>
          </w:tcPr>
          <w:p>
            <w:pPr>
              <w:spacing w:after="0"/>
              <w:rPr>
                <w:sz w:val="14"/>
                <w:szCs w:val="14"/>
                <w:color w:val="auto"/>
              </w:rPr>
            </w:pPr>
          </w:p>
        </w:tc>
        <w:tc>
          <w:tcPr>
            <w:tcW w:w="1120" w:type="dxa"/>
            <w:vAlign w:val="bottom"/>
          </w:tcPr>
          <w:p>
            <w:pPr>
              <w:spacing w:after="0" w:line="147" w:lineRule="exact"/>
              <w:rPr>
                <w:sz w:val="20"/>
                <w:szCs w:val="20"/>
                <w:color w:val="auto"/>
              </w:rPr>
            </w:pPr>
            <w:r>
              <w:rPr>
                <w:rFonts w:ascii="Arial" w:cs="Arial" w:eastAsia="Arial" w:hAnsi="Arial"/>
                <w:sz w:val="14"/>
                <w:szCs w:val="14"/>
                <w:color w:val="auto"/>
                <w:w w:val="99"/>
              </w:rPr>
              <w:t>272-Like Affiliates</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35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320" w:type="dxa"/>
            <w:vAlign w:val="bottom"/>
            <w:gridSpan w:val="2"/>
            <w:vMerge w:val="restart"/>
          </w:tcPr>
          <w:p>
            <w:pPr>
              <w:ind w:left="24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3500" w:type="dxa"/>
            <w:vAlign w:val="bottom"/>
            <w:vMerge w:val="continue"/>
          </w:tcPr>
          <w:p>
            <w:pPr>
              <w:spacing w:after="0"/>
              <w:rPr>
                <w:sz w:val="15"/>
                <w:szCs w:val="15"/>
                <w:color w:val="auto"/>
              </w:rPr>
            </w:pPr>
          </w:p>
        </w:tc>
        <w:tc>
          <w:tcPr>
            <w:tcW w:w="400" w:type="dxa"/>
            <w:vAlign w:val="bottom"/>
          </w:tcPr>
          <w:p>
            <w:pPr>
              <w:jc w:val="right"/>
              <w:ind w:right="19"/>
              <w:spacing w:after="0" w:line="182" w:lineRule="exact"/>
              <w:rPr>
                <w:sz w:val="20"/>
                <w:szCs w:val="20"/>
                <w:color w:val="auto"/>
              </w:rPr>
            </w:pPr>
            <w:r>
              <w:rPr>
                <w:rFonts w:ascii="Arial" w:cs="Arial" w:eastAsia="Arial" w:hAnsi="Arial"/>
                <w:sz w:val="18"/>
                <w:szCs w:val="18"/>
                <w:color w:val="auto"/>
              </w:rPr>
              <w:t>[**]</w:t>
            </w:r>
          </w:p>
        </w:tc>
        <w:tc>
          <w:tcPr>
            <w:tcW w:w="33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40" w:type="dxa"/>
            <w:vAlign w:val="bottom"/>
            <w:vMerge w:val="continue"/>
          </w:tcPr>
          <w:p>
            <w:pPr>
              <w:spacing w:after="0"/>
              <w:rPr>
                <w:sz w:val="15"/>
                <w:szCs w:val="15"/>
                <w:color w:val="auto"/>
              </w:rPr>
            </w:pPr>
          </w:p>
        </w:tc>
        <w:tc>
          <w:tcPr>
            <w:tcW w:w="11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332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Acknowledgement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272 Compliance Guide for Temporary Workers and Independent Contractors</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Amdocs, Inc. (“</w:t>
      </w:r>
      <w:r>
        <w:rPr>
          <w:rFonts w:ascii="Arial" w:cs="Arial" w:eastAsia="Arial" w:hAnsi="Arial"/>
          <w:sz w:val="16"/>
          <w:szCs w:val="16"/>
          <w:u w:val="single" w:color="auto"/>
          <w:color w:val="auto"/>
        </w:rPr>
        <w:t>Amdocs</w:t>
      </w:r>
      <w:r>
        <w:rPr>
          <w:rFonts w:ascii="Arial" w:cs="Arial" w:eastAsia="Arial" w:hAnsi="Arial"/>
          <w:sz w:val="16"/>
          <w:szCs w:val="16"/>
          <w:color w:val="auto"/>
        </w:rPr>
        <w:t>”) and AT&amp;T Services, Inc. (“</w:t>
      </w:r>
      <w:r>
        <w:rPr>
          <w:rFonts w:ascii="Arial" w:cs="Arial" w:eastAsia="Arial" w:hAnsi="Arial"/>
          <w:sz w:val="16"/>
          <w:szCs w:val="16"/>
          <w:u w:val="single" w:color="auto"/>
          <w:color w:val="auto"/>
        </w:rPr>
        <w:t>AT&amp;</w:t>
      </w:r>
      <w:r>
        <w:rPr>
          <w:rFonts w:ascii="Arial" w:cs="Arial" w:eastAsia="Arial" w:hAnsi="Arial"/>
          <w:sz w:val="16"/>
          <w:szCs w:val="16"/>
          <w:color w:val="auto"/>
        </w:rPr>
        <w:t>T”) are parties to the Information Technology Services Agreement number 02026409 dated January 9, 2003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but not otherwise defined herein have the meanings set forth in the Agreement.</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certain Services provided by Amdocs under the Agreement, AT&amp;T previously furnished Amdocs with the document entitled “The Separate Affiliate Safeguards, Section 272 Compliance Obligations Applicable to InterLATA Telecommunications Services and Manufacturing Under the Federal Telecommunications Act of 1996”</w:t>
      </w:r>
      <w:r>
        <w:rPr>
          <w:rFonts w:ascii="Arial" w:cs="Arial" w:eastAsia="Arial" w:hAnsi="Arial"/>
          <w:sz w:val="15"/>
          <w:szCs w:val="15"/>
          <w:color w:val="auto"/>
        </w:rPr>
        <w:t>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Section 272 Compliance Guide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Amdocs acknowledges that:</w:t>
      </w:r>
    </w:p>
    <w:p>
      <w:pPr>
        <w:spacing w:after="0" w:line="225" w:lineRule="exact"/>
        <w:rPr>
          <w:sz w:val="20"/>
          <w:szCs w:val="20"/>
          <w:color w:val="auto"/>
        </w:rPr>
      </w:pPr>
    </w:p>
    <w:p>
      <w:pPr>
        <w:ind w:right="400" w:firstLine="8"/>
        <w:spacing w:after="0" w:line="264" w:lineRule="auto"/>
        <w:tabs>
          <w:tab w:leader="none" w:pos="2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Amdocs Personnel, while providing Services under the Agreement, must comply with certain regulatory requirements applicable to AT&amp;T when such Amdocs Personnel job functions involve providing support for, or Services to, AT&amp;T’s Section 272-Restricted Separate Affiliates (as defined in the Section 272 Compliance Guide),</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Amdocs has furnished the Section 272 Compliance Guide to such Amdocs Personnel,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Amdocs requires such Amdocs Personnel to read and review the Section 272 Compliance Guide, and</w:t>
      </w:r>
    </w:p>
    <w:p>
      <w:pPr>
        <w:spacing w:after="0" w:line="225" w:lineRule="exact"/>
        <w:rPr>
          <w:rFonts w:ascii="Arial" w:cs="Arial" w:eastAsia="Arial" w:hAnsi="Arial"/>
          <w:sz w:val="18"/>
          <w:szCs w:val="18"/>
          <w:color w:val="auto"/>
        </w:rPr>
      </w:pPr>
    </w:p>
    <w:p>
      <w:pPr>
        <w:ind w:right="440" w:firstLine="8"/>
        <w:spacing w:after="0" w:line="277" w:lineRule="auto"/>
        <w:tabs>
          <w:tab w:leader="none" w:pos="3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Amdocs has used commercially reasonable efforts to obtain from each such Amdocs Personnel written acknowledgement that he or she has read the Section 272 Compliance Guide.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[typed or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16465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[typed or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16465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[typed or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16465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More commonly referred to as the “Section 272 Compliance Guide for Temporary Workers and Independent Contractors.”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02026713.A.007</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02026713.A.007</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27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Amendment No. 7,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and as further amended by Amendment No. 6 effective September 2, 2008 (collectively, the “Agreement”); and</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03032360-2 pursuant to which AT&amp;T has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obtain a license to use Amdocs’ Software;</w:t>
      </w:r>
    </w:p>
    <w:p>
      <w:pPr>
        <w:spacing w:after="0" w:line="162"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may desire Amdocs to implement customizations to such Software and other Software previously licensed by Amdocs to AT&amp;T, and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other Services relating to such Software pursuant to the terms and conditions of the Agreement as amended herein; and</w:t>
      </w:r>
    </w:p>
    <w:p>
      <w:pPr>
        <w:spacing w:after="0" w:line="1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Amdocs desires to implement customizations to the Software and provide other Services relating to such Software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Agreement as amended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November 5, 2008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to extend its term; to formalize the validity and continuation of the Agreement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its Effective Date of August 7, 2003.</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4" w:name="page195"/>
    <w:bookmarkEnd w:id="194"/>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5" w:lineRule="exact"/>
        <w:rPr>
          <w:sz w:val="20"/>
          <w:szCs w:val="20"/>
          <w:color w:val="auto"/>
        </w:rPr>
      </w:pPr>
    </w:p>
    <w:p>
      <w:pPr>
        <w:ind w:left="460" w:right="20" w:hanging="452"/>
        <w:spacing w:after="0" w:line="342"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Agreement is revived; the term is extended as set forth below; and the Agreement shall be deemed to have been in effect continuously since the Agreement Effective Date. The Parties further ratify all actions taken between the Prior Expiration Date and the date when this Amendment is effective.</w:t>
      </w:r>
    </w:p>
    <w:p>
      <w:pPr>
        <w:spacing w:after="0" w:line="29" w:lineRule="exact"/>
        <w:rPr>
          <w:rFonts w:ascii="Arial" w:cs="Arial" w:eastAsia="Arial" w:hAnsi="Arial"/>
          <w:sz w:val="16"/>
          <w:szCs w:val="16"/>
          <w:color w:val="auto"/>
        </w:rPr>
      </w:pPr>
    </w:p>
    <w:p>
      <w:pPr>
        <w:ind w:left="920" w:right="280" w:hanging="912"/>
        <w:spacing w:after="0" w:line="375" w:lineRule="auto"/>
        <w:tabs>
          <w:tab w:leader="none" w:pos="4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For purposes of extending the term of this Agreement, Section 3.32. “Term of Agreement”, is deleted in its entirety and replaced with the following: </w:t>
      </w:r>
      <w:r>
        <w:rPr>
          <w:rFonts w:ascii="Arial" w:cs="Arial" w:eastAsia="Arial" w:hAnsi="Arial"/>
          <w:sz w:val="18"/>
          <w:szCs w:val="18"/>
          <w:b w:val="1"/>
          <w:bCs w:val="1"/>
          <w:color w:val="auto"/>
        </w:rPr>
        <w:t>Section 3.32. Term of Agreement</w:t>
      </w:r>
      <w:r>
        <w:rPr>
          <w:rFonts w:ascii="Arial" w:cs="Arial" w:eastAsia="Arial" w:hAnsi="Arial"/>
          <w:sz w:val="18"/>
          <w:szCs w:val="18"/>
          <w:color w:val="auto"/>
        </w:rPr>
        <w:t>:</w:t>
      </w:r>
    </w:p>
    <w:p>
      <w:pPr>
        <w:spacing w:after="0" w:line="1" w:lineRule="exact"/>
        <w:rPr>
          <w:sz w:val="20"/>
          <w:szCs w:val="20"/>
          <w:color w:val="auto"/>
        </w:rPr>
      </w:pPr>
    </w:p>
    <w:p>
      <w:pPr>
        <w:ind w:left="920" w:right="280"/>
        <w:spacing w:after="0" w:line="308" w:lineRule="auto"/>
        <w:rPr>
          <w:sz w:val="20"/>
          <w:szCs w:val="20"/>
          <w:color w:val="auto"/>
        </w:rPr>
      </w:pPr>
      <w:r>
        <w:rPr>
          <w:rFonts w:ascii="Arial" w:cs="Arial" w:eastAsia="Arial" w:hAnsi="Arial"/>
          <w:sz w:val="17"/>
          <w:szCs w:val="17"/>
          <w:color w:val="auto"/>
        </w:rPr>
        <w:t>This Agreement is effective on the date the last Party signs and, unless Terminated or Canceled as provided in this Agreement, shall remain in effect for a term ending on January 15, 2009. The Parties may extend the term of this Agreement by agreement in writing.</w:t>
      </w:r>
    </w:p>
    <w:p>
      <w:pPr>
        <w:spacing w:after="0" w:line="48" w:lineRule="exact"/>
        <w:rPr>
          <w:sz w:val="20"/>
          <w:szCs w:val="20"/>
          <w:color w:val="auto"/>
        </w:rPr>
      </w:pPr>
    </w:p>
    <w:p>
      <w:pPr>
        <w:ind w:left="920" w:right="2260" w:hanging="912"/>
        <w:spacing w:after="0" w:line="378" w:lineRule="auto"/>
        <w:tabs>
          <w:tab w:leader="none" w:pos="4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TABLE OF CONTENTS, APPENDICES AND EXHIBITS</w:t>
      </w:r>
      <w:r>
        <w:rPr>
          <w:rFonts w:ascii="Arial" w:cs="Arial" w:eastAsia="Arial" w:hAnsi="Arial"/>
          <w:sz w:val="18"/>
          <w:szCs w:val="18"/>
          <w:color w:val="auto"/>
        </w:rPr>
        <w:t xml:space="preserve"> is hereby amended in accordance with the following: Delete: Appendix 7. 272 Compliance</w:t>
      </w:r>
    </w:p>
    <w:p>
      <w:pPr>
        <w:ind w:left="920"/>
        <w:spacing w:after="0"/>
        <w:rPr>
          <w:rFonts w:ascii="Arial" w:cs="Arial" w:eastAsia="Arial" w:hAnsi="Arial"/>
          <w:sz w:val="18"/>
          <w:szCs w:val="18"/>
          <w:color w:val="auto"/>
        </w:rPr>
      </w:pPr>
      <w:r>
        <w:rPr>
          <w:rFonts w:ascii="Arial" w:cs="Arial" w:eastAsia="Arial" w:hAnsi="Arial"/>
          <w:sz w:val="18"/>
          <w:szCs w:val="18"/>
          <w:color w:val="auto"/>
        </w:rPr>
        <w:t>Add: Appendix 8 AT&amp;T Supplier Information Security Requirements (SISR)</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 Appendix 9 Satisfaction Survey</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 Appendix 10 Governance</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 Appendix 11 Service Level Agreement Process and Measurement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3.10 Force Majeure </w:t>
      </w:r>
      <w:r>
        <w:rPr>
          <w:rFonts w:ascii="Arial" w:cs="Arial" w:eastAsia="Arial" w:hAnsi="Arial"/>
          <w:sz w:val="18"/>
          <w:szCs w:val="18"/>
          <w:color w:val="auto"/>
        </w:rPr>
        <w:t>of</w:t>
      </w:r>
      <w:r>
        <w:rPr>
          <w:rFonts w:ascii="Arial" w:cs="Arial" w:eastAsia="Arial" w:hAnsi="Arial"/>
          <w:sz w:val="18"/>
          <w:szCs w:val="18"/>
          <w:b w:val="1"/>
          <w:bCs w:val="1"/>
          <w:color w:val="auto"/>
        </w:rPr>
        <w:t xml:space="preserve"> ARTICLE III - GENERAL TERMS </w:t>
      </w:r>
      <w:r>
        <w:rPr>
          <w:rFonts w:ascii="Arial" w:cs="Arial" w:eastAsia="Arial" w:hAnsi="Arial"/>
          <w:sz w:val="18"/>
          <w:szCs w:val="18"/>
          <w:color w:val="auto"/>
        </w:rPr>
        <w:t>is hereby deleted in its entirety and replaced as follows: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3.10  Force Majeure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A Party is excused from performing its obligations under this Agreement or any Order if, to the extent that, and for so long as:</w:t>
      </w:r>
    </w:p>
    <w:p>
      <w:pPr>
        <w:spacing w:after="0" w:line="130" w:lineRule="exact"/>
        <w:rPr>
          <w:rFonts w:ascii="Arial" w:cs="Arial" w:eastAsia="Arial" w:hAnsi="Arial"/>
          <w:sz w:val="18"/>
          <w:szCs w:val="18"/>
          <w:b w:val="1"/>
          <w:bCs w:val="1"/>
          <w:color w:val="auto"/>
        </w:rPr>
      </w:pPr>
    </w:p>
    <w:p>
      <w:pPr>
        <w:ind w:left="1920" w:right="100" w:hanging="440"/>
        <w:spacing w:after="0" w:line="264" w:lineRule="auto"/>
        <w:tabs>
          <w:tab w:leader="none" w:pos="192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such Party’s performance is prevented or delayed by an act or event (other than economic hardship, changes in market conditions or insufficiency of funds) that is beyond its reasonable control and could not have been prevented or avoided by its exercise of due diligence; and</w:t>
      </w:r>
    </w:p>
    <w:p>
      <w:pPr>
        <w:spacing w:after="0" w:line="86" w:lineRule="exact"/>
        <w:rPr>
          <w:rFonts w:ascii="Arial" w:cs="Arial" w:eastAsia="Arial" w:hAnsi="Arial"/>
          <w:sz w:val="18"/>
          <w:szCs w:val="18"/>
          <w:color w:val="auto"/>
        </w:rPr>
      </w:pPr>
    </w:p>
    <w:p>
      <w:pPr>
        <w:ind w:left="1920" w:right="640" w:hanging="440"/>
        <w:spacing w:after="0" w:line="277" w:lineRule="auto"/>
        <w:tabs>
          <w:tab w:leader="none" w:pos="192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such Party gives written notice to the other Party, as soon as practicable under the circumstances, of the act or event that so prevents such Party from performing its obligations.</w:t>
      </w:r>
    </w:p>
    <w:p>
      <w:pPr>
        <w:spacing w:after="0" w:line="62"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By way of illustration, and not by way of limitation, acts or events that may prevent or delay performance (as contemplated by this Section) include: acts of God or the public enemy, acts of civil or military authority, terrorists acts, embargoes, epidemics, war, riots, insurrections, fires, explosions, earthquakes, floods, and labor disputes (even if AT&amp;T is involved in a labor dispute). If Supplier is the Party whose performance is prevented or delayed, and if such event of Force Majeure continues for a period of [**] or more, at any point thereafter during the pendency of such Force Majeure event, AT&amp;T may elect to:</w:t>
      </w:r>
    </w:p>
    <w:p>
      <w:pPr>
        <w:spacing w:after="0" w:line="94" w:lineRule="exact"/>
        <w:rPr>
          <w:sz w:val="20"/>
          <w:szCs w:val="20"/>
          <w:color w:val="auto"/>
        </w:rPr>
      </w:pPr>
    </w:p>
    <w:p>
      <w:pPr>
        <w:ind w:left="1920" w:hanging="440"/>
        <w:spacing w:after="0"/>
        <w:tabs>
          <w:tab w:leader="none" w:pos="1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Terminate, in whole or in part, the affected Orders, without any liability to Supplier,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02026713.A.007</w:t>
      </w:r>
    </w:p>
    <w:p>
      <w:pPr>
        <w:spacing w:after="0" w:line="158" w:lineRule="exact"/>
        <w:rPr>
          <w:sz w:val="20"/>
          <w:szCs w:val="20"/>
          <w:color w:val="auto"/>
        </w:rPr>
      </w:pPr>
    </w:p>
    <w:p>
      <w:pPr>
        <w:ind w:left="1920" w:right="140" w:hanging="440"/>
        <w:spacing w:after="0" w:line="257" w:lineRule="auto"/>
        <w:tabs>
          <w:tab w:leader="none" w:pos="19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suspend the affected Orders or any part thereof for the duration of the delay; and (at AT&amp;T’s option) obtain Material and Services elsewhere and deduct from any commitment under such Order the quantity of the Material and Services obtained elsewhere or for which commitments have been made elsewhere; and resume performance under this Agreement or such Order when Supplier resumes its performance; and extend any affected Delivery Date or performance date up to the length of time Supplier’s performance was delayed or prevented.</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Paragraph A </w:t>
      </w:r>
      <w:r>
        <w:rPr>
          <w:rFonts w:ascii="Arial" w:cs="Arial" w:eastAsia="Arial" w:hAnsi="Arial"/>
          <w:sz w:val="18"/>
          <w:szCs w:val="18"/>
          <w:color w:val="auto"/>
        </w:rPr>
        <w:t>of</w:t>
      </w:r>
      <w:r>
        <w:rPr>
          <w:rFonts w:ascii="Arial" w:cs="Arial" w:eastAsia="Arial" w:hAnsi="Arial"/>
          <w:sz w:val="18"/>
          <w:szCs w:val="18"/>
          <w:b w:val="1"/>
          <w:bCs w:val="1"/>
          <w:color w:val="auto"/>
        </w:rPr>
        <w:t xml:space="preserve"> Section 3.19 MBE/WBE/DVBE </w:t>
      </w:r>
      <w:r>
        <w:rPr>
          <w:rFonts w:ascii="Arial" w:cs="Arial" w:eastAsia="Arial" w:hAnsi="Arial"/>
          <w:sz w:val="18"/>
          <w:szCs w:val="18"/>
          <w:color w:val="auto"/>
        </w:rPr>
        <w:t>of</w:t>
      </w:r>
      <w:r>
        <w:rPr>
          <w:rFonts w:ascii="Arial" w:cs="Arial" w:eastAsia="Arial" w:hAnsi="Arial"/>
          <w:sz w:val="18"/>
          <w:szCs w:val="18"/>
          <w:b w:val="1"/>
          <w:bCs w:val="1"/>
          <w:color w:val="auto"/>
        </w:rPr>
        <w:t xml:space="preserve"> ARTICLE III GENERAL TERMS </w:t>
      </w:r>
      <w:r>
        <w:rPr>
          <w:rFonts w:ascii="Arial" w:cs="Arial" w:eastAsia="Arial" w:hAnsi="Arial"/>
          <w:sz w:val="18"/>
          <w:szCs w:val="18"/>
          <w:color w:val="auto"/>
        </w:rPr>
        <w:t>is amended by adding the following: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agree to collaborate and amend this Section 3.19 by January 15, 2009.</w:t>
      </w:r>
    </w:p>
    <w:p>
      <w:pPr>
        <w:spacing w:after="0" w:line="127"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xml:space="preserve">A new </w:t>
      </w:r>
      <w:r>
        <w:rPr>
          <w:rFonts w:ascii="Arial" w:cs="Arial" w:eastAsia="Arial" w:hAnsi="Arial"/>
          <w:sz w:val="18"/>
          <w:szCs w:val="18"/>
          <w:b w:val="1"/>
          <w:bCs w:val="1"/>
          <w:color w:val="auto"/>
        </w:rPr>
        <w:t>Section 3.37 Labor Disputes</w:t>
      </w:r>
      <w:r>
        <w:rPr>
          <w:rFonts w:ascii="Arial" w:cs="Arial" w:eastAsia="Arial" w:hAnsi="Arial"/>
          <w:sz w:val="18"/>
          <w:szCs w:val="18"/>
          <w:color w:val="auto"/>
        </w:rPr>
        <w:t xml:space="preserve"> is hereby added to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of the Agreement as follows: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3.37  Labor Disputes</w:t>
      </w:r>
    </w:p>
    <w:p>
      <w:pPr>
        <w:spacing w:after="0" w:line="121" w:lineRule="exact"/>
        <w:rPr>
          <w:rFonts w:ascii="Arial" w:cs="Arial" w:eastAsia="Arial" w:hAnsi="Arial"/>
          <w:sz w:val="18"/>
          <w:szCs w:val="18"/>
          <w:b w:val="1"/>
          <w:bCs w:val="1"/>
          <w:color w:val="auto"/>
        </w:rPr>
      </w:pPr>
    </w:p>
    <w:p>
      <w:pPr>
        <w:ind w:left="920" w:right="20" w:firstLine="1"/>
        <w:spacing w:after="0" w:line="293" w:lineRule="auto"/>
        <w:tabs>
          <w:tab w:leader="none" w:pos="109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of a labor dispute between AT&amp;T and the union(s) representing AT&amp;T’s employees, AT&amp;T may exercise its right to modify the Scope of Work under the Order on immediate written notice, including postponing, reducing, or terminating the services to be provided under the Order and due to be performed after the commencement of a labor dispute, provided, however, that in the event of the termination of services pursuant to this paragraph, AT&amp;T shall provide Amdocs with no less than [**] written notice of such termination and such termination shall be deemed a termination for convenience and subject to the payment of any applicable early termination fees under such terminated Order. AT&amp;T acknowledges and agrees that the exercise of such right may result in a delay in the resumption of Services when requested by AT&amp;T.</w:t>
      </w:r>
    </w:p>
    <w:p>
      <w:pPr>
        <w:spacing w:after="0" w:line="56" w:lineRule="exact"/>
        <w:rPr>
          <w:rFonts w:ascii="Arial" w:cs="Arial" w:eastAsia="Arial" w:hAnsi="Arial"/>
          <w:sz w:val="16"/>
          <w:szCs w:val="16"/>
          <w:color w:val="auto"/>
        </w:rPr>
      </w:pPr>
    </w:p>
    <w:p>
      <w:pPr>
        <w:ind w:left="920" w:right="120" w:firstLine="1"/>
        <w:spacing w:after="0" w:line="277" w:lineRule="auto"/>
        <w:tabs>
          <w:tab w:leader="none" w:pos="11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rights and obligations of the Parties under this Section are in addition to, and not a limitation of, their respective rights under the Sections entitled “Amendments and Waivers” and “Force Majeure.”</w:t>
      </w:r>
    </w:p>
    <w:p>
      <w:pPr>
        <w:spacing w:after="0" w:line="62"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Where AT&amp;T modifies the Scope of Work to include a reduction, postponement or termination of the services to be provided, until reinstatement of such services, the terms of any Service Level Agreements applicable to such services shall be reasonably modified by the Parties to reflect such modification. In addition, no such modification shall relieve AT&amp;T of its obligation to pay Amdocs for any services actually performed by Amdocs (whether before or after such modification) notwithstanding Amdocs’ failure or inability to achieve any payment milestone set forth in the applicable Order as a result of such modification.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02026713.A.007</w:t>
      </w:r>
    </w:p>
    <w:p>
      <w:pPr>
        <w:spacing w:after="0" w:line="15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 xml:space="preserve">A new </w:t>
      </w:r>
      <w:r>
        <w:rPr>
          <w:rFonts w:ascii="Arial" w:cs="Arial" w:eastAsia="Arial" w:hAnsi="Arial"/>
          <w:sz w:val="18"/>
          <w:szCs w:val="18"/>
          <w:b w:val="1"/>
          <w:bCs w:val="1"/>
          <w:color w:val="auto"/>
        </w:rPr>
        <w:t>Section 3.38 Satisfaction Surveys</w:t>
      </w:r>
      <w:r>
        <w:rPr>
          <w:rFonts w:ascii="Arial" w:cs="Arial" w:eastAsia="Arial" w:hAnsi="Arial"/>
          <w:sz w:val="18"/>
          <w:szCs w:val="18"/>
          <w:color w:val="auto"/>
        </w:rPr>
        <w:t xml:space="preserve"> is hereby added to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of the Agreement as follows: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3.38  Satisfaction Surveys</w:t>
      </w:r>
    </w:p>
    <w:p>
      <w:pPr>
        <w:spacing w:after="0" w:line="130" w:lineRule="exact"/>
        <w:rPr>
          <w:rFonts w:ascii="Arial" w:cs="Arial" w:eastAsia="Arial" w:hAnsi="Arial"/>
          <w:sz w:val="18"/>
          <w:szCs w:val="18"/>
          <w:b w:val="1"/>
          <w:bCs w:val="1"/>
          <w:color w:val="auto"/>
        </w:rPr>
      </w:pPr>
    </w:p>
    <w:p>
      <w:pPr>
        <w:ind w:left="900" w:hanging="446"/>
        <w:spacing w:after="0" w:line="254" w:lineRule="auto"/>
        <w:tabs>
          <w:tab w:leader="none" w:pos="90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Independent Surveys. </w:t>
      </w:r>
      <w:r>
        <w:rPr>
          <w:rFonts w:ascii="Arial" w:cs="Arial" w:eastAsia="Arial" w:hAnsi="Arial"/>
          <w:sz w:val="18"/>
          <w:szCs w:val="18"/>
          <w:color w:val="auto"/>
        </w:rPr>
        <w:t>Within [**] days after the Effective Date of this Amendment, Supplier shall identify and submit to AT&amp;T for its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identity of an independent third party that will conduct a baseline customer satisfaction index survey of the Services to be provided under this Agreement in accordance with the survey protocols and procedures specified in Appendix 9. Within [**] days after AT&amp;T’s approval of Supplier’s selection, such independent third party shall conduct the baseline customer satisfaction index survey and shall submit the results within [**] days to AT&amp;T for its approval. Such baseline customer satisfaction index survey shall thereafter become the baseline for measuring performance improvements and conducting other satisfaction surveys hereunder. Thereafter, Supplier shall engage independent third parties (such third parties to be approved in advance by AT&amp;T) to conduct satisfaction surveys at the intervals and in accordance with the survey protocols and procedures specified in Appendix 9 (and if not such intervals are provided therein, then at least on an annual basis beginning on the date of delivery of the initial baseline satisfaction survey). Supplier shall be responsible for the expenses of all such surveys conducted pursuant to this Section 3.38.</w:t>
      </w:r>
    </w:p>
    <w:p>
      <w:pPr>
        <w:spacing w:after="0" w:line="91" w:lineRule="exact"/>
        <w:rPr>
          <w:rFonts w:ascii="Arial" w:cs="Arial" w:eastAsia="Arial" w:hAnsi="Arial"/>
          <w:sz w:val="18"/>
          <w:szCs w:val="18"/>
          <w:b w:val="1"/>
          <w:bCs w:val="1"/>
          <w:color w:val="auto"/>
        </w:rPr>
      </w:pPr>
    </w:p>
    <w:p>
      <w:pPr>
        <w:ind w:left="900" w:right="40" w:hanging="446"/>
        <w:spacing w:after="0" w:line="256" w:lineRule="auto"/>
        <w:tabs>
          <w:tab w:leader="none" w:pos="90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AT&amp;T-Conducted Surveys</w:t>
      </w:r>
      <w:r>
        <w:rPr>
          <w:rFonts w:ascii="Arial" w:cs="Arial" w:eastAsia="Arial" w:hAnsi="Arial"/>
          <w:sz w:val="18"/>
          <w:szCs w:val="18"/>
          <w:color w:val="auto"/>
        </w:rPr>
        <w:t>. In addition to the satisfaction surveys to be conducted by an independent third party pursuant to Section 3.38,</w:t>
      </w:r>
      <w:r>
        <w:rPr>
          <w:rFonts w:ascii="Arial" w:cs="Arial" w:eastAsia="Arial" w:hAnsi="Arial"/>
          <w:sz w:val="18"/>
          <w:szCs w:val="18"/>
          <w:b w:val="1"/>
          <w:bCs w:val="1"/>
          <w:color w:val="auto"/>
        </w:rPr>
        <w:t xml:space="preserve"> </w:t>
      </w:r>
      <w:r>
        <w:rPr>
          <w:rFonts w:ascii="Arial" w:cs="Arial" w:eastAsia="Arial" w:hAnsi="Arial"/>
          <w:sz w:val="18"/>
          <w:szCs w:val="18"/>
          <w:color w:val="auto"/>
        </w:rPr>
        <w:t>AT&amp;T may survey End-User satisfaction with Supplier’s performance in connection with and as part of broader End-User satisfaction surveys periodically conducted by AT&amp;T or such other party as AT&amp;T may select. At AT&amp;T’s request, Supplier shall cooperate and assist AT&amp;T with the formulation of the survey questions, protocols and procedures and the execution and review of such surveys, including participating in any existing or future programs or processes addressing customer satisfaction and with which AT&amp;T may be involved, participate in or perform, including the AT&amp;T Quality Process or similar processes or programs.</w:t>
      </w:r>
    </w:p>
    <w:p>
      <w:pPr>
        <w:spacing w:after="0" w:line="93" w:lineRule="exact"/>
        <w:rPr>
          <w:rFonts w:ascii="Arial" w:cs="Arial" w:eastAsia="Arial" w:hAnsi="Arial"/>
          <w:sz w:val="18"/>
          <w:szCs w:val="18"/>
          <w:b w:val="1"/>
          <w:bCs w:val="1"/>
          <w:color w:val="auto"/>
        </w:rPr>
      </w:pPr>
    </w:p>
    <w:p>
      <w:pPr>
        <w:ind w:left="900" w:right="60" w:hanging="446"/>
        <w:spacing w:after="0" w:line="292" w:lineRule="auto"/>
        <w:tabs>
          <w:tab w:leader="none" w:pos="900" w:val="left"/>
        </w:tabs>
        <w:numPr>
          <w:ilvl w:val="1"/>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Survey Follow-up</w:t>
      </w:r>
      <w:r>
        <w:rPr>
          <w:rFonts w:ascii="Arial" w:cs="Arial" w:eastAsia="Arial" w:hAnsi="Arial"/>
          <w:sz w:val="16"/>
          <w:szCs w:val="16"/>
          <w:color w:val="auto"/>
        </w:rPr>
        <w:t>. If the results of any satisfaction survey conducted pursuant to Section 3.38 indicate that the level of satisfaction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Supplier’s performance is less than the target level specified in Appendix 9, Supplier shall promptly: (i) analyze and report on the root cause of the management or End-User dissatisfaction; (ii) develop an action plan to address and improve the level of satisfaction; (iii) present such plan to AT&amp;T for its review, comment and approval; and (iv) take action in accordance with the approved plan and as necessary to improve the level of satisfaction. AT&amp;T and Supplier shall establish a schedule for completion of a Root Cause Analysis and the preparation and approval of the action plan which shall be reasonable and consistent with the severity and materiality of the problem; provided, that the time for completion of such tasks shall not exceed [**] from the date such user survey results are finalized and reported. Supplier’s action plan developed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7" w:name="page198"/>
    <w:bookmarkEnd w:id="197"/>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02026713.A.007</w:t>
      </w:r>
    </w:p>
    <w:p>
      <w:pPr>
        <w:spacing w:after="0" w:line="181" w:lineRule="exact"/>
        <w:rPr>
          <w:sz w:val="20"/>
          <w:szCs w:val="20"/>
          <w:color w:val="auto"/>
        </w:rPr>
      </w:pPr>
    </w:p>
    <w:p>
      <w:pPr>
        <w:ind w:left="920" w:right="140"/>
        <w:spacing w:after="0" w:line="286" w:lineRule="auto"/>
        <w:rPr>
          <w:sz w:val="20"/>
          <w:szCs w:val="20"/>
          <w:color w:val="auto"/>
        </w:rPr>
      </w:pPr>
      <w:r>
        <w:rPr>
          <w:rFonts w:ascii="Arial" w:cs="Arial" w:eastAsia="Arial" w:hAnsi="Arial"/>
          <w:sz w:val="17"/>
          <w:szCs w:val="17"/>
          <w:color w:val="auto"/>
        </w:rPr>
        <w:t>hereunder shall specify the specific measures to be taken by Supplier and the dates by which each such action shall be completed. Following implementation of such action plan, Supplier will conduct follow-up surveys with the affected AT&amp;T users and management to confirm that the cause of any dissatisfaction has been addressed and that the level of satisfaction has improved.</w:t>
      </w:r>
    </w:p>
    <w:p>
      <w:pPr>
        <w:spacing w:after="0" w:line="67" w:lineRule="exact"/>
        <w:rPr>
          <w:sz w:val="20"/>
          <w:szCs w:val="20"/>
          <w:color w:val="auto"/>
        </w:rPr>
      </w:pPr>
    </w:p>
    <w:p>
      <w:pPr>
        <w:ind w:left="460" w:right="780" w:hanging="452"/>
        <w:spacing w:after="0" w:line="282" w:lineRule="auto"/>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 xml:space="preserve">A new </w:t>
      </w:r>
      <w:r>
        <w:rPr>
          <w:rFonts w:ascii="Arial" w:cs="Arial" w:eastAsia="Arial" w:hAnsi="Arial"/>
          <w:sz w:val="18"/>
          <w:szCs w:val="18"/>
          <w:b w:val="1"/>
          <w:bCs w:val="1"/>
          <w:color w:val="auto"/>
        </w:rPr>
        <w:t>Section 3.39 AT&amp;T Supplier Information Security Requirements</w:t>
      </w:r>
      <w:r>
        <w:rPr>
          <w:rFonts w:ascii="Arial" w:cs="Arial" w:eastAsia="Arial" w:hAnsi="Arial"/>
          <w:sz w:val="18"/>
          <w:szCs w:val="18"/>
          <w:color w:val="auto"/>
        </w:rPr>
        <w:t xml:space="preserve"> is hereby added to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of the Agreement as follows: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3.39. AT&amp;T Supplier Information Security Requirements</w:t>
      </w:r>
    </w:p>
    <w:p>
      <w:pPr>
        <w:spacing w:after="0" w:line="121" w:lineRule="exact"/>
        <w:rPr>
          <w:sz w:val="20"/>
          <w:szCs w:val="20"/>
          <w:color w:val="auto"/>
        </w:rPr>
      </w:pPr>
    </w:p>
    <w:p>
      <w:pPr>
        <w:ind w:left="920" w:right="500"/>
        <w:spacing w:after="0" w:line="342" w:lineRule="auto"/>
        <w:rPr>
          <w:sz w:val="20"/>
          <w:szCs w:val="20"/>
          <w:color w:val="auto"/>
        </w:rPr>
      </w:pPr>
      <w:r>
        <w:rPr>
          <w:rFonts w:ascii="Arial" w:cs="Arial" w:eastAsia="Arial" w:hAnsi="Arial"/>
          <w:sz w:val="16"/>
          <w:szCs w:val="16"/>
          <w:color w:val="auto"/>
        </w:rPr>
        <w:t>Amdocs shall comply with AT&amp;T Supplier Information Security Requirements as they pertain to Systems used to access AT&amp;T’s network, Information or facilities under the Agreement. AT&amp;T Supplier Information Security Requirements are specified in Appendix 8.</w:t>
      </w:r>
    </w:p>
    <w:p>
      <w:pPr>
        <w:spacing w:after="0" w:line="25"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 xml:space="preserve">A new </w:t>
      </w:r>
      <w:r>
        <w:rPr>
          <w:rFonts w:ascii="Arial" w:cs="Arial" w:eastAsia="Arial" w:hAnsi="Arial"/>
          <w:sz w:val="18"/>
          <w:szCs w:val="18"/>
          <w:b w:val="1"/>
          <w:bCs w:val="1"/>
          <w:color w:val="auto"/>
        </w:rPr>
        <w:t>Section 3.40 Governance</w:t>
      </w:r>
      <w:r>
        <w:rPr>
          <w:rFonts w:ascii="Arial" w:cs="Arial" w:eastAsia="Arial" w:hAnsi="Arial"/>
          <w:sz w:val="18"/>
          <w:szCs w:val="18"/>
          <w:color w:val="auto"/>
        </w:rPr>
        <w:t xml:space="preserve"> is hereby added to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of the Agreement as follows: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3.40. Governance</w:t>
      </w:r>
    </w:p>
    <w:p>
      <w:pPr>
        <w:spacing w:after="0" w:line="121"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color w:val="auto"/>
        </w:rPr>
        <w:t>Governance for this Agreement is described in Appendix 10, Governance, and is focused on Committee Structure, Performance Indicators Scorecard and an Action Register.</w:t>
      </w:r>
    </w:p>
    <w:p>
      <w:pPr>
        <w:spacing w:after="0" w:line="72"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 new section 3.41 Original Signatures is hereby added to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of the Agreement as follows: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3.41. Original Signatures</w:t>
      </w:r>
    </w:p>
    <w:p>
      <w:pPr>
        <w:spacing w:after="0" w:line="121" w:lineRule="exact"/>
        <w:rPr>
          <w:sz w:val="20"/>
          <w:szCs w:val="20"/>
          <w:color w:val="auto"/>
        </w:rPr>
      </w:pPr>
    </w:p>
    <w:p>
      <w:pPr>
        <w:ind w:left="920" w:right="260"/>
        <w:spacing w:after="0" w:line="259" w:lineRule="auto"/>
        <w:rPr>
          <w:sz w:val="20"/>
          <w:szCs w:val="20"/>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Agreement may be executed in multiple counterparts, each of which shall be deemed to constitute an original but all of which together shall constitute only one document.</w:t>
      </w:r>
    </w:p>
    <w:p>
      <w:pPr>
        <w:spacing w:after="0" w:line="88" w:lineRule="exact"/>
        <w:rPr>
          <w:sz w:val="20"/>
          <w:szCs w:val="20"/>
          <w:color w:val="auto"/>
        </w:rPr>
      </w:pPr>
    </w:p>
    <w:p>
      <w:pPr>
        <w:ind w:left="460" w:right="460" w:hanging="452"/>
        <w:spacing w:after="0" w:line="282"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 new Section 5.11 Service Level Agreement Process and Measurement is hereby added to </w:t>
      </w:r>
      <w:r>
        <w:rPr>
          <w:rFonts w:ascii="Arial" w:cs="Arial" w:eastAsia="Arial" w:hAnsi="Arial"/>
          <w:sz w:val="18"/>
          <w:szCs w:val="18"/>
          <w:b w:val="1"/>
          <w:bCs w:val="1"/>
          <w:color w:val="auto"/>
        </w:rPr>
        <w:t>ARTICLE V – SPECIAL SOFTWARE TERMS</w:t>
      </w:r>
      <w:r>
        <w:rPr>
          <w:rFonts w:ascii="Arial" w:cs="Arial" w:eastAsia="Arial" w:hAnsi="Arial"/>
          <w:sz w:val="18"/>
          <w:szCs w:val="18"/>
          <w:color w:val="auto"/>
        </w:rPr>
        <w:t xml:space="preserve"> as follows:</w:t>
      </w:r>
    </w:p>
    <w:p>
      <w:pPr>
        <w:spacing w:after="0" w:line="6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5.11  Service Level Agreement Process and Measurements</w:t>
      </w:r>
    </w:p>
    <w:p>
      <w:pPr>
        <w:spacing w:after="0" w:line="121" w:lineRule="exact"/>
        <w:rPr>
          <w:rFonts w:ascii="Arial" w:cs="Arial" w:eastAsia="Arial" w:hAnsi="Arial"/>
          <w:sz w:val="18"/>
          <w:szCs w:val="18"/>
          <w:color w:val="auto"/>
        </w:rPr>
      </w:pPr>
    </w:p>
    <w:p>
      <w:pPr>
        <w:ind w:left="460" w:right="700"/>
        <w:spacing w:after="0" w:line="342" w:lineRule="auto"/>
        <w:rPr>
          <w:rFonts w:ascii="Arial" w:cs="Arial" w:eastAsia="Arial" w:hAnsi="Arial"/>
          <w:sz w:val="18"/>
          <w:szCs w:val="18"/>
          <w:color w:val="auto"/>
        </w:rPr>
      </w:pPr>
      <w:r>
        <w:rPr>
          <w:rFonts w:ascii="Arial" w:cs="Arial" w:eastAsia="Arial" w:hAnsi="Arial"/>
          <w:sz w:val="16"/>
          <w:szCs w:val="16"/>
          <w:color w:val="auto"/>
        </w:rPr>
        <w:t>Service Level Agreement Process and Measurements shall apply to Work Orders with Service Level Agreements (SLA) and Key Performance Indicators (KPI). This section will be defined by both Parties prior to the next amendment of this Agreement in January 2009.</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VI - ONGOING SUPPORT SERVICES </w:t>
      </w:r>
      <w:r>
        <w:rPr>
          <w:rFonts w:ascii="Arial" w:cs="Arial" w:eastAsia="Arial" w:hAnsi="Arial"/>
          <w:sz w:val="18"/>
          <w:szCs w:val="18"/>
          <w:color w:val="auto"/>
        </w:rPr>
        <w:t>is hereby amended to delete the following Section: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6.16. Amdocs shall comply with the requirements of Appendix 7 entitled 272 Compliance.</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02026713.A.007</w:t>
      </w:r>
    </w:p>
    <w:p>
      <w:pPr>
        <w:spacing w:after="0" w:line="154"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6.11 Disaster Recovery and Business Continuity Plan </w:t>
      </w:r>
      <w:r>
        <w:rPr>
          <w:rFonts w:ascii="Arial" w:cs="Arial" w:eastAsia="Arial" w:hAnsi="Arial"/>
          <w:sz w:val="17"/>
          <w:szCs w:val="17"/>
          <w:color w:val="auto"/>
        </w:rPr>
        <w:t>of</w:t>
      </w:r>
      <w:r>
        <w:rPr>
          <w:rFonts w:ascii="Arial" w:cs="Arial" w:eastAsia="Arial" w:hAnsi="Arial"/>
          <w:sz w:val="17"/>
          <w:szCs w:val="17"/>
          <w:b w:val="1"/>
          <w:bCs w:val="1"/>
          <w:color w:val="auto"/>
        </w:rPr>
        <w:t xml:space="preserve"> ARTICLE VI – ONGOING SUPPORT SERVICES </w:t>
      </w:r>
      <w:r>
        <w:rPr>
          <w:rFonts w:ascii="Arial" w:cs="Arial" w:eastAsia="Arial" w:hAnsi="Arial"/>
          <w:sz w:val="17"/>
          <w:szCs w:val="17"/>
          <w:color w:val="auto"/>
        </w:rPr>
        <w:t>is hereby renumbered as</w:t>
      </w:r>
    </w:p>
    <w:p>
      <w:pPr>
        <w:spacing w:after="0" w:line="3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6.16.</w:t>
      </w:r>
    </w:p>
    <w:p>
      <w:pPr>
        <w:spacing w:after="0" w:line="112" w:lineRule="exact"/>
        <w:rPr>
          <w:rFonts w:ascii="Arial" w:cs="Arial" w:eastAsia="Arial" w:hAnsi="Arial"/>
          <w:sz w:val="17"/>
          <w:szCs w:val="17"/>
          <w:b w:val="1"/>
          <w:bCs w:val="1"/>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Appendix 1.2(2) IT Professional Service Price(s)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agree to collaborate and amend Appendix 1.2(2) IT Professional Service Price(s) by January 15, 2009.</w:t>
      </w:r>
    </w:p>
    <w:p>
      <w:pPr>
        <w:spacing w:after="0" w:line="127"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Appendix 7. 272 Compliance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Appendix 7., 272 Compliance, is hereby deleted in its entirety.</w:t>
      </w:r>
    </w:p>
    <w:p>
      <w:pPr>
        <w:spacing w:after="0" w:line="127"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Appendix 8. AT&amp;T Supplier Information Security Requirements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Appendix 8, Supplier Information Security Requirements, is hereby attached to the Agreement and made a part thereof by this reference.</w:t>
      </w:r>
    </w:p>
    <w:p>
      <w:pPr>
        <w:spacing w:after="0" w:line="138"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Appendix 9. Satisfaction Surveys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Appendix 9, Satisfaction Surveys, is hereby attached to the Agreement and made a part thereof by this reference.</w:t>
      </w:r>
    </w:p>
    <w:p>
      <w:pPr>
        <w:spacing w:after="0" w:line="127"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Appendix 10. Governance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Appendix 10., Governance, is hereby attached to the Agreement and made a part thereof by this reference.</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9" w:name="page200"/>
    <w:bookmarkEnd w:id="19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02026713 in all other respects remain unmodified and in full force and effect.</w:t>
      </w:r>
    </w:p>
    <w:p>
      <w:pPr>
        <w:spacing w:after="0" w:line="221"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Amdocs, Inc.</w:t>
            </w:r>
          </w:p>
        </w:tc>
        <w:tc>
          <w:tcPr>
            <w:tcW w:w="6020" w:type="dxa"/>
            <w:vAlign w:val="bottom"/>
            <w:gridSpan w:val="3"/>
          </w:tcPr>
          <w:p>
            <w:pPr>
              <w:ind w:left="64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400" w:type="dxa"/>
            <w:vAlign w:val="bottom"/>
            <w:gridSpan w:val="5"/>
          </w:tcPr>
          <w:p>
            <w:pPr>
              <w:spacing w:after="0"/>
              <w:rPr>
                <w:sz w:val="20"/>
                <w:szCs w:val="20"/>
                <w:color w:val="auto"/>
              </w:rPr>
            </w:pPr>
            <w:r>
              <w:rPr>
                <w:rFonts w:ascii="Arial" w:cs="Arial" w:eastAsia="Arial" w:hAnsi="Arial"/>
                <w:sz w:val="18"/>
                <w:szCs w:val="18"/>
                <w:color w:val="auto"/>
              </w:rPr>
              <w:t>By:  /s Thomas C. Drury</w:t>
            </w:r>
          </w:p>
        </w:tc>
        <w:tc>
          <w:tcPr>
            <w:tcW w:w="6020" w:type="dxa"/>
            <w:vAlign w:val="bottom"/>
            <w:gridSpan w:val="3"/>
          </w:tcPr>
          <w:p>
            <w:pPr>
              <w:ind w:left="640"/>
              <w:spacing w:after="0"/>
              <w:rPr>
                <w:sz w:val="20"/>
                <w:szCs w:val="20"/>
                <w:color w:val="auto"/>
              </w:rPr>
            </w:pPr>
            <w:r>
              <w:rPr>
                <w:rFonts w:ascii="Arial" w:cs="Arial" w:eastAsia="Arial" w:hAnsi="Arial"/>
                <w:sz w:val="18"/>
                <w:szCs w:val="18"/>
                <w:color w:val="auto"/>
              </w:rPr>
              <w:t>By:  /s/ A. David Garger</w:t>
            </w: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gridSpan w:val="2"/>
            <w:shd w:val="clear" w:color="auto" w:fill="000000"/>
          </w:tcPr>
          <w:p>
            <w:pPr>
              <w:spacing w:after="0" w:line="20" w:lineRule="exact"/>
              <w:rPr>
                <w:sz w:val="1"/>
                <w:szCs w:val="1"/>
                <w:color w:val="auto"/>
              </w:rPr>
            </w:pPr>
          </w:p>
        </w:tc>
      </w:tr>
      <w:tr>
        <w:trPr>
          <w:trHeight w:val="331"/>
        </w:trPr>
        <w:tc>
          <w:tcPr>
            <w:tcW w:w="5400" w:type="dxa"/>
            <w:vAlign w:val="bottom"/>
            <w:gridSpan w:val="5"/>
          </w:tcPr>
          <w:p>
            <w:pPr>
              <w:spacing w:after="0"/>
              <w:rPr>
                <w:sz w:val="20"/>
                <w:szCs w:val="20"/>
                <w:color w:val="auto"/>
              </w:rPr>
            </w:pPr>
            <w:r>
              <w:rPr>
                <w:rFonts w:ascii="Arial" w:cs="Arial" w:eastAsia="Arial" w:hAnsi="Arial"/>
                <w:sz w:val="18"/>
                <w:szCs w:val="18"/>
                <w:color w:val="auto"/>
              </w:rPr>
              <w:t>Printed Name:  Thomas C. Drury</w:t>
            </w:r>
          </w:p>
        </w:tc>
        <w:tc>
          <w:tcPr>
            <w:tcW w:w="6020" w:type="dxa"/>
            <w:vAlign w:val="bottom"/>
            <w:gridSpan w:val="3"/>
          </w:tcPr>
          <w:p>
            <w:pPr>
              <w:ind w:left="680"/>
              <w:spacing w:after="0"/>
              <w:rPr>
                <w:sz w:val="20"/>
                <w:szCs w:val="20"/>
                <w:color w:val="auto"/>
              </w:rPr>
            </w:pPr>
            <w:r>
              <w:rPr>
                <w:rFonts w:ascii="Arial" w:cs="Arial" w:eastAsia="Arial" w:hAnsi="Arial"/>
                <w:sz w:val="18"/>
                <w:szCs w:val="18"/>
                <w:color w:val="auto"/>
              </w:rPr>
              <w:t>Printed Name:  A. David Garger</w:t>
            </w:r>
          </w:p>
        </w:tc>
      </w:tr>
      <w:tr>
        <w:trPr>
          <w:trHeight w:val="331"/>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0"/>
                <w:szCs w:val="20"/>
                <w:color w:val="auto"/>
              </w:rPr>
            </w:pPr>
            <w:r>
              <w:rPr>
                <w:rFonts w:ascii="Arial" w:cs="Arial" w:eastAsia="Arial" w:hAnsi="Arial"/>
                <w:sz w:val="18"/>
                <w:szCs w:val="18"/>
                <w:color w:val="auto"/>
                <w:w w:val="89"/>
              </w:rPr>
              <w:t>President</w:t>
            </w:r>
          </w:p>
        </w:tc>
        <w:tc>
          <w:tcPr>
            <w:tcW w:w="4140" w:type="dxa"/>
            <w:vAlign w:val="bottom"/>
            <w:tcBorders>
              <w:top w:val="single" w:sz="8" w:color="auto"/>
            </w:tcBorders>
            <w:gridSpan w:val="2"/>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w w:val="94"/>
              </w:rPr>
              <w:t>Director – Global Strategic Sourcing Mass Market Software and</w:t>
            </w:r>
          </w:p>
        </w:tc>
      </w:tr>
      <w:tr>
        <w:trPr>
          <w:trHeight w:val="210"/>
        </w:trPr>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Services</w:t>
            </w:r>
          </w:p>
        </w:tc>
      </w:tr>
      <w:tr>
        <w:trPr>
          <w:trHeight w:val="418"/>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12/8/08</w:t>
            </w:r>
          </w:p>
        </w:tc>
        <w:tc>
          <w:tcPr>
            <w:tcW w:w="4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12/8/2008</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Supplier Information Security Requirements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following AT&amp;T Supplier Information Security Requirements apply to the employees and/or temporary workers of Supplier and its suppliers, contractors, vendors and/or agents that perform services for, on behalf of, and/or through AT&amp;T, which require access to AT&amp;T’s infrastructure, systems or applications or handle, process, or store AT&amp;T, AT&amp;T Branded and/or AT&amp;T Co-branded Information (for the purpose of this Section, each or all “Supplier”). Supplier represents and warrants that during the term of this Agreement and thereafter (as applicable with respect to Supplier’s obligations under the Survival of Obligations and Compliance with Laws clauses) Supplier is, and shall continue to be, in compliance with its obligations as set forth herein. AT&amp;T’s failure to audit and/or exercise any of its rights under this Section shall not be construed or deemed to be a waiver of any rights under this Agreement, in equity or at law. In addition to all other remedies specified in the Agreement, Supplier agrees that AT&amp;T shall be entitled to obtain an injunction and be [**] by Supplier to cease any breach of any obligation that survives Cancellation, Termination or expiration of this Agreement. The following provisions shall not be deemed to, and shall not, limit any more stringent security or other obligations contained within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set forth or expanded herein, defined terms shall have the same meaning as set forth in the main body of the Agreement.</w:t>
      </w:r>
    </w:p>
    <w:p>
      <w:pPr>
        <w:spacing w:after="0" w:line="225" w:lineRule="exact"/>
        <w:rPr>
          <w:sz w:val="20"/>
          <w:szCs w:val="20"/>
          <w:color w:val="auto"/>
        </w:rPr>
      </w:pPr>
    </w:p>
    <w:p>
      <w:pPr>
        <w:ind w:left="240" w:right="120" w:hanging="223"/>
        <w:spacing w:after="0" w:line="277" w:lineRule="auto"/>
        <w:rPr>
          <w:sz w:val="20"/>
          <w:szCs w:val="20"/>
          <w:color w:val="auto"/>
        </w:rPr>
      </w:pPr>
      <w:r>
        <w:rPr>
          <w:rFonts w:ascii="Arial" w:cs="Arial" w:eastAsia="Arial" w:hAnsi="Arial"/>
          <w:sz w:val="18"/>
          <w:szCs w:val="18"/>
          <w:color w:val="auto"/>
        </w:rPr>
        <w:t>“AT&amp;T Branded Information” means Information owned, labeled, marked, or collected, which contains any of AT&amp;T’s or its affiliates’ identifying markings or trademarks.</w:t>
      </w:r>
    </w:p>
    <w:p>
      <w:pPr>
        <w:spacing w:after="0" w:line="170" w:lineRule="exact"/>
        <w:rPr>
          <w:sz w:val="20"/>
          <w:szCs w:val="20"/>
          <w:color w:val="auto"/>
        </w:rPr>
      </w:pPr>
    </w:p>
    <w:p>
      <w:pPr>
        <w:ind w:left="240" w:right="380" w:hanging="223"/>
        <w:spacing w:after="0" w:line="277" w:lineRule="auto"/>
        <w:rPr>
          <w:sz w:val="20"/>
          <w:szCs w:val="20"/>
          <w:color w:val="auto"/>
        </w:rPr>
      </w:pPr>
      <w:r>
        <w:rPr>
          <w:rFonts w:ascii="Arial" w:cs="Arial" w:eastAsia="Arial" w:hAnsi="Arial"/>
          <w:sz w:val="18"/>
          <w:szCs w:val="18"/>
          <w:color w:val="auto"/>
        </w:rPr>
        <w:t>“AT&amp;T Co-branded Information” means AT&amp;T Branded Information that is jointly marketed or shared under a co-branding arrangement with a supplier, irrespective of dominance or emphasis of the co-branding relationship.</w:t>
      </w:r>
    </w:p>
    <w:p>
      <w:pPr>
        <w:spacing w:after="0" w:line="170" w:lineRule="exact"/>
        <w:rPr>
          <w:sz w:val="20"/>
          <w:szCs w:val="20"/>
          <w:color w:val="auto"/>
        </w:rPr>
      </w:pPr>
    </w:p>
    <w:p>
      <w:pPr>
        <w:ind w:left="240" w:right="160" w:hanging="223"/>
        <w:spacing w:after="0" w:line="277" w:lineRule="auto"/>
        <w:rPr>
          <w:sz w:val="20"/>
          <w:szCs w:val="20"/>
          <w:color w:val="auto"/>
        </w:rPr>
      </w:pPr>
      <w:r>
        <w:rPr>
          <w:rFonts w:ascii="Arial" w:cs="Arial" w:eastAsia="Arial" w:hAnsi="Arial"/>
          <w:sz w:val="18"/>
          <w:szCs w:val="18"/>
          <w:color w:val="auto"/>
        </w:rPr>
        <w:t>“Information Resources” means any systems, applications, and network elements, and the information stored, transmitted, or processed with these resources in conjunction with supporting AT&amp;T and/or utilized by Supplier in fulfillment of its obligations under this Agreement.</w:t>
      </w:r>
    </w:p>
    <w:p>
      <w:pPr>
        <w:spacing w:after="0" w:line="170" w:lineRule="exact"/>
        <w:rPr>
          <w:sz w:val="20"/>
          <w:szCs w:val="20"/>
          <w:color w:val="auto"/>
        </w:rPr>
      </w:pPr>
    </w:p>
    <w:p>
      <w:pPr>
        <w:ind w:left="240" w:right="60" w:hanging="223"/>
        <w:spacing w:after="0" w:line="297" w:lineRule="auto"/>
        <w:rPr>
          <w:sz w:val="20"/>
          <w:szCs w:val="20"/>
          <w:color w:val="auto"/>
        </w:rPr>
      </w:pPr>
      <w:r>
        <w:rPr>
          <w:rFonts w:ascii="Arial" w:cs="Arial" w:eastAsia="Arial" w:hAnsi="Arial"/>
          <w:sz w:val="16"/>
          <w:szCs w:val="16"/>
          <w:color w:val="auto"/>
        </w:rPr>
        <w:t>“Personally Identifiable Information” or “PII” means any information that could be used to uniquely identify, locate, or contact a single person (or potentially be exploited to steal the identity of an individual, commit fraud or perpetuate other crimes). Examples of PII include personal telephone numbers, social security numbers, national-, state- or province-issued identification numbers, drivers license numbers, dates of birth, bank account numbers, credit card numbers and expiration dates, and other credit related information, PINs, passwords, passcodes, password hint answers, Protected Health Information as defined by the Health Insurance Portability and Accountability Act (HIPAA), biometric data, digitized signatures, and background check details.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accordance with the foregoing, Supplier shall: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System Security</w:t>
      </w:r>
    </w:p>
    <w:p>
      <w:pPr>
        <w:spacing w:after="0" w:line="135" w:lineRule="exact"/>
        <w:rPr>
          <w:sz w:val="20"/>
          <w:szCs w:val="20"/>
          <w:color w:val="auto"/>
        </w:rPr>
      </w:pPr>
    </w:p>
    <w:p>
      <w:pPr>
        <w:ind w:left="460" w:right="320" w:hanging="452"/>
        <w:spacing w:after="0" w:line="277"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Actively monitor industry resources (e.g., </w:t>
      </w:r>
      <w:r>
        <w:rPr>
          <w:rFonts w:ascii="Arial" w:cs="Arial" w:eastAsia="Arial" w:hAnsi="Arial"/>
          <w:sz w:val="18"/>
          <w:szCs w:val="18"/>
          <w:u w:val="single" w:color="auto"/>
          <w:color w:val="auto"/>
        </w:rPr>
        <w:t>www.cert.org</w:t>
      </w:r>
      <w:r>
        <w:rPr>
          <w:rFonts w:ascii="Arial" w:cs="Arial" w:eastAsia="Arial" w:hAnsi="Arial"/>
          <w:sz w:val="18"/>
          <w:szCs w:val="18"/>
          <w:color w:val="auto"/>
        </w:rPr>
        <w:t>, pertinent software vendor mailing lists &amp; websites) for timely notification of all applicable security alerts pertaining to Supplier networks and computers.</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Scan its externally-facing systems with applicable industry standard security vulnerability scanning software (including, but not limited to, network, server, &amp; application scanning tools) [**]</w:t>
      </w:r>
    </w:p>
    <w:p>
      <w:pPr>
        <w:spacing w:after="0" w:line="75"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Scan its internal systems with applicable industry standard security vulnerability scanning software (including, but not limited to, network, server, application &amp; database scanning tools) [**]</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Upon AT&amp;T’s request, furnish to AT&amp;T its most current scanning results for those resources used to support AT&amp;T.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Deploy an Intrusion Detection System(s) (IDS) in an active mode of operation.</w:t>
      </w:r>
    </w:p>
    <w:p>
      <w:pPr>
        <w:spacing w:after="0" w:line="130"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Remediate security vulnerabilities, including, but not limited to, those discovered through industry publications, vulnerability scanning, virus scanning, and the review of security logs, and apply applicable security patches in a timely manner, according to the following minimal guidelines: If:</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vulnerability exists and attack is underway: Supplier shall work on remediating/patching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vulnerability exists and attack is determined to be imminent: Supplier shall remediate/patch within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vulnerability exists and attack is determined to not be imminent: Supplier shall remediate/patch within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security patches shall be applied within [**]</w:t>
      </w:r>
    </w:p>
    <w:p>
      <w:pPr>
        <w:spacing w:after="0" w:line="131"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Assign security administration responsibilities for configuring host operating systems to specific individuals.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Ensure that its security staff has reasonable and necessary experience in information/network security.</w:t>
      </w:r>
    </w:p>
    <w:p>
      <w:pPr>
        <w:spacing w:after="0" w:line="130"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Ensure that all of Supplier’s systems are and remain ‘hardened’ including, but not limited to, removing or disabling unused network services (e.g., finger, rlogin, ftp, simple TCP/IP services) and installing a system firewall, TCP Wrappers or similar technology.</w:t>
      </w:r>
    </w:p>
    <w:p>
      <w:pPr>
        <w:spacing w:after="0" w:line="75"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Change all default account names and/or default passwords in accordance with password requirements as set forth within requirement number 35, below.</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Limit system administrator/root access to host operating systems only to individuals requiring high-level access in the performance of their jobs.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Require system administrators to restrict access by users to only the commands, data and systems necessary to perform authorized functions.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Physical Security</w:t>
      </w:r>
    </w:p>
    <w:p>
      <w:pPr>
        <w:spacing w:after="0" w:line="135" w:lineRule="exact"/>
        <w:rPr>
          <w:sz w:val="20"/>
          <w:szCs w:val="20"/>
          <w:color w:val="auto"/>
        </w:rPr>
      </w:pPr>
    </w:p>
    <w:p>
      <w:pPr>
        <w:ind w:left="460" w:right="4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Ensure that all of Supplier’s networks and computers are located in secure physical facilities with access limited and restricted to authorized individuals only.</w:t>
      </w:r>
    </w:p>
    <w:p>
      <w:pPr>
        <w:spacing w:after="0" w:line="75"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networks and computers used in connection with Supplier’s performance of its obligations under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Network Security</w:t>
      </w:r>
    </w:p>
    <w:p>
      <w:pPr>
        <w:spacing w:after="0" w:line="135" w:lineRule="exact"/>
        <w:rPr>
          <w:sz w:val="20"/>
          <w:szCs w:val="20"/>
          <w:color w:val="auto"/>
        </w:rPr>
      </w:pPr>
    </w:p>
    <w:p>
      <w:pPr>
        <w:ind w:left="460" w:right="20" w:hanging="452"/>
        <w:spacing w:after="0" w:line="308" w:lineRule="auto"/>
        <w:tabs>
          <w:tab w:leader="none" w:pos="4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Separate AT&amp;T’s data from the Internet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the destination web servers with a perimeter security gateway (e.g., firewall). For additional clarification of this requirement, see diagram, however, the written requirements shall control with respect to the interpretation of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289810" cy="27444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8981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right="580" w:hanging="452"/>
        <w:spacing w:after="0" w:line="277"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Upon AT&amp;T’s request, provide to AT&amp;T a logical network diagram detailing the Information Resources (including, but not limited to, firewalls, servers, etc.) that will support AT&amp;T.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Have a process and controls in place to detect and handle unauthorized attempts to access AT&amp;T data.</w:t>
      </w:r>
    </w:p>
    <w:p>
      <w:pPr>
        <w:spacing w:after="0" w:line="130"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Utilize strong encryption technologies (minimum 256-bit encryption) for the transfer of AT&amp;T Information outside AT&amp;T-controlled facilities and network. This also applies to electronically transmitted email communications containing proprietary AT&amp;T data or Information.</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Utilize strong authentication (e.g., two factor token or digital certificates) for remote access.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ind w:left="460" w:right="160" w:hanging="452"/>
        <w:spacing w:after="0" w:line="264"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co-locate AT&amp;T’s application/data on the same physical servers with other customers’ or Supplier’s own application/data unless approved in advance in writing by AT&amp;T. If physical separation does not exist, documented controls must be in place and approved by AT&amp;T to ensure separation of data and security of Information between customer, Supplier, and AT&amp;T applications.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Have a procedure approved in advance in writing by AT&amp;T for the backup, secure transport and storage of AT&amp;T Information.</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Maintain and furnish to AT&amp;T a business continuity plan that ensures that Supplier can meet its contractual obligations under the Agreement, including the requirements of any applicable Statement of Work or Service Level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8" w:lineRule="exact"/>
        <w:rPr>
          <w:sz w:val="20"/>
          <w:szCs w:val="20"/>
          <w:color w:val="auto"/>
        </w:rPr>
      </w:pPr>
    </w:p>
    <w:p>
      <w:pPr>
        <w:ind w:left="460" w:right="40" w:hanging="452"/>
        <w:spacing w:after="0" w:line="279" w:lineRule="auto"/>
        <w:tabs>
          <w:tab w:leader="none" w:pos="4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Store sensitive AT&amp;T data elements utilizing strong encryption technologies (minimum 256-bit encryption). Sensitive data elements include, but are not limited to, the following: social security number, national-, state- or province-issued identification number, drivers license number, date of birth, bank account number, credit card number and expiration date, and other credit related information, PINs, passwords, passcodes, password hint answers, Protected Health Information as defined by HIPAA, biometric data, digitized signature, and background check details.</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Limit access to AT&amp;T Information, including paper hard copies, only to persons or systems authorized by AT&amp;T under written agreement.</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Be compliant with any applicable government- and industry-mandated information security requirements including, but not limited to, the Payment Card Industry- Data Security Standards (PCI) and HIPAA.</w:t>
      </w:r>
    </w:p>
    <w:p>
      <w:pPr>
        <w:spacing w:after="0" w:line="75" w:lineRule="exact"/>
        <w:rPr>
          <w:rFonts w:ascii="Arial" w:cs="Arial" w:eastAsia="Arial" w:hAnsi="Arial"/>
          <w:sz w:val="18"/>
          <w:szCs w:val="18"/>
          <w:color w:val="auto"/>
        </w:rPr>
      </w:pPr>
    </w:p>
    <w:p>
      <w:pPr>
        <w:jc w:val="both"/>
        <w:ind w:left="460" w:right="260" w:hanging="452"/>
        <w:spacing w:after="0" w:line="264"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Retain records according to and in compliance with any applicable federal, state, local and foreign laws, ordinances, regulations and/or codes, and as otherwise directed by AT&amp;T, for a period of no less than [**], or longer as may be set forth herein or as may be required pursuant to a court order or civil or regulatory proceeding.</w:t>
      </w:r>
    </w:p>
    <w:p>
      <w:pPr>
        <w:spacing w:after="0" w:line="86"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Return all AT&amp;T Information, including electronic and hard copies within [**] days after the sooner of: (a) expiration, Cancellation or Termination of the Agreement; (b) AT&amp;T’s request for the return of Information; or (c) when Supplier (or its suppliers or representatives) no longer needs the Information. In the event that AT&amp;T approves destruction as an alternative to returning the Information, then Supplier shall certify the destruction (e.g., degaussing, overwriting, performing a secure erase, performing a chip erase, shredding, cutting, punching holes, breaking, etc.) in a manner approved in advance in writing by AT&amp;T.</w:t>
      </w:r>
    </w:p>
    <w:p>
      <w:pPr>
        <w:spacing w:after="0" w:line="93"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Unless otherwise instructed by AT&amp;T, when collecting, generating or creating Information for, through or on behalf of AT&amp;T or the AT&amp;T brand, Supplier shall utilize the following AT&amp;T proprietary marking: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Proprietary Information (Internal Use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for use or disclosure outside the AT&amp;T companies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Identification and Authentication</w:t>
      </w:r>
    </w:p>
    <w:p>
      <w:pPr>
        <w:spacing w:after="0" w:line="135"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Assign unique UserIDs to individual users.</w:t>
      </w:r>
    </w:p>
    <w:p>
      <w:pPr>
        <w:spacing w:after="0" w:line="130"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Have and utilize a documented UserID Lifecycle Management process including procedures for approved account creation, timely account removal, and account modification (e.g., changes to privileges, span of access, functions/roles) for all applications and across all environments (production, test, development, etc.).</w:t>
      </w:r>
    </w:p>
    <w:p>
      <w:pPr>
        <w:spacing w:after="0" w:line="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Enforce the rule of least privilege (i.e., limiting access to only the commands and Information necessary to perform authorized functions according to one’s job function).</w:t>
      </w:r>
    </w:p>
    <w:p>
      <w:pPr>
        <w:spacing w:after="0" w:line="75"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Limit failed login attempts to no more than [**] successive attempts and lock the user account upon reaching that limit. Access to the user account can subsequently be reactivated through a manual process requiring verification of the user’s identity or, where such capability exists, can be automatically reactivated after [**] from the last failed login attempt.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Terminate interactive sessions that have been inactive for a designated period of time, not to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Require password expiration at regular intervals not to exceed [**] days unless approved in advance and in writing by AT&amp;T.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Use an AT&amp;T-approved authentication method based on sensitivity of Information. When passwords are used, they must meet these requirements: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Passwords must be a minimum of [**] characters in length.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Passwords must contain characters from at least [**] of these groupings: alpha, numeric, and special characters.</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 construction must be complex and not contain names, dictionary words, combinations of words, or words with substitutions of numbers for letters, e.g., s3cur1ty.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Passwords must not contain repeating or sequential characters or numbers.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Passwords must not contain sequences of three (3) or more characters from the USERID or system name.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new password must not contain sequences of three (3) or more characters from any of the previous four (4) passwords.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Passwords must not contain a sequence of two (2) or more characters more than once, e.g., a12x12.</w:t>
      </w:r>
    </w:p>
    <w:p>
      <w:pPr>
        <w:spacing w:after="0" w:line="117" w:lineRule="exact"/>
        <w:rPr>
          <w:sz w:val="20"/>
          <w:szCs w:val="20"/>
          <w:color w:val="auto"/>
        </w:rPr>
      </w:pPr>
    </w:p>
    <w:p>
      <w:pPr>
        <w:ind w:left="460" w:right="460"/>
        <w:spacing w:after="0" w:line="264" w:lineRule="auto"/>
        <w:rPr>
          <w:sz w:val="20"/>
          <w:szCs w:val="20"/>
          <w:color w:val="auto"/>
        </w:rPr>
      </w:pPr>
      <w:r>
        <w:rPr>
          <w:rFonts w:ascii="Arial" w:cs="Arial" w:eastAsia="Arial" w:hAnsi="Arial"/>
          <w:sz w:val="18"/>
          <w:szCs w:val="18"/>
          <w:i w:val="1"/>
          <w:iCs w:val="1"/>
          <w:color w:val="auto"/>
        </w:rPr>
        <w:t>Note: (Applications housing Restricted Proprietary Information may require an authentication mechanism stronger than passwords and the authentication mechanism must be approved by AT&amp;T in advance in writing. Examples of stronger authentication methods include tokens, digital certificates, passphrase, and biometrics.)</w:t>
      </w:r>
    </w:p>
    <w:p>
      <w:pPr>
        <w:spacing w:after="0" w:line="87"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Use a secure method for the conveyance of authentication credentials (e.g., passwords) and authentication mechanisms (e.g., tokens or smart cards).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Warning Banner</w:t>
      </w:r>
    </w:p>
    <w:p>
      <w:pPr>
        <w:spacing w:after="0" w:line="135" w:lineRule="exact"/>
        <w:rPr>
          <w:sz w:val="20"/>
          <w:szCs w:val="20"/>
          <w:color w:val="auto"/>
        </w:rPr>
      </w:pPr>
    </w:p>
    <w:p>
      <w:pPr>
        <w:ind w:left="460" w:right="100" w:hanging="452"/>
        <w:spacing w:after="0" w:line="277"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Display a warning or “no-trespassing” banner on applicable login screens or pages when in Supplier’s environment and not an AT&amp;T Branded product or service.</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long version):</w:t>
      </w:r>
    </w:p>
    <w:p>
      <w:pPr>
        <w:spacing w:after="0" w:line="121"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This is an &lt;company name&gt; system, restricted to authorized individuals. This system is subject to monitoring. Unauthorized users, access, and/or modification will be prosecuted.</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short version):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&lt;company name&gt; authorized use ONLY, subject to monitoring. All other use prohibited.</w:t>
      </w:r>
    </w:p>
    <w:p>
      <w:pPr>
        <w:spacing w:after="0" w:line="117"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For AT&amp;T Branded products or services or for software developed for AT&amp;T, the Supplier shall display a warning banner on login screens or pages as provided by AT&amp;T.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Software and Data Integrity</w:t>
      </w:r>
    </w:p>
    <w:p>
      <w:pPr>
        <w:spacing w:after="0" w:line="135"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Scan for and promptly remove viruses.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Separate non-production systems and data from production systems and data.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Have a documented software change control process including back out procedures.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Have database transaction logging features enabled and retain database transaction logs for a minimum of [**].</w:t>
      </w:r>
    </w:p>
    <w:p>
      <w:pPr>
        <w:spacing w:after="0" w:line="13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Regarding software developed, used or furnished and/or supported under this Agreement, review code for which Supplier has or is permitted access to find and remediate security vulnerabilities.</w:t>
      </w:r>
    </w:p>
    <w:p>
      <w:pPr>
        <w:spacing w:after="0" w:line="75"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Perform quality assurance testing for the application functionality and security components (e.g., testing of authentication, authorization, and accounting functions, as well as any other activity designed to validate the security architecture).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Issues</w:t>
      </w:r>
    </w:p>
    <w:p>
      <w:pPr>
        <w:spacing w:after="0" w:line="135"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NOT</w:t>
      </w:r>
      <w:r>
        <w:rPr>
          <w:rFonts w:ascii="Arial" w:cs="Arial" w:eastAsia="Arial" w:hAnsi="Arial"/>
          <w:sz w:val="18"/>
          <w:szCs w:val="18"/>
          <w:color w:val="auto"/>
        </w:rPr>
        <w:t xml:space="preserve"> publicly disclose, sell, rent, lend, trade or lease any AT&amp;T Information (including Information obtained on AT&amp;T’s behalf).</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Restrict access to any Personally Identifiable Information to authorized individuals.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Monitoring and Auditing Controls</w:t>
      </w:r>
    </w:p>
    <w:p>
      <w:pPr>
        <w:spacing w:after="0" w:line="135"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Regularly review security logs for anomalies and document and resolve all logged security problems in a timely manner.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Keep security logs for a minimum of [**].</w:t>
      </w:r>
    </w:p>
    <w:p>
      <w:pPr>
        <w:spacing w:after="0" w:line="130" w:lineRule="exact"/>
        <w:rPr>
          <w:rFonts w:ascii="Arial" w:cs="Arial" w:eastAsia="Arial" w:hAnsi="Arial"/>
          <w:sz w:val="18"/>
          <w:szCs w:val="18"/>
          <w:color w:val="auto"/>
        </w:rPr>
      </w:pPr>
    </w:p>
    <w:p>
      <w:pPr>
        <w:ind w:left="460" w:right="40" w:hanging="452"/>
        <w:spacing w:after="0" w:line="257"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Provide, and hereby provides, to AT&amp;T audit rights to verify Supplier’s compliance with its contractual obligations in connection with these AT&amp;T Supplier Information Security Requirements. Upon AT&amp;T’s request for audit, Supplier shall schedule an audit to commence within [**] days from such request. In the event that AT&amp;T, in its sole discretion, deems that a security breach has occurred, Supplier shall schedule the audit to commence within [**] requiring an audit. This provision shall not be deemed to, and shall not, limit any more stringent audit obligations permitting the examination of Supplier’s records contained in this Agreement.</w:t>
      </w:r>
    </w:p>
    <w:p>
      <w:pPr>
        <w:spacing w:after="0" w:line="93"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Provide AT&amp;T, [**] days from the publication of the audit report identifying any noncompliance with the contractual security requirements, a written report of completed or proposed corrective actions and implementation timeframes, unless otherwise stipulated herein, as soon as possible, but [**] days, addressing each noncompliance found within the audit. Supplier shall provide periodic, [**], updates to AT&amp;T on the implementation of the corrective action plan in order to track the work to completion.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Violations</w:t>
      </w:r>
    </w:p>
    <w:p>
      <w:pPr>
        <w:spacing w:after="0" w:line="135" w:lineRule="exact"/>
        <w:rPr>
          <w:sz w:val="20"/>
          <w:szCs w:val="20"/>
          <w:color w:val="auto"/>
        </w:rPr>
      </w:pPr>
    </w:p>
    <w:p>
      <w:pPr>
        <w:ind w:left="460" w:right="120" w:hanging="452"/>
        <w:spacing w:after="0" w:line="286" w:lineRule="auto"/>
        <w:tabs>
          <w:tab w:leader="none" w:pos="4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Have and utilize a documented procedure to follow when an unauthorized intrusion or other security violation, including, but not limited to, a physical security or computer security incident (e.g., hacker or attempted hacker activity or the introduction or attempted introduction of a virus or malicious code), is suspected which includes immediate notification to the AT&amp;T Computer Security Incident Response Team (ACSIRT).</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ACSIRT 24 hour contact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60" w:right="100" w:hanging="452"/>
        <w:spacing w:after="0" w:line="259"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addition to providing AT&amp;T with immediate notice of any security incident, provide AT&amp;T with regular status updates including but not limited to actions taken to resolve such incident at [**] for the duration of the incident, and, [**] of the closure of the incident, a written report describing the incident, actions taken by the Supplier during its response and the Supplier’s plans for future actions to prevent a similar incident from occurring in the future.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Software Development and Implementation</w:t>
      </w:r>
    </w:p>
    <w:p>
      <w:pPr>
        <w:spacing w:after="0" w:line="135"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Ensure, prior to furnishing or development of software, that such software incorporates applicable AT&amp;T security requirements.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Interconnectivity</w:t>
      </w:r>
    </w:p>
    <w:p>
      <w:pPr>
        <w:spacing w:after="0" w:line="135" w:lineRule="exact"/>
        <w:rPr>
          <w:sz w:val="20"/>
          <w:szCs w:val="20"/>
          <w:color w:val="auto"/>
        </w:rPr>
      </w:pPr>
    </w:p>
    <w:p>
      <w:pPr>
        <w:ind w:left="460" w:right="680" w:hanging="452"/>
        <w:spacing w:after="0" w:line="277"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Use only the AT&amp;T Chief Security Office (CSO) approved facilities and connection methodologies to interconnect AT&amp;T’s data facilities with Supplier’s data facilities and to provide access to the data for each connection.</w:t>
      </w:r>
    </w:p>
    <w:p>
      <w:pPr>
        <w:spacing w:after="0" w:line="75"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establish interconnection to endpoint resources other than in the United States. Interconnections to endpoint resources other than in the United States require the express prior written consent of AT&amp;T.</w:t>
      </w:r>
    </w:p>
    <w:p>
      <w:pPr>
        <w:spacing w:after="0" w:line="75"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Permit limited access to Information Resources and the transmission of Information only to those individuals necessary to carry out the intent and purpose of the Agreement.</w:t>
      </w:r>
    </w:p>
    <w:p>
      <w:pPr>
        <w:spacing w:after="0" w:line="75" w:lineRule="exact"/>
        <w:rPr>
          <w:rFonts w:ascii="Arial" w:cs="Arial" w:eastAsia="Arial" w:hAnsi="Arial"/>
          <w:sz w:val="18"/>
          <w:szCs w:val="18"/>
          <w:color w:val="auto"/>
        </w:rPr>
      </w:pPr>
    </w:p>
    <w:p>
      <w:pPr>
        <w:ind w:left="460" w:right="160" w:hanging="452"/>
        <w:spacing w:after="0" w:line="308" w:lineRule="auto"/>
        <w:tabs>
          <w:tab w:leader="none" w:pos="4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Maintain logs of user sessions (including application to application sessions) involving access to AT&amp;T. These logs must include: login identification, user request records, system configuration, and timestamps and/or duration of access. These logs must be retained for [**].</w:t>
      </w:r>
    </w:p>
    <w:p>
      <w:pPr>
        <w:spacing w:after="0" w:line="51"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Provide AT&amp;T access to any Supplier facilities during normal business hours for the maintenance and support of any AT&amp;T equipment (e.g., router) used for the transmission of Information under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Use any AT&amp;T equipment provided under this Agreement only for the furnishing of those services explicitly defined in this Agreement.</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Consent and hereby consents to AT&amp;T’s gathering of information relating to Supplier’s access to AT&amp;T networks, processing systems and applications. This information may be collected, retained and analyzed by AT&amp;T to identify potential security risks without further notice. This information may include trace files, statistics, network addresses, and the actual data or screens accessed or transferred.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Ensure that all Supplier interconnections to AT&amp;T pass through the designated AT&amp;T perimeter security gateway (e.g., firewall).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Ensure that Supplier interconnections to AT&amp;T must terminate at a perimeter security gateway (e.g., firewall) at the Supplier end of the connection.</w:t>
      </w:r>
    </w:p>
    <w:p>
      <w:pPr>
        <w:spacing w:after="0" w:line="153"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Consent and hereby provides advance consent to AT&amp;T’s immediately suspending or terminating any interconnection if AT&amp;T, in its sole discretion, believes there has been a breach of security or unauthorized access to or misuse of AT&amp;T data facilities or Information. Notwithstanding the foregoing, AT&amp;T does not require Supplier’s consent to terminate in whole or in part any connection if AT&amp;T believes, in its sole discretion, that disconnection is warranted.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Policies and Procedures</w:t>
      </w:r>
    </w:p>
    <w:p>
      <w:pPr>
        <w:spacing w:after="0" w:line="135" w:lineRule="exact"/>
        <w:rPr>
          <w:sz w:val="20"/>
          <w:szCs w:val="20"/>
          <w:color w:val="auto"/>
        </w:rPr>
      </w:pPr>
    </w:p>
    <w:p>
      <w:pPr>
        <w:ind w:left="460" w:right="40" w:hanging="452"/>
        <w:spacing w:after="0" w:line="264"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Ensure that all personnel, subcontractors or representatives performing work on any AT&amp;T resources or the resources used to interconnect to AT&amp;T resources or the resources used to house AT&amp;T or AT&amp;T Branded Information under this Agreement are in compliance with these Information Security Requirements.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Notify AT&amp;T of any policy changes that could impact the security controls put in place to secure AT&amp;T’s data.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Periodically review these Information Security Requirements to ensure that Supplier is in compliance with the requirements.</w:t>
      </w:r>
    </w:p>
    <w:p>
      <w:pPr>
        <w:spacing w:after="0" w:line="130" w:lineRule="exact"/>
        <w:rPr>
          <w:rFonts w:ascii="Arial" w:cs="Arial" w:eastAsia="Arial" w:hAnsi="Arial"/>
          <w:sz w:val="18"/>
          <w:szCs w:val="18"/>
          <w:color w:val="auto"/>
        </w:rPr>
      </w:pPr>
    </w:p>
    <w:p>
      <w:pPr>
        <w:ind w:left="460" w:right="160" w:hanging="452"/>
        <w:spacing w:after="0" w:line="312"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Return all AT&amp;T owned or provided access devices (including SecurID tokens, information storage devices, software, and/or computer equipment) as soon as practicable, but in no event more than [**] after the sooner of: (a) expiration, Cancellation or Termination of the Agreement; (b) AT&amp;T’s request for the return of such property; or (c) when Supplier (or its suppliers or representatives) no longer needs such property.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Surveys</w:t>
      </w:r>
    </w:p>
    <w:p>
      <w:pPr>
        <w:spacing w:after="0" w:line="207"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Appendix 9</w:t>
      </w:r>
      <w:r>
        <w:rPr>
          <w:rFonts w:ascii="Arial" w:cs="Arial" w:eastAsia="Arial" w:hAnsi="Arial"/>
          <w:sz w:val="17"/>
          <w:szCs w:val="17"/>
          <w:color w:val="auto"/>
        </w:rPr>
        <w:t xml:space="preserve"> of the Agreement. Capitalized terms not defined in this Appendix have the meaning given in the Agreement. Any capitalized term not defined has its generally understood meaning in the context in which it is used in the IT industry for the provision of Services.</w:t>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At AT&amp;T’s request, Amdocs will identify and submit to AT&amp;T for its approval the identity of an independent third party to conduct baseline End User satisfaction surveys of the Services. Amdocs will be responsible for all costs associated with the surveys. Thereafter, Amdocs shall engage independent third parties approved in advance by AT&amp;T to conduct satisfaction surveys annually or, if requested by AT&amp;T, more frequently if previous survey results are deemed less than acceptable by the Governance team set forth in </w:t>
      </w:r>
      <w:r>
        <w:rPr>
          <w:rFonts w:ascii="Arial" w:cs="Arial" w:eastAsia="Arial" w:hAnsi="Arial"/>
          <w:sz w:val="18"/>
          <w:szCs w:val="18"/>
          <w:b w:val="1"/>
          <w:bCs w:val="1"/>
          <w:u w:val="single" w:color="auto"/>
          <w:color w:val="auto"/>
        </w:rPr>
        <w:t>Appendix 10</w:t>
      </w:r>
      <w:r>
        <w:rPr>
          <w:rFonts w:ascii="Arial" w:cs="Arial" w:eastAsia="Arial" w:hAnsi="Arial"/>
          <w:sz w:val="18"/>
          <w:szCs w:val="18"/>
          <w:color w:val="auto"/>
        </w:rPr>
        <w: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AT&amp;T may also conduct internal surveys of End User satisfaction with Amdocs’ performance in connection with and as part of broader End User satisfaction surveys periodically conducted by AT&amp;T or such other party as AT&amp;T may select. At AT&amp;T’s request, Amdocs shall cooperate and assist AT&amp;T with the formulation of the survey questions, protocols and procedures and the execution and review of such surveys.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Survey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Surveys will be developed to measure AT&amp;T Personnel satisfaction with 1) Services, 2) End User Support and 3) Governance.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surveys will be designed in compliance with provisions outlined in this document and distributed to selected AT&amp;T personnel (as identified by AT&amp;T) for the purpose of evaluating Amdocs performance to key satisfaction indicators.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Survey Objectives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baseline surveys will be designed by AT&amp;T, Amdocs and any retained third party using other AT&amp;T and Amdocs surveys as a starting point.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baseline survey development process, the Governance team will</w:t>
      </w:r>
    </w:p>
    <w:p>
      <w:pPr>
        <w:spacing w:after="0" w:line="131"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information on the specific services to be evaluated (related to key drivers of management and user 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identify target groups with the most meaningful insight into the level of satisfaction;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use initial results to set baselines and parameters to indicate the desired amount of ongoing improvement.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8" w:name="page209"/>
    <w:bookmarkEnd w:id="208"/>
    <w:p>
      <w:pPr>
        <w:ind w:left="87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surveys will be designed with interchangeable evaluation criteria components that can be used (as appropriate) across all survey types. The following table indicates survey components and applicability.</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Survey Criteria Components</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Services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End User</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Support</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Arial" w:cs="Arial" w:eastAsia="Arial" w:hAnsi="Arial"/>
                <w:sz w:val="18"/>
                <w:szCs w:val="18"/>
                <w:color w:val="auto"/>
              </w:rPr>
              <w:t>Culture / Work Environment</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Impact of New Implementations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Impact on Respondents Work</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Problem Solving Process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Professionalism</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Relationship Management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Support Availability</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Support Expertise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Support Responsiveness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System Functionality</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System Performance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System Quality</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Surveys will be repeated on a regularly scheduled basis to provide year-over-year or period-over-period result comparisons. The Governance team will be responsible for on-going review and approval of Amdocs’ improvement action plans (associated with survey results) as well as associated progress against those plans. Results, improvement action plans, issue progress and resolution will be shared with respondents.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Structure and Logistics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guidelines on how the survey should be structured, administered and analyzed.</w:t>
      </w:r>
    </w:p>
    <w:p>
      <w:pPr>
        <w:spacing w:after="0" w:line="131" w:lineRule="exact"/>
        <w:rPr>
          <w:sz w:val="20"/>
          <w:szCs w:val="20"/>
          <w:color w:val="auto"/>
        </w:rPr>
      </w:pPr>
    </w:p>
    <w:p>
      <w:pPr>
        <w:ind w:left="900" w:right="54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survey should contain at least one question to evaluate whether the prospective respondent is familiar with Amdocs and the Amdocs’ Services to weed out irrelevant responses.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Survey questions will evaluate efficiency and effectiveness of Amdocs’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survey should take no more than [**] minutes to complete.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survey question will cover four evaluation points for the Service:</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b w:val="1"/>
          <w:bCs w:val="1"/>
          <w:color w:val="auto"/>
        </w:rPr>
        <w:t>Screened</w:t>
      </w:r>
    </w:p>
    <w:p>
      <w:pPr>
        <w:spacing w:after="0" w:line="134"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Question to identify relevant respondent.</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Example: Is online availability important to you? Yes or No</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b w:val="1"/>
          <w:bCs w:val="1"/>
          <w:color w:val="auto"/>
        </w:rPr>
        <w:t>Weighted</w:t>
      </w:r>
    </w:p>
    <w:p>
      <w:pPr>
        <w:spacing w:after="0" w:line="134"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Questions to identify how important or relevant service is to respondent.</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Example: How important is this functionality? 1-7 response</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b w:val="1"/>
          <w:bCs w:val="1"/>
          <w:color w:val="auto"/>
        </w:rPr>
        <w:t>Rated</w:t>
      </w:r>
    </w:p>
    <w:p>
      <w:pPr>
        <w:spacing w:after="0" w:line="134"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Questions to determine core effectiveness of the Amdocs’ Service.</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Example: How satisfied are you with online availability? 1-7 response</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b w:val="1"/>
          <w:bCs w:val="1"/>
          <w:color w:val="auto"/>
        </w:rPr>
        <w:t>Justified</w:t>
      </w:r>
    </w:p>
    <w:p>
      <w:pPr>
        <w:spacing w:after="0" w:line="134"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Open-ended questions to provide opportunity for feedback/comments.</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191"/>
        </w:numPr>
        <w:rPr>
          <w:rFonts w:ascii="Arial" w:cs="Arial" w:eastAsia="Arial" w:hAnsi="Arial"/>
          <w:sz w:val="16"/>
          <w:szCs w:val="16"/>
          <w:color w:val="auto"/>
        </w:rPr>
      </w:pPr>
      <w:r>
        <w:rPr>
          <w:rFonts w:ascii="Arial" w:cs="Arial" w:eastAsia="Arial" w:hAnsi="Arial"/>
          <w:sz w:val="16"/>
          <w:szCs w:val="16"/>
          <w:color w:val="auto"/>
        </w:rPr>
        <w:t>Example: What improvement would increase your satisfaction with online availability? Free-form comment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each Survey Criteria Component, respondents will be asked to rate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relative importance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respondent’s satisfaction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recommendations for improvement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Demographics are required to review responses for trends based on location, organization, etc.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Prior to administering the pending survey, the purpose of and process for the survey will need to be well communicated to the client community.</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Random sample size will be targeted to provide a [**]% confidence level.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Resulting data must be validated and normalized.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Result analysis will reflect overall satisfaction issues ranked by priority and evaluated for diverging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composite score of each response will combine the importance to and satisfaction of the respondent across each criteria point.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Target Groups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purpose of the Services and End User Support surveys is to provide focused, anonymous feedback to Amdocs and the Governance team related to Amdocs’ Services. These surveys will be administered to a random sample of End Users.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purpose of the Governance survey is to gather feedback on the Amdocs/AT&amp;T relationship, in addition to the same performance information solicited from End Users. The Governance survey will be completed by all AT&amp;T members of the Governance team, and by targeted AT&amp;T IT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AT&amp;T will be responsible for identifying survey recipient candidates for all surveys.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Amdocs will</w:t>
      </w:r>
    </w:p>
    <w:p>
      <w:pPr>
        <w:spacing w:after="0" w:line="131"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analyze and report on the root cause of AT&amp;T management or End User dissatisfaction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develop an action plan to address and improve the level of 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present such plan to AT&amp;T Governance for its review, comment and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take action in accordance with the approved plan and as necessary to improve the level of satisfaction.</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AT&amp;T and Amdocs will establish a schedule for completion of a Root Cause Analysis and the preparation and approval of the action plan which shall be reasonable and consistent with the severity and materiality of the problem, [**] from the date such survey results are finalized and reported.</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Amdocs’ action plan developed hereunder shall specify the specific measures to be taken by Amdocs and the dates by which each such action shall be completed. Following implementation of such action plan, follow-up surveys will be conducted with the affected AT&amp;T users and management to confirm that the cause of any dissatisfaction has been addressed and that the level of satisfaction has improved. They will also need to be presented to the Governance team to obtain their sign-off prior to enactment.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Core Customer Satisfaction Survey Questions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questions should be incorporated into satisfaction surveys, as appropriate: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How would you rate the overall quality of the Supplier’s work products?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 How would you rate the Supplier’s overall timeliness of product delivery? (adherence to agreed upon due dates)?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Responsiveness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 How would you rate the Supplier’s overall responsiveness to questions, issues, and problem resolution?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Skills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 How would you rate the overall technical competence of Supplier’s personnel?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 How would you rate the Supplier on communicating effectively and following applicable guidelines when managing system changes?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Satisfaction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6. Considering every thing about the Supplier’s products and their customer service, how would you rate their performance overall?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Orientation and Innovation (optional question)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 How would you rate the Supplier on developing service offerings that help AT&amp;T be an industry leader?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General Information</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1.1</w:t>
            </w:r>
          </w:p>
        </w:tc>
        <w:tc>
          <w:tcPr>
            <w:tcW w:w="7020" w:type="dxa"/>
            <w:vAlign w:val="bottom"/>
          </w:tcPr>
          <w:p>
            <w:pPr>
              <w:ind w:left="20"/>
              <w:spacing w:after="0"/>
              <w:rPr>
                <w:sz w:val="20"/>
                <w:szCs w:val="20"/>
                <w:color w:val="auto"/>
              </w:rPr>
            </w:pPr>
            <w:r>
              <w:rPr>
                <w:rFonts w:ascii="Arial" w:cs="Arial" w:eastAsia="Arial" w:hAnsi="Arial"/>
                <w:sz w:val="18"/>
                <w:szCs w:val="18"/>
                <w:color w:val="auto"/>
              </w:rPr>
              <w:t>Introduction</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1.2</w:t>
            </w:r>
          </w:p>
        </w:tc>
        <w:tc>
          <w:tcPr>
            <w:tcW w:w="7020" w:type="dxa"/>
            <w:vAlign w:val="bottom"/>
          </w:tcPr>
          <w:p>
            <w:pPr>
              <w:ind w:left="20"/>
              <w:spacing w:after="0"/>
              <w:rPr>
                <w:sz w:val="20"/>
                <w:szCs w:val="20"/>
                <w:color w:val="auto"/>
              </w:rPr>
            </w:pPr>
            <w:r>
              <w:rPr>
                <w:rFonts w:ascii="Arial" w:cs="Arial" w:eastAsia="Arial" w:hAnsi="Arial"/>
                <w:sz w:val="18"/>
                <w:szCs w:val="18"/>
                <w:color w:val="auto"/>
              </w:rPr>
              <w:t>Governance Functions</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2.0</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Committee Structure</w:t>
            </w:r>
          </w:p>
        </w:tc>
        <w:tc>
          <w:tcPr>
            <w:tcW w:w="3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2.1</w:t>
            </w:r>
          </w:p>
        </w:tc>
        <w:tc>
          <w:tcPr>
            <w:tcW w:w="7020" w:type="dxa"/>
            <w:vAlign w:val="bottom"/>
          </w:tcPr>
          <w:p>
            <w:pPr>
              <w:ind w:left="20"/>
              <w:spacing w:after="0"/>
              <w:rPr>
                <w:sz w:val="20"/>
                <w:szCs w:val="20"/>
                <w:color w:val="auto"/>
              </w:rPr>
            </w:pPr>
            <w:r>
              <w:rPr>
                <w:rFonts w:ascii="Arial" w:cs="Arial" w:eastAsia="Arial" w:hAnsi="Arial"/>
                <w:sz w:val="18"/>
                <w:szCs w:val="18"/>
                <w:color w:val="auto"/>
              </w:rPr>
              <w:t>Introduction</w:t>
            </w:r>
          </w:p>
        </w:tc>
        <w:tc>
          <w:tcPr>
            <w:tcW w:w="3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2.2</w:t>
            </w:r>
          </w:p>
        </w:tc>
        <w:tc>
          <w:tcPr>
            <w:tcW w:w="7020" w:type="dxa"/>
            <w:vAlign w:val="bottom"/>
          </w:tcPr>
          <w:p>
            <w:pPr>
              <w:ind w:left="20"/>
              <w:spacing w:after="0"/>
              <w:rPr>
                <w:sz w:val="20"/>
                <w:szCs w:val="20"/>
                <w:color w:val="auto"/>
              </w:rPr>
            </w:pPr>
            <w:r>
              <w:rPr>
                <w:rFonts w:ascii="Arial" w:cs="Arial" w:eastAsia="Arial" w:hAnsi="Arial"/>
                <w:sz w:val="18"/>
                <w:szCs w:val="18"/>
                <w:color w:val="auto"/>
              </w:rPr>
              <w:t>Executive Committee</w:t>
            </w:r>
          </w:p>
        </w:tc>
        <w:tc>
          <w:tcPr>
            <w:tcW w:w="3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2.3</w:t>
            </w:r>
          </w:p>
        </w:tc>
        <w:tc>
          <w:tcPr>
            <w:tcW w:w="7020" w:type="dxa"/>
            <w:vAlign w:val="bottom"/>
          </w:tcPr>
          <w:p>
            <w:pPr>
              <w:ind w:left="20"/>
              <w:spacing w:after="0"/>
              <w:rPr>
                <w:sz w:val="20"/>
                <w:szCs w:val="20"/>
                <w:color w:val="auto"/>
              </w:rPr>
            </w:pPr>
            <w:r>
              <w:rPr>
                <w:rFonts w:ascii="Arial" w:cs="Arial" w:eastAsia="Arial" w:hAnsi="Arial"/>
                <w:sz w:val="18"/>
                <w:szCs w:val="18"/>
                <w:color w:val="auto"/>
              </w:rPr>
              <w:t>Steering Committee</w:t>
            </w:r>
          </w:p>
        </w:tc>
        <w:tc>
          <w:tcPr>
            <w:tcW w:w="3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2.4</w:t>
            </w:r>
          </w:p>
        </w:tc>
        <w:tc>
          <w:tcPr>
            <w:tcW w:w="7020" w:type="dxa"/>
            <w:vAlign w:val="bottom"/>
          </w:tcPr>
          <w:p>
            <w:pPr>
              <w:ind w:left="20"/>
              <w:spacing w:after="0"/>
              <w:rPr>
                <w:sz w:val="20"/>
                <w:szCs w:val="20"/>
                <w:color w:val="auto"/>
              </w:rPr>
            </w:pPr>
            <w:r>
              <w:rPr>
                <w:rFonts w:ascii="Arial" w:cs="Arial" w:eastAsia="Arial" w:hAnsi="Arial"/>
                <w:sz w:val="18"/>
                <w:szCs w:val="18"/>
                <w:color w:val="auto"/>
              </w:rPr>
              <w:t>Functional Committee</w:t>
            </w:r>
          </w:p>
        </w:tc>
        <w:tc>
          <w:tcPr>
            <w:tcW w:w="3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3.0</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Service Performance Review</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5"/>
              </w:rPr>
              <w:t>4.0</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Transition</w:t>
            </w:r>
          </w:p>
        </w:tc>
        <w:tc>
          <w:tcPr>
            <w:tcW w:w="3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4.1</w:t>
            </w:r>
          </w:p>
        </w:tc>
        <w:tc>
          <w:tcPr>
            <w:tcW w:w="7020" w:type="dxa"/>
            <w:vAlign w:val="bottom"/>
          </w:tcPr>
          <w:p>
            <w:pPr>
              <w:ind w:left="20"/>
              <w:spacing w:after="0"/>
              <w:rPr>
                <w:sz w:val="20"/>
                <w:szCs w:val="20"/>
                <w:color w:val="auto"/>
              </w:rPr>
            </w:pPr>
            <w:r>
              <w:rPr>
                <w:rFonts w:ascii="Arial" w:cs="Arial" w:eastAsia="Arial" w:hAnsi="Arial"/>
                <w:sz w:val="18"/>
                <w:szCs w:val="18"/>
                <w:color w:val="auto"/>
              </w:rPr>
              <w:t>Transitional Process</w:t>
            </w:r>
          </w:p>
        </w:tc>
        <w:tc>
          <w:tcPr>
            <w:tcW w:w="3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95"/>
              </w:rPr>
              <w:t>4.2</w:t>
            </w:r>
          </w:p>
        </w:tc>
        <w:tc>
          <w:tcPr>
            <w:tcW w:w="7020" w:type="dxa"/>
            <w:vAlign w:val="bottom"/>
          </w:tcPr>
          <w:p>
            <w:pPr>
              <w:ind w:left="20"/>
              <w:spacing w:after="0"/>
              <w:rPr>
                <w:sz w:val="20"/>
                <w:szCs w:val="20"/>
                <w:color w:val="auto"/>
              </w:rPr>
            </w:pPr>
            <w:r>
              <w:rPr>
                <w:rFonts w:ascii="Arial" w:cs="Arial" w:eastAsia="Arial" w:hAnsi="Arial"/>
                <w:sz w:val="18"/>
                <w:szCs w:val="18"/>
                <w:color w:val="auto"/>
              </w:rPr>
              <w:t>Functional Committee Metrics &amp; Reporting Template</w:t>
            </w:r>
          </w:p>
        </w:tc>
        <w:tc>
          <w:tcPr>
            <w:tcW w:w="3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60" w:type="dxa"/>
            <w:vAlign w:val="bottom"/>
          </w:tcPr>
          <w:p>
            <w:pPr>
              <w:spacing w:after="0"/>
              <w:rPr>
                <w:sz w:val="18"/>
                <w:szCs w:val="18"/>
                <w:color w:val="auto"/>
              </w:rPr>
            </w:pP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4.3 Sample Functional Committee Action Register</w:t>
            </w:r>
          </w:p>
        </w:tc>
        <w:tc>
          <w:tcPr>
            <w:tcW w:w="3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APPENDIX 1</w:t>
            </w:r>
          </w:p>
        </w:tc>
        <w:tc>
          <w:tcPr>
            <w:tcW w:w="332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7740" w:type="dxa"/>
            <w:vAlign w:val="bottom"/>
            <w:gridSpan w:val="2"/>
          </w:tcPr>
          <w:p>
            <w:pPr>
              <w:ind w:left="460"/>
              <w:spacing w:after="0"/>
              <w:rPr>
                <w:sz w:val="20"/>
                <w:szCs w:val="20"/>
                <w:color w:val="auto"/>
              </w:rPr>
            </w:pPr>
            <w:r>
              <w:rPr>
                <w:rFonts w:ascii="Arial" w:cs="Arial" w:eastAsia="Arial" w:hAnsi="Arial"/>
                <w:sz w:val="18"/>
                <w:szCs w:val="18"/>
                <w:color w:val="auto"/>
              </w:rPr>
              <w:t>Committee Members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General Information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mission of this Governance Model is to ensure the seamless delivery of quality information technology services, to protect the contracting parties’ interests and to mitigate risk to AT&amp;T’s business as it pertains to Amdocs’ delivery of the Services.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Governance Process is a disciplined approach for AT&amp;T and its suppliers to resolve issues and efficiently manage the AT&amp;T/Amdocs relationship within functional teams, who report out to a Steering Committee and an Executive Committee.</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Governance Model will consist of two (2) components: Contract Management Office and Service Management Office. The AT&amp;T Contract and Service Management Offices provide an integration point for delivery of Services provided to AT&amp;T. The Contract Management Office (CMO) and Service Management Office (SMO) ensure that Services provided align with AT&amp;T expectations and comply with all executed agreement terms and conditions.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AT&amp;T and Amdocs will jointly participate in all committees to provide governance, utilizing the model described herein, for Amdocs service delivery to AT&amp;T business and to mitigate associated risks.</w:t>
      </w:r>
    </w:p>
    <w:p>
      <w:pPr>
        <w:spacing w:after="0" w:line="170" w:lineRule="exact"/>
        <w:rPr>
          <w:sz w:val="20"/>
          <w:szCs w:val="20"/>
          <w:color w:val="auto"/>
        </w:rPr>
      </w:pPr>
    </w:p>
    <w:p>
      <w:pPr>
        <w:jc w:val="both"/>
        <w:ind w:right="840"/>
        <w:spacing w:after="0" w:line="264" w:lineRule="auto"/>
        <w:rPr>
          <w:sz w:val="20"/>
          <w:szCs w:val="20"/>
          <w:color w:val="auto"/>
        </w:rPr>
      </w:pPr>
      <w:r>
        <w:rPr>
          <w:rFonts w:ascii="Arial" w:cs="Arial" w:eastAsia="Arial" w:hAnsi="Arial"/>
          <w:sz w:val="18"/>
          <w:szCs w:val="18"/>
          <w:color w:val="auto"/>
        </w:rPr>
        <w:t>The CMO manages the contract by providing the governing structures and processes that define the relationship between AT&amp;T and other entities participating in the Service delivery model. The CMO ensures contractual compliance, approves contract changes, manages transition and contract deliverables, and validates Supplier contract performance.</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SMO manages the day-to-day operational delivery of Services of the Supplier. The SMO resolves operational issues, manages the prioritization and authorization of projects, validates Suppliers service performance, supports Supplier employees and manages the invoice process.</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committee or office shall have the ability to alter the terms of the agreement or any Order, which changes shall only be made in a writing executed by authorized representatives of each party.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Governance Model Functions &amp;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CMO</w:t>
      </w:r>
      <w:r>
        <w:rPr>
          <w:rFonts w:ascii="Arial" w:cs="Arial" w:eastAsia="Arial" w:hAnsi="Arial"/>
          <w:sz w:val="18"/>
          <w:szCs w:val="18"/>
          <w:color w:val="auto"/>
        </w:rPr>
        <w:t xml:space="preserve"> will contain the following roles and responsibilities:</w:t>
      </w:r>
    </w:p>
    <w:p>
      <w:pPr>
        <w:spacing w:after="0" w:line="2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CMO Executive </w:t>
      </w:r>
      <w:r>
        <w:rPr>
          <w:rFonts w:ascii="Arial" w:cs="Arial" w:eastAsia="Arial" w:hAnsi="Arial"/>
          <w:sz w:val="18"/>
          <w:szCs w:val="18"/>
          <w:color w:val="auto"/>
        </w:rPr>
        <w:t>– Responsible and Accountable for the Supplier’s compliance with the Agreement and the Supplier relationship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consisting of contract compliance, contract administration, Supplier management, policy administration, benchmarking, Supplier governance processes, and Supplier related financial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w:t>
      </w:r>
    </w:p>
    <w:p>
      <w:pPr>
        <w:spacing w:after="0" w:line="131" w:lineRule="exact"/>
        <w:rPr>
          <w:sz w:val="20"/>
          <w:szCs w:val="20"/>
          <w:color w:val="auto"/>
        </w:rPr>
      </w:pPr>
    </w:p>
    <w:p>
      <w:pPr>
        <w:ind w:left="1920" w:hanging="440"/>
        <w:spacing w:after="0"/>
        <w:tabs>
          <w:tab w:leader="none" w:pos="1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Managing the relationship with Supplier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8" w:lineRule="exact"/>
        <w:rPr>
          <w:sz w:val="20"/>
          <w:szCs w:val="20"/>
          <w:color w:val="auto"/>
        </w:rPr>
      </w:pPr>
    </w:p>
    <w:p>
      <w:pPr>
        <w:jc w:val="both"/>
        <w:ind w:left="1920" w:right="80" w:hanging="440"/>
        <w:spacing w:after="0" w:line="264" w:lineRule="auto"/>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Managing Service Levels, Balanced Scorecard and customer satisfaction compliance with Supplier Working with SMO Executive, Amdocs Project Executive and Amdocs Delivery Project Executive to monitor progress in meeting the goals and objectives of the Agreement</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Serving as primary interface between AT&amp;T and the Supplier for dispute resolution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Ensuring Supplier compliance with contract requirements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Overseeing competitive benchmarking of the Agreement and support for business case attainment and benefits realization</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Managing Supplier contract audits as required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Participating in resolution of escalated issues in accordance with the governance escalation procedures</w:t>
      </w:r>
    </w:p>
    <w:p>
      <w:pPr>
        <w:spacing w:after="0" w:line="22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Contractor Sponsorship </w:t>
      </w:r>
      <w:r>
        <w:rPr>
          <w:rFonts w:ascii="Arial" w:cs="Arial" w:eastAsia="Arial" w:hAnsi="Arial"/>
          <w:sz w:val="18"/>
          <w:szCs w:val="18"/>
          <w:color w:val="auto"/>
        </w:rPr>
        <w:t>- Responsible for handling operational administration of Supplier contractor on-boarding and access to appropriate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activations, buildings and other resources requiring AT&amp;T employee initiation and approval.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Responsibilities:</w:t>
      </w:r>
    </w:p>
    <w:p>
      <w:pPr>
        <w:spacing w:after="0" w:line="131" w:lineRule="exact"/>
        <w:rPr>
          <w:sz w:val="20"/>
          <w:szCs w:val="20"/>
          <w:color w:val="auto"/>
        </w:rPr>
      </w:pPr>
    </w:p>
    <w:p>
      <w:pPr>
        <w:ind w:left="1920" w:hanging="440"/>
        <w:spacing w:after="0"/>
        <w:tabs>
          <w:tab w:leader="none" w:pos="1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Providing all contractor sponsorship activities for Supplier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Coordinating establishment of necessary accounts, permissions and services during operational phases of contract.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Coordinating completion of Supplier activities set forth in the Agreement, e.g., background checks, drug screenings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Committee Structure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governance forums will provide the overall operating structure and guiding principles by which AT&amp;T and Amdocs will function:</w:t>
      </w:r>
    </w:p>
    <w:p>
      <w:pPr>
        <w:spacing w:after="0" w:line="131" w:lineRule="exact"/>
        <w:rPr>
          <w:sz w:val="20"/>
          <w:szCs w:val="20"/>
          <w:color w:val="auto"/>
        </w:rPr>
      </w:pPr>
    </w:p>
    <w:p>
      <w:pPr>
        <w:ind w:left="2380" w:hanging="441"/>
        <w:spacing w:after="0"/>
        <w:tabs>
          <w:tab w:leader="none" w:pos="2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Steering Committee</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Functional Committee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standardized functional committee, steering committee, and executive committee structure will eliminate redundant efforts and ensure the appropriate team member participation at all levels of the relationship.</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Executive Committee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Executive Committee meets [**] based on the needs of the relationship and the performance of Amdocs. Senior Leadership Review will be presented by the Steering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w:t>
      </w:r>
    </w:p>
    <w:p>
      <w:pPr>
        <w:spacing w:after="0" w:line="131" w:lineRule="exact"/>
        <w:rPr>
          <w:sz w:val="20"/>
          <w:szCs w:val="20"/>
          <w:color w:val="auto"/>
        </w:rPr>
      </w:pPr>
    </w:p>
    <w:p>
      <w:pPr>
        <w:ind w:left="1480" w:hanging="446"/>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Reviews SLAs, KPIs, and prioritized action register as presented by the Steering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ind w:left="1480" w:hanging="446"/>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Reviews the overall performance of Amdocs relationship.</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Reviews the SLAs, KPIs, and their targets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Reviews significant improvement opportunities requiring their advisement and/or assistance.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Assists the Steering Committee when needed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Members of the Executive Committee include the following from AT&amp;T and Amdocs:</w:t>
      </w:r>
    </w:p>
    <w:p>
      <w:pPr>
        <w:spacing w:after="0" w:line="131" w:lineRule="exact"/>
        <w:rPr>
          <w:sz w:val="20"/>
          <w:szCs w:val="20"/>
          <w:color w:val="auto"/>
        </w:rPr>
      </w:pPr>
    </w:p>
    <w:p>
      <w:pPr>
        <w:ind w:left="1480" w:hanging="446"/>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AT&amp;T CMO Executive(s)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AT&amp;T SMO Executive(s)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Amdocs Customer Business Executive(s)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Steering Committee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Steering Committee meets [**] based on the needs of the relationship and performance of Amdocs. The Steering Committee reviews overall SLAs and KPIs, reviews subcommittee action registers, and prioritizes efforts with conflicting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w:t>
      </w:r>
    </w:p>
    <w:p>
      <w:pPr>
        <w:spacing w:after="0" w:line="131" w:lineRule="exact"/>
        <w:rPr>
          <w:sz w:val="20"/>
          <w:szCs w:val="20"/>
          <w:color w:val="auto"/>
        </w:rPr>
      </w:pPr>
    </w:p>
    <w:p>
      <w:pPr>
        <w:ind w:left="1480" w:hanging="44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Reviews the overall performance of the Amdocs relationship</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Reviews key service indicators and prioritized action register as presented by the Functional Committee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Manages critical or escalated action register items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Reports on SLAs, KPIs, prioritized action register items and presents data to the Executive Committee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Assists the Functional Committee as needed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Steering Committee include the following from AT&amp;T and Amdocs:</w:t>
      </w:r>
    </w:p>
    <w:p>
      <w:pPr>
        <w:spacing w:after="0" w:line="131" w:lineRule="exact"/>
        <w:rPr>
          <w:sz w:val="20"/>
          <w:szCs w:val="20"/>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CMO Service Level Manager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SMO Service Level Manager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CMO Finance Manager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SMO Finance Manager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SMO Data Manager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Amdocs Service Level Manager(s)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Amdocs Finance Director(s)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Amdocs Project Manager(s)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Functional Committee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Functional Committee will meet on a schedule based on the needs of the relationship and performance of Amdocs. The Functional Committee owns and manages the SLAs and KPIs, targets and reports along with identifying, prioritizing and escalating action items.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Committee could include but is not limited to:</w:t>
      </w:r>
    </w:p>
    <w:p>
      <w:pPr>
        <w:spacing w:after="0" w:line="131" w:lineRule="exact"/>
        <w:rPr>
          <w:sz w:val="20"/>
          <w:szCs w:val="20"/>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Development Leads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Test Leads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Production Support Leads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PMO Management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URD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Architectural Support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IT Sourcing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Global Strategic Sourcing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w:t>
      </w:r>
    </w:p>
    <w:p>
      <w:pPr>
        <w:spacing w:after="0" w:line="131" w:lineRule="exact"/>
        <w:rPr>
          <w:sz w:val="20"/>
          <w:szCs w:val="20"/>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Chaired by a PMO Team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Own the SLAs, KPIs, and their targets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Maintain one prioritized action register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Report on SLAs and KPIs, prioritized action register items, and present data to the Steering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Functional Committee include the following from AT&amp;T and Amdocs:</w:t>
      </w:r>
    </w:p>
    <w:p>
      <w:pPr>
        <w:spacing w:after="0" w:line="131" w:lineRule="exact"/>
        <w:rPr>
          <w:sz w:val="20"/>
          <w:szCs w:val="20"/>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AT&amp;T CMO Service Level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AT&amp;T SMO Service Level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AT&amp;T CMO Finance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AT&amp;T SMO Finance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AT&amp;T SMO Data Lead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Amdocs Service Level Lead(s)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Amdocs Finance Managers(s)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Amdocs Group Lead(s)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Service Performance Review</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Supplier will conduct [**] service performance review sessions. Attendees will include key contacts from AT&amp;T and Supplier. During this review Supplier will present the following information:</w:t>
      </w:r>
    </w:p>
    <w:p>
      <w:pPr>
        <w:spacing w:after="0" w:line="76" w:lineRule="exact"/>
        <w:rPr>
          <w:sz w:val="20"/>
          <w:szCs w:val="20"/>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Service Level Agreement (SLA) performance statistics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Year-to-date SLA performance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Historical trending of the SLA metrics and benchmarks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Performance and process improvement plans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Status of project improvement plans from previous [**]</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Status on strategic projects and programs (planned, just completed, or in progress)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Current challenges to service delivery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Recommendations for the next [**]</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02026713.S.234</w:t>
      </w:r>
    </w:p>
    <w:p>
      <w:pPr>
        <w:spacing w:after="0" w:line="158" w:lineRule="exact"/>
        <w:rPr>
          <w:sz w:val="20"/>
          <w:szCs w:val="20"/>
          <w:color w:val="auto"/>
        </w:rPr>
      </w:pPr>
    </w:p>
    <w:p>
      <w:pPr>
        <w:ind w:left="1480" w:hanging="446"/>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Status of business and technical strategic initiatives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Balanced Scorecard results as applicable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financial results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Issue escalations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Proposed changes to the agreement, as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Supplier will provide service reports via an online delivery mechanism that is approved by AT&amp;T. This mechanism will serve as the cornerstone of reporting, feedback, and action. The reports will blend input from the Supplier, direct feedback from AT&amp;T through client surveys and automated measurements to create a management-level view of the Supplier’s performance</w:t>
      </w:r>
      <w:r>
        <w:rPr>
          <w:rFonts w:ascii="Arial" w:cs="Arial" w:eastAsia="Arial" w:hAnsi="Arial"/>
          <w:sz w:val="18"/>
          <w:szCs w:val="18"/>
          <w:b w:val="1"/>
          <w:bCs w:val="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Service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Report shall be inclusive of all SLAs and KPIs for which the Supplier is responsible, as defined in addendum A.</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4.0</w:t>
        <w:tab/>
        <w:t>TRANSITION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Transition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Committee will be responsible for:</w:t>
      </w:r>
    </w:p>
    <w:p>
      <w:pPr>
        <w:spacing w:after="0" w:line="131" w:lineRule="exact"/>
        <w:rPr>
          <w:sz w:val="20"/>
          <w:szCs w:val="20"/>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Identifying committee members for the Functional team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Key Measures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Identifying the most important Key Measures and their Targets.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Operational Definitions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Writing definitions for each Key Measure with an explanation of each measure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Identifying the data source. If there is not a current data source, identify how the data will be obtained.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Action Register, Meetings and Reports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Setting Functional Team meeting 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Identifying all Action Registers, Meetings and Reports currently used</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Reducing, combining or eliminating current meetings, action registers and reports as needed. Tracking these efforts in a Summary of actions taken that can be provided to the Steering Committee.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Implementing the Standardized Action Register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Reporting Action Register progression to Steering Committee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Implementing any Action Items for the specific Organizations that represent the Functional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Functional Committee Metrics and Reporting Template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Each Functional Committee is responsible for certain Key Measurements. The agreed upon Key Measurements are shown in the table below. It will be the responsibility of the Functional Committees as a whole to establish a standardized, integrated means of reporting that will be provided to the Steering Committee.</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Sample Functional Committee Action Register</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Each Functional Committee is responsible for maintaining one action register that will include all action items and product platforms associated with a particular supplier. The Functional Committee action registers will be combined into ONE action register which will contain High and Medium issues which will be escalated to the Steering Committee. Functional committees should use the action item format as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 ID</w:t>
            </w: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Priority</w:t>
            </w:r>
          </w:p>
        </w:tc>
        <w:tc>
          <w:tcPr>
            <w:tcW w:w="8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Status</w:t>
            </w: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Functional</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AT&amp;T</w:t>
            </w: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Amdocs</w:t>
            </w:r>
          </w:p>
        </w:tc>
        <w:tc>
          <w:tcPr>
            <w:tcW w:w="780" w:type="dxa"/>
            <w:vAlign w:val="bottom"/>
            <w:gridSpan w:val="2"/>
          </w:tcPr>
          <w:p>
            <w:pPr>
              <w:ind w:left="440"/>
              <w:spacing w:after="0"/>
              <w:rPr>
                <w:sz w:val="20"/>
                <w:szCs w:val="20"/>
                <w:color w:val="auto"/>
              </w:rPr>
            </w:pPr>
            <w:r>
              <w:rPr>
                <w:rFonts w:ascii="Arial" w:cs="Arial" w:eastAsia="Arial" w:hAnsi="Arial"/>
                <w:sz w:val="14"/>
                <w:szCs w:val="14"/>
                <w:b w:val="1"/>
                <w:bCs w:val="1"/>
                <w:color w:val="auto"/>
                <w:w w:val="89"/>
              </w:rPr>
              <w:t>Open</w:t>
            </w:r>
          </w:p>
        </w:tc>
        <w:tc>
          <w:tcPr>
            <w:tcW w:w="4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93"/>
              </w:rPr>
              <w:t>Target</w:t>
            </w:r>
          </w:p>
        </w:tc>
        <w:tc>
          <w:tcPr>
            <w:tcW w:w="4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5"/>
              </w:rPr>
              <w:t>Closed</w:t>
            </w:r>
          </w:p>
        </w:tc>
        <w:tc>
          <w:tcPr>
            <w:tcW w:w="760" w:type="dxa"/>
            <w:vAlign w:val="bottom"/>
            <w:gridSpan w:val="2"/>
          </w:tcPr>
          <w:p>
            <w:pPr>
              <w:ind w:left="440"/>
              <w:spacing w:after="0"/>
              <w:rPr>
                <w:sz w:val="20"/>
                <w:szCs w:val="20"/>
                <w:color w:val="auto"/>
              </w:rPr>
            </w:pPr>
            <w:r>
              <w:rPr>
                <w:rFonts w:ascii="Arial" w:cs="Arial" w:eastAsia="Arial" w:hAnsi="Arial"/>
                <w:sz w:val="14"/>
                <w:szCs w:val="14"/>
                <w:b w:val="1"/>
                <w:bCs w:val="1"/>
                <w:color w:val="auto"/>
                <w:w w:val="98"/>
              </w:rPr>
              <w:t>RYG</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Committee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Owner</w:t>
            </w:r>
          </w:p>
        </w:tc>
        <w:tc>
          <w:tcPr>
            <w:tcW w:w="500" w:type="dxa"/>
            <w:vAlign w:val="bottom"/>
          </w:tcPr>
          <w:p>
            <w:pPr>
              <w:spacing w:after="0"/>
              <w:rPr>
                <w:sz w:val="20"/>
                <w:szCs w:val="20"/>
                <w:color w:val="auto"/>
              </w:rPr>
            </w:pPr>
            <w:r>
              <w:rPr>
                <w:rFonts w:ascii="Arial" w:cs="Arial" w:eastAsia="Arial" w:hAnsi="Arial"/>
                <w:sz w:val="14"/>
                <w:szCs w:val="14"/>
                <w:b w:val="1"/>
                <w:bCs w:val="1"/>
                <w:color w:val="auto"/>
              </w:rPr>
              <w:t>Owner</w:t>
            </w:r>
          </w:p>
        </w:tc>
        <w:tc>
          <w:tcPr>
            <w:tcW w:w="780" w:type="dxa"/>
            <w:vAlign w:val="bottom"/>
            <w:gridSpan w:val="2"/>
          </w:tcPr>
          <w:p>
            <w:pPr>
              <w:ind w:left="44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760" w:type="dxa"/>
            <w:vAlign w:val="bottom"/>
            <w:gridSpan w:val="2"/>
          </w:tcPr>
          <w:p>
            <w:pPr>
              <w:ind w:left="4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5"/>
        </w:trPr>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This</w:t>
            </w:r>
          </w:p>
        </w:tc>
        <w:tc>
          <w:tcPr>
            <w:tcW w:w="1960" w:type="dxa"/>
            <w:vAlign w:val="bottom"/>
          </w:tcPr>
          <w:p>
            <w:pPr>
              <w:ind w:left="60"/>
              <w:spacing w:after="0" w:line="195" w:lineRule="exact"/>
              <w:rPr>
                <w:sz w:val="20"/>
                <w:szCs w:val="20"/>
                <w:color w:val="auto"/>
              </w:rPr>
            </w:pPr>
            <w:r>
              <w:rPr>
                <w:rFonts w:ascii="Arial" w:cs="Arial" w:eastAsia="Arial" w:hAnsi="Arial"/>
                <w:sz w:val="18"/>
                <w:szCs w:val="18"/>
                <w:color w:val="auto"/>
              </w:rPr>
              <w:t>is to be clear and</w:t>
            </w: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Each</w:t>
            </w:r>
          </w:p>
        </w:tc>
        <w:tc>
          <w:tcPr>
            <w:tcW w:w="780" w:type="dxa"/>
            <w:vAlign w:val="bottom"/>
          </w:tcPr>
          <w:p>
            <w:pPr>
              <w:spacing w:after="0" w:line="195" w:lineRule="exact"/>
              <w:rPr>
                <w:sz w:val="20"/>
                <w:szCs w:val="20"/>
                <w:color w:val="auto"/>
              </w:rPr>
            </w:pPr>
            <w:r>
              <w:rPr>
                <w:rFonts w:ascii="Arial" w:cs="Arial" w:eastAsia="Arial" w:hAnsi="Arial"/>
                <w:sz w:val="18"/>
                <w:szCs w:val="18"/>
                <w:color w:val="auto"/>
                <w:w w:val="98"/>
              </w:rPr>
              <w:t>functional</w:t>
            </w:r>
          </w:p>
        </w:tc>
        <w:tc>
          <w:tcPr>
            <w:tcW w:w="16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High,</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concise, define who</w:t>
            </w:r>
          </w:p>
        </w:tc>
        <w:tc>
          <w:tcPr>
            <w:tcW w:w="1300" w:type="dxa"/>
            <w:vAlign w:val="bottom"/>
            <w:gridSpan w:val="2"/>
          </w:tcPr>
          <w:p>
            <w:pPr>
              <w:spacing w:after="0"/>
              <w:rPr>
                <w:sz w:val="20"/>
                <w:szCs w:val="20"/>
                <w:color w:val="auto"/>
              </w:rPr>
            </w:pPr>
            <w:r>
              <w:rPr>
                <w:rFonts w:ascii="Arial" w:cs="Arial" w:eastAsia="Arial" w:hAnsi="Arial"/>
                <w:sz w:val="18"/>
                <w:szCs w:val="18"/>
                <w:color w:val="auto"/>
              </w:rPr>
              <w:t>committee will</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Medium,</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has the problem,</w:t>
            </w:r>
          </w:p>
        </w:tc>
        <w:tc>
          <w:tcPr>
            <w:tcW w:w="1300" w:type="dxa"/>
            <w:vAlign w:val="bottom"/>
            <w:gridSpan w:val="2"/>
          </w:tcPr>
          <w:p>
            <w:pPr>
              <w:spacing w:after="0"/>
              <w:rPr>
                <w:sz w:val="20"/>
                <w:szCs w:val="20"/>
                <w:color w:val="auto"/>
              </w:rPr>
            </w:pPr>
            <w:r>
              <w:rPr>
                <w:rFonts w:ascii="Arial" w:cs="Arial" w:eastAsia="Arial" w:hAnsi="Arial"/>
                <w:sz w:val="18"/>
                <w:szCs w:val="18"/>
                <w:color w:val="auto"/>
              </w:rPr>
              <w:t>have their own</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or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indicate where the</w:t>
            </w:r>
          </w:p>
        </w:tc>
        <w:tc>
          <w:tcPr>
            <w:tcW w:w="1300" w:type="dxa"/>
            <w:vAlign w:val="bottom"/>
            <w:gridSpan w:val="2"/>
          </w:tcPr>
          <w:p>
            <w:pPr>
              <w:spacing w:after="0"/>
              <w:rPr>
                <w:sz w:val="20"/>
                <w:szCs w:val="20"/>
                <w:color w:val="auto"/>
              </w:rPr>
            </w:pPr>
            <w:r>
              <w:rPr>
                <w:rFonts w:ascii="Arial" w:cs="Arial" w:eastAsia="Arial" w:hAnsi="Arial"/>
                <w:sz w:val="18"/>
                <w:szCs w:val="18"/>
                <w:color w:val="auto"/>
              </w:rPr>
              <w:t>ID.</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problem is occurring,</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explain how the issue</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affects performance,</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and explain to what</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extent time and /or</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threat a factor?</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02026713.S.234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ADDENDUM 1 - SAMPLE TEMPLATE</w:t>
      </w: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Executive Committee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50"/>
        </w:trPr>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AT&amp;T</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Amdocs</w:t>
            </w:r>
          </w:p>
        </w:tc>
        <w:tc>
          <w:tcPr>
            <w:tcW w:w="52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4"/>
                <w:szCs w:val="14"/>
                <w:color w:val="auto"/>
                <w:w w:val="93"/>
              </w:rPr>
              <w:t>Name*</w:t>
            </w:r>
          </w:p>
        </w:tc>
        <w:tc>
          <w:tcPr>
            <w:tcW w:w="1720" w:type="dxa"/>
            <w:vAlign w:val="bottom"/>
            <w:gridSpan w:val="3"/>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w w:val="90"/>
              </w:rPr>
              <w:t>Title</w:t>
            </w:r>
          </w:p>
        </w:tc>
        <w:tc>
          <w:tcPr>
            <w:tcW w:w="26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4"/>
                <w:szCs w:val="14"/>
                <w:color w:val="auto"/>
                <w:w w:val="90"/>
              </w:rPr>
              <w:t>Telephone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E-Mail</w:t>
            </w:r>
          </w:p>
        </w:tc>
        <w:tc>
          <w:tcPr>
            <w:tcW w:w="1160" w:type="dxa"/>
            <w:vAlign w:val="bottom"/>
            <w:gridSpan w:val="2"/>
          </w:tcPr>
          <w:p>
            <w:pPr>
              <w:spacing w:after="0"/>
              <w:rPr>
                <w:sz w:val="21"/>
                <w:szCs w:val="21"/>
                <w:color w:val="auto"/>
              </w:rPr>
            </w:pPr>
          </w:p>
        </w:tc>
        <w:tc>
          <w:tcPr>
            <w:tcW w:w="1620" w:type="dxa"/>
            <w:vAlign w:val="bottom"/>
            <w:gridSpan w:val="3"/>
          </w:tcPr>
          <w:p>
            <w:pPr>
              <w:ind w:left="440"/>
              <w:spacing w:after="0"/>
              <w:rPr>
                <w:sz w:val="20"/>
                <w:szCs w:val="20"/>
                <w:color w:val="auto"/>
              </w:rPr>
            </w:pPr>
            <w:r>
              <w:rPr>
                <w:rFonts w:ascii="Arial" w:cs="Arial" w:eastAsia="Arial" w:hAnsi="Arial"/>
                <w:sz w:val="14"/>
                <w:szCs w:val="14"/>
                <w:color w:val="auto"/>
              </w:rPr>
              <w:t>Name</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w w:val="90"/>
              </w:rPr>
              <w:t>Telephone</w:t>
            </w:r>
          </w:p>
        </w:tc>
        <w:tc>
          <w:tcPr>
            <w:tcW w:w="4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E-Mail</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5"/>
          </w:tcPr>
          <w:p>
            <w:pPr>
              <w:spacing w:after="0"/>
              <w:rPr>
                <w:sz w:val="20"/>
                <w:szCs w:val="20"/>
                <w:color w:val="auto"/>
              </w:rPr>
            </w:pPr>
            <w:r>
              <w:rPr>
                <w:rFonts w:ascii="Arial" w:cs="Arial" w:eastAsia="Arial" w:hAnsi="Arial"/>
                <w:sz w:val="18"/>
                <w:szCs w:val="18"/>
                <w:color w:val="auto"/>
                <w:w w:val="96"/>
              </w:rPr>
              <w:t>Each area will provide a participant in committee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w w:val="99"/>
              </w:rPr>
              <w:t>Each area will provide a participant in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rPr>
              <w:t>committee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40" w:type="dxa"/>
            <w:vAlign w:val="bottom"/>
            <w:gridSpan w:val="8"/>
          </w:tcPr>
          <w:p>
            <w:pPr>
              <w:jc w:val="center"/>
              <w:ind w:right="2548"/>
              <w:spacing w:after="0"/>
              <w:rPr>
                <w:sz w:val="20"/>
                <w:szCs w:val="20"/>
                <w:color w:val="auto"/>
              </w:rPr>
            </w:pPr>
            <w:r>
              <w:rPr>
                <w:rFonts w:ascii="Arial" w:cs="Arial" w:eastAsia="Arial" w:hAnsi="Arial"/>
                <w:sz w:val="14"/>
                <w:szCs w:val="14"/>
                <w:b w:val="1"/>
                <w:bCs w:val="1"/>
                <w:color w:val="auto"/>
                <w:w w:val="92"/>
              </w:rPr>
              <w:t>Steering Committee</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AT&amp;T</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Amdocs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gridSpan w:val="5"/>
          </w:tcPr>
          <w:p>
            <w:pPr>
              <w:ind w:left="1620"/>
              <w:spacing w:after="0"/>
              <w:rPr>
                <w:sz w:val="20"/>
                <w:szCs w:val="20"/>
                <w:color w:val="auto"/>
              </w:rPr>
            </w:pPr>
            <w:r>
              <w:rPr>
                <w:rFonts w:ascii="Arial" w:cs="Arial" w:eastAsia="Arial" w:hAnsi="Arial"/>
                <w:sz w:val="14"/>
                <w:szCs w:val="14"/>
                <w:color w:val="auto"/>
              </w:rPr>
              <w:t>Name*</w:t>
            </w:r>
          </w:p>
        </w:tc>
        <w:tc>
          <w:tcPr>
            <w:tcW w:w="280" w:type="dxa"/>
            <w:vAlign w:val="bottom"/>
          </w:tcPr>
          <w:p>
            <w:pPr>
              <w:ind w:left="20"/>
              <w:spacing w:after="0"/>
              <w:rPr>
                <w:sz w:val="20"/>
                <w:szCs w:val="20"/>
                <w:color w:val="auto"/>
              </w:rPr>
            </w:pPr>
            <w:r>
              <w:rPr>
                <w:rFonts w:ascii="Arial" w:cs="Arial" w:eastAsia="Arial" w:hAnsi="Arial"/>
                <w:sz w:val="14"/>
                <w:szCs w:val="14"/>
                <w:color w:val="auto"/>
                <w:w w:val="90"/>
              </w:rPr>
              <w:t>Title</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w w:val="90"/>
              </w:rPr>
              <w:t>Telephone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E-Mail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gridSpan w:val="4"/>
          </w:tcPr>
          <w:p>
            <w:pPr>
              <w:ind w:left="860"/>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w w:val="90"/>
              </w:rPr>
              <w:t>Telephone</w:t>
            </w:r>
          </w:p>
        </w:tc>
        <w:tc>
          <w:tcPr>
            <w:tcW w:w="4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E-Mail</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760" w:type="dxa"/>
            <w:vAlign w:val="bottom"/>
            <w:gridSpan w:val="5"/>
          </w:tcPr>
          <w:p>
            <w:pPr>
              <w:spacing w:after="0"/>
              <w:rPr>
                <w:sz w:val="20"/>
                <w:szCs w:val="20"/>
                <w:color w:val="auto"/>
              </w:rPr>
            </w:pPr>
            <w:r>
              <w:rPr>
                <w:rFonts w:ascii="Arial" w:cs="Arial" w:eastAsia="Arial" w:hAnsi="Arial"/>
                <w:sz w:val="18"/>
                <w:szCs w:val="18"/>
                <w:color w:val="auto"/>
                <w:w w:val="96"/>
              </w:rPr>
              <w:t>Each area will provide a participant in committee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w w:val="99"/>
              </w:rPr>
              <w:t>Each area will provide a participant in</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rPr>
              <w:t>committee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20" w:type="dxa"/>
            <w:vAlign w:val="bottom"/>
            <w:gridSpan w:val="9"/>
          </w:tcPr>
          <w:p>
            <w:pPr>
              <w:jc w:val="center"/>
              <w:ind w:right="2468"/>
              <w:spacing w:after="0"/>
              <w:rPr>
                <w:sz w:val="20"/>
                <w:szCs w:val="20"/>
                <w:color w:val="auto"/>
              </w:rPr>
            </w:pPr>
            <w:r>
              <w:rPr>
                <w:rFonts w:ascii="Arial" w:cs="Arial" w:eastAsia="Arial" w:hAnsi="Arial"/>
                <w:sz w:val="14"/>
                <w:szCs w:val="14"/>
                <w:b w:val="1"/>
                <w:bCs w:val="1"/>
                <w:color w:val="auto"/>
                <w:w w:val="93"/>
              </w:rPr>
              <w:t>Functional Committee</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AT&amp;T</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Amdocs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gridSpan w:val="5"/>
          </w:tcPr>
          <w:p>
            <w:pPr>
              <w:ind w:left="1620"/>
              <w:spacing w:after="0"/>
              <w:rPr>
                <w:sz w:val="20"/>
                <w:szCs w:val="20"/>
                <w:color w:val="auto"/>
              </w:rPr>
            </w:pPr>
            <w:r>
              <w:rPr>
                <w:rFonts w:ascii="Arial" w:cs="Arial" w:eastAsia="Arial" w:hAnsi="Arial"/>
                <w:sz w:val="14"/>
                <w:szCs w:val="14"/>
                <w:color w:val="auto"/>
              </w:rPr>
              <w:t>Name*</w:t>
            </w:r>
          </w:p>
        </w:tc>
        <w:tc>
          <w:tcPr>
            <w:tcW w:w="280" w:type="dxa"/>
            <w:vAlign w:val="bottom"/>
          </w:tcPr>
          <w:p>
            <w:pPr>
              <w:ind w:left="20"/>
              <w:spacing w:after="0"/>
              <w:rPr>
                <w:sz w:val="20"/>
                <w:szCs w:val="20"/>
                <w:color w:val="auto"/>
              </w:rPr>
            </w:pPr>
            <w:r>
              <w:rPr>
                <w:rFonts w:ascii="Arial" w:cs="Arial" w:eastAsia="Arial" w:hAnsi="Arial"/>
                <w:sz w:val="14"/>
                <w:szCs w:val="14"/>
                <w:color w:val="auto"/>
                <w:w w:val="90"/>
              </w:rPr>
              <w:t>Title</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w w:val="90"/>
              </w:rPr>
              <w:t>Telephone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E-Mail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gridSpan w:val="4"/>
          </w:tcPr>
          <w:p>
            <w:pPr>
              <w:ind w:left="860"/>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w w:val="90"/>
              </w:rPr>
              <w:t>Telephone</w:t>
            </w:r>
          </w:p>
        </w:tc>
        <w:tc>
          <w:tcPr>
            <w:tcW w:w="4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E-Mail</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760" w:type="dxa"/>
            <w:vAlign w:val="bottom"/>
            <w:gridSpan w:val="5"/>
          </w:tcPr>
          <w:p>
            <w:pPr>
              <w:spacing w:after="0"/>
              <w:rPr>
                <w:sz w:val="20"/>
                <w:szCs w:val="20"/>
                <w:color w:val="auto"/>
              </w:rPr>
            </w:pPr>
            <w:r>
              <w:rPr>
                <w:rFonts w:ascii="Arial" w:cs="Arial" w:eastAsia="Arial" w:hAnsi="Arial"/>
                <w:sz w:val="18"/>
                <w:szCs w:val="18"/>
                <w:color w:val="auto"/>
                <w:w w:val="96"/>
              </w:rPr>
              <w:t>Each area will provide a participant in committee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w w:val="99"/>
              </w:rPr>
              <w:t>Each area will provide a participant in</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80" w:type="dxa"/>
            <w:vAlign w:val="bottom"/>
            <w:gridSpan w:val="6"/>
          </w:tcPr>
          <w:p>
            <w:pPr>
              <w:ind w:left="300"/>
              <w:spacing w:after="0"/>
              <w:rPr>
                <w:sz w:val="20"/>
                <w:szCs w:val="20"/>
                <w:color w:val="auto"/>
              </w:rPr>
            </w:pPr>
            <w:r>
              <w:rPr>
                <w:rFonts w:ascii="Arial" w:cs="Arial" w:eastAsia="Arial" w:hAnsi="Arial"/>
                <w:sz w:val="18"/>
                <w:szCs w:val="18"/>
                <w:color w:val="auto"/>
              </w:rPr>
              <w:t>committee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02026713.A.009</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27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Amendment No. 9,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and as further amended by Amendment No. 8 effective February 4, 2009 (collectively, the “Agreement”); and</w:t>
      </w:r>
    </w:p>
    <w:p>
      <w:pPr>
        <w:spacing w:after="0" w:line="1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March 15, 2009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AT&amp;T and Supplier now desire to revive the Agreement; to extend its term; to formalize the validity and continuation of the Agreement since</w:t>
      </w:r>
      <w:r>
        <w:rPr>
          <w:rFonts w:ascii="Arial" w:cs="Arial" w:eastAsia="Arial" w:hAnsi="Arial"/>
          <w:sz w:val="17"/>
          <w:szCs w:val="17"/>
          <w:b w:val="1"/>
          <w:bCs w:val="1"/>
          <w:color w:val="auto"/>
        </w:rPr>
        <w:t xml:space="preserve"> </w:t>
      </w:r>
      <w:r>
        <w:rPr>
          <w:rFonts w:ascii="Arial" w:cs="Arial" w:eastAsia="Arial" w:hAnsi="Arial"/>
          <w:sz w:val="17"/>
          <w:szCs w:val="17"/>
          <w:color w:val="auto"/>
        </w:rPr>
        <w:t>its Effective Date of August 7, 2003; to amend Appendix 1.2(2) IT Professional Service Price(s), to replace 3.19 MBE/WBE/DVBE (and Exhibits)</w:t>
      </w:r>
      <w:r>
        <w:rPr>
          <w:rFonts w:ascii="Arial" w:cs="Arial" w:eastAsia="Arial" w:hAnsi="Arial"/>
          <w:sz w:val="17"/>
          <w:szCs w:val="17"/>
          <w:b w:val="1"/>
          <w:bCs w:val="1"/>
          <w:color w:val="auto"/>
        </w:rPr>
        <w:t>,</w:t>
      </w:r>
      <w:r>
        <w:rPr>
          <w:rFonts w:ascii="Arial" w:cs="Arial" w:eastAsia="Arial" w:hAnsi="Arial"/>
          <w:sz w:val="17"/>
          <w:szCs w:val="17"/>
          <w:color w:val="auto"/>
        </w:rPr>
        <w:t xml:space="preserve"> to replace Appendix 1.2(4), Reimbursable Expenses and to add Appendix 11, Service Level Agreement Process and Measurement;</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jc w:val="both"/>
        <w:ind w:left="460" w:right="260" w:hanging="452"/>
        <w:spacing w:after="0" w:line="264" w:lineRule="auto"/>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under the Agreement between the Prior Expiration Date and the date when this Amendment is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58"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For purposes of extending the term of this Agreement, Section 3.32. “Term of Agreement”, is deleted in its entirety and replaced with the following:</w:t>
      </w:r>
    </w:p>
    <w:p>
      <w:pPr>
        <w:spacing w:after="0" w:line="35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Section 3.32. Term of Agreement:</w:t>
      </w:r>
    </w:p>
    <w:p>
      <w:pPr>
        <w:spacing w:after="0" w:line="121" w:lineRule="exact"/>
        <w:rPr>
          <w:sz w:val="20"/>
          <w:szCs w:val="20"/>
          <w:color w:val="auto"/>
        </w:rPr>
      </w:pPr>
    </w:p>
    <w:p>
      <w:pPr>
        <w:ind w:left="1500" w:right="400"/>
        <w:spacing w:after="0" w:line="342" w:lineRule="auto"/>
        <w:rPr>
          <w:sz w:val="20"/>
          <w:szCs w:val="20"/>
          <w:color w:val="auto"/>
        </w:rPr>
      </w:pPr>
      <w:r>
        <w:rPr>
          <w:rFonts w:ascii="Arial" w:cs="Arial" w:eastAsia="Arial" w:hAnsi="Arial"/>
          <w:sz w:val="16"/>
          <w:szCs w:val="16"/>
          <w:color w:val="auto"/>
        </w:rPr>
        <w:t>This Agreement, with an Effective Date of August 7, 2003, shall remain in effect for a term ending on June 30, 2009, unless earlier Terminated or Canceled as provided in this Agreement. The Parties may extend the term of this Agreement by agreement in writing.</w:t>
      </w:r>
    </w:p>
    <w:p>
      <w:pPr>
        <w:spacing w:after="0" w:line="25"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3.19 MBE/WBE/DVBE </w:t>
      </w:r>
      <w:r>
        <w:rPr>
          <w:rFonts w:ascii="Arial" w:cs="Arial" w:eastAsia="Arial" w:hAnsi="Arial"/>
          <w:sz w:val="18"/>
          <w:szCs w:val="18"/>
          <w:color w:val="auto"/>
        </w:rPr>
        <w:t>of</w:t>
      </w:r>
      <w:r>
        <w:rPr>
          <w:rFonts w:ascii="Arial" w:cs="Arial" w:eastAsia="Arial" w:hAnsi="Arial"/>
          <w:sz w:val="18"/>
          <w:szCs w:val="18"/>
          <w:b w:val="1"/>
          <w:bCs w:val="1"/>
          <w:color w:val="auto"/>
        </w:rPr>
        <w:t xml:space="preserve"> ARTICLE III GENERAL TERMS </w:t>
      </w:r>
      <w:r>
        <w:rPr>
          <w:rFonts w:ascii="Arial" w:cs="Arial" w:eastAsia="Arial" w:hAnsi="Arial"/>
          <w:sz w:val="18"/>
          <w:szCs w:val="18"/>
          <w:color w:val="auto"/>
        </w:rPr>
        <w:t>is deleted and replaced as follows:</w:t>
      </w:r>
    </w:p>
    <w:p>
      <w:pPr>
        <w:spacing w:after="0" w:line="37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3.19  MBE/WBE/DVBE (and Exhibits)</w:t>
      </w:r>
    </w:p>
    <w:p>
      <w:pPr>
        <w:spacing w:after="0" w:line="135" w:lineRule="exact"/>
        <w:rPr>
          <w:sz w:val="20"/>
          <w:szCs w:val="20"/>
          <w:color w:val="auto"/>
        </w:rPr>
      </w:pPr>
    </w:p>
    <w:p>
      <w:pPr>
        <w:ind w:left="1920" w:right="40" w:hanging="440"/>
        <w:spacing w:after="0" w:line="273" w:lineRule="auto"/>
        <w:tabs>
          <w:tab w:leader="none" w:pos="19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AT&amp;T seeks to give minority-, women- and Disabled Veteran-owned businesses the maximum opportunity to participate in the performance of its contracts; current goals are MBE-15%, WBE-5%, and DVBE-1.5%. Within twelve (12) months of the Execution Date of this Agreement, and for each year thereafter, Amdocs commits to making good faith efforts to achieve goals for the participation of MBE/WBE and DVBE firms (as defined in section 3.20 below entitled “MBE/WBE/DVBE Termination”). Amdocs will make good faith efforts to meet or exceed the target of twelve percent (12%) for 2009. Targets for 2010 and thereafter will be agreed to prior to the commencement of the applicable calendar year.</w:t>
      </w:r>
    </w:p>
    <w:p>
      <w:pPr>
        <w:spacing w:after="0" w:line="70" w:lineRule="exact"/>
        <w:rPr>
          <w:sz w:val="20"/>
          <w:szCs w:val="20"/>
          <w:color w:val="auto"/>
        </w:rPr>
      </w:pPr>
    </w:p>
    <w:p>
      <w:pPr>
        <w:ind w:left="1940" w:right="340"/>
        <w:spacing w:after="0" w:line="286" w:lineRule="auto"/>
        <w:rPr>
          <w:sz w:val="20"/>
          <w:szCs w:val="20"/>
          <w:color w:val="auto"/>
        </w:rPr>
      </w:pPr>
      <w:r>
        <w:rPr>
          <w:rFonts w:ascii="Arial" w:cs="Arial" w:eastAsia="Arial" w:hAnsi="Arial"/>
          <w:sz w:val="17"/>
          <w:szCs w:val="17"/>
          <w:color w:val="auto"/>
        </w:rPr>
        <w:t>For the avoidance of doubt, these goals apply to all annual expenditures by any AT&amp;T entity with Amdocs. This includes all expenditures under all existing agreements between AT&amp;T and Amdocs. Amdocs agrees to meet in good faith to evaluate with AT&amp;T on annual basis whether Amdocs can increase participation over the life of the Agreement.</w:t>
      </w:r>
    </w:p>
    <w:p>
      <w:pPr>
        <w:spacing w:after="0" w:line="71" w:lineRule="exact"/>
        <w:rPr>
          <w:sz w:val="20"/>
          <w:szCs w:val="20"/>
          <w:color w:val="auto"/>
        </w:rPr>
      </w:pPr>
    </w:p>
    <w:p>
      <w:pPr>
        <w:ind w:left="1920" w:right="20" w:hanging="440"/>
        <w:spacing w:after="0" w:line="276" w:lineRule="auto"/>
        <w:tabs>
          <w:tab w:leader="none" w:pos="19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Attached hereto and incorporated herein as Exhibit A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Exhibit B. Participation Plans and Results Reports will be submitted to the Prime Supplier Program Manager.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ind w:left="460" w:right="540" w:hanging="452"/>
        <w:spacing w:after="0" w:line="282" w:lineRule="auto"/>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5.11 Service Level Agreement Process and Measurement </w:t>
      </w:r>
      <w:r>
        <w:rPr>
          <w:rFonts w:ascii="Arial" w:cs="Arial" w:eastAsia="Arial" w:hAnsi="Arial"/>
          <w:sz w:val="18"/>
          <w:szCs w:val="18"/>
          <w:color w:val="auto"/>
        </w:rPr>
        <w:t>of</w:t>
      </w:r>
      <w:r>
        <w:rPr>
          <w:rFonts w:ascii="Arial" w:cs="Arial" w:eastAsia="Arial" w:hAnsi="Arial"/>
          <w:sz w:val="18"/>
          <w:szCs w:val="18"/>
          <w:b w:val="1"/>
          <w:bCs w:val="1"/>
          <w:color w:val="auto"/>
        </w:rPr>
        <w:t xml:space="preserve"> ARTICLE V </w:t>
      </w:r>
      <w:r>
        <w:rPr>
          <w:rFonts w:ascii="Arial" w:cs="Arial" w:eastAsia="Arial" w:hAnsi="Arial"/>
          <w:sz w:val="18"/>
          <w:szCs w:val="18"/>
          <w:color w:val="auto"/>
        </w:rPr>
        <w:t>–</w:t>
      </w:r>
      <w:r>
        <w:rPr>
          <w:rFonts w:ascii="Arial" w:cs="Arial" w:eastAsia="Arial" w:hAnsi="Arial"/>
          <w:sz w:val="18"/>
          <w:szCs w:val="18"/>
          <w:b w:val="1"/>
          <w:bCs w:val="1"/>
          <w:color w:val="auto"/>
        </w:rPr>
        <w:t xml:space="preserve"> SPECIAL SOFTWARE TERMS </w:t>
      </w:r>
      <w:r>
        <w:rPr>
          <w:rFonts w:ascii="Arial" w:cs="Arial" w:eastAsia="Arial" w:hAnsi="Arial"/>
          <w:sz w:val="18"/>
          <w:szCs w:val="18"/>
          <w:color w:val="auto"/>
        </w:rPr>
        <w:t>is hereby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as follows:</w:t>
      </w:r>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5.11  Service Level Agreement Process and Measurements</w:t>
      </w:r>
    </w:p>
    <w:p>
      <w:pPr>
        <w:spacing w:after="0" w:line="121" w:lineRule="exact"/>
        <w:rPr>
          <w:sz w:val="20"/>
          <w:szCs w:val="20"/>
          <w:color w:val="auto"/>
        </w:rPr>
      </w:pPr>
    </w:p>
    <w:p>
      <w:pPr>
        <w:ind w:left="1500" w:right="640"/>
        <w:spacing w:after="0" w:line="277" w:lineRule="auto"/>
        <w:rPr>
          <w:sz w:val="20"/>
          <w:szCs w:val="20"/>
          <w:color w:val="auto"/>
        </w:rPr>
      </w:pPr>
      <w:r>
        <w:rPr>
          <w:rFonts w:ascii="Arial" w:cs="Arial" w:eastAsia="Arial" w:hAnsi="Arial"/>
          <w:sz w:val="18"/>
          <w:szCs w:val="18"/>
          <w:color w:val="auto"/>
        </w:rPr>
        <w:t>Service Level Agreement Process and Measurements shall apply to Work Orders with Service Level Agreements (SLA) and Key Performance Indicators (KPI) as set forth in the attached Appendix 11.</w:t>
      </w:r>
    </w:p>
    <w:p>
      <w:pPr>
        <w:spacing w:after="0" w:line="72" w:lineRule="exact"/>
        <w:rPr>
          <w:sz w:val="20"/>
          <w:szCs w:val="20"/>
          <w:color w:val="auto"/>
        </w:rPr>
      </w:pPr>
    </w:p>
    <w:p>
      <w:pPr>
        <w:ind w:left="1500" w:right="4600" w:hanging="1492"/>
        <w:spacing w:after="0" w:line="383" w:lineRule="auto"/>
        <w:tabs>
          <w:tab w:leader="none" w:pos="46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1.2(2) IT Professional Service Price(s) </w:t>
      </w:r>
      <w:r>
        <w:rPr>
          <w:rFonts w:ascii="Arial" w:cs="Arial" w:eastAsia="Arial" w:hAnsi="Arial"/>
          <w:sz w:val="18"/>
          <w:szCs w:val="18"/>
          <w:color w:val="auto"/>
        </w:rPr>
        <w:t>is amended to include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fixed price for software development work [**]</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Appendix 1.2(4) Reimbursable Expenses:</w:t>
      </w:r>
    </w:p>
    <w:p>
      <w:pPr>
        <w:spacing w:after="0" w:line="121"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Appendix 1.2(4), Reimbursable Expenses, attached to the Agreement, is deleted in its entirety, and replaced with the revised Appendix 1.2(4) Vendor Expense Policy, attached 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02026713 in all other respects remain unmodified and in full force and effect.</w:t>
      </w:r>
    </w:p>
    <w:p>
      <w:pPr>
        <w:spacing w:after="0" w:line="221"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Amdocs, Inc.</w:t>
            </w:r>
          </w:p>
        </w:tc>
        <w:tc>
          <w:tcPr>
            <w:tcW w:w="3980" w:type="dxa"/>
            <w:vAlign w:val="bottom"/>
          </w:tcPr>
          <w:p>
            <w:pPr>
              <w:spacing w:after="0"/>
              <w:rPr>
                <w:sz w:val="20"/>
                <w:szCs w:val="20"/>
                <w:color w:val="auto"/>
              </w:rPr>
            </w:pPr>
          </w:p>
        </w:tc>
        <w:tc>
          <w:tcPr>
            <w:tcW w:w="5780" w:type="dxa"/>
            <w:vAlign w:val="bottom"/>
            <w:gridSpan w:val="5"/>
          </w:tcPr>
          <w:p>
            <w:pPr>
              <w:ind w:left="3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/s/ Thomas C. Drury</w:t>
            </w:r>
          </w:p>
        </w:tc>
        <w:tc>
          <w:tcPr>
            <w:tcW w:w="780" w:type="dxa"/>
            <w:vAlign w:val="bottom"/>
          </w:tcPr>
          <w:p>
            <w:pPr>
              <w:ind w:left="300"/>
              <w:spacing w:after="0"/>
              <w:rPr>
                <w:sz w:val="20"/>
                <w:szCs w:val="20"/>
                <w:color w:val="auto"/>
              </w:rPr>
            </w:pPr>
            <w:r>
              <w:rPr>
                <w:rFonts w:ascii="Arial" w:cs="Arial" w:eastAsia="Arial" w:hAnsi="Arial"/>
                <w:sz w:val="18"/>
                <w:szCs w:val="18"/>
                <w:color w:val="auto"/>
              </w:rPr>
              <w:t>By:</w:t>
            </w:r>
          </w:p>
        </w:tc>
        <w:tc>
          <w:tcPr>
            <w:tcW w:w="5000" w:type="dxa"/>
            <w:vAlign w:val="bottom"/>
            <w:gridSpan w:val="4"/>
          </w:tcPr>
          <w:p>
            <w:pPr>
              <w:ind w:left="80"/>
              <w:spacing w:after="0"/>
              <w:rPr>
                <w:sz w:val="20"/>
                <w:szCs w:val="20"/>
                <w:color w:val="auto"/>
              </w:rPr>
            </w:pPr>
            <w:r>
              <w:rPr>
                <w:rFonts w:ascii="Arial" w:cs="Arial" w:eastAsia="Arial" w:hAnsi="Arial"/>
                <w:sz w:val="18"/>
                <w:szCs w:val="18"/>
                <w:color w:val="auto"/>
              </w:rPr>
              <w:t>/s/ A. David Garger</w:t>
            </w: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r>
      <w:tr>
        <w:trPr>
          <w:trHeight w:val="331"/>
        </w:trPr>
        <w:tc>
          <w:tcPr>
            <w:tcW w:w="1480" w:type="dxa"/>
            <w:vAlign w:val="bottom"/>
            <w:gridSpan w:val="3"/>
          </w:tcPr>
          <w:p>
            <w:pPr>
              <w:spacing w:after="0"/>
              <w:rPr>
                <w:sz w:val="20"/>
                <w:szCs w:val="20"/>
                <w:color w:val="auto"/>
              </w:rPr>
            </w:pPr>
            <w:r>
              <w:rPr>
                <w:rFonts w:ascii="Arial" w:cs="Arial" w:eastAsia="Arial" w:hAnsi="Arial"/>
                <w:sz w:val="18"/>
                <w:szCs w:val="18"/>
                <w:color w:val="auto"/>
              </w:rPr>
              <w:t>Printed 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C. Drury</w:t>
            </w:r>
          </w:p>
        </w:tc>
        <w:tc>
          <w:tcPr>
            <w:tcW w:w="1760" w:type="dxa"/>
            <w:vAlign w:val="bottom"/>
            <w:gridSpan w:val="4"/>
          </w:tcPr>
          <w:p>
            <w:pPr>
              <w:ind w:left="300"/>
              <w:spacing w:after="0"/>
              <w:rPr>
                <w:sz w:val="20"/>
                <w:szCs w:val="20"/>
                <w:color w:val="auto"/>
              </w:rPr>
            </w:pPr>
            <w:r>
              <w:rPr>
                <w:rFonts w:ascii="Arial" w:cs="Arial" w:eastAsia="Arial" w:hAnsi="Arial"/>
                <w:sz w:val="18"/>
                <w:szCs w:val="18"/>
                <w:color w:val="auto"/>
              </w:rPr>
              <w:t>Printed Name:</w:t>
            </w:r>
          </w:p>
        </w:tc>
        <w:tc>
          <w:tcPr>
            <w:tcW w:w="4020" w:type="dxa"/>
            <w:vAlign w:val="bottom"/>
          </w:tcPr>
          <w:p>
            <w:pPr>
              <w:ind w:left="20"/>
              <w:spacing w:after="0"/>
              <w:rPr>
                <w:sz w:val="20"/>
                <w:szCs w:val="20"/>
                <w:color w:val="auto"/>
              </w:rPr>
            </w:pPr>
            <w:r>
              <w:rPr>
                <w:rFonts w:ascii="Arial" w:cs="Arial" w:eastAsia="Arial" w:hAnsi="Arial"/>
                <w:sz w:val="18"/>
                <w:szCs w:val="18"/>
                <w:color w:val="auto"/>
              </w:rPr>
              <w:t>A. David Garger</w:t>
            </w: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President</w:t>
            </w:r>
          </w:p>
        </w:tc>
        <w:tc>
          <w:tcPr>
            <w:tcW w:w="3980" w:type="dxa"/>
            <w:vAlign w:val="bottom"/>
            <w:tcBorders>
              <w:bottom w:val="single" w:sz="8" w:color="auto"/>
            </w:tcBorders>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 - GSS- Mass Markets Software and Services</w:t>
            </w:r>
          </w:p>
        </w:tc>
      </w:tr>
      <w:tr>
        <w:trPr>
          <w:trHeight w:val="38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3-28-09</w:t>
            </w:r>
          </w:p>
        </w:tc>
        <w:tc>
          <w:tcPr>
            <w:tcW w:w="39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Date:</w:t>
            </w:r>
          </w:p>
        </w:tc>
        <w:tc>
          <w:tcPr>
            <w:tcW w:w="980" w:type="dxa"/>
            <w:vAlign w:val="bottom"/>
            <w:gridSpan w:val="3"/>
          </w:tcPr>
          <w:p>
            <w:pPr>
              <w:ind w:left="240"/>
              <w:spacing w:after="0"/>
              <w:rPr>
                <w:sz w:val="20"/>
                <w:szCs w:val="20"/>
                <w:color w:val="auto"/>
              </w:rPr>
            </w:pPr>
            <w:r>
              <w:rPr>
                <w:rFonts w:ascii="Arial" w:cs="Arial" w:eastAsia="Arial" w:hAnsi="Arial"/>
                <w:sz w:val="18"/>
                <w:szCs w:val="18"/>
                <w:color w:val="auto"/>
                <w:w w:val="89"/>
              </w:rPr>
              <w:t>3/27/2009</w:t>
            </w:r>
          </w:p>
        </w:tc>
        <w:tc>
          <w:tcPr>
            <w:tcW w:w="4020" w:type="dxa"/>
            <w:vAlign w:val="bottom"/>
          </w:tcPr>
          <w:p>
            <w:pPr>
              <w:spacing w:after="0"/>
              <w:rPr>
                <w:sz w:val="24"/>
                <w:szCs w:val="24"/>
                <w:color w:val="auto"/>
              </w:rPr>
            </w:pPr>
          </w:p>
        </w:tc>
      </w:tr>
      <w:tr>
        <w:trPr>
          <w:trHeight w:val="34"/>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20" w:type="dxa"/>
            <w:vAlign w:val="bottom"/>
            <w:tcBorders>
              <w:top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Vendor Expense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Inc. and Participating Companies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(Updated 2/1/09)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spending money that is to be reimbursed, vendors must ensure that an AT&amp;T Company (“Company”) receives proper value in return.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Deviations from this VEP </w:t>
      </w:r>
      <w:r>
        <w:rPr>
          <w:rFonts w:ascii="Arial" w:cs="Arial" w:eastAsia="Arial" w:hAnsi="Arial"/>
          <w:sz w:val="18"/>
          <w:szCs w:val="18"/>
          <w:i w:val="1"/>
          <w:iCs w:val="1"/>
          <w:color w:val="auto"/>
        </w:rPr>
        <w:t>must be approved in writing</w:t>
      </w:r>
      <w:r>
        <w:rPr>
          <w:rFonts w:ascii="Arial" w:cs="Arial" w:eastAsia="Arial" w:hAnsi="Arial"/>
          <w:sz w:val="18"/>
          <w:szCs w:val="18"/>
          <w:color w:val="auto"/>
        </w:rPr>
        <w:t xml:space="preserve"> by the sponsoring Senior Manager or Officer of an AT&amp;T Company.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Employees should refer to the Section entitled “Payments” in the Schedule of Authorizations for Affiliates of AT&amp;T Communications, Inc. for appropriate supplier invoice authorization approval levels.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Non-Reimbursable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Break-room supplies for the supplier, such as coffee, creamer, paper products, soft drinks, snack food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Car rental additional fees associated with high speed toll access programs and GPS devices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Lost luggage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suppliers cannot voucher lunch with each other simply to talk about AT&amp;T)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Office expenses of suppliers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PC, cell phone, and other supplier support expenses (unless specifically authorized in the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Phone usage on airline unless AT&amp;T business emergency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1460" w:right="180" w:hanging="547"/>
        <w:spacing w:after="0" w:line="264" w:lineRule="auto"/>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Surcharges for providing fast service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related to delivery charges such as Fedex, UPS, etc.). AT&amp;T expects all suppliers to complete the terms of contracts in the shortest period practicable. Charges for shortening the timeframe in which contracts are fulfilled are not permissible.</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Tips for housekeeping and 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to 18% of cost of meal or services, excluding tax</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8" w:lineRule="exact"/>
        <w:rPr>
          <w:sz w:val="20"/>
          <w:szCs w:val="20"/>
          <w:color w:val="auto"/>
        </w:rPr>
      </w:pPr>
    </w:p>
    <w:p>
      <w:pPr>
        <w:ind w:left="1460" w:hanging="547"/>
        <w:spacing w:after="0"/>
        <w:tabs>
          <w:tab w:leader="none" w:pos="1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2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Responsibilities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Vendor’s Responsibility</w:t>
      </w:r>
    </w:p>
    <w:p>
      <w:pPr>
        <w:spacing w:after="0" w:line="121" w:lineRule="exact"/>
        <w:rPr>
          <w:sz w:val="20"/>
          <w:szCs w:val="20"/>
          <w:color w:val="auto"/>
        </w:rPr>
      </w:pPr>
    </w:p>
    <w:p>
      <w:pPr>
        <w:ind w:left="1500" w:right="120"/>
        <w:spacing w:after="0" w:line="264" w:lineRule="auto"/>
        <w:rPr>
          <w:sz w:val="20"/>
          <w:szCs w:val="20"/>
          <w:color w:val="auto"/>
        </w:rPr>
      </w:pPr>
      <w:r>
        <w:rPr>
          <w:rFonts w:ascii="Arial" w:cs="Arial" w:eastAsia="Arial" w:hAnsi="Arial"/>
          <w:sz w:val="18"/>
          <w:szCs w:val="18"/>
          <w:color w:val="auto"/>
        </w:rPr>
        <w:t>AT&amp;T’s sponsoring managers will ensure that vendors have been covered on this policy prior to incurring any expenditure. Vendors and their sponsoring AT&amp;T managers are responsible for clarifying any questions or uncertainties they may have relative to reimbursable business expenses.</w:t>
      </w:r>
    </w:p>
    <w:p>
      <w:pPr>
        <w:spacing w:after="0" w:line="69" w:lineRule="exact"/>
        <w:rPr>
          <w:sz w:val="20"/>
          <w:szCs w:val="20"/>
          <w:color w:val="auto"/>
        </w:rPr>
      </w:pPr>
    </w:p>
    <w:p>
      <w:pPr>
        <w:ind w:left="1500" w:right="60"/>
        <w:spacing w:after="0" w:line="314" w:lineRule="auto"/>
        <w:rPr>
          <w:sz w:val="20"/>
          <w:szCs w:val="20"/>
          <w:color w:val="auto"/>
        </w:rPr>
      </w:pPr>
      <w:r>
        <w:rPr>
          <w:rFonts w:ascii="Arial" w:cs="Arial" w:eastAsia="Arial" w:hAnsi="Arial"/>
          <w:sz w:val="16"/>
          <w:szCs w:val="16"/>
          <w:color w:val="auto"/>
        </w:rPr>
        <w:t xml:space="preserve">It is mandatory that financial transactions are recorded in a timely manner. </w:t>
      </w:r>
      <w:r>
        <w:rPr>
          <w:rFonts w:ascii="Arial" w:cs="Arial" w:eastAsia="Arial" w:hAnsi="Arial"/>
          <w:sz w:val="16"/>
          <w:szCs w:val="16"/>
          <w:b w:val="1"/>
          <w:bCs w:val="1"/>
          <w:color w:val="auto"/>
        </w:rPr>
        <w:t>Out-of-pocket business expense(s) for vendors that are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submitted for reimbursement within [**] from the date incurred are considered non-reimbursable. </w:t>
      </w:r>
      <w:r>
        <w:rPr>
          <w:rFonts w:ascii="Arial" w:cs="Arial" w:eastAsia="Arial" w:hAnsi="Arial"/>
          <w:sz w:val="16"/>
          <w:szCs w:val="16"/>
          <w:color w:val="auto"/>
        </w:rPr>
        <w:t>Company managers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approving reimbursable expenses of vendors should ensure they are submitted and approved in a timely manner.</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 Travel Policy</w:t>
      </w:r>
    </w:p>
    <w:p>
      <w:pPr>
        <w:spacing w:after="0" w:line="121" w:lineRule="exact"/>
        <w:rPr>
          <w:sz w:val="20"/>
          <w:szCs w:val="20"/>
          <w:color w:val="auto"/>
        </w:rPr>
      </w:pPr>
    </w:p>
    <w:p>
      <w:pPr>
        <w:jc w:val="both"/>
        <w:ind w:left="1500" w:right="180"/>
        <w:spacing w:after="0" w:line="342" w:lineRule="auto"/>
        <w:rPr>
          <w:sz w:val="20"/>
          <w:szCs w:val="20"/>
          <w:color w:val="auto"/>
        </w:rPr>
      </w:pPr>
      <w:r>
        <w:rPr>
          <w:rFonts w:ascii="Arial" w:cs="Arial" w:eastAsia="Arial" w:hAnsi="Arial"/>
          <w:sz w:val="16"/>
          <w:szCs w:val="16"/>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16" w:lineRule="exact"/>
        <w:rPr>
          <w:sz w:val="20"/>
          <w:szCs w:val="20"/>
          <w:color w:val="auto"/>
        </w:rPr>
      </w:pPr>
    </w:p>
    <w:p>
      <w:pPr>
        <w:ind w:left="1500" w:right="16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Travel Authorization</w:t>
      </w:r>
    </w:p>
    <w:p>
      <w:pPr>
        <w:spacing w:after="0" w:line="121" w:lineRule="exact"/>
        <w:rPr>
          <w:sz w:val="20"/>
          <w:szCs w:val="20"/>
          <w:color w:val="auto"/>
        </w:rPr>
      </w:pPr>
    </w:p>
    <w:p>
      <w:pPr>
        <w:ind w:left="1500" w:right="42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Senior Manager (5</w:t>
      </w:r>
      <w:r>
        <w:rPr>
          <w:rFonts w:ascii="Arial" w:cs="Arial" w:eastAsia="Arial" w:hAnsi="Arial"/>
          <w:sz w:val="15"/>
          <w:szCs w:val="15"/>
          <w:color w:val="auto"/>
        </w:rPr>
        <w:t>th</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Travel Reservations</w:t>
      </w:r>
    </w:p>
    <w:p>
      <w:pPr>
        <w:spacing w:after="0" w:line="121" w:lineRule="exact"/>
        <w:rPr>
          <w:sz w:val="20"/>
          <w:szCs w:val="20"/>
          <w:color w:val="auto"/>
        </w:rPr>
      </w:pPr>
    </w:p>
    <w:p>
      <w:pPr>
        <w:ind w:left="1500" w:right="2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3.3 Travel Expense Reimbursement</w:t>
      </w:r>
    </w:p>
    <w:p>
      <w:pPr>
        <w:spacing w:after="0" w:line="121"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1400" w:hanging="446"/>
        <w:spacing w:after="0"/>
        <w:tabs>
          <w:tab w:leader="none" w:pos="14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1400" w:hanging="446"/>
        <w:spacing w:after="0"/>
        <w:tabs>
          <w:tab w:leader="none" w:pos="14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1400" w:hanging="446"/>
        <w:spacing w:after="0"/>
        <w:tabs>
          <w:tab w:leader="none" w:pos="14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1400" w:hanging="446"/>
        <w:spacing w:after="0"/>
        <w:tabs>
          <w:tab w:leader="none" w:pos="14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26" w:lineRule="exact"/>
        <w:rPr>
          <w:rFonts w:ascii="Arial" w:cs="Arial" w:eastAsia="Arial" w:hAnsi="Arial"/>
          <w:sz w:val="18"/>
          <w:szCs w:val="18"/>
          <w:color w:val="auto"/>
        </w:rPr>
      </w:pPr>
    </w:p>
    <w:p>
      <w:pPr>
        <w:ind w:left="1400" w:right="40" w:hanging="446"/>
        <w:spacing w:after="0" w:line="266" w:lineRule="auto"/>
        <w:tabs>
          <w:tab w:leader="none" w:pos="14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72" w:lineRule="exact"/>
        <w:rPr>
          <w:rFonts w:ascii="Arial" w:cs="Arial" w:eastAsia="Arial" w:hAnsi="Arial"/>
          <w:sz w:val="18"/>
          <w:szCs w:val="18"/>
          <w:color w:val="auto"/>
        </w:rPr>
      </w:pPr>
    </w:p>
    <w:p>
      <w:pPr>
        <w:ind w:left="1420" w:right="460"/>
        <w:spacing w:after="0" w:line="277" w:lineRule="auto"/>
        <w:rPr>
          <w:rFonts w:ascii="Arial" w:cs="Arial" w:eastAsia="Arial" w:hAnsi="Arial"/>
          <w:sz w:val="18"/>
          <w:szCs w:val="18"/>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3.4 Air Travel Arrangements</w:t>
      </w:r>
    </w:p>
    <w:p>
      <w:pPr>
        <w:spacing w:after="0" w:line="121" w:lineRule="exact"/>
        <w:rPr>
          <w:sz w:val="20"/>
          <w:szCs w:val="20"/>
          <w:color w:val="auto"/>
        </w:rPr>
      </w:pPr>
    </w:p>
    <w:p>
      <w:pPr>
        <w:jc w:val="both"/>
        <w:ind w:left="1420" w:right="2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travel at all times.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hours providing the relevant manager pre-approves.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3.5 Hotel Arrangements</w:t>
      </w:r>
    </w:p>
    <w:p>
      <w:pPr>
        <w:spacing w:after="0" w:line="117" w:lineRule="exact"/>
        <w:rPr>
          <w:sz w:val="20"/>
          <w:szCs w:val="20"/>
          <w:color w:val="auto"/>
        </w:rPr>
      </w:pPr>
    </w:p>
    <w:p>
      <w:pPr>
        <w:ind w:left="1420" w:right="20"/>
        <w:spacing w:after="0" w:line="292" w:lineRule="auto"/>
        <w:rPr>
          <w:sz w:val="20"/>
          <w:szCs w:val="20"/>
          <w:color w:val="auto"/>
        </w:rPr>
      </w:pPr>
      <w:r>
        <w:rPr>
          <w:rFonts w:ascii="Arial" w:cs="Arial" w:eastAsia="Arial" w:hAnsi="Arial"/>
          <w:sz w:val="16"/>
          <w:szCs w:val="16"/>
          <w:color w:val="auto"/>
        </w:rPr>
        <w:t>AT&amp;T has established Market-Based Room Rate Guideline</w:t>
      </w:r>
      <w:r>
        <w:rPr>
          <w:rFonts w:ascii="Arial" w:cs="Arial" w:eastAsia="Arial" w:hAnsi="Arial"/>
          <w:sz w:val="16"/>
          <w:szCs w:val="16"/>
          <w:b w:val="1"/>
          <w:bCs w:val="1"/>
          <w:color w:val="auto"/>
        </w:rPr>
        <w:t>s</w:t>
      </w:r>
      <w:r>
        <w:rPr>
          <w:rFonts w:ascii="Arial" w:cs="Arial" w:eastAsia="Arial" w:hAnsi="Arial"/>
          <w:sz w:val="16"/>
          <w:szCs w:val="16"/>
          <w:color w:val="auto"/>
        </w:rPr>
        <w:t xml:space="preserve"> for vendors to reference when making hotel reservations in the United States (see Addendum A). U.S. vendors traveling outside the U.S. should reference the GSA, Government Per Diem as a guide: </w:t>
      </w:r>
      <w:r>
        <w:rPr>
          <w:rFonts w:ascii="Arial" w:cs="Arial" w:eastAsia="Arial" w:hAnsi="Arial"/>
          <w:sz w:val="16"/>
          <w:szCs w:val="16"/>
          <w:u w:val="single" w:color="auto"/>
          <w:color w:val="auto"/>
        </w:rPr>
        <w:t>http://aoprals.state.gov/web920/per_diem.asp</w:t>
      </w:r>
      <w:r>
        <w:rPr>
          <w:rFonts w:ascii="Arial" w:cs="Arial" w:eastAsia="Arial" w:hAnsi="Arial"/>
          <w:sz w:val="16"/>
          <w:szCs w:val="16"/>
          <w:color w:val="auto"/>
        </w:rPr>
        <w:t>.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supplier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58" w:lineRule="exact"/>
        <w:rPr>
          <w:sz w:val="20"/>
          <w:szCs w:val="20"/>
          <w:color w:val="auto"/>
        </w:rPr>
      </w:pPr>
    </w:p>
    <w:p>
      <w:pPr>
        <w:ind w:left="1420" w:right="740"/>
        <w:spacing w:after="0" w:line="277" w:lineRule="auto"/>
        <w:rPr>
          <w:sz w:val="20"/>
          <w:szCs w:val="20"/>
          <w:color w:val="auto"/>
        </w:rPr>
      </w:pPr>
      <w:r>
        <w:rPr>
          <w:rFonts w:ascii="Arial" w:cs="Arial" w:eastAsia="Arial" w:hAnsi="Arial"/>
          <w:sz w:val="18"/>
          <w:szCs w:val="18"/>
          <w:color w:val="auto"/>
        </w:rPr>
        <w:t xml:space="preserve">There must be a </w:t>
      </w:r>
      <w:r>
        <w:rPr>
          <w:rFonts w:ascii="Arial" w:cs="Arial" w:eastAsia="Arial" w:hAnsi="Arial"/>
          <w:sz w:val="18"/>
          <w:szCs w:val="18"/>
          <w:u w:val="single" w:color="auto"/>
          <w:color w:val="auto"/>
        </w:rPr>
        <w:t>strong</w:t>
      </w:r>
      <w:r>
        <w:rPr>
          <w:rFonts w:ascii="Arial" w:cs="Arial" w:eastAsia="Arial" w:hAnsi="Arial"/>
          <w:sz w:val="18"/>
          <w:szCs w:val="18"/>
          <w:color w:val="auto"/>
        </w:rPr>
        <w:t xml:space="preserve"> business justification for incurring any cost for internet access, and a request for reimbursement must be accompanied by a detailed explanation regarding reason for charge.</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274" w:right="239" w:bottom="1440" w:gutter="0" w:footer="0" w:header="0"/>
        </w:sectPr>
      </w:pPr>
    </w:p>
    <w:bookmarkStart w:id="227" w:name="page228"/>
    <w:bookmarkEnd w:id="227"/>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color w:val="auto"/>
        </w:rPr>
        <w:t>: Vendors must indicate the number of room nights on the transaction line when invoicing for reimbursement of hotel expenses.</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Copies of all hotel bills must be made available for any invoice containing lodging charges.</w:t>
      </w:r>
    </w:p>
    <w:p>
      <w:pPr>
        <w:spacing w:after="0" w:line="3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3.6 Ground Transportation</w:t>
      </w:r>
    </w:p>
    <w:p>
      <w:pPr>
        <w:spacing w:after="0" w:line="121"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79" w:lineRule="exact"/>
        <w:rPr>
          <w:sz w:val="20"/>
          <w:szCs w:val="20"/>
          <w:color w:val="auto"/>
        </w:rPr>
      </w:pPr>
    </w:p>
    <w:p>
      <w:pPr>
        <w:ind w:left="142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w:t>
      </w:r>
    </w:p>
    <w:p>
      <w:pPr>
        <w:spacing w:after="0" w:line="62" w:lineRule="exact"/>
        <w:rPr>
          <w:sz w:val="20"/>
          <w:szCs w:val="20"/>
          <w:color w:val="auto"/>
        </w:rPr>
      </w:pPr>
    </w:p>
    <w:p>
      <w:pPr>
        <w:ind w:left="1420" w:right="660"/>
        <w:spacing w:after="0" w:line="277" w:lineRule="auto"/>
        <w:rPr>
          <w:sz w:val="20"/>
          <w:szCs w:val="20"/>
          <w:color w:val="auto"/>
        </w:rPr>
      </w:pPr>
      <w:r>
        <w:rPr>
          <w:rFonts w:ascii="Arial" w:cs="Arial" w:eastAsia="Arial" w:hAnsi="Arial"/>
          <w:sz w:val="18"/>
          <w:szCs w:val="18"/>
          <w:color w:val="auto"/>
        </w:rPr>
        <w:t>Rental cars should be refueled before returning to the rental company, since gas purchased through the rental company carries an expensive refueling service charge.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3.7 Use of Personal Vehicle</w:t>
      </w:r>
    </w:p>
    <w:p>
      <w:pPr>
        <w:spacing w:after="0" w:line="121" w:lineRule="exact"/>
        <w:rPr>
          <w:sz w:val="20"/>
          <w:szCs w:val="20"/>
          <w:color w:val="auto"/>
        </w:rPr>
      </w:pPr>
    </w:p>
    <w:p>
      <w:pPr>
        <w:ind w:left="1420" w:right="260"/>
        <w:spacing w:after="0" w:line="277" w:lineRule="auto"/>
        <w:rPr>
          <w:sz w:val="20"/>
          <w:szCs w:val="20"/>
          <w:color w:val="auto"/>
        </w:rPr>
      </w:pPr>
      <w:r>
        <w:rPr>
          <w:rFonts w:ascii="Arial" w:cs="Arial" w:eastAsia="Arial" w:hAnsi="Arial"/>
          <w:sz w:val="18"/>
          <w:szCs w:val="18"/>
          <w:color w:val="auto"/>
        </w:rPr>
        <w:t>When use of personal vehicle is required, the current locally approved mileage rate for miles driven for the business portion of the trip should be the maximum used to determine the amount to be reimbursed.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3.8 Parking</w:t>
      </w:r>
    </w:p>
    <w:p>
      <w:pPr>
        <w:spacing w:after="0" w:line="121"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3.9 Entertainment</w:t>
      </w:r>
    </w:p>
    <w:p>
      <w:pPr>
        <w:spacing w:after="0" w:line="121" w:lineRule="exact"/>
        <w:rPr>
          <w:sz w:val="20"/>
          <w:szCs w:val="20"/>
          <w:color w:val="auto"/>
        </w:rPr>
      </w:pPr>
    </w:p>
    <w:p>
      <w:pPr>
        <w:ind w:left="1420" w:right="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1420" w:right="600"/>
        <w:spacing w:after="0" w:line="282" w:lineRule="auto"/>
        <w:rPr>
          <w:sz w:val="20"/>
          <w:szCs w:val="20"/>
          <w:color w:val="auto"/>
        </w:rPr>
      </w:pPr>
      <w:r>
        <w:rPr>
          <w:rFonts w:ascii="Arial" w:cs="Arial" w:eastAsia="Arial" w:hAnsi="Arial"/>
          <w:sz w:val="18"/>
          <w:szCs w:val="18"/>
          <w:color w:val="auto"/>
        </w:rPr>
        <w:t xml:space="preserve">Reasonable laundry charges during business trips of seven or more </w:t>
      </w:r>
      <w:r>
        <w:rPr>
          <w:rFonts w:ascii="Arial" w:cs="Arial" w:eastAsia="Arial" w:hAnsi="Arial"/>
          <w:sz w:val="18"/>
          <w:szCs w:val="18"/>
          <w:b w:val="1"/>
          <w:bCs w:val="1"/>
          <w:color w:val="auto"/>
        </w:rPr>
        <w:t>consecutive</w:t>
      </w:r>
      <w:r>
        <w:rPr>
          <w:rFonts w:ascii="Arial" w:cs="Arial" w:eastAsia="Arial" w:hAnsi="Arial"/>
          <w:sz w:val="18"/>
          <w:szCs w:val="18"/>
          <w:color w:val="auto"/>
        </w:rPr>
        <w:t xml:space="preserve"> nights are reimbursable based on actual expenses incurred.</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3.11 Communications</w:t>
      </w:r>
    </w:p>
    <w:p>
      <w:pPr>
        <w:spacing w:after="0" w:line="135" w:lineRule="exact"/>
        <w:rPr>
          <w:sz w:val="20"/>
          <w:szCs w:val="20"/>
          <w:color w:val="auto"/>
        </w:rPr>
      </w:pPr>
    </w:p>
    <w:p>
      <w:pPr>
        <w:ind w:left="2300" w:right="160" w:hanging="441"/>
        <w:spacing w:after="0" w:line="277" w:lineRule="auto"/>
        <w:tabs>
          <w:tab w:leader="none" w:pos="2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actual cost of landline telephone calls for AT&amp;T business is reimbursable. The use of AT&amp;T products is required when available.</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274"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8" w:lineRule="exact"/>
        <w:rPr>
          <w:sz w:val="20"/>
          <w:szCs w:val="20"/>
          <w:color w:val="auto"/>
        </w:rPr>
      </w:pPr>
    </w:p>
    <w:p>
      <w:pPr>
        <w:ind w:left="2300" w:right="520" w:hanging="441"/>
        <w:spacing w:after="0" w:line="264" w:lineRule="auto"/>
        <w:tabs>
          <w:tab w:leader="none" w:pos="2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86" w:lineRule="exact"/>
        <w:rPr>
          <w:rFonts w:ascii="Arial" w:cs="Arial" w:eastAsia="Arial" w:hAnsi="Arial"/>
          <w:sz w:val="18"/>
          <w:szCs w:val="18"/>
          <w:color w:val="auto"/>
        </w:rPr>
      </w:pPr>
    </w:p>
    <w:p>
      <w:pPr>
        <w:ind w:left="2300" w:hanging="441"/>
        <w:spacing w:after="0"/>
        <w:tabs>
          <w:tab w:leader="none" w:pos="2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1420" w:right="240"/>
        <w:spacing w:after="0" w:line="255" w:lineRule="auto"/>
        <w:rPr>
          <w:sz w:val="20"/>
          <w:szCs w:val="20"/>
          <w:color w:val="auto"/>
        </w:rPr>
      </w:pPr>
      <w:r>
        <w:rPr>
          <w:rFonts w:ascii="Arial" w:cs="Arial" w:eastAsia="Arial" w:hAnsi="Arial"/>
          <w:sz w:val="18"/>
          <w:szCs w:val="18"/>
          <w:color w:val="auto"/>
        </w:rPr>
        <w:t>Vendors are expected to find reasonably priced dining alternatives. As a general rule, vendors are expected to spend [**] (or local currency equivalent) inclusive of tax and gratuity or to abide by the legally specified per diem applicable in the Vendor’s country.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85"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1420" w:right="120"/>
        <w:spacing w:after="0" w:line="342" w:lineRule="auto"/>
        <w:rPr>
          <w:sz w:val="20"/>
          <w:szCs w:val="20"/>
          <w:color w:val="auto"/>
        </w:rPr>
      </w:pPr>
      <w:r>
        <w:rPr>
          <w:rFonts w:ascii="Arial" w:cs="Arial" w:eastAsia="Arial" w:hAnsi="Arial"/>
          <w:sz w:val="16"/>
          <w:szCs w:val="16"/>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The Company assumes no responsibility for loss or damage to a vendor’s personal property during business functions or hours.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274" w:right="239" w:bottom="1440" w:gutter="0" w:footer="0" w:header="0"/>
        </w:sectPr>
      </w:pPr>
    </w:p>
    <w:bookmarkStart w:id="229" w:name="page230"/>
    <w:bookmarkEnd w:id="22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77"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b w:val="1"/>
          <w:bCs w:val="1"/>
          <w:color w:val="auto"/>
        </w:rPr>
        <w:t>AT&amp;T U.S. 2009 Hotel Room Rate Only Guidelines Addendum A</w:t>
      </w:r>
      <w:r>
        <w:rPr>
          <w:sz w:val="20"/>
          <w:szCs w:val="20"/>
          <w:color w:val="auto"/>
        </w:rPr>
        <w:tab/>
      </w:r>
      <w:r>
        <w:rPr>
          <w:rFonts w:ascii="Arial" w:cs="Arial" w:eastAsia="Arial" w:hAnsi="Arial"/>
          <w:sz w:val="16"/>
          <w:szCs w:val="16"/>
          <w:b w:val="1"/>
          <w:bCs w:val="1"/>
          <w:color w:val="auto"/>
        </w:rPr>
        <w:t>AT&amp;T U.S. 2009 Hotel Room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Only Guidelines</w:t>
      </w:r>
    </w:p>
    <w:p>
      <w:pPr>
        <w:spacing w:after="0" w:line="11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This Chart applies to the U.S. locations. For Travel outside of the U.S., travelers should exercise prudent judgment and select reasonably priced hotels, based on local market conditions. Employees traveling outside the U.S. should reference the GSA, Government Per Diems as a guide </w:t>
      </w:r>
      <w:r>
        <w:rPr>
          <w:rFonts w:ascii="Arial" w:cs="Arial" w:eastAsia="Arial" w:hAnsi="Arial"/>
          <w:sz w:val="16"/>
          <w:szCs w:val="16"/>
          <w:b w:val="1"/>
          <w:bCs w:val="1"/>
          <w:u w:val="single" w:color="auto"/>
          <w:color w:val="auto"/>
        </w:rPr>
        <w:t>http://aoprals.state.gov/web920/per_diem.asp</w:t>
      </w:r>
      <w:r>
        <w:rPr>
          <w:rFonts w:ascii="Arial" w:cs="Arial" w:eastAsia="Arial" w:hAnsi="Arial"/>
          <w:sz w:val="16"/>
          <w:szCs w:val="16"/>
          <w:color w:val="auto"/>
        </w:rPr>
        <w:t>.</w:t>
      </w:r>
      <w:r>
        <w:rPr>
          <w:rFonts w:ascii="Arial" w:cs="Arial" w:eastAsia="Arial" w:hAnsi="Arial"/>
          <w:sz w:val="16"/>
          <w:szCs w:val="16"/>
          <w:b w:val="1"/>
          <w:bCs w:val="1"/>
          <w:color w:val="auto"/>
        </w:rPr>
        <w:t xml:space="preserve"> U.S. Cities not listed on this Hotel Room Rate Only Guideline Matrix, default to $[**] nightly rate. On occasion an AT&amp;T Preferred Property may exceed the rate guideline for a season (s) or particular city, but has been added due to demand within the market. However, if an alternate Preferred Property within the guideline is offered it should be accepted when available. You may select the Preferred Property that is over the Guideline if it is the option that is available, selecting the appropriate reason code.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vMerge w:val="restart"/>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4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5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Guideline</w:t>
            </w:r>
          </w:p>
        </w:tc>
        <w:tc>
          <w:tcPr>
            <w:tcW w:w="1660" w:type="dxa"/>
            <w:vAlign w:val="bottom"/>
            <w:gridSpan w:val="2"/>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Guideline</w:t>
            </w:r>
          </w:p>
        </w:tc>
        <w:tc>
          <w:tcPr>
            <w:tcW w:w="1640" w:type="dxa"/>
            <w:vAlign w:val="bottom"/>
            <w:gridSpan w:val="3"/>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Guideline</w:t>
            </w:r>
          </w:p>
        </w:tc>
        <w:tc>
          <w:tcPr>
            <w:tcW w:w="1760" w:type="dxa"/>
            <w:vAlign w:val="bottom"/>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Guideline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560" w:type="dxa"/>
            <w:vAlign w:val="bottom"/>
            <w:gridSpan w:val="2"/>
          </w:tcPr>
          <w:p>
            <w:pPr>
              <w:spacing w:after="0" w:line="195" w:lineRule="exact"/>
              <w:rPr>
                <w:sz w:val="20"/>
                <w:szCs w:val="20"/>
                <w:color w:val="auto"/>
              </w:rPr>
            </w:pPr>
            <w:r>
              <w:rPr>
                <w:rFonts w:ascii="Arial" w:cs="Arial" w:eastAsia="Arial" w:hAnsi="Arial"/>
                <w:sz w:val="18"/>
                <w:szCs w:val="18"/>
                <w:color w:val="auto"/>
              </w:rPr>
              <w:t>Anchorage</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AK</w:t>
            </w:r>
          </w:p>
        </w:tc>
        <w:tc>
          <w:tcPr>
            <w:tcW w:w="100" w:type="dxa"/>
            <w:vAlign w:val="bottom"/>
            <w:vMerge w:val="continue"/>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1660" w:type="dxa"/>
            <w:vAlign w:val="bottom"/>
            <w:gridSpan w:val="2"/>
          </w:tcPr>
          <w:p>
            <w:pPr>
              <w:spacing w:after="0" w:line="195" w:lineRule="exact"/>
              <w:rPr>
                <w:sz w:val="20"/>
                <w:szCs w:val="20"/>
                <w:color w:val="auto"/>
              </w:rPr>
            </w:pPr>
            <w:r>
              <w:rPr>
                <w:rFonts w:ascii="Arial" w:cs="Arial" w:eastAsia="Arial" w:hAnsi="Arial"/>
                <w:sz w:val="18"/>
                <w:szCs w:val="18"/>
                <w:color w:val="auto"/>
              </w:rPr>
              <w:t>Boulder</w:t>
            </w:r>
          </w:p>
        </w:tc>
        <w:tc>
          <w:tcPr>
            <w:tcW w:w="16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CO</w:t>
            </w:r>
          </w:p>
        </w:tc>
        <w:tc>
          <w:tcPr>
            <w:tcW w:w="100" w:type="dxa"/>
            <w:vAlign w:val="bottom"/>
            <w:vMerge w:val="continue"/>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580" w:type="dxa"/>
            <w:vAlign w:val="bottom"/>
            <w:gridSpan w:val="2"/>
          </w:tcPr>
          <w:p>
            <w:pPr>
              <w:spacing w:after="0" w:line="195" w:lineRule="exact"/>
              <w:rPr>
                <w:sz w:val="20"/>
                <w:szCs w:val="20"/>
                <w:color w:val="auto"/>
              </w:rPr>
            </w:pPr>
            <w:r>
              <w:rPr>
                <w:rFonts w:ascii="Arial" w:cs="Arial" w:eastAsia="Arial" w:hAnsi="Arial"/>
                <w:sz w:val="18"/>
                <w:szCs w:val="18"/>
                <w:color w:val="auto"/>
              </w:rPr>
              <w:t>South Bend</w:t>
            </w:r>
          </w:p>
        </w:tc>
        <w:tc>
          <w:tcPr>
            <w:tcW w:w="220" w:type="dxa"/>
            <w:vAlign w:val="bottom"/>
            <w:vMerge w:val="continue"/>
          </w:tcPr>
          <w:p>
            <w:pPr>
              <w:spacing w:after="0"/>
              <w:rPr>
                <w:sz w:val="16"/>
                <w:szCs w:val="16"/>
                <w:color w:val="auto"/>
              </w:rPr>
            </w:pPr>
          </w:p>
        </w:tc>
        <w:tc>
          <w:tcPr>
            <w:tcW w:w="340" w:type="dxa"/>
            <w:vAlign w:val="bottom"/>
            <w:gridSpan w:val="2"/>
          </w:tcPr>
          <w:p>
            <w:pPr>
              <w:spacing w:after="0" w:line="195" w:lineRule="exact"/>
              <w:rPr>
                <w:sz w:val="20"/>
                <w:szCs w:val="20"/>
                <w:color w:val="auto"/>
              </w:rPr>
            </w:pPr>
            <w:r>
              <w:rPr>
                <w:rFonts w:ascii="Arial" w:cs="Arial" w:eastAsia="Arial" w:hAnsi="Arial"/>
                <w:sz w:val="18"/>
                <w:szCs w:val="18"/>
                <w:color w:val="auto"/>
              </w:rPr>
              <w:t>IN</w:t>
            </w:r>
          </w:p>
        </w:tc>
        <w:tc>
          <w:tcPr>
            <w:tcW w:w="100" w:type="dxa"/>
            <w:vAlign w:val="bottom"/>
            <w:vMerge w:val="continue"/>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700" w:type="dxa"/>
            <w:vAlign w:val="bottom"/>
            <w:gridSpan w:val="2"/>
          </w:tcPr>
          <w:p>
            <w:pPr>
              <w:spacing w:after="0" w:line="195" w:lineRule="exact"/>
              <w:rPr>
                <w:sz w:val="20"/>
                <w:szCs w:val="20"/>
                <w:color w:val="auto"/>
              </w:rPr>
            </w:pPr>
            <w:r>
              <w:rPr>
                <w:rFonts w:ascii="Arial" w:cs="Arial" w:eastAsia="Arial" w:hAnsi="Arial"/>
                <w:sz w:val="18"/>
                <w:szCs w:val="18"/>
                <w:color w:val="auto"/>
              </w:rPr>
              <w:t>Rockville Center</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NY</w:t>
            </w:r>
          </w:p>
        </w:tc>
        <w:tc>
          <w:tcPr>
            <w:tcW w:w="100" w:type="dxa"/>
            <w:vAlign w:val="bottom"/>
            <w:vMerge w:val="continue"/>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Fairbanks</w:t>
            </w:r>
          </w:p>
        </w:tc>
        <w:tc>
          <w:tcPr>
            <w:tcW w:w="320" w:type="dxa"/>
            <w:vAlign w:val="bottom"/>
            <w:gridSpan w:val="2"/>
          </w:tcPr>
          <w:p>
            <w:pPr>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Colorado Springs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Merriam</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KS</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Syracuse</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Glennallen</w:t>
            </w:r>
          </w:p>
        </w:tc>
        <w:tc>
          <w:tcPr>
            <w:tcW w:w="320" w:type="dxa"/>
            <w:vAlign w:val="bottom"/>
            <w:gridSpan w:val="2"/>
          </w:tcPr>
          <w:p>
            <w:pPr>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Denver</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Overland Park</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KS</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Vestal</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Ketchikan</w:t>
            </w:r>
          </w:p>
        </w:tc>
        <w:tc>
          <w:tcPr>
            <w:tcW w:w="320" w:type="dxa"/>
            <w:vAlign w:val="bottom"/>
            <w:gridSpan w:val="2"/>
          </w:tcPr>
          <w:p>
            <w:pPr>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Englewood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Shawnee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KS</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White Plains</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Kodiak</w:t>
            </w:r>
          </w:p>
        </w:tc>
        <w:tc>
          <w:tcPr>
            <w:tcW w:w="320" w:type="dxa"/>
            <w:vAlign w:val="bottom"/>
            <w:gridSpan w:val="2"/>
          </w:tcPr>
          <w:p>
            <w:pPr>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Greenwood Village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Topeka</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KS</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Woodbury</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Birmingham</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Glastonbury</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Covington</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Tarrytown</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Decatur</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Hartford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Louisville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KY</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Beachwood</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Hoover</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Meriden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Covington</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LA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Boardman</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Huntsville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New Haven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Metairie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LA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Centerville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Montgomery</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New London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Monroe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LA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Cleveland</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Mobile</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Rocky Hill</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New Orleans</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LA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Columbus</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Tuscaloosa</w:t>
            </w:r>
          </w:p>
        </w:tc>
        <w:tc>
          <w:tcPr>
            <w:tcW w:w="320" w:type="dxa"/>
            <w:vAlign w:val="bottom"/>
            <w:gridSpan w:val="2"/>
          </w:tcPr>
          <w:p>
            <w:pPr>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Stamford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Vidalia</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LA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Dublin</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Bryant</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DC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Boston</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Fairborn</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El Dorado</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Wilmington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DE</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Burlington</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Mayfield Village</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Fayetteville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Altamonte Springs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Cambridge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Niles</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Fort Smith</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Boynton Beach</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Dedham</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North Olmsted</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Hardy</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Dania Beach</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Framingham</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Orange Village</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Little Rock</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Fort Lauderdale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Lowell</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Perrysburg</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Mountain Home</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Jacksonville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Marlborough</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Reynoldsburg</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North Littlerock</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Kendall</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Natick</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Richfield</w:t>
            </w:r>
          </w:p>
        </w:tc>
        <w:tc>
          <w:tcPr>
            <w:tcW w:w="320" w:type="dxa"/>
            <w:vAlign w:val="bottom"/>
            <w:gridSpan w:val="2"/>
          </w:tcPr>
          <w:p>
            <w:pPr>
              <w:spacing w:after="0"/>
              <w:rPr>
                <w:sz w:val="20"/>
                <w:szCs w:val="20"/>
                <w:color w:val="auto"/>
              </w:rPr>
            </w:pPr>
            <w:r>
              <w:rPr>
                <w:rFonts w:ascii="Arial" w:cs="Arial" w:eastAsia="Arial" w:hAnsi="Arial"/>
                <w:sz w:val="18"/>
                <w:szCs w:val="18"/>
                <w:color w:val="auto"/>
              </w:rPr>
              <w:t>OH</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Pine Bluff</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Key Largo/Tavernier</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Stoughton</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Moore</w:t>
            </w:r>
          </w:p>
        </w:tc>
        <w:tc>
          <w:tcPr>
            <w:tcW w:w="320" w:type="dxa"/>
            <w:vAlign w:val="bottom"/>
            <w:gridSpan w:val="2"/>
          </w:tcPr>
          <w:p>
            <w:pPr>
              <w:spacing w:after="0"/>
              <w:rPr>
                <w:sz w:val="20"/>
                <w:szCs w:val="20"/>
                <w:color w:val="auto"/>
              </w:rPr>
            </w:pPr>
            <w:r>
              <w:rPr>
                <w:rFonts w:ascii="Arial" w:cs="Arial" w:eastAsia="Arial" w:hAnsi="Arial"/>
                <w:sz w:val="18"/>
                <w:szCs w:val="18"/>
                <w:color w:val="auto"/>
              </w:rPr>
              <w:t>OK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Rogers</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Key West</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Baltimore</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Oklahoma City</w:t>
            </w:r>
          </w:p>
        </w:tc>
        <w:tc>
          <w:tcPr>
            <w:tcW w:w="320" w:type="dxa"/>
            <w:vAlign w:val="bottom"/>
            <w:gridSpan w:val="2"/>
          </w:tcPr>
          <w:p>
            <w:pPr>
              <w:spacing w:after="0"/>
              <w:rPr>
                <w:sz w:val="20"/>
                <w:szCs w:val="20"/>
                <w:color w:val="auto"/>
              </w:rPr>
            </w:pPr>
            <w:r>
              <w:rPr>
                <w:rFonts w:ascii="Arial" w:cs="Arial" w:eastAsia="Arial" w:hAnsi="Arial"/>
                <w:sz w:val="18"/>
                <w:szCs w:val="18"/>
                <w:color w:val="auto"/>
              </w:rPr>
              <w:t>OK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Russellville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Lake City</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Columbia</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Owasso</w:t>
            </w:r>
          </w:p>
        </w:tc>
        <w:tc>
          <w:tcPr>
            <w:tcW w:w="320" w:type="dxa"/>
            <w:vAlign w:val="bottom"/>
            <w:gridSpan w:val="2"/>
          </w:tcPr>
          <w:p>
            <w:pPr>
              <w:spacing w:after="0"/>
              <w:rPr>
                <w:sz w:val="20"/>
                <w:szCs w:val="20"/>
                <w:color w:val="auto"/>
              </w:rPr>
            </w:pPr>
            <w:r>
              <w:rPr>
                <w:rFonts w:ascii="Arial" w:cs="Arial" w:eastAsia="Arial" w:hAnsi="Arial"/>
                <w:sz w:val="18"/>
                <w:szCs w:val="18"/>
                <w:color w:val="auto"/>
              </w:rPr>
              <w:t>OK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Springdale</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Lake Mary</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Greenbelt</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Ponca City</w:t>
            </w:r>
          </w:p>
        </w:tc>
        <w:tc>
          <w:tcPr>
            <w:tcW w:w="320" w:type="dxa"/>
            <w:vAlign w:val="bottom"/>
            <w:gridSpan w:val="2"/>
          </w:tcPr>
          <w:p>
            <w:pPr>
              <w:spacing w:after="0"/>
              <w:rPr>
                <w:sz w:val="20"/>
                <w:szCs w:val="20"/>
                <w:color w:val="auto"/>
              </w:rPr>
            </w:pPr>
            <w:r>
              <w:rPr>
                <w:rFonts w:ascii="Arial" w:cs="Arial" w:eastAsia="Arial" w:hAnsi="Arial"/>
                <w:sz w:val="18"/>
                <w:szCs w:val="18"/>
                <w:color w:val="auto"/>
              </w:rPr>
              <w:t>OK</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VanBuren</w:t>
            </w:r>
          </w:p>
        </w:tc>
        <w:tc>
          <w:tcPr>
            <w:tcW w:w="320" w:type="dxa"/>
            <w:vAlign w:val="bottom"/>
            <w:gridSpan w:val="2"/>
          </w:tcPr>
          <w:p>
            <w:pPr>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Lakeland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Linthicum Heights</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Coos Bay</w:t>
            </w:r>
          </w:p>
        </w:tc>
        <w:tc>
          <w:tcPr>
            <w:tcW w:w="320" w:type="dxa"/>
            <w:vAlign w:val="bottom"/>
            <w:gridSpan w:val="2"/>
          </w:tcPr>
          <w:p>
            <w:pPr>
              <w:spacing w:after="0"/>
              <w:rPr>
                <w:sz w:val="20"/>
                <w:szCs w:val="20"/>
                <w:color w:val="auto"/>
              </w:rPr>
            </w:pPr>
            <w:r>
              <w:rPr>
                <w:rFonts w:ascii="Arial" w:cs="Arial" w:eastAsia="Arial" w:hAnsi="Arial"/>
                <w:sz w:val="18"/>
                <w:szCs w:val="18"/>
                <w:color w:val="auto"/>
              </w:rPr>
              <w:t>OR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Chandler</w:t>
            </w:r>
          </w:p>
        </w:tc>
        <w:tc>
          <w:tcPr>
            <w:tcW w:w="32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Marathon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Portland</w:t>
            </w: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ME</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Portland</w:t>
            </w:r>
          </w:p>
        </w:tc>
        <w:tc>
          <w:tcPr>
            <w:tcW w:w="320" w:type="dxa"/>
            <w:vAlign w:val="bottom"/>
            <w:gridSpan w:val="2"/>
          </w:tcPr>
          <w:p>
            <w:pPr>
              <w:spacing w:after="0"/>
              <w:rPr>
                <w:sz w:val="20"/>
                <w:szCs w:val="20"/>
                <w:color w:val="auto"/>
              </w:rPr>
            </w:pPr>
            <w:r>
              <w:rPr>
                <w:rFonts w:ascii="Arial" w:cs="Arial" w:eastAsia="Arial" w:hAnsi="Arial"/>
                <w:sz w:val="18"/>
                <w:szCs w:val="18"/>
                <w:color w:val="auto"/>
              </w:rPr>
              <w:t>OR</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vMerge w:val="restart"/>
          </w:tcPr>
          <w:p>
            <w:pPr>
              <w:spacing w:after="0"/>
              <w:rPr>
                <w:sz w:val="14"/>
                <w:szCs w:val="14"/>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City</w:t>
            </w:r>
          </w:p>
        </w:tc>
        <w:tc>
          <w:tcPr>
            <w:tcW w:w="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w:t>
            </w: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6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880" w:type="dxa"/>
            <w:vAlign w:val="bottom"/>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880" w:type="dxa"/>
            <w:vAlign w:val="bottom"/>
            <w:gridSpan w:val="3"/>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40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Guideline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560" w:type="dxa"/>
            <w:vAlign w:val="bottom"/>
            <w:gridSpan w:val="2"/>
          </w:tcPr>
          <w:p>
            <w:pPr>
              <w:spacing w:after="0" w:line="195" w:lineRule="exact"/>
              <w:rPr>
                <w:sz w:val="20"/>
                <w:szCs w:val="20"/>
                <w:color w:val="auto"/>
              </w:rPr>
            </w:pPr>
            <w:r>
              <w:rPr>
                <w:rFonts w:ascii="Arial" w:cs="Arial" w:eastAsia="Arial" w:hAnsi="Arial"/>
                <w:sz w:val="18"/>
                <w:szCs w:val="18"/>
                <w:color w:val="auto"/>
              </w:rPr>
              <w:t>Mesa</w:t>
            </w: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AZ</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20" w:type="dxa"/>
            <w:vAlign w:val="bottom"/>
            <w:gridSpan w:val="2"/>
          </w:tcPr>
          <w:p>
            <w:pPr>
              <w:spacing w:after="0" w:line="195" w:lineRule="exact"/>
              <w:rPr>
                <w:sz w:val="20"/>
                <w:szCs w:val="20"/>
                <w:color w:val="auto"/>
              </w:rPr>
            </w:pPr>
            <w:r>
              <w:rPr>
                <w:rFonts w:ascii="Arial" w:cs="Arial" w:eastAsia="Arial" w:hAnsi="Arial"/>
                <w:sz w:val="18"/>
                <w:szCs w:val="18"/>
                <w:color w:val="auto"/>
              </w:rPr>
              <w:t>Maitland</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FL</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0" w:type="dxa"/>
            <w:vAlign w:val="bottom"/>
            <w:gridSpan w:val="2"/>
          </w:tcPr>
          <w:p>
            <w:pPr>
              <w:spacing w:after="0" w:line="195" w:lineRule="exact"/>
              <w:rPr>
                <w:sz w:val="20"/>
                <w:szCs w:val="20"/>
                <w:color w:val="auto"/>
              </w:rPr>
            </w:pPr>
            <w:r>
              <w:rPr>
                <w:rFonts w:ascii="Arial" w:cs="Arial" w:eastAsia="Arial" w:hAnsi="Arial"/>
                <w:sz w:val="18"/>
                <w:szCs w:val="18"/>
                <w:color w:val="auto"/>
              </w:rPr>
              <w:t>Battlecreek</w:t>
            </w:r>
          </w:p>
        </w:tc>
        <w:tc>
          <w:tcPr>
            <w:tcW w:w="3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MI</w:t>
            </w:r>
          </w:p>
        </w:tc>
        <w:tc>
          <w:tcPr>
            <w:tcW w:w="100" w:type="dxa"/>
            <w:vAlign w:val="bottom"/>
            <w:vMerge w:val="continue"/>
          </w:tcPr>
          <w:p>
            <w:pPr>
              <w:spacing w:after="0"/>
              <w:rPr>
                <w:sz w:val="16"/>
                <w:szCs w:val="16"/>
                <w:color w:val="auto"/>
              </w:rPr>
            </w:pPr>
          </w:p>
        </w:tc>
        <w:tc>
          <w:tcPr>
            <w:tcW w:w="58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vMerge w:val="continue"/>
          </w:tcPr>
          <w:p>
            <w:pPr>
              <w:spacing w:after="0"/>
              <w:rPr>
                <w:sz w:val="16"/>
                <w:szCs w:val="16"/>
                <w:color w:val="auto"/>
              </w:rPr>
            </w:pP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Tigard</w:t>
            </w:r>
          </w:p>
        </w:tc>
        <w:tc>
          <w:tcPr>
            <w:tcW w:w="30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OR</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Phoenix</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Miami</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Canton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Allentown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Rio Rico</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Miami Beach</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Dearborn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Audubon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Scottsdale</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Orlando</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Detroit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Bensalem</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Tempe</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Palm Beach</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Farmington Hills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Coraopolis</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Tucson</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Plantation</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Holland</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Essington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Yuma</w:t>
            </w:r>
          </w:p>
        </w:tc>
        <w:tc>
          <w:tcPr>
            <w:tcW w:w="300" w:type="dxa"/>
            <w:vAlign w:val="bottom"/>
            <w:gridSpan w:val="2"/>
          </w:tcPr>
          <w:p>
            <w:pPr>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Saint Augustine</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Livonia</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Glen Mills</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Anaheim</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Sunrise</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Marquette</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Harrisburg</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Buena Park</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Tallahassee</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Novi</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King of Prussia</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Burbank</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Tamarac</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Port Huron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Philadelphia</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Burlingame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Tampa</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Saginaw</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Pittsburgh</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Cerritos</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West Palm Beach</w:t>
            </w:r>
          </w:p>
        </w:tc>
        <w:tc>
          <w:tcPr>
            <w:tcW w:w="320" w:type="dxa"/>
            <w:vAlign w:val="bottom"/>
            <w:gridSpan w:val="2"/>
          </w:tcPr>
          <w:p>
            <w:pPr>
              <w:spacing w:after="0"/>
              <w:rPr>
                <w:sz w:val="20"/>
                <w:szCs w:val="20"/>
                <w:color w:val="auto"/>
              </w:rPr>
            </w:pPr>
            <w:r>
              <w:rPr>
                <w:rFonts w:ascii="Arial" w:cs="Arial" w:eastAsia="Arial" w:hAnsi="Arial"/>
                <w:sz w:val="18"/>
                <w:szCs w:val="18"/>
                <w:color w:val="auto"/>
              </w:rPr>
              <w:t>FL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Southfield</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Wayne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PA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Chico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Albany</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Walker</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Anderson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SC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City of Industry</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Alpharetta</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Warren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MI</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Charleston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SC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Clovis</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Athens</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Baxter</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MN</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Duncan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SC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Concord</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Atlanta</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Bloomington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MN</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SC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Coronado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Augusta</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Deluth</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MN</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Myrtle Beach</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SC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Costa Mesa</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Brunswick</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Minneapolis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MN</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Brentwood</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Cupertino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Carrollton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St. Paul</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MN</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Crossville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Del Mar</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Columbus</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Bridgeton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Knoxville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Dublin</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Dublin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Columbia</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Franklin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El Segundo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Duluth</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Earth City</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Memphis</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Emeryville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Dunwoody</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Fenton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Johnson City</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Escondido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Griffin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Festus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Knoxville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Eureka</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Lawrenceville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Jefferson City</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Memphis</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Garden Grove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Lithia Springs</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Joplin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Nashville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North Glendale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Macon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Kansas City</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Abilene</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Hayward</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Newnan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Kirkwood</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Addison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Hollywood</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Norcross</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Lees Summit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Irvine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Peachtree City</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Maryland Heights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Austin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La Jolla</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Savannah</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Saint Charles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Beaumont</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Livermore</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Roswell</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Saint Louis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Corpus Christi</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Long Beach</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Tifton</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Springfield</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MO</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Dallas</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Los Angeles</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Warner Robins</w:t>
            </w:r>
          </w:p>
        </w:tc>
        <w:tc>
          <w:tcPr>
            <w:tcW w:w="320" w:type="dxa"/>
            <w:vAlign w:val="bottom"/>
            <w:gridSpan w:val="2"/>
          </w:tcPr>
          <w:p>
            <w:pPr>
              <w:spacing w:after="0"/>
              <w:rPr>
                <w:sz w:val="20"/>
                <w:szCs w:val="20"/>
                <w:color w:val="auto"/>
              </w:rPr>
            </w:pPr>
            <w:r>
              <w:rPr>
                <w:rFonts w:ascii="Arial" w:cs="Arial" w:eastAsia="Arial" w:hAnsi="Arial"/>
                <w:sz w:val="18"/>
                <w:szCs w:val="18"/>
                <w:color w:val="auto"/>
              </w:rPr>
              <w:t>GA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Jackson</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Frisco</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Merced</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Honolulu</w:t>
            </w:r>
          </w:p>
        </w:tc>
        <w:tc>
          <w:tcPr>
            <w:tcW w:w="320" w:type="dxa"/>
            <w:vAlign w:val="bottom"/>
            <w:gridSpan w:val="2"/>
          </w:tcPr>
          <w:p>
            <w:pPr>
              <w:spacing w:after="0"/>
              <w:rPr>
                <w:sz w:val="20"/>
                <w:szCs w:val="20"/>
                <w:color w:val="auto"/>
              </w:rPr>
            </w:pPr>
            <w:r>
              <w:rPr>
                <w:rFonts w:ascii="Arial" w:cs="Arial" w:eastAsia="Arial" w:hAnsi="Arial"/>
                <w:sz w:val="18"/>
                <w:szCs w:val="18"/>
                <w:color w:val="auto"/>
              </w:rPr>
              <w:t>HI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McComb</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Milpitas</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Kailua Kona</w:t>
            </w:r>
          </w:p>
        </w:tc>
        <w:tc>
          <w:tcPr>
            <w:tcW w:w="320" w:type="dxa"/>
            <w:vAlign w:val="bottom"/>
            <w:gridSpan w:val="2"/>
          </w:tcPr>
          <w:p>
            <w:pPr>
              <w:spacing w:after="0"/>
              <w:rPr>
                <w:sz w:val="20"/>
                <w:szCs w:val="20"/>
                <w:color w:val="auto"/>
              </w:rPr>
            </w:pPr>
            <w:r>
              <w:rPr>
                <w:rFonts w:ascii="Arial" w:cs="Arial" w:eastAsia="Arial" w:hAnsi="Arial"/>
                <w:sz w:val="18"/>
                <w:szCs w:val="18"/>
                <w:color w:val="auto"/>
              </w:rPr>
              <w:t>HI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Natchez</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Irving</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Modesto</w:t>
            </w:r>
          </w:p>
        </w:tc>
        <w:tc>
          <w:tcPr>
            <w:tcW w:w="300" w:type="dxa"/>
            <w:vAlign w:val="bottom"/>
            <w:gridSpan w:val="2"/>
          </w:tcPr>
          <w:p>
            <w:pPr>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Kihei</w:t>
            </w:r>
          </w:p>
        </w:tc>
        <w:tc>
          <w:tcPr>
            <w:tcW w:w="320" w:type="dxa"/>
            <w:vAlign w:val="bottom"/>
            <w:gridSpan w:val="2"/>
          </w:tcPr>
          <w:p>
            <w:pPr>
              <w:spacing w:after="0"/>
              <w:rPr>
                <w:sz w:val="20"/>
                <w:szCs w:val="20"/>
                <w:color w:val="auto"/>
              </w:rPr>
            </w:pPr>
            <w:r>
              <w:rPr>
                <w:rFonts w:ascii="Arial" w:cs="Arial" w:eastAsia="Arial" w:hAnsi="Arial"/>
                <w:sz w:val="18"/>
                <w:szCs w:val="18"/>
                <w:color w:val="auto"/>
              </w:rPr>
              <w:t>HI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Ocean Springs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MS</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8"/>
              </w:rPr>
              <w:t>City</w:t>
            </w:r>
          </w:p>
        </w:tc>
        <w:tc>
          <w:tcPr>
            <w:tcW w:w="1140" w:type="dxa"/>
            <w:vAlign w:val="bottom"/>
            <w:vMerge w:val="restart"/>
          </w:tcPr>
          <w:p>
            <w:pPr>
              <w:spacing w:after="0"/>
              <w:rPr>
                <w:sz w:val="14"/>
                <w:szCs w:val="14"/>
                <w:color w:val="auto"/>
              </w:rPr>
            </w:pPr>
          </w:p>
        </w:tc>
        <w:tc>
          <w:tcPr>
            <w:tcW w:w="4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5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6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St</w:t>
            </w: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560" w:type="dxa"/>
            <w:vAlign w:val="bottom"/>
            <w:gridSpan w:val="2"/>
            <w:vMerge w:val="continue"/>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880" w:type="dxa"/>
            <w:vAlign w:val="bottom"/>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4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40" w:type="dxa"/>
            <w:vAlign w:val="bottom"/>
            <w:gridSpan w:val="3"/>
          </w:tcPr>
          <w:p>
            <w:pPr>
              <w:ind w:left="120"/>
              <w:spacing w:after="0"/>
              <w:rPr>
                <w:sz w:val="20"/>
                <w:szCs w:val="20"/>
                <w:color w:val="auto"/>
              </w:rPr>
            </w:pPr>
            <w:r>
              <w:rPr>
                <w:rFonts w:ascii="Arial" w:cs="Arial" w:eastAsia="Arial" w:hAnsi="Arial"/>
                <w:sz w:val="14"/>
                <w:szCs w:val="14"/>
                <w:b w:val="1"/>
                <w:bCs w:val="1"/>
                <w:color w:val="auto"/>
                <w:w w:val="93"/>
              </w:rPr>
              <w:t>Guideline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Montebello</w:t>
            </w:r>
          </w:p>
        </w:tc>
        <w:tc>
          <w:tcPr>
            <w:tcW w:w="16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CA</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140" w:type="dxa"/>
            <w:vAlign w:val="bottom"/>
            <w:vMerge w:val="continue"/>
          </w:tcPr>
          <w:p>
            <w:pPr>
              <w:spacing w:after="0"/>
              <w:rPr>
                <w:sz w:val="16"/>
                <w:szCs w:val="16"/>
                <w:color w:val="auto"/>
              </w:rPr>
            </w:pPr>
          </w:p>
        </w:tc>
        <w:tc>
          <w:tcPr>
            <w:tcW w:w="1560" w:type="dxa"/>
            <w:vAlign w:val="bottom"/>
            <w:gridSpan w:val="2"/>
          </w:tcPr>
          <w:p>
            <w:pPr>
              <w:spacing w:after="0" w:line="195" w:lineRule="exact"/>
              <w:rPr>
                <w:sz w:val="20"/>
                <w:szCs w:val="20"/>
                <w:color w:val="auto"/>
              </w:rPr>
            </w:pPr>
            <w:r>
              <w:rPr>
                <w:rFonts w:ascii="Arial" w:cs="Arial" w:eastAsia="Arial" w:hAnsi="Arial"/>
                <w:sz w:val="18"/>
                <w:szCs w:val="18"/>
                <w:color w:val="auto"/>
              </w:rPr>
              <w:t>Waikoloa</w:t>
            </w:r>
          </w:p>
        </w:tc>
        <w:tc>
          <w:tcPr>
            <w:tcW w:w="260" w:type="dxa"/>
            <w:vAlign w:val="bottom"/>
            <w:vMerge w:val="continue"/>
          </w:tcPr>
          <w:p>
            <w:pPr>
              <w:spacing w:after="0"/>
              <w:rPr>
                <w:sz w:val="16"/>
                <w:szCs w:val="16"/>
                <w:color w:val="auto"/>
              </w:rPr>
            </w:pPr>
          </w:p>
        </w:tc>
        <w:tc>
          <w:tcPr>
            <w:tcW w:w="240" w:type="dxa"/>
            <w:vAlign w:val="bottom"/>
            <w:gridSpan w:val="2"/>
          </w:tcPr>
          <w:p>
            <w:pPr>
              <w:spacing w:after="0" w:line="195" w:lineRule="exact"/>
              <w:rPr>
                <w:sz w:val="20"/>
                <w:szCs w:val="20"/>
                <w:color w:val="auto"/>
              </w:rPr>
            </w:pPr>
            <w:r>
              <w:rPr>
                <w:rFonts w:ascii="Arial" w:cs="Arial" w:eastAsia="Arial" w:hAnsi="Arial"/>
                <w:sz w:val="18"/>
                <w:szCs w:val="18"/>
                <w:color w:val="auto"/>
              </w:rPr>
              <w:t>HI</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20" w:type="dxa"/>
            <w:vAlign w:val="bottom"/>
            <w:gridSpan w:val="2"/>
          </w:tcPr>
          <w:p>
            <w:pPr>
              <w:spacing w:after="0" w:line="195" w:lineRule="exact"/>
              <w:rPr>
                <w:sz w:val="20"/>
                <w:szCs w:val="20"/>
                <w:color w:val="auto"/>
              </w:rPr>
            </w:pPr>
            <w:r>
              <w:rPr>
                <w:rFonts w:ascii="Arial" w:cs="Arial" w:eastAsia="Arial" w:hAnsi="Arial"/>
                <w:sz w:val="18"/>
                <w:szCs w:val="18"/>
                <w:color w:val="auto"/>
              </w:rPr>
              <w:t>Tupelo</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MS</w:t>
            </w:r>
          </w:p>
        </w:tc>
        <w:tc>
          <w:tcPr>
            <w:tcW w:w="100" w:type="dxa"/>
            <w:vAlign w:val="bottom"/>
            <w:vMerge w:val="continue"/>
          </w:tcPr>
          <w:p>
            <w:pPr>
              <w:spacing w:after="0"/>
              <w:rPr>
                <w:sz w:val="16"/>
                <w:szCs w:val="16"/>
                <w:color w:val="auto"/>
              </w:rPr>
            </w:pPr>
          </w:p>
        </w:tc>
        <w:tc>
          <w:tcPr>
            <w:tcW w:w="58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vMerge w:val="continue"/>
          </w:tcPr>
          <w:p>
            <w:pPr>
              <w:spacing w:after="0"/>
              <w:rPr>
                <w:sz w:val="16"/>
                <w:szCs w:val="16"/>
                <w:color w:val="auto"/>
              </w:rPr>
            </w:pP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Mcallen</w:t>
            </w:r>
          </w:p>
        </w:tc>
        <w:tc>
          <w:tcPr>
            <w:tcW w:w="280" w:type="dxa"/>
            <w:vAlign w:val="bottom"/>
            <w:vMerge w:val="continue"/>
          </w:tcPr>
          <w:p>
            <w:pPr>
              <w:spacing w:after="0"/>
              <w:rPr>
                <w:sz w:val="16"/>
                <w:szCs w:val="16"/>
                <w:color w:val="auto"/>
              </w:rPr>
            </w:pPr>
          </w:p>
        </w:tc>
        <w:tc>
          <w:tcPr>
            <w:tcW w:w="360" w:type="dxa"/>
            <w:vAlign w:val="bottom"/>
            <w:gridSpan w:val="2"/>
          </w:tcPr>
          <w:p>
            <w:pPr>
              <w:spacing w:after="0" w:line="195" w:lineRule="exact"/>
              <w:rPr>
                <w:sz w:val="20"/>
                <w:szCs w:val="20"/>
                <w:color w:val="auto"/>
              </w:rPr>
            </w:pPr>
            <w:r>
              <w:rPr>
                <w:rFonts w:ascii="Arial" w:cs="Arial" w:eastAsia="Arial" w:hAnsi="Arial"/>
                <w:sz w:val="18"/>
                <w:szCs w:val="18"/>
                <w:color w:val="auto"/>
              </w:rPr>
              <w:t>TX</w:t>
            </w:r>
          </w:p>
        </w:tc>
        <w:tc>
          <w:tcPr>
            <w:tcW w:w="12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Napa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Desmoines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Asheville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Midland</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Ontario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Johnston</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Carolina Beach</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Plano</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Orange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Urbandale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Charlotte</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Richardson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Pasadena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Ammon</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ID</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Durham</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Petaluma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Alsip</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Gastonia</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Texarkana</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Pleasanton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Arlington Heights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Goldsboro</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Tyler</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Rancho Cordova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Barrington</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Morrisville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NC</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Waxahachie</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Riverside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Bedford Park</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Omaha</w:t>
            </w:r>
          </w:p>
        </w:tc>
        <w:tc>
          <w:tcPr>
            <w:tcW w:w="320" w:type="dxa"/>
            <w:vAlign w:val="bottom"/>
            <w:gridSpan w:val="2"/>
          </w:tcPr>
          <w:p>
            <w:pPr>
              <w:spacing w:after="0"/>
              <w:rPr>
                <w:sz w:val="20"/>
                <w:szCs w:val="20"/>
                <w:color w:val="auto"/>
              </w:rPr>
            </w:pPr>
            <w:r>
              <w:rPr>
                <w:rFonts w:ascii="Arial" w:cs="Arial" w:eastAsia="Arial" w:hAnsi="Arial"/>
                <w:sz w:val="18"/>
                <w:szCs w:val="18"/>
                <w:color w:val="auto"/>
              </w:rPr>
              <w:t>NE</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The Woodlands</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TX</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Rocklin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Bourbonnais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Basking Ridge</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Salt Lake City</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UT</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Rosemead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Champaign</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Bernardsville</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Sacramento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Chicago</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Bridgewater</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Chantilly</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Salinas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Danville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Cranbury</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Chester</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Carlos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Danville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Eatontown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Dulles</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Downers Grove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Edison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Fairfax</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Francisco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Elmhurst</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Elizabeth</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Falls Church</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Gabriel</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Fairview Heights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Fair Lawn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Glen Allen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Jose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Glenview</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Florham Park</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Hampton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Luis Obispo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Gurnee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Iselin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Herndon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Mateo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Hoffman Estates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Mahwah</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Norfolk</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Rafael</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Lincolnshire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Morristown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Richmond</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 Ramon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Lisle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Newark</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Sandston</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Santa Ana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Naperville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Paramus</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Sterling</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Santa Clara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Northbrook</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Parsippany</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Tysons Corner</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Ofallon</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Piscataway</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Vienna</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VA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South San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Palatine</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Princeton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Bellevue</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Francisco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Stevenson Ranch</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Peoria</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Ramsey</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Bothell</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Stockton</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Rockford</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Red Bank</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Kirkland</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Susanville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Rolling Meadows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Saddle Brook</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Lynnwood</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Temecula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Rosemont</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Saddle River</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Redmond</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Torrance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Schaumburg</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Short Hills</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Seattle</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Ukiah</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Springfield</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Somerset</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Spokane</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Universal City</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Vernon Hills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Teaneck</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Tacoma</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Valencia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Westmont</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Tinton Falls</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Tukwila</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Van Nuys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Willowbrook</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Warren</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Woodinville</w:t>
            </w: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WA</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8"/>
              </w:rPr>
              <w:t>City</w:t>
            </w:r>
          </w:p>
        </w:tc>
        <w:tc>
          <w:tcPr>
            <w:tcW w:w="1140" w:type="dxa"/>
            <w:vAlign w:val="bottom"/>
            <w:vMerge w:val="restart"/>
          </w:tcPr>
          <w:p>
            <w:pPr>
              <w:spacing w:after="0"/>
              <w:rPr>
                <w:sz w:val="14"/>
                <w:szCs w:val="14"/>
                <w:color w:val="auto"/>
              </w:rPr>
            </w:pPr>
          </w:p>
        </w:tc>
        <w:tc>
          <w:tcPr>
            <w:tcW w:w="4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6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City</w:t>
            </w:r>
          </w:p>
        </w:tc>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7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3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880" w:type="dxa"/>
            <w:vAlign w:val="bottom"/>
            <w:gridSpan w:val="3"/>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30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Guideline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Walnut Creek</w:t>
            </w:r>
          </w:p>
        </w:tc>
        <w:tc>
          <w:tcPr>
            <w:tcW w:w="16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CA</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140" w:type="dxa"/>
            <w:vAlign w:val="bottom"/>
            <w:vMerge w:val="continue"/>
          </w:tcPr>
          <w:p>
            <w:pPr>
              <w:spacing w:after="0"/>
              <w:rPr>
                <w:sz w:val="16"/>
                <w:szCs w:val="16"/>
                <w:color w:val="auto"/>
              </w:rPr>
            </w:pPr>
          </w:p>
        </w:tc>
        <w:tc>
          <w:tcPr>
            <w:tcW w:w="1380" w:type="dxa"/>
            <w:vAlign w:val="bottom"/>
            <w:gridSpan w:val="2"/>
          </w:tcPr>
          <w:p>
            <w:pPr>
              <w:spacing w:after="0" w:line="195" w:lineRule="exact"/>
              <w:rPr>
                <w:sz w:val="20"/>
                <w:szCs w:val="20"/>
                <w:color w:val="auto"/>
              </w:rPr>
            </w:pPr>
            <w:r>
              <w:rPr>
                <w:rFonts w:ascii="Arial" w:cs="Arial" w:eastAsia="Arial" w:hAnsi="Arial"/>
                <w:sz w:val="18"/>
                <w:szCs w:val="18"/>
                <w:color w:val="auto"/>
              </w:rPr>
              <w:t>Bloomington</w:t>
            </w:r>
          </w:p>
        </w:tc>
        <w:tc>
          <w:tcPr>
            <w:tcW w:w="440" w:type="dxa"/>
            <w:vAlign w:val="bottom"/>
            <w:vMerge w:val="continue"/>
          </w:tcPr>
          <w:p>
            <w:pPr>
              <w:spacing w:after="0"/>
              <w:rPr>
                <w:sz w:val="16"/>
                <w:szCs w:val="16"/>
                <w:color w:val="auto"/>
              </w:rPr>
            </w:pPr>
          </w:p>
        </w:tc>
        <w:tc>
          <w:tcPr>
            <w:tcW w:w="240" w:type="dxa"/>
            <w:vAlign w:val="bottom"/>
            <w:gridSpan w:val="2"/>
          </w:tcPr>
          <w:p>
            <w:pPr>
              <w:spacing w:after="0" w:line="195" w:lineRule="exact"/>
              <w:rPr>
                <w:sz w:val="20"/>
                <w:szCs w:val="20"/>
                <w:color w:val="auto"/>
              </w:rPr>
            </w:pPr>
            <w:r>
              <w:rPr>
                <w:rFonts w:ascii="Arial" w:cs="Arial" w:eastAsia="Arial" w:hAnsi="Arial"/>
                <w:sz w:val="18"/>
                <w:szCs w:val="18"/>
                <w:color w:val="auto"/>
              </w:rPr>
              <w:t>IN</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20" w:type="dxa"/>
            <w:vAlign w:val="bottom"/>
            <w:gridSpan w:val="2"/>
          </w:tcPr>
          <w:p>
            <w:pPr>
              <w:spacing w:after="0" w:line="195" w:lineRule="exact"/>
              <w:rPr>
                <w:sz w:val="20"/>
                <w:szCs w:val="20"/>
                <w:color w:val="auto"/>
              </w:rPr>
            </w:pPr>
            <w:r>
              <w:rPr>
                <w:rFonts w:ascii="Arial" w:cs="Arial" w:eastAsia="Arial" w:hAnsi="Arial"/>
                <w:sz w:val="18"/>
                <w:szCs w:val="18"/>
                <w:color w:val="auto"/>
              </w:rPr>
              <w:t>Whippany</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NJ</w:t>
            </w:r>
          </w:p>
        </w:tc>
        <w:tc>
          <w:tcPr>
            <w:tcW w:w="100" w:type="dxa"/>
            <w:vAlign w:val="bottom"/>
            <w:vMerge w:val="continue"/>
          </w:tcPr>
          <w:p>
            <w:pPr>
              <w:spacing w:after="0"/>
              <w:rPr>
                <w:sz w:val="16"/>
                <w:szCs w:val="16"/>
                <w:color w:val="auto"/>
              </w:rPr>
            </w:pPr>
          </w:p>
        </w:tc>
        <w:tc>
          <w:tcPr>
            <w:tcW w:w="58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vMerge w:val="continue"/>
          </w:tcPr>
          <w:p>
            <w:pPr>
              <w:spacing w:after="0"/>
              <w:rPr>
                <w:sz w:val="16"/>
                <w:szCs w:val="16"/>
                <w:color w:val="auto"/>
              </w:rPr>
            </w:pPr>
          </w:p>
        </w:tc>
        <w:tc>
          <w:tcPr>
            <w:tcW w:w="1300" w:type="dxa"/>
            <w:vAlign w:val="bottom"/>
            <w:gridSpan w:val="2"/>
          </w:tcPr>
          <w:p>
            <w:pPr>
              <w:spacing w:after="0" w:line="195" w:lineRule="exact"/>
              <w:rPr>
                <w:sz w:val="20"/>
                <w:szCs w:val="20"/>
                <w:color w:val="auto"/>
              </w:rPr>
            </w:pPr>
            <w:r>
              <w:rPr>
                <w:rFonts w:ascii="Arial" w:cs="Arial" w:eastAsia="Arial" w:hAnsi="Arial"/>
                <w:sz w:val="18"/>
                <w:szCs w:val="18"/>
                <w:color w:val="auto"/>
              </w:rPr>
              <w:t>Green Bay</w:t>
            </w:r>
          </w:p>
        </w:tc>
        <w:tc>
          <w:tcPr>
            <w:tcW w:w="400" w:type="dxa"/>
            <w:vAlign w:val="bottom"/>
            <w:vMerge w:val="continue"/>
          </w:tcPr>
          <w:p>
            <w:pPr>
              <w:spacing w:after="0"/>
              <w:rPr>
                <w:sz w:val="16"/>
                <w:szCs w:val="16"/>
                <w:color w:val="auto"/>
              </w:rPr>
            </w:pPr>
          </w:p>
        </w:tc>
        <w:tc>
          <w:tcPr>
            <w:tcW w:w="380" w:type="dxa"/>
            <w:vAlign w:val="bottom"/>
            <w:gridSpan w:val="2"/>
          </w:tcPr>
          <w:p>
            <w:pPr>
              <w:spacing w:after="0" w:line="195" w:lineRule="exact"/>
              <w:rPr>
                <w:sz w:val="20"/>
                <w:szCs w:val="20"/>
                <w:color w:val="auto"/>
              </w:rPr>
            </w:pPr>
            <w:r>
              <w:rPr>
                <w:rFonts w:ascii="Arial" w:cs="Arial" w:eastAsia="Arial" w:hAnsi="Arial"/>
                <w:sz w:val="18"/>
                <w:szCs w:val="18"/>
                <w:color w:val="auto"/>
              </w:rPr>
              <w:t>WA</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Watsonville</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Carmel</w:t>
            </w:r>
          </w:p>
        </w:tc>
        <w:tc>
          <w:tcPr>
            <w:tcW w:w="680" w:type="dxa"/>
            <w:vAlign w:val="bottom"/>
            <w:gridSpan w:val="3"/>
          </w:tcPr>
          <w:p>
            <w:pPr>
              <w:ind w:left="44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Woodcliff Lake</w:t>
            </w:r>
          </w:p>
        </w:tc>
        <w:tc>
          <w:tcPr>
            <w:tcW w:w="320" w:type="dxa"/>
            <w:vAlign w:val="bottom"/>
            <w:gridSpan w:val="2"/>
          </w:tcPr>
          <w:p>
            <w:pPr>
              <w:spacing w:after="0"/>
              <w:rPr>
                <w:sz w:val="20"/>
                <w:szCs w:val="20"/>
                <w:color w:val="auto"/>
              </w:rPr>
            </w:pPr>
            <w:r>
              <w:rPr>
                <w:rFonts w:ascii="Arial" w:cs="Arial" w:eastAsia="Arial" w:hAnsi="Arial"/>
                <w:sz w:val="18"/>
                <w:szCs w:val="18"/>
                <w:color w:val="auto"/>
              </w:rPr>
              <w:t>NJ</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Kenosha</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7"/>
              </w:rPr>
              <w:t>West Sacramento</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Columbus</w:t>
            </w:r>
          </w:p>
        </w:tc>
        <w:tc>
          <w:tcPr>
            <w:tcW w:w="680" w:type="dxa"/>
            <w:vAlign w:val="bottom"/>
            <w:gridSpan w:val="3"/>
          </w:tcPr>
          <w:p>
            <w:pPr>
              <w:ind w:left="44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Henderson</w:t>
            </w:r>
          </w:p>
        </w:tc>
        <w:tc>
          <w:tcPr>
            <w:tcW w:w="320" w:type="dxa"/>
            <w:vAlign w:val="bottom"/>
            <w:gridSpan w:val="2"/>
          </w:tcPr>
          <w:p>
            <w:pPr>
              <w:spacing w:after="0"/>
              <w:rPr>
                <w:sz w:val="20"/>
                <w:szCs w:val="20"/>
                <w:color w:val="auto"/>
              </w:rPr>
            </w:pPr>
            <w:r>
              <w:rPr>
                <w:rFonts w:ascii="Arial" w:cs="Arial" w:eastAsia="Arial" w:hAnsi="Arial"/>
                <w:sz w:val="18"/>
                <w:szCs w:val="18"/>
                <w:color w:val="auto"/>
              </w:rPr>
              <w:t>NV</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Kimberly</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Willits</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Fishers</w:t>
            </w:r>
          </w:p>
        </w:tc>
        <w:tc>
          <w:tcPr>
            <w:tcW w:w="680" w:type="dxa"/>
            <w:vAlign w:val="bottom"/>
            <w:gridSpan w:val="3"/>
          </w:tcPr>
          <w:p>
            <w:pPr>
              <w:ind w:left="44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Las Vegas</w:t>
            </w:r>
          </w:p>
        </w:tc>
        <w:tc>
          <w:tcPr>
            <w:tcW w:w="320" w:type="dxa"/>
            <w:vAlign w:val="bottom"/>
            <w:gridSpan w:val="2"/>
          </w:tcPr>
          <w:p>
            <w:pPr>
              <w:spacing w:after="0"/>
              <w:rPr>
                <w:sz w:val="20"/>
                <w:szCs w:val="20"/>
                <w:color w:val="auto"/>
              </w:rPr>
            </w:pPr>
            <w:r>
              <w:rPr>
                <w:rFonts w:ascii="Arial" w:cs="Arial" w:eastAsia="Arial" w:hAnsi="Arial"/>
                <w:sz w:val="18"/>
                <w:szCs w:val="18"/>
                <w:color w:val="auto"/>
              </w:rPr>
              <w:t>NV</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Madison</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Woodland</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Indianaplis</w:t>
            </w:r>
          </w:p>
        </w:tc>
        <w:tc>
          <w:tcPr>
            <w:tcW w:w="680" w:type="dxa"/>
            <w:vAlign w:val="bottom"/>
            <w:gridSpan w:val="3"/>
          </w:tcPr>
          <w:p>
            <w:pPr>
              <w:ind w:left="44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Pahrump</w:t>
            </w:r>
          </w:p>
        </w:tc>
        <w:tc>
          <w:tcPr>
            <w:tcW w:w="320" w:type="dxa"/>
            <w:vAlign w:val="bottom"/>
            <w:gridSpan w:val="2"/>
          </w:tcPr>
          <w:p>
            <w:pPr>
              <w:spacing w:after="0"/>
              <w:rPr>
                <w:sz w:val="20"/>
                <w:szCs w:val="20"/>
                <w:color w:val="auto"/>
              </w:rPr>
            </w:pPr>
            <w:r>
              <w:rPr>
                <w:rFonts w:ascii="Arial" w:cs="Arial" w:eastAsia="Arial" w:hAnsi="Arial"/>
                <w:sz w:val="18"/>
                <w:szCs w:val="18"/>
                <w:color w:val="auto"/>
              </w:rPr>
              <w:t>NV</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Mukwonago</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Yorba Linda</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Muncie</w:t>
            </w:r>
          </w:p>
        </w:tc>
        <w:tc>
          <w:tcPr>
            <w:tcW w:w="680" w:type="dxa"/>
            <w:vAlign w:val="bottom"/>
            <w:gridSpan w:val="3"/>
          </w:tcPr>
          <w:p>
            <w:pPr>
              <w:ind w:left="44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Reno</w:t>
            </w:r>
          </w:p>
        </w:tc>
        <w:tc>
          <w:tcPr>
            <w:tcW w:w="320" w:type="dxa"/>
            <w:vAlign w:val="bottom"/>
            <w:gridSpan w:val="2"/>
          </w:tcPr>
          <w:p>
            <w:pPr>
              <w:spacing w:after="0"/>
              <w:rPr>
                <w:sz w:val="20"/>
                <w:szCs w:val="20"/>
                <w:color w:val="auto"/>
              </w:rPr>
            </w:pPr>
            <w:r>
              <w:rPr>
                <w:rFonts w:ascii="Arial" w:cs="Arial" w:eastAsia="Arial" w:hAnsi="Arial"/>
                <w:sz w:val="18"/>
                <w:szCs w:val="18"/>
                <w:color w:val="auto"/>
              </w:rPr>
              <w:t>NV</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Oshkosh</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Albany</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Pewaukee</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Cheektowaga</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Waukesha</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Fishkill</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Wauwatosa</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WI</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Jamaica</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Beckley</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WV</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New York</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Charleston</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WV</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Plainview</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Hurricane</w:t>
            </w:r>
          </w:p>
        </w:tc>
        <w:tc>
          <w:tcPr>
            <w:tcW w:w="780" w:type="dxa"/>
            <w:vAlign w:val="bottom"/>
            <w:gridSpan w:val="3"/>
          </w:tcPr>
          <w:p>
            <w:pPr>
              <w:ind w:left="400"/>
              <w:spacing w:after="0"/>
              <w:rPr>
                <w:sz w:val="20"/>
                <w:szCs w:val="20"/>
                <w:color w:val="auto"/>
              </w:rPr>
            </w:pPr>
            <w:r>
              <w:rPr>
                <w:rFonts w:ascii="Arial" w:cs="Arial" w:eastAsia="Arial" w:hAnsi="Arial"/>
                <w:sz w:val="18"/>
                <w:szCs w:val="18"/>
                <w:color w:val="auto"/>
              </w:rPr>
              <w:t>WV</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color w:val="auto"/>
              </w:rPr>
              <w:t>Rochester</w:t>
            </w:r>
          </w:p>
        </w:tc>
        <w:tc>
          <w:tcPr>
            <w:tcW w:w="320" w:type="dxa"/>
            <w:vAlign w:val="bottom"/>
            <w:gridSpan w:val="2"/>
          </w:tcPr>
          <w:p>
            <w:pPr>
              <w:spacing w:after="0"/>
              <w:rPr>
                <w:sz w:val="20"/>
                <w:szCs w:val="20"/>
                <w:color w:val="auto"/>
              </w:rPr>
            </w:pPr>
            <w:r>
              <w:rPr>
                <w:rFonts w:ascii="Arial" w:cs="Arial" w:eastAsia="Arial" w:hAnsi="Arial"/>
                <w:sz w:val="18"/>
                <w:szCs w:val="18"/>
                <w:color w:val="auto"/>
              </w:rPr>
              <w:t>NY</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 Process and Measurements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Appendix 11, Service Level Agreement Process and Measurements, shall apply to any Work Orders that specifically include Service Level Agreements (“SLAs”) and Key Performance Indicators (“KPIs”).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objective of this Service Level model is to provide efficient measurement of the quality of the information technology services provided by Amdocs to AT&amp;T.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Service Levels consist of two components: Service Level Agreements (SLAs) and Key Performance Indicators (KPIs).</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Service Levels, together with the applicable service level credits (“Service Level Credits”) and target definitions (“Service Level Targets”), will be specified in individual Work Orders. This Appendix defines the process to make additions, changes or deletions to service levels definitions, in the Work Orders that specify applicable SLAs and/or KPIs, as well as other provisions generally applicable to Work Orders that include Service Levels.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Service Levels will be measured using a “Green-Yellow-Red” traffic light mechanism (the “GYR State”), with “Green” representing the “Expected Level” of performance and “Red” representing performance below the “Minimum Level”.</w:t>
      </w:r>
    </w:p>
    <w:p>
      <w:pPr>
        <w:spacing w:after="0" w:line="315"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Additions, Deletions and Modifications of Service Levels</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New SLAs and KPIs may be added, deleted or modified per written agreement between AT&amp;T and Amdocs. The changes may include the movement of SLAs to KPIs or KPIs to SLAs, or modifications to individual SLA targets or credit allocations.</w:t>
      </w:r>
    </w:p>
    <w:p>
      <w:pPr>
        <w:spacing w:after="0" w:line="62"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Additions or substitutions may occur in conjunction with changes to the environment and the introduction of new equipment or software or means of service delivery.</w:t>
      </w:r>
    </w:p>
    <w:p>
      <w:pPr>
        <w:spacing w:after="0" w:line="62"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Additions, deletions and modifications to Service Levels may only be proposed thru the “Functional Committee” (as defined in the Governance Model) for evaluation and consideration of AT&amp;T and Amdocs. Either party may propose changes to the service levels.</w:t>
      </w:r>
    </w:p>
    <w:p>
      <w:pPr>
        <w:spacing w:after="0" w:line="62"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Both Parties will jointly analyze the impact of the proposed Service Level change, if any, to AT&amp;T’s business, the financial / cost impacts to Amdocs and AT&amp;T of such change, the impact to environment infrastructure and other relevant impacts. On the basis of the results of such analysis, the Parties may agree to make appropriate changes by written amendment to the terms and conditions of the applicable Work Order.</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effective date for any Service Level change will be as determined per written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Process for Additions, Modifications and Deletions of SLAs</w:t>
      </w:r>
    </w:p>
    <w:p>
      <w:pPr>
        <w:spacing w:after="0" w:line="121"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process for setting Service Level Targets is applicable for new SLA and KPIs added to Work Orders per agreement, as well for the SLAs and KPIs defined in the Work Orders that may not have defined Service Level Targets as of the applicable effective date.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Additions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those Service Levels that do not have established Service Level Targets:</w:t>
      </w:r>
    </w:p>
    <w:p>
      <w:pPr>
        <w:spacing w:after="0" w:line="131" w:lineRule="exact"/>
        <w:rPr>
          <w:sz w:val="20"/>
          <w:szCs w:val="20"/>
          <w:color w:val="auto"/>
        </w:rPr>
      </w:pPr>
    </w:p>
    <w:p>
      <w:pPr>
        <w:ind w:left="1020" w:right="20" w:hanging="566"/>
        <w:spacing w:after="0" w:line="264" w:lineRule="auto"/>
        <w:tabs>
          <w:tab w:leader="none" w:pos="1000" w:val="left"/>
        </w:tabs>
        <w:rPr>
          <w:sz w:val="20"/>
          <w:szCs w:val="20"/>
          <w:color w:val="auto"/>
        </w:rPr>
      </w:pPr>
      <w:r>
        <w:rPr>
          <w:rFonts w:ascii="Arial" w:cs="Arial" w:eastAsia="Arial" w:hAnsi="Arial"/>
          <w:sz w:val="18"/>
          <w:szCs w:val="18"/>
          <w:color w:val="auto"/>
        </w:rPr>
        <w:t>2.1.1.</w:t>
        <w:tab/>
        <w:t>The Parties shall attempt in good faith to agree during a [**] day period on an Expected Service Level and a Minimum Service Level using, as appropriate, industry standard measures or third-party advisory services (e.g., Gartner Group, Yankee Group) or other AT&amp;T groups performing similar application development and maintenance.</w:t>
      </w:r>
    </w:p>
    <w:p>
      <w:pPr>
        <w:spacing w:after="0" w:line="87" w:lineRule="exact"/>
        <w:rPr>
          <w:sz w:val="20"/>
          <w:szCs w:val="20"/>
          <w:color w:val="auto"/>
        </w:rPr>
      </w:pPr>
    </w:p>
    <w:p>
      <w:pPr>
        <w:ind w:left="1020" w:right="180" w:hanging="566"/>
        <w:spacing w:after="0" w:line="276" w:lineRule="auto"/>
        <w:tabs>
          <w:tab w:leader="none" w:pos="10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In the event that the Parties have been unable to agree pursuant to paragraph 2.1.1 above, then, where at least [**] of service measurements exist for a particular Service, in a comparable environment and operating model, the [**] monthly service measurements for the [**] measurement period shall be excluded; the Expected Service Level shall then be defined as the average of the remaining [**] monthly service measurements; and the Minimum Service Level shall be defined as the average of the lowest [**] of the remaining [**] monthly service measurements; or for Release based service measurements will be based on historical data for [**].</w:t>
      </w:r>
    </w:p>
    <w:p>
      <w:pPr>
        <w:spacing w:after="0" w:line="78" w:lineRule="exact"/>
        <w:rPr>
          <w:sz w:val="20"/>
          <w:szCs w:val="20"/>
          <w:color w:val="auto"/>
        </w:rPr>
      </w:pPr>
    </w:p>
    <w:p>
      <w:pPr>
        <w:ind w:left="1020" w:right="140" w:hanging="566"/>
        <w:spacing w:after="0" w:line="308" w:lineRule="auto"/>
        <w:tabs>
          <w:tab w:leader="none" w:pos="10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Where no measurements exist for a particular Service (pursuant to paragraph 2.1.2), and the Parties fail to agree on an Expected Service Level and a Minimum Service Level using industry standard measures as described above, the Parties shall do the following:</w:t>
      </w:r>
    </w:p>
    <w:p>
      <w:pPr>
        <w:spacing w:after="0" w:line="52" w:lineRule="exact"/>
        <w:rPr>
          <w:sz w:val="20"/>
          <w:szCs w:val="20"/>
          <w:color w:val="auto"/>
        </w:rPr>
      </w:pPr>
    </w:p>
    <w:p>
      <w:pPr>
        <w:jc w:val="both"/>
        <w:ind w:left="1940" w:right="20" w:hanging="904"/>
        <w:spacing w:after="0" w:line="264" w:lineRule="auto"/>
        <w:tabs>
          <w:tab w:leader="none" w:pos="192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8"/>
          <w:szCs w:val="18"/>
          <w:color w:val="auto"/>
        </w:rPr>
        <w:t>Amdocs shall begin providing [**] measurements within [**] days for [**] measurements and at the completion of the next release for release based measurements after Amdocs’ receipt of AT&amp;T’s written request and subject to agreement on such measurements in accordance with the Change Management Procedures.</w:t>
      </w:r>
    </w:p>
    <w:p>
      <w:pPr>
        <w:spacing w:after="0" w:line="87" w:lineRule="exact"/>
        <w:rPr>
          <w:sz w:val="20"/>
          <w:szCs w:val="20"/>
          <w:color w:val="auto"/>
        </w:rPr>
      </w:pPr>
    </w:p>
    <w:p>
      <w:pPr>
        <w:ind w:left="1940" w:right="280" w:hanging="904"/>
        <w:spacing w:after="0" w:line="264" w:lineRule="auto"/>
        <w:tabs>
          <w:tab w:leader="none" w:pos="1920" w:val="left"/>
        </w:tabs>
        <w:rPr>
          <w:sz w:val="20"/>
          <w:szCs w:val="20"/>
          <w:color w:val="auto"/>
        </w:rPr>
      </w:pPr>
      <w:r>
        <w:rPr>
          <w:rFonts w:ascii="Arial" w:cs="Arial" w:eastAsia="Arial" w:hAnsi="Arial"/>
          <w:sz w:val="18"/>
          <w:szCs w:val="18"/>
          <w:color w:val="auto"/>
        </w:rPr>
        <w:t>2.1.3.2.</w:t>
      </w:r>
      <w:r>
        <w:rPr>
          <w:sz w:val="20"/>
          <w:szCs w:val="20"/>
          <w:color w:val="auto"/>
        </w:rPr>
        <w:tab/>
      </w:r>
      <w:r>
        <w:rPr>
          <w:rFonts w:ascii="Arial" w:cs="Arial" w:eastAsia="Arial" w:hAnsi="Arial"/>
          <w:sz w:val="18"/>
          <w:szCs w:val="18"/>
          <w:color w:val="auto"/>
        </w:rPr>
        <w:t>After [**] actual Service Level attainments for monthly measurements and [**] for release based measurements have been measured, or should have been measured AT&amp;T may at any time in writing request that Expected Service Levels and Minimum Service Levels be put into effect based on paragraph 2.1.2 above.</w:t>
      </w:r>
    </w:p>
    <w:p>
      <w:pPr>
        <w:spacing w:after="0" w:line="87" w:lineRule="exact"/>
        <w:rPr>
          <w:sz w:val="20"/>
          <w:szCs w:val="20"/>
          <w:color w:val="auto"/>
        </w:rPr>
      </w:pPr>
    </w:p>
    <w:p>
      <w:pPr>
        <w:ind w:left="2380" w:right="160" w:hanging="441"/>
        <w:spacing w:after="0" w:line="277" w:lineRule="auto"/>
        <w:tabs>
          <w:tab w:leader="none" w:pos="2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Amdocs is responsible for measuring actual Service Level attainments and fails to provide [**] measurements during the measurement period measurements shall be constructed according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35" w:name="page236"/>
    <w:bookmarkEnd w:id="23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81" w:lineRule="exact"/>
        <w:rPr>
          <w:sz w:val="20"/>
          <w:szCs w:val="20"/>
          <w:color w:val="auto"/>
        </w:rPr>
      </w:pPr>
    </w:p>
    <w:p>
      <w:pPr>
        <w:ind w:left="2400" w:right="40"/>
        <w:spacing w:after="0" w:line="277" w:lineRule="auto"/>
        <w:rPr>
          <w:sz w:val="20"/>
          <w:szCs w:val="20"/>
          <w:color w:val="auto"/>
        </w:rPr>
      </w:pPr>
      <w:r>
        <w:rPr>
          <w:rFonts w:ascii="Arial" w:cs="Arial" w:eastAsia="Arial" w:hAnsi="Arial"/>
          <w:sz w:val="18"/>
          <w:szCs w:val="18"/>
          <w:color w:val="auto"/>
        </w:rPr>
        <w:t>the following: if [**] measurement is missing, the missing measurement shall be constructed by using the highest of the [**] actual measurements; or</w:t>
      </w:r>
    </w:p>
    <w:p>
      <w:pPr>
        <w:spacing w:after="0" w:line="76" w:lineRule="exact"/>
        <w:rPr>
          <w:sz w:val="20"/>
          <w:szCs w:val="20"/>
          <w:color w:val="auto"/>
        </w:rPr>
      </w:pPr>
    </w:p>
    <w:p>
      <w:pPr>
        <w:ind w:left="2380" w:right="40" w:hanging="441"/>
        <w:spacing w:after="0" w:line="279" w:lineRule="auto"/>
        <w:tabs>
          <w:tab w:leader="none" w:pos="23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 or more measurements are missing, the first missing measurement shall be constructed by using the highest of the actual measurements and adding to that measurement [**]of the difference between that measurement and [**] and each of the remaining missing measurements shall be constructed by using the highest of the actual measurements and adding to that measurement [**] of the difference between that measurement and [**].</w:t>
      </w:r>
    </w:p>
    <w:p>
      <w:pPr>
        <w:spacing w:after="0" w:line="77" w:lineRule="exact"/>
        <w:rPr>
          <w:sz w:val="20"/>
          <w:szCs w:val="20"/>
          <w:color w:val="auto"/>
        </w:rPr>
      </w:pPr>
    </w:p>
    <w:p>
      <w:pPr>
        <w:ind w:left="2380" w:right="320"/>
        <w:spacing w:after="0" w:line="277" w:lineRule="auto"/>
        <w:rPr>
          <w:sz w:val="20"/>
          <w:szCs w:val="20"/>
          <w:color w:val="auto"/>
        </w:rPr>
      </w:pPr>
      <w:r>
        <w:rPr>
          <w:rFonts w:ascii="Arial" w:cs="Arial" w:eastAsia="Arial" w:hAnsi="Arial"/>
          <w:sz w:val="18"/>
          <w:szCs w:val="18"/>
          <w:color w:val="auto"/>
        </w:rPr>
        <w:t>(By way of example, if there were [**] measurements for a particular Service available, and the highest of [**] was [**], then the measurements for the missing [**] would be deemed to [**].)</w:t>
      </w:r>
    </w:p>
    <w:p>
      <w:pPr>
        <w:spacing w:after="0" w:line="62" w:lineRule="exact"/>
        <w:rPr>
          <w:sz w:val="20"/>
          <w:szCs w:val="20"/>
          <w:color w:val="auto"/>
        </w:rPr>
      </w:pPr>
    </w:p>
    <w:p>
      <w:pPr>
        <w:ind w:left="1940" w:right="120"/>
        <w:spacing w:after="0" w:line="264" w:lineRule="auto"/>
        <w:rPr>
          <w:sz w:val="20"/>
          <w:szCs w:val="20"/>
          <w:color w:val="auto"/>
        </w:rPr>
      </w:pPr>
      <w:r>
        <w:rPr>
          <w:rFonts w:ascii="Arial" w:cs="Arial" w:eastAsia="Arial" w:hAnsi="Arial"/>
          <w:sz w:val="18"/>
          <w:szCs w:val="18"/>
          <w:color w:val="auto"/>
        </w:rPr>
        <w:t>Notwithstanding the foregoing, in the case of a Service Level attainment measure for which there is no activity for one or more months, [**] measurement period may be extended for up to [**] for the collection of performance measurements (whether or not in consecutive [**]), and</w:t>
      </w:r>
    </w:p>
    <w:p>
      <w:pPr>
        <w:spacing w:after="0" w:line="87" w:lineRule="exact"/>
        <w:rPr>
          <w:sz w:val="20"/>
          <w:szCs w:val="20"/>
          <w:color w:val="auto"/>
        </w:rPr>
      </w:pPr>
    </w:p>
    <w:p>
      <w:pPr>
        <w:ind w:left="2960" w:hanging="562"/>
        <w:spacing w:after="0"/>
        <w:tabs>
          <w:tab w:leader="none" w:pos="29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if there shall be [**] of measurements available, the calculation shall be as described in paragraph 2.1.2; and</w:t>
      </w:r>
    </w:p>
    <w:p>
      <w:pPr>
        <w:spacing w:after="0" w:line="142" w:lineRule="exact"/>
        <w:rPr>
          <w:rFonts w:ascii="Arial" w:cs="Arial" w:eastAsia="Arial" w:hAnsi="Arial"/>
          <w:sz w:val="17"/>
          <w:szCs w:val="17"/>
          <w:color w:val="auto"/>
        </w:rPr>
      </w:pPr>
    </w:p>
    <w:p>
      <w:pPr>
        <w:ind w:left="2960" w:right="100" w:hanging="562"/>
        <w:spacing w:after="0" w:line="277" w:lineRule="auto"/>
        <w:tabs>
          <w:tab w:leader="none" w:pos="2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there shall be [**] of measurements available (but not [**], the calculation shall be consistent with the procedures in paragraph 2.1.2, but without the removal of highest and lowest measures.</w:t>
      </w:r>
    </w:p>
    <w:p>
      <w:pPr>
        <w:spacing w:after="0" w:line="62" w:lineRule="exact"/>
        <w:rPr>
          <w:sz w:val="20"/>
          <w:szCs w:val="20"/>
          <w:color w:val="auto"/>
        </w:rPr>
      </w:pPr>
    </w:p>
    <w:p>
      <w:pPr>
        <w:jc w:val="both"/>
        <w:ind w:left="1940" w:right="80"/>
        <w:spacing w:after="0" w:line="264"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Certain SLAs and KPIs may not be measured against an objective of [**], respectively, are the appropriate objectives. The calculations described in this Appendix will be modified as appropriate to reflect these objectives. For example, if the SLA or KPI involved failures in lines of code where [**]”</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Promotions and Demotions</w:t>
      </w:r>
    </w:p>
    <w:p>
      <w:pPr>
        <w:spacing w:after="0" w:line="121"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AT&amp;T and Amdocs may agree in writing to designate existing SLAs as KPIs and promote existing KPIs to SLAs. The parties may agree in writing to make changes to the Service Level Credit allocations for any SLA including changes in connection with the addition or deletion of SLAs or KPIs. A KPI that is subject to the foregoing plan requirement and is promoted to be a SLA will not be subject to Service Level Credits until agreed to by both Parties.</w:t>
      </w:r>
    </w:p>
    <w:p>
      <w:pPr>
        <w:spacing w:after="0" w:line="3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Deletions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AT&amp;T and Amdocs may delete SLAs per written agreement. Both Parties will jointly revise the service credit allocations across the remaining SLAs.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Impact of Additions, Modifications and Deletions of SLAs on Service Level Credit Allocations</w:t>
      </w:r>
    </w:p>
    <w:p>
      <w:pPr>
        <w:spacing w:after="0" w:line="121"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When adding, modifying or deleting a SLA, the Service Level Credit allocation for the SLAs may be modified. If a SLA is added but is not assigned a Service Level Credit, then the Service Level credit percentage for such added SLA shall be [**] until such time as Service Level Credit is assigned.</w:t>
      </w:r>
    </w:p>
    <w:p>
      <w:pPr>
        <w:spacing w:after="0" w:line="268"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Additions and Deletions of KPIs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AT&amp;T and Amdocs may jointly agree to add or delete KPIs as follows: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Additions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Service Levels and Minimum Service Levels associated with added KPIs will be computed as follows:</w:t>
      </w:r>
    </w:p>
    <w:p>
      <w:pPr>
        <w:spacing w:after="0" w:line="131" w:lineRule="exact"/>
        <w:rPr>
          <w:sz w:val="20"/>
          <w:szCs w:val="20"/>
          <w:color w:val="auto"/>
        </w:rPr>
      </w:pPr>
    </w:p>
    <w:p>
      <w:pPr>
        <w:ind w:left="1020" w:right="60" w:hanging="566"/>
        <w:spacing w:after="0" w:line="308" w:lineRule="auto"/>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The Parties shall attempt in good faith to agree during a [**] on an Expected Service Level using, as appropriate, industry standard measures or third-party advisory services [**] or other AT&amp;T groups performing similar application development and maintenance.</w:t>
      </w:r>
    </w:p>
    <w:p>
      <w:pPr>
        <w:spacing w:after="0" w:line="52" w:lineRule="exact"/>
        <w:rPr>
          <w:sz w:val="20"/>
          <w:szCs w:val="20"/>
          <w:color w:val="auto"/>
        </w:rPr>
      </w:pPr>
    </w:p>
    <w:p>
      <w:pPr>
        <w:ind w:left="1020" w:right="20" w:hanging="566"/>
        <w:spacing w:after="0" w:line="279" w:lineRule="auto"/>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In the event the Parties have been unable to agree pursuant to paragraph 3.1.1 above, then, [**] of service exist for a particular Service, in a comparable environment and operating model, the [**] monthly service measurements for the [**] measurement period shall be excluded, the Expected Service Level shall then be defined as the average of the [**] service measurements and the shall be defined as the average of the [**] service measurements; or for release based service measurements will be based on historical data for [**].</w:t>
      </w:r>
    </w:p>
    <w:p>
      <w:pPr>
        <w:spacing w:after="0" w:line="77" w:lineRule="exact"/>
        <w:rPr>
          <w:sz w:val="20"/>
          <w:szCs w:val="20"/>
          <w:color w:val="auto"/>
        </w:rPr>
      </w:pPr>
    </w:p>
    <w:p>
      <w:pPr>
        <w:ind w:left="1020" w:right="200" w:hanging="566"/>
        <w:spacing w:after="0" w:line="277" w:lineRule="auto"/>
        <w:tabs>
          <w:tab w:leader="none" w:pos="1000" w:val="left"/>
        </w:tabs>
        <w:rPr>
          <w:sz w:val="20"/>
          <w:szCs w:val="20"/>
          <w:color w:val="auto"/>
        </w:rPr>
      </w:pPr>
      <w:r>
        <w:rPr>
          <w:rFonts w:ascii="Arial" w:cs="Arial" w:eastAsia="Arial" w:hAnsi="Arial"/>
          <w:sz w:val="18"/>
          <w:szCs w:val="18"/>
          <w:color w:val="auto"/>
        </w:rPr>
        <w:t>3.1.3.</w:t>
        <w:tab/>
        <w:t>Where the Parties fail to agree (pursuant to paragraph 3.1.1) and no measurements exist for a particular Service (pursuant to paragraph 3.1.2), the Parties shall do the following:</w:t>
      </w:r>
    </w:p>
    <w:p>
      <w:pPr>
        <w:spacing w:after="0" w:line="76" w:lineRule="exact"/>
        <w:rPr>
          <w:sz w:val="20"/>
          <w:szCs w:val="20"/>
          <w:color w:val="auto"/>
        </w:rPr>
      </w:pPr>
    </w:p>
    <w:p>
      <w:pPr>
        <w:jc w:val="both"/>
        <w:ind w:left="1020" w:right="160" w:hanging="566"/>
        <w:spacing w:after="0" w:line="264" w:lineRule="auto"/>
        <w:tabs>
          <w:tab w:leader="none" w:pos="1000" w:val="left"/>
        </w:tabs>
        <w:rPr>
          <w:sz w:val="20"/>
          <w:szCs w:val="20"/>
          <w:color w:val="auto"/>
        </w:rPr>
      </w:pPr>
      <w:r>
        <w:rPr>
          <w:rFonts w:ascii="Arial" w:cs="Arial" w:eastAsia="Arial" w:hAnsi="Arial"/>
          <w:sz w:val="18"/>
          <w:szCs w:val="18"/>
          <w:color w:val="auto"/>
        </w:rPr>
        <w:t>3.1.4.</w:t>
        <w:tab/>
        <w:t>Amdocs shall begin providing [**] measurements within [**] for monthly measurements and at the completion of the next release for release based measurements after Amdocs’ receipt of AT&amp;T’s written request and subject to agreement on such measurements in accordance with the Change Management Procedures.</w:t>
      </w:r>
    </w:p>
    <w:p>
      <w:pPr>
        <w:spacing w:after="0" w:line="87" w:lineRule="exact"/>
        <w:rPr>
          <w:sz w:val="20"/>
          <w:szCs w:val="20"/>
          <w:color w:val="auto"/>
        </w:rPr>
      </w:pPr>
    </w:p>
    <w:p>
      <w:pPr>
        <w:ind w:left="1020" w:right="40" w:hanging="566"/>
        <w:spacing w:after="0" w:line="308" w:lineRule="auto"/>
        <w:tabs>
          <w:tab w:leader="none" w:pos="10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 actual Service Level attainments for [**] measurements and [**] based measurements have been measured, or should have been measured, AT&amp;T may at any time in writing request that Expected Service Levels be put into effect based on paragraph 3.1.2 above.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7" w:name="page238"/>
    <w:bookmarkEnd w:id="237"/>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81" w:lineRule="exact"/>
        <w:rPr>
          <w:sz w:val="20"/>
          <w:szCs w:val="20"/>
          <w:color w:val="auto"/>
        </w:rPr>
      </w:pPr>
    </w:p>
    <w:p>
      <w:pPr>
        <w:ind w:left="1020" w:right="1040" w:hanging="566"/>
        <w:spacing w:after="0" w:line="277" w:lineRule="auto"/>
        <w:tabs>
          <w:tab w:leader="none" w:pos="1000" w:val="left"/>
        </w:tabs>
        <w:rPr>
          <w:sz w:val="20"/>
          <w:szCs w:val="20"/>
          <w:color w:val="auto"/>
        </w:rPr>
      </w:pPr>
      <w:r>
        <w:rPr>
          <w:rFonts w:ascii="Arial" w:cs="Arial" w:eastAsia="Arial" w:hAnsi="Arial"/>
          <w:sz w:val="18"/>
          <w:szCs w:val="18"/>
          <w:color w:val="auto"/>
        </w:rPr>
        <w:t>3.1.6.</w:t>
        <w:tab/>
        <w:t>If Amdocs is responsible for measuring actual Service Level attainments and fails to provide [**] during the measurement period, measurements shall be constructed according to the following:</w:t>
      </w:r>
    </w:p>
    <w:p>
      <w:pPr>
        <w:spacing w:after="0" w:line="76" w:lineRule="exact"/>
        <w:rPr>
          <w:sz w:val="20"/>
          <w:szCs w:val="20"/>
          <w:color w:val="auto"/>
        </w:rPr>
      </w:pPr>
    </w:p>
    <w:p>
      <w:pPr>
        <w:ind w:left="1940" w:hanging="906"/>
        <w:spacing w:after="0"/>
        <w:tabs>
          <w:tab w:leader="none" w:pos="19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 is missing, the missing measurement shall be constructed by using the highest of the [**]; or</w:t>
      </w:r>
    </w:p>
    <w:p>
      <w:pPr>
        <w:spacing w:after="0" w:line="130" w:lineRule="exact"/>
        <w:rPr>
          <w:rFonts w:ascii="Arial" w:cs="Arial" w:eastAsia="Arial" w:hAnsi="Arial"/>
          <w:sz w:val="18"/>
          <w:szCs w:val="18"/>
          <w:color w:val="auto"/>
        </w:rPr>
      </w:pPr>
    </w:p>
    <w:p>
      <w:pPr>
        <w:ind w:left="1940" w:right="420" w:hanging="906"/>
        <w:spacing w:after="0" w:line="375" w:lineRule="auto"/>
        <w:tabs>
          <w:tab w:leader="none" w:pos="193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 are missing, the first missing measurement shall be constructed by using the [**] and adding to that measurement [**]. (By way of example, if there were [**] for a particular Service, and the [**].)</w:t>
      </w:r>
    </w:p>
    <w:p>
      <w:pPr>
        <w:spacing w:after="0" w:line="1" w:lineRule="exact"/>
        <w:rPr>
          <w:sz w:val="20"/>
          <w:szCs w:val="20"/>
          <w:color w:val="auto"/>
        </w:rPr>
      </w:pPr>
    </w:p>
    <w:p>
      <w:pPr>
        <w:ind w:left="1040" w:right="320"/>
        <w:spacing w:after="0" w:line="342" w:lineRule="auto"/>
        <w:rPr>
          <w:sz w:val="20"/>
          <w:szCs w:val="20"/>
          <w:color w:val="auto"/>
        </w:rPr>
      </w:pPr>
      <w:r>
        <w:rPr>
          <w:rFonts w:ascii="Arial" w:cs="Arial" w:eastAsia="Arial" w:hAnsi="Arial"/>
          <w:sz w:val="16"/>
          <w:szCs w:val="16"/>
          <w:color w:val="auto"/>
        </w:rPr>
        <w:t>Notwithstanding the foregoing, in the case of a Service Level attainment measure for which there is no activity for [**], at AT&amp;T’s election such [**] may be extended for [**] for the collection of performance measurements (whether or not in consecutive months), and</w:t>
      </w:r>
    </w:p>
    <w:p>
      <w:pPr>
        <w:spacing w:after="0" w:line="29" w:lineRule="exact"/>
        <w:rPr>
          <w:sz w:val="20"/>
          <w:szCs w:val="20"/>
          <w:color w:val="auto"/>
        </w:rPr>
      </w:pPr>
    </w:p>
    <w:p>
      <w:pPr>
        <w:ind w:left="1940" w:hanging="906"/>
        <w:spacing w:after="0"/>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there shall be [**] of measurements available, the calculation shall be as described in paragraph 3.1.2; and</w:t>
      </w:r>
    </w:p>
    <w:p>
      <w:pPr>
        <w:spacing w:after="0" w:line="130" w:lineRule="exact"/>
        <w:rPr>
          <w:rFonts w:ascii="Arial" w:cs="Arial" w:eastAsia="Arial" w:hAnsi="Arial"/>
          <w:sz w:val="18"/>
          <w:szCs w:val="18"/>
          <w:color w:val="auto"/>
        </w:rPr>
      </w:pPr>
    </w:p>
    <w:p>
      <w:pPr>
        <w:ind w:left="1940" w:right="440" w:hanging="906"/>
        <w:spacing w:after="0" w:line="277" w:lineRule="auto"/>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there shall [**] of measurements available (but not [**] the calculation shall be consistent with the procedures in paragraph 3.1.2, but without the removal of highest and lowest measures.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Deletions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AT&amp;T and Amdocs may delete KPIs per written agreement.</w:t>
      </w:r>
    </w:p>
    <w:p>
      <w:pPr>
        <w:spacing w:after="0" w:line="370"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Problem Analysis</w:t>
      </w:r>
    </w:p>
    <w:p>
      <w:pPr>
        <w:spacing w:after="0" w:line="121"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Amdocs fails to provide Services in accordance with the Service Levels and this Agreement, Amdocs shall (after restoring service or otherwise resolving any immediate problem):</w:t>
      </w:r>
    </w:p>
    <w:p>
      <w:pPr>
        <w:spacing w:after="0" w:line="75" w:lineRule="exact"/>
        <w:rPr>
          <w:rFonts w:ascii="Arial" w:cs="Arial" w:eastAsia="Arial" w:hAnsi="Arial"/>
          <w:sz w:val="18"/>
          <w:szCs w:val="18"/>
          <w:b w:val="1"/>
          <w:bCs w:val="1"/>
          <w:color w:val="auto"/>
        </w:rPr>
      </w:pPr>
    </w:p>
    <w:p>
      <w:pPr>
        <w:ind w:left="1020" w:hanging="566"/>
        <w:spacing w:after="0"/>
        <w:tabs>
          <w:tab w:leader="none" w:pos="10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promptly investigate and report on the causes of the problem;</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provide an analysis of the root cause of such failure (“Root Cause Analysis”) as soon as practicable, after such failure or AT&amp;T’s request;</w:t>
      </w:r>
    </w:p>
    <w:p>
      <w:pPr>
        <w:spacing w:after="0" w:line="142" w:lineRule="exact"/>
        <w:rPr>
          <w:rFonts w:ascii="Arial" w:cs="Arial" w:eastAsia="Arial" w:hAnsi="Arial"/>
          <w:sz w:val="17"/>
          <w:szCs w:val="17"/>
          <w:color w:val="auto"/>
        </w:rPr>
      </w:pPr>
    </w:p>
    <w:p>
      <w:pPr>
        <w:ind w:left="1020" w:hanging="566"/>
        <w:spacing w:after="0"/>
        <w:tabs>
          <w:tab w:leader="none" w:pos="102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use all commercially reasonable efforts to implement remedial action and begin meeting the Service Levels as soon as practicable;</w:t>
      </w:r>
    </w:p>
    <w:p>
      <w:pPr>
        <w:spacing w:after="0" w:line="142" w:lineRule="exact"/>
        <w:rPr>
          <w:rFonts w:ascii="Arial" w:cs="Arial" w:eastAsia="Arial" w:hAnsi="Arial"/>
          <w:sz w:val="17"/>
          <w:szCs w:val="17"/>
          <w:color w:val="auto"/>
        </w:rPr>
      </w:pPr>
    </w:p>
    <w:p>
      <w:pPr>
        <w:ind w:left="1020" w:hanging="566"/>
        <w:spacing w:after="0"/>
        <w:tabs>
          <w:tab w:leader="none" w:pos="10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advise AT&amp;T of the status of remedial efforts being undertaken with respect to such problem; and</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demonstrate to AT&amp;T’s reasonable satisfaction that the causes of such problem have been or will be corrected on a permanent basis</w:t>
      </w:r>
    </w:p>
    <w:p>
      <w:pPr>
        <w:spacing w:after="0" w:line="129" w:lineRule="exact"/>
        <w:rPr>
          <w:sz w:val="20"/>
          <w:szCs w:val="20"/>
          <w:color w:val="auto"/>
        </w:rPr>
      </w:pPr>
    </w:p>
    <w:p>
      <w:pPr>
        <w:ind w:left="460" w:right="620"/>
        <w:spacing w:after="0" w:line="342" w:lineRule="auto"/>
        <w:rPr>
          <w:sz w:val="20"/>
          <w:szCs w:val="20"/>
          <w:color w:val="auto"/>
        </w:rPr>
      </w:pPr>
      <w:r>
        <w:rPr>
          <w:rFonts w:ascii="Arial" w:cs="Arial" w:eastAsia="Arial" w:hAnsi="Arial"/>
          <w:sz w:val="16"/>
          <w:szCs w:val="16"/>
          <w:color w:val="auto"/>
        </w:rPr>
        <w:t>To the extent that such failure to meet Service Levels results in a violation of laws or regulatory action, Amdocs shall, in addition to its other obligations under the applicable Work Order, participate in any required related hearing, audit or other corrective action or review required by a</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8" w:name="page239"/>
    <w:bookmarkEnd w:id="238"/>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02026713.A.009</w:t>
      </w:r>
    </w:p>
    <w:p>
      <w:pPr>
        <w:spacing w:after="0" w:line="181"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governmental body or regulatory agency and the parties shall in good faith discuss the allocation of any associated costs. Amdocs shall use all commercially reasonable efforts to complete the Root Cause Analysis within [**]; provided that, if it is not capable of being completed within [**] using reasonable diligence, Amdocs shall complete such Root Cause Analysis as quickly as possible and shall notify AT&amp;T prior to the end of the initial [**] as to the status of the Root Cause Analysis and the estimated completion date.</w:t>
      </w:r>
    </w:p>
    <w:p>
      <w:pPr>
        <w:spacing w:after="0" w:line="331"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w:t>
      </w:r>
    </w:p>
    <w:p>
      <w:pPr>
        <w:spacing w:after="0" w:line="121" w:lineRule="exact"/>
        <w:rPr>
          <w:rFonts w:ascii="Arial" w:cs="Arial" w:eastAsia="Arial" w:hAnsi="Arial"/>
          <w:sz w:val="18"/>
          <w:szCs w:val="18"/>
          <w:b w:val="1"/>
          <w:bCs w:val="1"/>
          <w:color w:val="auto"/>
        </w:rPr>
      </w:pPr>
    </w:p>
    <w:p>
      <w:pPr>
        <w:ind w:left="4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Amdocs shall only be responsible for a Service Level Credit for (i) failure to meet a Service Level to the extent that such failure is attributable to a root cause under Amdocs’ responsibility, or (ii) to the extent that such failure is not directly attributable to any of the following:</w:t>
      </w:r>
    </w:p>
    <w:p>
      <w:pPr>
        <w:spacing w:after="0" w:line="51" w:lineRule="exact"/>
        <w:rPr>
          <w:rFonts w:ascii="Arial" w:cs="Arial" w:eastAsia="Arial" w:hAnsi="Arial"/>
          <w:sz w:val="18"/>
          <w:szCs w:val="18"/>
          <w:b w:val="1"/>
          <w:bCs w:val="1"/>
          <w:color w:val="auto"/>
        </w:rPr>
      </w:pPr>
    </w:p>
    <w:p>
      <w:pPr>
        <w:ind w:left="900" w:right="380" w:hanging="446"/>
        <w:spacing w:after="0" w:line="342" w:lineRule="auto"/>
        <w:tabs>
          <w:tab w:leader="none" w:pos="90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Problems resulting from components (e.g., hardware, software, network, maintenance), including facility, application software other than the Application Software and User-controlled problems, for which AT&amp;T is operationally responsible to the extent of such responsibility.</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AT&amp;T’s reprioritization of tasks to be performed by Amdocs where Amdocs has notified AT&amp;T in advance that such reprioritization will cause Amdocs to miss such Service Level notwithstanding Amdocs’ reasonable efforts to continue performance.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Circumstances that excuse performance in connection with a force majeure event as specified in this Agreement.</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Execution of a business continuity plan or disaster recovery and business continuity plan, in support of an AT&amp;T declared disaster. The acts or omissions of any third party supplier, vendor, or other contractor of AT&amp;T unless they are operating as a subcontractor of Amdocs or under Amdocs’ instruction.</w:t>
      </w:r>
    </w:p>
    <w:p>
      <w:pPr>
        <w:spacing w:after="0" w:line="86" w:lineRule="exact"/>
        <w:rPr>
          <w:rFonts w:ascii="Arial" w:cs="Arial" w:eastAsia="Arial" w:hAnsi="Arial"/>
          <w:sz w:val="18"/>
          <w:szCs w:val="18"/>
          <w:color w:val="auto"/>
        </w:rPr>
      </w:pPr>
    </w:p>
    <w:p>
      <w:pPr>
        <w:ind w:left="900" w:right="160" w:hanging="446"/>
        <w:spacing w:after="0" w:line="264" w:lineRule="auto"/>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AT&amp;T’s refusal to implement additional hardware and/or software for which AT&amp;T is financially and operationally responsible in accordance with the applicable Work Order, of which Amdocs has provided AT&amp;T notice during the planning process (including Amdocs’ inability to meet Service Levels), and has provided AT&amp;T enough time to comply.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situation which may constitute an exception or escalation will be handled using the escalation procedures defined in the Governance process.</w:t>
      </w:r>
    </w:p>
    <w:p>
      <w:pPr>
        <w:spacing w:after="0" w:line="381"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Impact to Multiple SLAs</w:t>
      </w:r>
    </w:p>
    <w:p>
      <w:pPr>
        <w:spacing w:after="0" w:line="121"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Except in the case of SLAs which encompass common activities, if a single incident (other than Amdocs’s failure to perform in a manner meeting the SLAs) impacts multiple SLAs and results in multiple Service Level Credits otherwise being available within a single Measurement Period, AT&amp;T shall have the right to select any one of such multiple Service Level Credits, but shall not be entitled to all such Service Level Credits.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02026713.A.009</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02026713.A.010</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274"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10,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and as further amended by Amendment No. 9 effective March 28, 2009 (collectively, the “Agreement”); and</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June 30, 2009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to extend its term; to formalize the validity and continuation of the Agreement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its Effective Date of August 7, 2003; and to make the other additions, deletions and modifications as set forth below;</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jc w:val="both"/>
        <w:ind w:left="460" w:right="260" w:hanging="452"/>
        <w:spacing w:after="0" w:line="264" w:lineRule="auto"/>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under the Agreement between the Prior Expiration Date and the date when this Amendment is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6"/>
          <w:szCs w:val="16"/>
          <w:b w:val="1"/>
          <w:bCs w:val="1"/>
          <w:color w:val="auto"/>
        </w:rPr>
      </w:pPr>
      <w:r>
        <w:rPr>
          <w:rFonts w:ascii="Arial" w:cs="Arial" w:eastAsia="Arial" w:hAnsi="Arial"/>
          <w:sz w:val="16"/>
          <w:szCs w:val="16"/>
          <w:color w:val="auto"/>
        </w:rPr>
        <w:t>For purposes of extending the term of this Agreement, Section 3.32. “Term of Agreement”, is deleted in its entirety and replaced with the following:</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3.32. Term of Agreement</w:t>
      </w:r>
    </w:p>
    <w:p>
      <w:pPr>
        <w:spacing w:after="0" w:line="121" w:lineRule="exact"/>
        <w:rPr>
          <w:sz w:val="20"/>
          <w:szCs w:val="20"/>
          <w:color w:val="auto"/>
        </w:rPr>
      </w:pPr>
    </w:p>
    <w:p>
      <w:pPr>
        <w:ind w:left="920" w:right="740"/>
        <w:spacing w:after="0" w:line="342" w:lineRule="auto"/>
        <w:rPr>
          <w:sz w:val="20"/>
          <w:szCs w:val="20"/>
          <w:color w:val="auto"/>
        </w:rPr>
      </w:pPr>
      <w:r>
        <w:rPr>
          <w:rFonts w:ascii="Arial" w:cs="Arial" w:eastAsia="Arial" w:hAnsi="Arial"/>
          <w:sz w:val="16"/>
          <w:szCs w:val="16"/>
          <w:color w:val="auto"/>
        </w:rPr>
        <w:t>This Agreement, with an Effective Date of August 7, 2003, shall remain in effect for a term ending on February 28, 2010, unless earlier Terminated or Canceled as provided in this Agreement. The Parties may extend the term of this Agreement by agreement in writing.</w:t>
      </w:r>
    </w:p>
    <w:p>
      <w:pPr>
        <w:spacing w:after="0" w:line="29" w:lineRule="exact"/>
        <w:rPr>
          <w:sz w:val="20"/>
          <w:szCs w:val="20"/>
          <w:color w:val="auto"/>
        </w:rPr>
      </w:pPr>
    </w:p>
    <w:p>
      <w:pPr>
        <w:ind w:left="460" w:right="120" w:hanging="452"/>
        <w:spacing w:after="0" w:line="277" w:lineRule="auto"/>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The term “Leadership Council” and all references thereto are deleted throughout the Agreement and associated Amendments, and where the Parties so agree in an applicable Work Order , is replaced by Section 3.40 and Appendix 10, “Governance”.</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 xml:space="preserve">A new Section 2.50, “Subcontractor,” is hereby added to </w:t>
      </w:r>
      <w:r>
        <w:rPr>
          <w:rFonts w:ascii="Arial" w:cs="Arial" w:eastAsia="Arial" w:hAnsi="Arial"/>
          <w:sz w:val="18"/>
          <w:szCs w:val="18"/>
          <w:b w:val="1"/>
          <w:bCs w:val="1"/>
          <w:color w:val="auto"/>
        </w:rPr>
        <w:t>ARTICLE II - DEFINITIONS</w:t>
      </w:r>
      <w:r>
        <w:rPr>
          <w:rFonts w:ascii="Arial" w:cs="Arial" w:eastAsia="Arial" w:hAnsi="Arial"/>
          <w:sz w:val="18"/>
          <w:szCs w:val="18"/>
          <w:color w:val="auto"/>
        </w:rPr>
        <w:t xml:space="preserve"> as follows:</w:t>
      </w:r>
    </w:p>
    <w:p>
      <w:pPr>
        <w:spacing w:after="0" w:line="130" w:lineRule="exact"/>
        <w:rPr>
          <w:rFonts w:ascii="Arial" w:cs="Arial" w:eastAsia="Arial" w:hAnsi="Arial"/>
          <w:sz w:val="18"/>
          <w:szCs w:val="18"/>
          <w:b w:val="1"/>
          <w:bCs w:val="1"/>
          <w:color w:val="auto"/>
        </w:rPr>
      </w:pPr>
    </w:p>
    <w:p>
      <w:pPr>
        <w:ind w:left="900" w:right="220" w:hanging="446"/>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2.50 </w:t>
      </w:r>
      <w:r>
        <w:rPr>
          <w:rFonts w:ascii="Arial" w:cs="Arial" w:eastAsia="Arial" w:hAnsi="Arial"/>
          <w:sz w:val="18"/>
          <w:szCs w:val="18"/>
          <w:b w:val="1"/>
          <w:bCs w:val="1"/>
          <w:color w:val="auto"/>
        </w:rPr>
        <w:t>“Subcontractor”</w:t>
      </w:r>
      <w:r>
        <w:rPr>
          <w:rFonts w:ascii="Arial" w:cs="Arial" w:eastAsia="Arial" w:hAnsi="Arial"/>
          <w:sz w:val="18"/>
          <w:szCs w:val="18"/>
          <w:color w:val="auto"/>
        </w:rPr>
        <w:t xml:space="preserve"> means any person or entity supplying labor or materials to perform all or any part of Supplier’s obligations under this Agreement. “Subcontractor” shall include any person or entity at any tier of subcontractors, and shall not be limited to those persons or entities with a direct relationship with Supplier.</w:t>
      </w:r>
    </w:p>
    <w:p>
      <w:pPr>
        <w:spacing w:after="0" w:line="81" w:lineRule="exact"/>
        <w:rPr>
          <w:rFonts w:ascii="Arial" w:cs="Arial" w:eastAsia="Arial" w:hAnsi="Arial"/>
          <w:sz w:val="18"/>
          <w:szCs w:val="18"/>
          <w:b w:val="1"/>
          <w:bCs w:val="1"/>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 xml:space="preserve">Section 3.3, “Termination,” of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is hereby amended to include the following:</w:t>
      </w:r>
    </w:p>
    <w:p>
      <w:pPr>
        <w:spacing w:after="0" w:line="374"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17" w:lineRule="exact"/>
        <w:rPr>
          <w:rFonts w:ascii="Arial" w:cs="Arial" w:eastAsia="Arial" w:hAnsi="Arial"/>
          <w:sz w:val="18"/>
          <w:szCs w:val="18"/>
          <w:b w:val="1"/>
          <w:bCs w:val="1"/>
          <w:color w:val="auto"/>
        </w:rPr>
      </w:pPr>
    </w:p>
    <w:p>
      <w:pPr>
        <w:ind w:left="920" w:right="60" w:firstLine="1"/>
        <w:spacing w:after="0" w:line="273" w:lineRule="auto"/>
        <w:tabs>
          <w:tab w:leader="none" w:pos="1175"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Right to Terminate</w:t>
      </w:r>
      <w:r>
        <w:rPr>
          <w:rFonts w:ascii="Arial" w:cs="Arial" w:eastAsia="Arial" w:hAnsi="Arial"/>
          <w:sz w:val="17"/>
          <w:szCs w:val="17"/>
          <w:color w:val="auto"/>
        </w:rPr>
        <w:t>. In the event that any Party (a) files for bankruptcy, (b) becomes or is declared insolvent, or is the subject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Amdocs will not have the right to exercise such termination under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3.3(F)</w:t>
      </w:r>
      <w:r>
        <w:rPr>
          <w:rFonts w:ascii="Arial" w:cs="Arial" w:eastAsia="Arial" w:hAnsi="Arial"/>
          <w:sz w:val="17"/>
          <w:szCs w:val="17"/>
          <w:color w:val="auto"/>
        </w:rPr>
        <w:t xml:space="preserve"> so long as AT&amp;T pays for the Services to be received hereunder in advance on a month-to-month basis. If any Party elects to terminate this Agreement due to the insolvency of the other Party, such termination will be deemed to be a termination for cause hereunder.</w:t>
      </w:r>
    </w:p>
    <w:p>
      <w:pPr>
        <w:spacing w:after="0" w:line="64" w:lineRule="exact"/>
        <w:rPr>
          <w:rFonts w:ascii="Arial" w:cs="Arial" w:eastAsia="Arial" w:hAnsi="Arial"/>
          <w:sz w:val="17"/>
          <w:szCs w:val="17"/>
          <w:b w:val="1"/>
          <w:bCs w:val="1"/>
          <w:color w:val="auto"/>
        </w:rPr>
      </w:pPr>
    </w:p>
    <w:p>
      <w:pPr>
        <w:ind w:left="920" w:right="40" w:firstLine="1"/>
        <w:spacing w:after="0" w:line="256" w:lineRule="auto"/>
        <w:tabs>
          <w:tab w:leader="none" w:pos="1185"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Section 365(n)</w:t>
      </w:r>
      <w:r>
        <w:rPr>
          <w:rFonts w:ascii="Arial" w:cs="Arial" w:eastAsia="Arial" w:hAnsi="Arial"/>
          <w:sz w:val="18"/>
          <w:szCs w:val="18"/>
          <w:color w:val="auto"/>
        </w:rPr>
        <w:t>. Notwithstanding any other provision of this Agreement to the contrary, in the event that Amdocs becomes a debtor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Code and rejects this Agreement pursuant to Section 365 of the Bankruptcy Code (a “</w:t>
      </w:r>
      <w:r>
        <w:rPr>
          <w:rFonts w:ascii="Arial" w:cs="Arial" w:eastAsia="Arial" w:hAnsi="Arial"/>
          <w:sz w:val="18"/>
          <w:szCs w:val="18"/>
          <w:b w:val="1"/>
          <w:bCs w:val="1"/>
          <w:u w:val="single" w:color="auto"/>
          <w:color w:val="auto"/>
        </w:rPr>
        <w:t>Bankruptcy Rejection</w:t>
      </w:r>
      <w:r>
        <w:rPr>
          <w:rFonts w:ascii="Arial" w:cs="Arial" w:eastAsia="Arial" w:hAnsi="Arial"/>
          <w:sz w:val="18"/>
          <w:szCs w:val="18"/>
          <w:color w:val="auto"/>
        </w:rPr>
        <w:t>”), (i) any and all of the licensee and sublicensee rights of AT&amp;T arising under or otherwise set forth in this Agreement shall be deemed fully retained by and vested in AT&amp;T as protected intellectual property rights under Section 365(n)(1)(B) of the Bankruptcy Code and further shall be deemed to exist immediately before the commencement of the bankruptcy case in which Amdocs is the debtor; (ii) AT&amp;T shall have all of the rights afforded to non-debtor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2" w:name="page243"/>
    <w:bookmarkEnd w:id="24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left="920" w:right="100"/>
        <w:spacing w:after="0" w:line="276" w:lineRule="auto"/>
        <w:rPr>
          <w:sz w:val="20"/>
          <w:szCs w:val="20"/>
          <w:color w:val="auto"/>
        </w:rPr>
      </w:pPr>
      <w:r>
        <w:rPr>
          <w:rFonts w:ascii="Arial" w:cs="Arial" w:eastAsia="Arial" w:hAnsi="Arial"/>
          <w:sz w:val="17"/>
          <w:szCs w:val="17"/>
          <w:color w:val="auto"/>
        </w:rPr>
        <w:t>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w:t>
      </w:r>
    </w:p>
    <w:p>
      <w:pPr>
        <w:spacing w:after="0" w:line="60" w:lineRule="exact"/>
        <w:rPr>
          <w:sz w:val="20"/>
          <w:szCs w:val="20"/>
          <w:color w:val="auto"/>
        </w:rPr>
      </w:pPr>
    </w:p>
    <w:p>
      <w:pPr>
        <w:ind w:left="920" w:right="20" w:firstLine="1"/>
        <w:spacing w:after="0" w:line="269" w:lineRule="auto"/>
        <w:tabs>
          <w:tab w:leader="none" w:pos="1165" w:val="left"/>
        </w:tabs>
        <w:numPr>
          <w:ilvl w:val="2"/>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AT&amp;T Rights Upon Amdocs’ Bankruptcy</w:t>
      </w:r>
      <w:r>
        <w:rPr>
          <w:rFonts w:ascii="Arial" w:cs="Arial" w:eastAsia="Arial" w:hAnsi="Arial"/>
          <w:sz w:val="17"/>
          <w:szCs w:val="17"/>
          <w:color w:val="auto"/>
        </w:rPr>
        <w:t>. In the event of Amdocs’ bankruptcy or of the filing of any petition under the federal bankruptcy</w:t>
      </w:r>
      <w:r>
        <w:rPr>
          <w:rFonts w:ascii="Arial" w:cs="Arial" w:eastAsia="Arial" w:hAnsi="Arial"/>
          <w:sz w:val="17"/>
          <w:szCs w:val="17"/>
          <w:b w:val="1"/>
          <w:bCs w:val="1"/>
          <w:color w:val="auto"/>
        </w:rPr>
        <w:t xml:space="preserve"> </w:t>
      </w:r>
      <w:r>
        <w:rPr>
          <w:rFonts w:ascii="Arial" w:cs="Arial" w:eastAsia="Arial" w:hAnsi="Arial"/>
          <w:sz w:val="17"/>
          <w:szCs w:val="17"/>
          <w:color w:val="auto"/>
        </w:rPr>
        <w:t>laws affecting the rights of Amdocs which is not stayed or dismissed within thirty (30) days of filing, in addition to the other rights and remedies set forth herein, to the maximum extent permitted by Law, AT&amp;T will have the immediate right to retain and take possession for safekeeping all AT&amp;T Information, AT&amp;T Proprietary Information, AT&amp;T licensed Third Party Software, AT&amp;T owned Equipment, AT&amp;T owned Materials, AT&amp;T owned Custom Software, and all other Software, Equipment, Systems or Materials to which AT&amp;T is or would be entitled during the term of this Agreement or upon the expiration or termination of this Agreement. Amdocs shall cooperate fully with AT&amp;T and assist AT&amp;T in identifying and taking possession of the items listed in the preceding sentence. AT&amp;T will have the right to hold such AT&amp;T Information, Proprietary Information, Software, Equipment, Systems and Materials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Amdocs and AT&amp;T agree that without this material provision, AT&amp;T would not have entered into this Agreement or provided any right to the possession or use of AT&amp;T Information, AT&amp;T Proprietary Information or AT&amp;T Software covered by this Agreement.</w:t>
      </w:r>
    </w:p>
    <w:p>
      <w:pPr>
        <w:spacing w:after="0" w:line="71" w:lineRule="exact"/>
        <w:rPr>
          <w:rFonts w:ascii="Arial" w:cs="Arial" w:eastAsia="Arial" w:hAnsi="Arial"/>
          <w:sz w:val="17"/>
          <w:szCs w:val="17"/>
          <w:b w:val="1"/>
          <w:bCs w:val="1"/>
          <w:color w:val="auto"/>
        </w:rPr>
      </w:pPr>
    </w:p>
    <w:p>
      <w:pPr>
        <w:ind w:left="920" w:right="240" w:firstLine="1"/>
        <w:spacing w:after="0" w:line="313" w:lineRule="auto"/>
        <w:tabs>
          <w:tab w:leader="none" w:pos="1185" w:val="left"/>
        </w:tabs>
        <w:numPr>
          <w:ilvl w:val="2"/>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Rights To Assume In Bankruptcy</w:t>
      </w:r>
      <w:r>
        <w:rPr>
          <w:rFonts w:ascii="Arial" w:cs="Arial" w:eastAsia="Arial" w:hAnsi="Arial"/>
          <w:sz w:val="17"/>
          <w:szCs w:val="17"/>
          <w:color w:val="auto"/>
        </w:rPr>
        <w:t>. In the event of commencement of bankruptcy proceedings by or against AT&amp;T, AT&amp;T or its trustee in</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shall be entitled to assume this Agreement and shall be entitled to retain all of AT&amp;T’s license rights hereunder.</w:t>
      </w:r>
    </w:p>
    <w:p>
      <w:pPr>
        <w:spacing w:after="0" w:line="43" w:lineRule="exact"/>
        <w:rPr>
          <w:rFonts w:ascii="Arial" w:cs="Arial" w:eastAsia="Arial" w:hAnsi="Arial"/>
          <w:sz w:val="17"/>
          <w:szCs w:val="17"/>
          <w:b w:val="1"/>
          <w:bCs w:val="1"/>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 xml:space="preserve">Section 3.19, “MBE/WBE/DVBE,” of </w:t>
      </w:r>
      <w:r>
        <w:rPr>
          <w:rFonts w:ascii="Arial" w:cs="Arial" w:eastAsia="Arial" w:hAnsi="Arial"/>
          <w:sz w:val="18"/>
          <w:szCs w:val="18"/>
          <w:b w:val="1"/>
          <w:bCs w:val="1"/>
          <w:color w:val="auto"/>
        </w:rPr>
        <w:t>ARTICLE III GENERAL TERMS</w:t>
      </w:r>
      <w:r>
        <w:rPr>
          <w:rFonts w:ascii="Arial" w:cs="Arial" w:eastAsia="Arial" w:hAnsi="Arial"/>
          <w:sz w:val="18"/>
          <w:szCs w:val="18"/>
          <w:color w:val="auto"/>
        </w:rPr>
        <w:t xml:space="preserve"> is deleted and replaced as follows:</w:t>
      </w:r>
    </w:p>
    <w:p>
      <w:pPr>
        <w:spacing w:after="0" w:line="3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3.19  MBE/WBE/DVBE (and Exhibits)</w:t>
      </w:r>
    </w:p>
    <w:p>
      <w:pPr>
        <w:spacing w:after="0" w:line="134" w:lineRule="exact"/>
        <w:rPr>
          <w:rFonts w:ascii="Arial" w:cs="Arial" w:eastAsia="Arial" w:hAnsi="Arial"/>
          <w:sz w:val="18"/>
          <w:szCs w:val="18"/>
          <w:b w:val="1"/>
          <w:bCs w:val="1"/>
          <w:color w:val="auto"/>
        </w:rPr>
      </w:pPr>
    </w:p>
    <w:p>
      <w:pPr>
        <w:ind w:left="900" w:right="20" w:hanging="446"/>
        <w:spacing w:after="0" w:line="286" w:lineRule="auto"/>
        <w:tabs>
          <w:tab w:leader="none" w:pos="90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AT&amp;T seeks to give minority-, women- and Disabled Veteran-owned businesses the maximum opportunity to participate in the performance of its contracts; current goals are MBE-15%, WBE-5%, and DVBE-1.5%. Amdocs commits to making good faith efforts to achieve goals for the participation of MBE/WBE and DVBE firms (as defined in section 3.20 below entitled “MBE/WBE/DVBE Termination”).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43" w:name="page244"/>
    <w:bookmarkEnd w:id="243"/>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ind w:left="840" w:right="60"/>
        <w:spacing w:after="0" w:line="257" w:lineRule="auto"/>
        <w:rPr>
          <w:sz w:val="20"/>
          <w:szCs w:val="20"/>
          <w:color w:val="auto"/>
        </w:rPr>
      </w:pPr>
      <w:r>
        <w:rPr>
          <w:rFonts w:ascii="Arial" w:cs="Arial" w:eastAsia="Arial" w:hAnsi="Arial"/>
          <w:sz w:val="18"/>
          <w:szCs w:val="18"/>
          <w:color w:val="auto"/>
        </w:rPr>
        <w:t>Amdocs will make good faith efforts to meet or exceed the target of twelve percent (12%) for 2009. In addition, Amdocs agrees that it shall meet the following MBE/WBE/DVBE Diversity Commitment Objectives (“DCO”) in 2010 and through the term of this Agreement using any combination of Amdocs expenditures with MBE, WBE and/or DVBE suppliers of first, second or third tier subcontractors provided Amdocs furnishes appropriate documentation and support of such expenditures and such suppliers qualify as MBE/WBE/DVBE through an AT&amp;T recognized certifying agency:</w:t>
      </w:r>
    </w:p>
    <w:p>
      <w:pPr>
        <w:sectPr>
          <w:pgSz w:w="11900" w:h="16838" w:orient="portrait"/>
          <w:cols w:equalWidth="0" w:num="1">
            <w:col w:w="11340"/>
          </w:cols>
          <w:pgMar w:left="320" w:top="274" w:right="239" w:bottom="1440" w:gutter="0" w:footer="0" w:header="0"/>
        </w:sectPr>
      </w:pPr>
    </w:p>
    <w:p>
      <w:pPr>
        <w:spacing w:after="0" w:line="211" w:lineRule="exact"/>
        <w:rPr>
          <w:sz w:val="20"/>
          <w:szCs w:val="20"/>
          <w:color w:val="auto"/>
        </w:rPr>
      </w:pPr>
    </w:p>
    <w:p>
      <w:pPr>
        <w:ind w:left="840"/>
        <w:spacing w:after="0"/>
        <w:rPr>
          <w:sz w:val="20"/>
          <w:szCs w:val="20"/>
          <w:color w:val="auto"/>
        </w:rPr>
      </w:pPr>
      <w:r>
        <w:rPr>
          <w:rFonts w:ascii="Arial" w:cs="Arial" w:eastAsia="Arial" w:hAnsi="Arial"/>
          <w:sz w:val="14"/>
          <w:szCs w:val="14"/>
          <w:u w:val="single" w:color="auto"/>
          <w:color w:val="auto"/>
        </w:rPr>
        <w:t>12/31/2010</w:t>
      </w:r>
    </w:p>
    <w:p>
      <w:pPr>
        <w:spacing w:after="0" w:line="21" w:lineRule="exact"/>
        <w:rPr>
          <w:sz w:val="20"/>
          <w:szCs w:val="20"/>
          <w:color w:val="auto"/>
        </w:rPr>
      </w:pPr>
    </w:p>
    <w:p>
      <w:pPr>
        <w:ind w:left="840"/>
        <w:spacing w:after="0" w:line="254" w:lineRule="auto"/>
        <w:rPr>
          <w:sz w:val="20"/>
          <w:szCs w:val="20"/>
          <w:color w:val="auto"/>
        </w:rPr>
      </w:pPr>
      <w:r>
        <w:rPr>
          <w:rFonts w:ascii="Arial" w:cs="Arial" w:eastAsia="Arial" w:hAnsi="Arial"/>
          <w:sz w:val="18"/>
          <w:szCs w:val="18"/>
          <w:color w:val="auto"/>
        </w:rPr>
        <w:t>12% of total AT&amp;T expenditures with Amdocs for calendar year 2010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12/31/2011</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15% of total AT&amp;T expenditures with Amdocs for calendar year 2011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12/31/2012</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15% of total AT&amp;T expenditures with Amdocs for calendar year 2012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12/31/2013</w:t>
      </w:r>
    </w:p>
    <w:p>
      <w:pPr>
        <w:spacing w:after="0" w:line="21" w:lineRule="exact"/>
        <w:rPr>
          <w:sz w:val="20"/>
          <w:szCs w:val="20"/>
          <w:color w:val="auto"/>
        </w:rPr>
      </w:pPr>
    </w:p>
    <w:p>
      <w:pPr>
        <w:ind w:right="1080"/>
        <w:spacing w:after="0" w:line="301" w:lineRule="auto"/>
        <w:rPr>
          <w:sz w:val="20"/>
          <w:szCs w:val="20"/>
          <w:color w:val="auto"/>
        </w:rPr>
      </w:pPr>
      <w:r>
        <w:rPr>
          <w:rFonts w:ascii="Arial" w:cs="Arial" w:eastAsia="Arial" w:hAnsi="Arial"/>
          <w:sz w:val="16"/>
          <w:szCs w:val="16"/>
          <w:color w:val="auto"/>
        </w:rPr>
        <w:t>15% of total AT&amp;T expenditures with Amdocs for calendar year 2013</w:t>
      </w:r>
    </w:p>
    <w:p>
      <w:pPr>
        <w:spacing w:after="0" w:line="48" w:lineRule="exact"/>
        <w:rPr>
          <w:sz w:val="20"/>
          <w:szCs w:val="20"/>
          <w:color w:val="auto"/>
        </w:rPr>
      </w:pPr>
    </w:p>
    <w:p>
      <w:pPr>
        <w:sectPr>
          <w:pgSz w:w="11900" w:h="16838" w:orient="portrait"/>
          <w:cols w:equalWidth="0" w:num="4">
            <w:col w:w="3220" w:space="320"/>
            <w:col w:w="2200" w:space="200"/>
            <w:col w:w="2180" w:space="200"/>
            <w:col w:w="3020"/>
          </w:cols>
          <w:pgMar w:left="320" w:top="274" w:right="239" w:bottom="1440" w:gutter="0" w:footer="0" w:header="0"/>
          <w:type w:val="continuous"/>
        </w:sectPr>
      </w:pPr>
    </w:p>
    <w:p>
      <w:pPr>
        <w:ind w:left="840" w:right="120"/>
        <w:spacing w:after="0" w:line="264" w:lineRule="auto"/>
        <w:rPr>
          <w:sz w:val="20"/>
          <w:szCs w:val="20"/>
          <w:color w:val="auto"/>
        </w:rPr>
      </w:pPr>
      <w:r>
        <w:rPr>
          <w:rFonts w:ascii="Arial" w:cs="Arial" w:eastAsia="Arial" w:hAnsi="Arial"/>
          <w:sz w:val="18"/>
          <w:szCs w:val="18"/>
          <w:color w:val="auto"/>
        </w:rPr>
        <w:t>For the avoidance of doubt, these goals apply to all annual expenditures by any AT&amp;T entity with Amdocs. This includes all expenditures under all existing agreements between AT&amp;T and Amdocs. Amdocs agrees to meet in good faith to evaluate with AT&amp;T on annual basis whether Amdocs can increase participation over the life of the Agreement.</w:t>
      </w:r>
    </w:p>
    <w:p>
      <w:pPr>
        <w:spacing w:after="0" w:line="73" w:lineRule="exact"/>
        <w:rPr>
          <w:sz w:val="20"/>
          <w:szCs w:val="20"/>
          <w:color w:val="auto"/>
        </w:rPr>
      </w:pPr>
    </w:p>
    <w:p>
      <w:pPr>
        <w:ind w:left="840" w:right="400"/>
        <w:spacing w:after="0" w:line="257" w:lineRule="auto"/>
        <w:rPr>
          <w:sz w:val="20"/>
          <w:szCs w:val="20"/>
          <w:color w:val="auto"/>
        </w:rPr>
      </w:pPr>
      <w:r>
        <w:rPr>
          <w:rFonts w:ascii="Arial" w:cs="Arial" w:eastAsia="Arial" w:hAnsi="Arial"/>
          <w:sz w:val="18"/>
          <w:szCs w:val="18"/>
          <w:color w:val="auto"/>
        </w:rPr>
        <w:t>In the event Amdocs Diversity subcontracting results cannot be met by Amdocs due to significant legal, regulatory or business relationship changes that have a direct and substantive negative impact on the attainment of the Diversity commitments herein, AT&amp;T and Amdocs will jointly review the results and known causes of the diversity subcontracting shortfall in order to reach a mutually acceptable Diversity subcontracting target. In the event the Parties cannot resolve the Diversity subcontracting targets, then the issue will be escalated as required through the following levels:</w:t>
      </w:r>
    </w:p>
    <w:p>
      <w:pPr>
        <w:spacing w:after="0" w:line="211" w:lineRule="exact"/>
        <w:rPr>
          <w:sz w:val="20"/>
          <w:szCs w:val="20"/>
          <w:color w:val="auto"/>
        </w:rPr>
      </w:pPr>
    </w:p>
    <w:tbl>
      <w:tblPr>
        <w:tblLayout w:type="fixed"/>
        <w:tblInd w:w="1420" w:type="dxa"/>
        <w:tblCellMar>
          <w:top w:w="0" w:type="dxa"/>
          <w:left w:w="0" w:type="dxa"/>
          <w:bottom w:w="0" w:type="dxa"/>
          <w:right w:w="0" w:type="dxa"/>
        </w:tblCellMar>
      </w:tblPr>
      <w:tr>
        <w:trPr>
          <w:trHeight w:val="167"/>
        </w:trPr>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95"/>
              </w:rPr>
              <w:t>Level</w:t>
            </w: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Amdocs</w:t>
            </w:r>
          </w:p>
        </w:tc>
        <w:tc>
          <w:tcPr>
            <w:tcW w:w="206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AT&amp;T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1</w:t>
            </w:r>
          </w:p>
        </w:tc>
        <w:tc>
          <w:tcPr>
            <w:tcW w:w="1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 w:type="dxa"/>
            <w:vAlign w:val="bottom"/>
            <w:gridSpan w:val="2"/>
          </w:tcPr>
          <w:p>
            <w:pPr>
              <w:spacing w:after="0" w:line="195" w:lineRule="exact"/>
              <w:rPr>
                <w:sz w:val="20"/>
                <w:szCs w:val="20"/>
                <w:color w:val="auto"/>
              </w:rPr>
            </w:pPr>
            <w:r>
              <w:rPr>
                <w:rFonts w:ascii="Arial" w:cs="Arial" w:eastAsia="Arial" w:hAnsi="Arial"/>
                <w:sz w:val="18"/>
                <w:szCs w:val="18"/>
                <w:color w:val="auto"/>
                <w:w w:val="97"/>
              </w:rPr>
              <w:t>Level</w:t>
            </w:r>
          </w:p>
        </w:tc>
        <w:tc>
          <w:tcPr>
            <w:tcW w:w="200" w:type="dxa"/>
            <w:vAlign w:val="bottom"/>
            <w:vMerge w:val="continue"/>
          </w:tcPr>
          <w:p>
            <w:pPr>
              <w:spacing w:after="0"/>
              <w:rPr>
                <w:sz w:val="16"/>
                <w:szCs w:val="16"/>
                <w:color w:val="auto"/>
              </w:rPr>
            </w:pPr>
          </w:p>
        </w:tc>
        <w:tc>
          <w:tcPr>
            <w:tcW w:w="374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Amdocs AT&amp;T Division President</w:t>
            </w:r>
          </w:p>
        </w:tc>
        <w:tc>
          <w:tcPr>
            <w:tcW w:w="3980" w:type="dxa"/>
            <w:vAlign w:val="bottom"/>
            <w:gridSpan w:val="3"/>
          </w:tcPr>
          <w:p>
            <w:pPr>
              <w:ind w:left="360"/>
              <w:spacing w:after="0" w:line="195" w:lineRule="exact"/>
              <w:rPr>
                <w:sz w:val="20"/>
                <w:szCs w:val="20"/>
                <w:color w:val="auto"/>
              </w:rPr>
            </w:pPr>
            <w:r>
              <w:rPr>
                <w:rFonts w:ascii="Arial" w:cs="Arial" w:eastAsia="Arial" w:hAnsi="Arial"/>
                <w:sz w:val="18"/>
                <w:szCs w:val="18"/>
                <w:color w:val="auto"/>
                <w:w w:val="92"/>
              </w:rPr>
              <w:t>AVP-Global Business &amp; Operations Sourcing (IT)</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Level 2</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 Amdocs Customer Business Unit</w:t>
            </w:r>
          </w:p>
        </w:tc>
        <w:tc>
          <w:tcPr>
            <w:tcW w:w="3980" w:type="dxa"/>
            <w:vAlign w:val="bottom"/>
            <w:gridSpan w:val="3"/>
          </w:tcPr>
          <w:p>
            <w:pPr>
              <w:ind w:left="360"/>
              <w:spacing w:after="0"/>
              <w:rPr>
                <w:sz w:val="20"/>
                <w:szCs w:val="20"/>
                <w:color w:val="auto"/>
              </w:rPr>
            </w:pPr>
            <w:r>
              <w:rPr>
                <w:rFonts w:ascii="Arial" w:cs="Arial" w:eastAsia="Arial" w:hAnsi="Arial"/>
                <w:sz w:val="18"/>
                <w:szCs w:val="18"/>
                <w:color w:val="auto"/>
              </w:rPr>
              <w:t>President-Supply Chain &amp; Fleet Operations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60" w:hanging="446"/>
        <w:spacing w:after="0" w:line="257" w:lineRule="auto"/>
        <w:tabs>
          <w:tab w:leader="none" w:pos="8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Attached hereto and incorporated herein as Exhibit A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Exhibit B. Participation Plans and Results Reports will be submitted to the Prime Supplier Program Manager.</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type w:val="continuous"/>
        </w:sectPr>
      </w:pPr>
    </w:p>
    <w:bookmarkStart w:id="244" w:name="page245"/>
    <w:bookmarkEnd w:id="2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 xml:space="preserve">Section 3.29, “Subcontracting,” of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is hereby amended to include the following:</w:t>
      </w:r>
    </w:p>
    <w:p>
      <w:pPr>
        <w:spacing w:after="0" w:line="117" w:lineRule="exact"/>
        <w:rPr>
          <w:sz w:val="20"/>
          <w:szCs w:val="20"/>
          <w:color w:val="auto"/>
        </w:rPr>
      </w:pPr>
    </w:p>
    <w:p>
      <w:pPr>
        <w:ind w:left="920" w:right="120"/>
        <w:spacing w:after="0" w:line="273" w:lineRule="auto"/>
        <w:rPr>
          <w:sz w:val="20"/>
          <w:szCs w:val="20"/>
          <w:color w:val="auto"/>
        </w:rPr>
      </w:pPr>
      <w:r>
        <w:rPr>
          <w:rFonts w:ascii="Arial" w:cs="Arial" w:eastAsia="Arial" w:hAnsi="Arial"/>
          <w:sz w:val="17"/>
          <w:szCs w:val="17"/>
          <w:b w:val="1"/>
          <w:bCs w:val="1"/>
          <w:color w:val="auto"/>
        </w:rPr>
        <w:t>Temporary Workers</w:t>
      </w:r>
      <w:r>
        <w:rPr>
          <w:rFonts w:ascii="Arial" w:cs="Arial" w:eastAsia="Arial" w:hAnsi="Arial"/>
          <w:sz w:val="17"/>
          <w:szCs w:val="17"/>
          <w:color w:val="auto"/>
        </w:rPr>
        <w:t>. Amdocs may, in the ordinary course of business, subcontract (i) for third party services or products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exclusively dedicated to AT&amp;T and that do not include regular direct contact with AT&amp;T or AT&amp;T Affiliate personnel or the performance of services at AT&amp;T sites or (ii) with temporary personnel firms for the provision of temporary contract labor (collectively, “</w:t>
      </w:r>
      <w:r>
        <w:rPr>
          <w:rFonts w:ascii="Arial" w:cs="Arial" w:eastAsia="Arial" w:hAnsi="Arial"/>
          <w:sz w:val="17"/>
          <w:szCs w:val="17"/>
          <w:b w:val="1"/>
          <w:bCs w:val="1"/>
          <w:u w:val="single" w:color="auto"/>
          <w:color w:val="auto"/>
        </w:rPr>
        <w:t>Temporary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Workers</w:t>
      </w:r>
      <w:r>
        <w:rPr>
          <w:rFonts w:ascii="Arial" w:cs="Arial" w:eastAsia="Arial" w:hAnsi="Arial"/>
          <w:sz w:val="17"/>
          <w:szCs w:val="17"/>
          <w:color w:val="auto"/>
        </w:rPr>
        <w:t>”); provided, that such Temporary Workers possess the training and experience, competence and skill to perform the work in a skilled</w:t>
      </w:r>
      <w:r>
        <w:rPr>
          <w:rFonts w:ascii="Arial" w:cs="Arial" w:eastAsia="Arial" w:hAnsi="Arial"/>
          <w:sz w:val="17"/>
          <w:szCs w:val="17"/>
          <w:b w:val="1"/>
          <w:bCs w:val="1"/>
          <w:color w:val="auto"/>
        </w:rPr>
        <w:t xml:space="preserve"> </w:t>
      </w:r>
      <w:r>
        <w:rPr>
          <w:rFonts w:ascii="Arial" w:cs="Arial" w:eastAsia="Arial" w:hAnsi="Arial"/>
          <w:sz w:val="17"/>
          <w:szCs w:val="17"/>
          <w:color w:val="auto"/>
        </w:rPr>
        <w:t>and professional manner AT&amp;T shall have no approval right with respect to such Temporary Workers. If, however, AT&amp;T expresses dissatisfaction with the services of a Temporary Worker, Amdocs shall work in good faith to resolve AT&amp;T’s concerns on a mutually acceptable basis and, at AT&amp;T’s request, replace such Temporary Worker. at no additional cost to AT&amp;T.</w:t>
      </w:r>
    </w:p>
    <w:p>
      <w:pPr>
        <w:spacing w:after="0" w:line="78" w:lineRule="exact"/>
        <w:rPr>
          <w:sz w:val="20"/>
          <w:szCs w:val="20"/>
          <w:color w:val="auto"/>
        </w:rPr>
      </w:pPr>
    </w:p>
    <w:p>
      <w:pPr>
        <w:ind w:left="460" w:right="560" w:hanging="452"/>
        <w:spacing w:after="0" w:line="282" w:lineRule="auto"/>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 xml:space="preserve">Section 3.23, “AT&amp;T Supplier Information Security Requirements,” of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is hereby deleted and replaced as follows: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3.39. AT&amp;T Rules and Supplier Information Security Requirements</w:t>
      </w:r>
    </w:p>
    <w:p>
      <w:pPr>
        <w:spacing w:after="0" w:line="121"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 xml:space="preserve">Amdocs shall comply with AT&amp;T Rules and Supplier Information Security Requirements as they pertain to Systems used to access AT&amp;T’s network, Information or facilities under the Agreement. AT&amp;T Rules and Supplier Information Security Requirements are specified in </w:t>
      </w:r>
      <w:r>
        <w:rPr>
          <w:rFonts w:ascii="Arial" w:cs="Arial" w:eastAsia="Arial" w:hAnsi="Arial"/>
          <w:sz w:val="18"/>
          <w:szCs w:val="18"/>
          <w:b w:val="1"/>
          <w:bCs w:val="1"/>
          <w:u w:val="single" w:color="auto"/>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8</w:t>
      </w:r>
      <w:r>
        <w:rPr>
          <w:rFonts w:ascii="Arial" w:cs="Arial" w:eastAsia="Arial" w:hAnsi="Arial"/>
          <w:sz w:val="18"/>
          <w:szCs w:val="18"/>
          <w:color w:val="auto"/>
        </w:rPr>
        <w:t>.</w:t>
      </w:r>
    </w:p>
    <w:p>
      <w:pPr>
        <w:spacing w:after="0" w:line="83" w:lineRule="exact"/>
        <w:rPr>
          <w:sz w:val="20"/>
          <w:szCs w:val="20"/>
          <w:color w:val="auto"/>
        </w:rPr>
      </w:pPr>
    </w:p>
    <w:p>
      <w:pPr>
        <w:ind w:left="460" w:right="180" w:hanging="452"/>
        <w:spacing w:after="0" w:line="282" w:lineRule="auto"/>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 xml:space="preserve">Section 4.7, “Dispute Resolution,” of </w:t>
      </w:r>
      <w:r>
        <w:rPr>
          <w:rFonts w:ascii="Arial" w:cs="Arial" w:eastAsia="Arial" w:hAnsi="Arial"/>
          <w:sz w:val="18"/>
          <w:szCs w:val="18"/>
          <w:b w:val="1"/>
          <w:bCs w:val="1"/>
          <w:color w:val="auto"/>
        </w:rPr>
        <w:t>ARTICLE IV – LEADERSHIP COUNCIL, PROJECT MANAGEMENT</w:t>
      </w:r>
      <w:r>
        <w:rPr>
          <w:rFonts w:ascii="Arial" w:cs="Arial" w:eastAsia="Arial" w:hAnsi="Arial"/>
          <w:sz w:val="18"/>
          <w:szCs w:val="18"/>
          <w:color w:val="auto"/>
        </w:rPr>
        <w:t xml:space="preserve"> is hereby deleted and replaced as follows:</w:t>
      </w:r>
    </w:p>
    <w:p>
      <w:pPr>
        <w:spacing w:after="0" w:line="31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Dispute Resolution</w:t>
      </w:r>
    </w:p>
    <w:p>
      <w:pPr>
        <w:spacing w:after="0" w:line="135"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Informal Dispute Resolution.</w:t>
      </w:r>
    </w:p>
    <w:p>
      <w:pPr>
        <w:spacing w:after="0" w:line="113" w:lineRule="exact"/>
        <w:rPr>
          <w:sz w:val="20"/>
          <w:szCs w:val="20"/>
          <w:color w:val="auto"/>
        </w:rPr>
      </w:pPr>
    </w:p>
    <w:p>
      <w:pPr>
        <w:ind w:left="920" w:right="240"/>
        <w:spacing w:after="0" w:line="282" w:lineRule="auto"/>
        <w:rPr>
          <w:sz w:val="20"/>
          <w:szCs w:val="20"/>
          <w:color w:val="auto"/>
        </w:rPr>
      </w:pPr>
      <w:r>
        <w:rPr>
          <w:rFonts w:ascii="Arial" w:cs="Arial" w:eastAsia="Arial" w:hAnsi="Arial"/>
          <w:sz w:val="18"/>
          <w:szCs w:val="18"/>
          <w:color w:val="auto"/>
        </w:rPr>
        <w:t xml:space="preserve">Prior to the initiation of formal dispute resolution procedures with respect to any dispute, other than as provided in this </w:t>
      </w:r>
      <w:r>
        <w:rPr>
          <w:rFonts w:ascii="Arial" w:cs="Arial" w:eastAsia="Arial" w:hAnsi="Arial"/>
          <w:sz w:val="18"/>
          <w:szCs w:val="18"/>
          <w:b w:val="1"/>
          <w:bCs w:val="1"/>
          <w:u w:val="single" w:color="auto"/>
          <w:color w:val="auto"/>
        </w:rPr>
        <w:t>Section 4.7</w:t>
      </w:r>
      <w:r>
        <w:rPr>
          <w:rFonts w:ascii="Arial" w:cs="Arial" w:eastAsia="Arial" w:hAnsi="Arial"/>
          <w:sz w:val="18"/>
          <w:szCs w:val="18"/>
          <w:color w:val="auto"/>
        </w:rPr>
        <w:t>, the Parties shall first attempt to resolve such dispute informally, as follows:</w:t>
      </w:r>
    </w:p>
    <w:p>
      <w:pPr>
        <w:spacing w:after="0" w:line="67" w:lineRule="exact"/>
        <w:rPr>
          <w:sz w:val="20"/>
          <w:szCs w:val="20"/>
          <w:color w:val="auto"/>
        </w:rPr>
      </w:pPr>
    </w:p>
    <w:p>
      <w:pPr>
        <w:ind w:left="1920" w:right="340" w:hanging="440"/>
        <w:spacing w:after="0" w:line="261" w:lineRule="auto"/>
        <w:tabs>
          <w:tab w:leader="none" w:pos="192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Initial Effort</w:t>
      </w:r>
      <w:r>
        <w:rPr>
          <w:rFonts w:ascii="Arial" w:cs="Arial" w:eastAsia="Arial" w:hAnsi="Arial"/>
          <w:sz w:val="18"/>
          <w:szCs w:val="18"/>
          <w:color w:val="auto"/>
        </w:rPr>
        <w:t>. The Parties agree that they shall attempt in good faith to resolve all disputes in accordance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Appendix 10 -</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Governance</w:t>
      </w:r>
      <w:r>
        <w:rPr>
          <w:rFonts w:ascii="Arial" w:cs="Arial" w:eastAsia="Arial" w:hAnsi="Arial"/>
          <w:sz w:val="18"/>
          <w:szCs w:val="18"/>
          <w:color w:val="auto"/>
        </w:rPr>
        <w:t>. In the event of a dispute that is not resolved or resolvable in accordance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Appendix 10 - Governance</w:t>
      </w:r>
      <w:r>
        <w:rPr>
          <w:rFonts w:ascii="Arial" w:cs="Arial" w:eastAsia="Arial" w:hAnsi="Arial"/>
          <w:sz w:val="18"/>
          <w:szCs w:val="18"/>
          <w:color w:val="auto"/>
        </w:rPr>
        <w: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may refer the dispute for resolution to the senior corporate executives specified in </w:t>
      </w:r>
      <w:r>
        <w:rPr>
          <w:rFonts w:ascii="Arial" w:cs="Arial" w:eastAsia="Arial" w:hAnsi="Arial"/>
          <w:sz w:val="18"/>
          <w:szCs w:val="18"/>
          <w:b w:val="1"/>
          <w:bCs w:val="1"/>
          <w:u w:val="single" w:color="auto"/>
          <w:color w:val="auto"/>
        </w:rPr>
        <w:t>Section 4.7(A)(e)</w:t>
      </w:r>
      <w:r>
        <w:rPr>
          <w:rFonts w:ascii="Arial" w:cs="Arial" w:eastAsia="Arial" w:hAnsi="Arial"/>
          <w:sz w:val="18"/>
          <w:szCs w:val="18"/>
          <w:color w:val="auto"/>
        </w:rPr>
        <w:t xml:space="preserve"> below upon written notice to the other Party.</w:t>
      </w:r>
    </w:p>
    <w:p>
      <w:pPr>
        <w:spacing w:after="0" w:line="85" w:lineRule="exact"/>
        <w:rPr>
          <w:rFonts w:ascii="Arial" w:cs="Arial" w:eastAsia="Arial" w:hAnsi="Arial"/>
          <w:sz w:val="18"/>
          <w:szCs w:val="18"/>
          <w:color w:val="auto"/>
        </w:rPr>
      </w:pPr>
    </w:p>
    <w:p>
      <w:pPr>
        <w:ind w:left="1920" w:hanging="440"/>
        <w:spacing w:after="0"/>
        <w:tabs>
          <w:tab w:leader="none" w:pos="192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Escalation</w:t>
      </w:r>
      <w:r>
        <w:rPr>
          <w:rFonts w:ascii="Arial" w:cs="Arial" w:eastAsia="Arial" w:hAnsi="Arial"/>
          <w:sz w:val="18"/>
          <w:szCs w:val="18"/>
          <w:color w:val="auto"/>
        </w:rPr>
        <w:t>. [**] of a notice under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4.7(A)(a)</w:t>
      </w:r>
      <w:r>
        <w:rPr>
          <w:rFonts w:ascii="Arial" w:cs="Arial" w:eastAsia="Arial" w:hAnsi="Arial"/>
          <w:sz w:val="18"/>
          <w:szCs w:val="18"/>
          <w:b w:val="1"/>
          <w:bCs w:val="1"/>
          <w:color w:val="auto"/>
        </w:rPr>
        <w:t xml:space="preserve"> </w:t>
      </w:r>
      <w:r>
        <w:rPr>
          <w:rFonts w:ascii="Arial" w:cs="Arial" w:eastAsia="Arial" w:hAnsi="Arial"/>
          <w:sz w:val="18"/>
          <w:szCs w:val="18"/>
          <w:color w:val="auto"/>
        </w:rPr>
        <w:t>above referring a dispute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5" w:name="page246"/>
    <w:bookmarkEnd w:id="245"/>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ind w:left="1860" w:right="40"/>
        <w:spacing w:after="0" w:line="253" w:lineRule="auto"/>
        <w:rPr>
          <w:sz w:val="20"/>
          <w:szCs w:val="20"/>
          <w:color w:val="auto"/>
        </w:rPr>
      </w:pPr>
      <w:r>
        <w:rPr>
          <w:rFonts w:ascii="Arial" w:cs="Arial" w:eastAsia="Arial" w:hAnsi="Arial"/>
          <w:sz w:val="18"/>
          <w:szCs w:val="18"/>
          <w:color w:val="auto"/>
        </w:rPr>
        <w:t>resolution by senior corporate executives, the AT&amp;T Contract Office and the Amdocs Account Office will each prepare and provide to an Amdocs Division President and the AT&amp;T Chief Information Officer,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 of fact or written statements of position.</w:t>
      </w:r>
    </w:p>
    <w:p>
      <w:pPr>
        <w:spacing w:after="0" w:line="99" w:lineRule="exact"/>
        <w:rPr>
          <w:sz w:val="20"/>
          <w:szCs w:val="20"/>
          <w:color w:val="auto"/>
        </w:rPr>
      </w:pPr>
    </w:p>
    <w:p>
      <w:pPr>
        <w:ind w:left="1840" w:right="200" w:hanging="440"/>
        <w:spacing w:after="0" w:line="298" w:lineRule="auto"/>
        <w:tabs>
          <w:tab w:leader="none" w:pos="1840" w:val="left"/>
        </w:tabs>
        <w:numPr>
          <w:ilvl w:val="0"/>
          <w:numId w:val="244"/>
        </w:numPr>
        <w:rPr>
          <w:rFonts w:ascii="Arial" w:cs="Arial" w:eastAsia="Arial" w:hAnsi="Arial"/>
          <w:sz w:val="16"/>
          <w:szCs w:val="16"/>
          <w:color w:val="auto"/>
        </w:rPr>
      </w:pPr>
      <w:r>
        <w:rPr>
          <w:rFonts w:ascii="Arial" w:cs="Arial" w:eastAsia="Arial" w:hAnsi="Arial"/>
          <w:sz w:val="16"/>
          <w:szCs w:val="16"/>
          <w:b w:val="1"/>
          <w:bCs w:val="1"/>
          <w:color w:val="auto"/>
        </w:rPr>
        <w:t>Provision of Information</w:t>
      </w:r>
      <w:r>
        <w:rPr>
          <w:rFonts w:ascii="Arial" w:cs="Arial" w:eastAsia="Arial" w:hAnsi="Arial"/>
          <w:sz w:val="16"/>
          <w:szCs w:val="16"/>
          <w:color w:val="auto"/>
        </w:rPr>
        <w:t>. During the course of negotiations under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4.7</w:t>
      </w:r>
      <w:r>
        <w:rPr>
          <w:rFonts w:ascii="Arial" w:cs="Arial" w:eastAsia="Arial" w:hAnsi="Arial"/>
          <w:sz w:val="16"/>
          <w:szCs w:val="16"/>
          <w:color w:val="auto"/>
        </w:rPr>
        <w:t>, all reasonable requests made by one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59" w:lineRule="exact"/>
        <w:rPr>
          <w:rFonts w:ascii="Arial" w:cs="Arial" w:eastAsia="Arial" w:hAnsi="Arial"/>
          <w:sz w:val="16"/>
          <w:szCs w:val="16"/>
          <w:color w:val="auto"/>
        </w:rPr>
      </w:pPr>
    </w:p>
    <w:p>
      <w:pPr>
        <w:ind w:left="1840" w:right="140" w:hanging="440"/>
        <w:spacing w:after="0" w:line="273" w:lineRule="auto"/>
        <w:tabs>
          <w:tab w:leader="none" w:pos="1840"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Prerequisite to Formal Proceedings</w:t>
      </w:r>
      <w:r>
        <w:rPr>
          <w:rFonts w:ascii="Arial" w:cs="Arial" w:eastAsia="Arial" w:hAnsi="Arial"/>
          <w:sz w:val="17"/>
          <w:szCs w:val="17"/>
          <w:color w:val="auto"/>
        </w:rPr>
        <w:t>. Formal proceedings for the resolution of a dispute may not be commenced until the earlier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(i) the designated senior corporate executives under </w:t>
      </w:r>
      <w:r>
        <w:rPr>
          <w:rFonts w:ascii="Arial" w:cs="Arial" w:eastAsia="Arial" w:hAnsi="Arial"/>
          <w:sz w:val="17"/>
          <w:szCs w:val="17"/>
          <w:b w:val="1"/>
          <w:bCs w:val="1"/>
          <w:u w:val="single" w:color="auto"/>
          <w:color w:val="auto"/>
        </w:rPr>
        <w:t>Section 4.7(A)(a)</w:t>
      </w:r>
      <w:r>
        <w:rPr>
          <w:rFonts w:ascii="Arial" w:cs="Arial" w:eastAsia="Arial" w:hAnsi="Arial"/>
          <w:sz w:val="17"/>
          <w:szCs w:val="17"/>
          <w:color w:val="auto"/>
        </w:rPr>
        <w:t xml:space="preserve"> above concluding in good faith that amicable resolution through continued negotiation of the matter does not appear likely; or (ii) [**] after the notice under </w:t>
      </w:r>
      <w:r>
        <w:rPr>
          <w:rFonts w:ascii="Arial" w:cs="Arial" w:eastAsia="Arial" w:hAnsi="Arial"/>
          <w:sz w:val="17"/>
          <w:szCs w:val="17"/>
          <w:b w:val="1"/>
          <w:bCs w:val="1"/>
          <w:u w:val="single" w:color="auto"/>
          <w:color w:val="auto"/>
        </w:rPr>
        <w:t>Section 4.7(A)(a)</w:t>
      </w:r>
      <w:r>
        <w:rPr>
          <w:rFonts w:ascii="Arial" w:cs="Arial" w:eastAsia="Arial" w:hAnsi="Arial"/>
          <w:sz w:val="17"/>
          <w:szCs w:val="17"/>
          <w:color w:val="auto"/>
        </w:rPr>
        <w:t xml:space="preserve"> above referring the dispute to designated senior corporate executives. The time periods specified in this </w:t>
      </w:r>
      <w:r>
        <w:rPr>
          <w:rFonts w:ascii="Arial" w:cs="Arial" w:eastAsia="Arial" w:hAnsi="Arial"/>
          <w:sz w:val="17"/>
          <w:szCs w:val="17"/>
          <w:b w:val="1"/>
          <w:bCs w:val="1"/>
          <w:u w:val="single" w:color="auto"/>
          <w:color w:val="auto"/>
        </w:rPr>
        <w:t>Section 4.7(A)</w:t>
      </w:r>
      <w:r>
        <w:rPr>
          <w:rFonts w:ascii="Arial" w:cs="Arial" w:eastAsia="Arial" w:hAnsi="Arial"/>
          <w:sz w:val="17"/>
          <w:szCs w:val="17"/>
          <w:color w:val="auto"/>
        </w:rPr>
        <w:t xml:space="preserve"> shall not be construed to prevent a Party from instituting, and a Party is authorized to institute, formal proceedings earlier to (A) avoid the expiration of any applicable limitations period, (B) preserve a superior position with respect to other creditors, or (C) address a dispute to the extent subject to equitable or injunctive relief.</w:t>
      </w:r>
    </w:p>
    <w:p>
      <w:pPr>
        <w:spacing w:after="0" w:line="77" w:lineRule="exact"/>
        <w:rPr>
          <w:rFonts w:ascii="Arial" w:cs="Arial" w:eastAsia="Arial" w:hAnsi="Arial"/>
          <w:sz w:val="17"/>
          <w:szCs w:val="17"/>
          <w:color w:val="auto"/>
        </w:rPr>
      </w:pPr>
    </w:p>
    <w:p>
      <w:pPr>
        <w:ind w:left="1840" w:right="280" w:hanging="440"/>
        <w:spacing w:after="0" w:line="261" w:lineRule="auto"/>
        <w:tabs>
          <w:tab w:leader="none" w:pos="184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Additional Escalation</w:t>
      </w:r>
      <w:r>
        <w:rPr>
          <w:rFonts w:ascii="Arial" w:cs="Arial" w:eastAsia="Arial" w:hAnsi="Arial"/>
          <w:sz w:val="18"/>
          <w:szCs w:val="18"/>
          <w:color w:val="auto"/>
        </w:rPr>
        <w:t>. In addition to the dispute resolution provisions contained in this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4.7(A)</w:t>
      </w:r>
      <w:r>
        <w:rPr>
          <w:rFonts w:ascii="Arial" w:cs="Arial" w:eastAsia="Arial" w:hAnsi="Arial"/>
          <w:sz w:val="18"/>
          <w:szCs w:val="18"/>
          <w:color w:val="auto"/>
        </w:rPr>
        <w:t>,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of its termination rights under </w:t>
      </w:r>
      <w:r>
        <w:rPr>
          <w:rFonts w:ascii="Arial" w:cs="Arial" w:eastAsia="Arial" w:hAnsi="Arial"/>
          <w:sz w:val="18"/>
          <w:szCs w:val="18"/>
          <w:b w:val="1"/>
          <w:bCs w:val="1"/>
          <w:u w:val="single" w:color="auto"/>
          <w:color w:val="auto"/>
        </w:rPr>
        <w:t>Section 3.3(A)</w:t>
      </w:r>
      <w:r>
        <w:rPr>
          <w:rFonts w:ascii="Arial" w:cs="Arial" w:eastAsia="Arial" w:hAnsi="Arial"/>
          <w:sz w:val="18"/>
          <w:szCs w:val="18"/>
          <w:color w:val="auto"/>
        </w:rPr>
        <w:t>, AT&amp;T will, [**] to the effective date of such termination, but without extending any applicable time frames specified in the Agreement, provide Amdocs with the right to have its Chief Executive Officer address the relevant issues with AT&amp;T’s Chief Operating Officer.</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274"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Arbitration.</w:t>
      </w:r>
    </w:p>
    <w:p>
      <w:pPr>
        <w:spacing w:after="0" w:line="117" w:lineRule="exact"/>
        <w:rPr>
          <w:sz w:val="20"/>
          <w:szCs w:val="20"/>
          <w:color w:val="auto"/>
        </w:rPr>
      </w:pPr>
    </w:p>
    <w:p>
      <w:pPr>
        <w:ind w:left="1500" w:right="480" w:hanging="8"/>
        <w:spacing w:after="0" w:line="264" w:lineRule="auto"/>
        <w:tabs>
          <w:tab w:leader="none" w:pos="174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Any controversy or claim arising out of or relating to this Agreement, or any breach thereof, which cannot be resolved using the procedures set forth above in </w:t>
      </w:r>
      <w:r>
        <w:rPr>
          <w:rFonts w:ascii="Arial" w:cs="Arial" w:eastAsia="Arial" w:hAnsi="Arial"/>
          <w:sz w:val="18"/>
          <w:szCs w:val="18"/>
          <w:b w:val="1"/>
          <w:bCs w:val="1"/>
          <w:u w:val="single" w:color="auto"/>
          <w:color w:val="auto"/>
        </w:rPr>
        <w:t>Section 4.7(A)</w:t>
      </w:r>
      <w:r>
        <w:rPr>
          <w:rFonts w:ascii="Arial" w:cs="Arial" w:eastAsia="Arial" w:hAnsi="Arial"/>
          <w:sz w:val="18"/>
          <w:szCs w:val="18"/>
          <w:color w:val="auto"/>
        </w:rPr>
        <w:t xml:space="preserve"> shall be finally resolved under the Commercial Arbitration Rules of the American Arbitration Association then in effect.</w:t>
      </w:r>
    </w:p>
    <w:p>
      <w:pPr>
        <w:spacing w:after="0" w:line="73" w:lineRule="exact"/>
        <w:rPr>
          <w:rFonts w:ascii="Arial" w:cs="Arial" w:eastAsia="Arial" w:hAnsi="Arial"/>
          <w:sz w:val="18"/>
          <w:szCs w:val="18"/>
          <w:color w:val="auto"/>
        </w:rPr>
      </w:pPr>
    </w:p>
    <w:p>
      <w:pPr>
        <w:ind w:left="1500" w:right="80" w:hanging="8"/>
        <w:spacing w:after="0" w:line="255" w:lineRule="auto"/>
        <w:tabs>
          <w:tab w:leader="none" w:pos="17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Arbitration shall take place in New York, New York, and shall apply the law of the State of Texas. The decision of the arbitrators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w:t>
      </w:r>
    </w:p>
    <w:p>
      <w:pPr>
        <w:spacing w:after="0" w:line="189" w:lineRule="exact"/>
        <w:rPr>
          <w:rFonts w:ascii="Arial" w:cs="Arial" w:eastAsia="Arial" w:hAnsi="Arial"/>
          <w:sz w:val="18"/>
          <w:szCs w:val="18"/>
          <w:color w:val="auto"/>
        </w:rPr>
      </w:pPr>
    </w:p>
    <w:p>
      <w:pPr>
        <w:ind w:left="1500" w:hanging="8"/>
        <w:spacing w:after="0" w:line="271" w:lineRule="auto"/>
        <w:tabs>
          <w:tab w:leader="none" w:pos="174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after delivery of written notice (“</w:t>
      </w:r>
      <w:r>
        <w:rPr>
          <w:rFonts w:ascii="Arial" w:cs="Arial" w:eastAsia="Arial" w:hAnsi="Arial"/>
          <w:sz w:val="17"/>
          <w:szCs w:val="17"/>
          <w:b w:val="1"/>
          <w:bCs w:val="1"/>
          <w:u w:val="single" w:color="auto"/>
          <w:color w:val="auto"/>
        </w:rPr>
        <w:t>Notice of Dispute</w:t>
      </w:r>
      <w:r>
        <w:rPr>
          <w:rFonts w:ascii="Arial" w:cs="Arial" w:eastAsia="Arial" w:hAnsi="Arial"/>
          <w:sz w:val="17"/>
          <w:szCs w:val="17"/>
          <w:color w:val="auto"/>
        </w:rPr>
        <w:t>”) by one Party to the other in accordance with this Section, the Parties each shall use good faith efforts to mutually agree upon one (1) arbitrator. If the Parties are not able to agree upon one (1) arbitrator within such period of time, the Parties each shall [**]: (i) appoint one (1) 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 the single arbitrator appointed by the other Party shall decide alone the issues set out in the Notice of Dispute. [**] after such appointment and notice, such arbitrators shall appoint a third arbitrator. In the event that the two arbitrators fail to appoint a third arbitrator within [**] of the appointment of the second arbitrator, either arbitrator or either Party may apply for the appointment of a third arbitrator to the American Arbitration Association.</w:t>
      </w:r>
    </w:p>
    <w:p>
      <w:pPr>
        <w:spacing w:after="0" w:line="70" w:lineRule="exact"/>
        <w:rPr>
          <w:rFonts w:ascii="Arial" w:cs="Arial" w:eastAsia="Arial" w:hAnsi="Arial"/>
          <w:sz w:val="17"/>
          <w:szCs w:val="17"/>
          <w:color w:val="auto"/>
        </w:rPr>
      </w:pPr>
    </w:p>
    <w:p>
      <w:pPr>
        <w:ind w:left="1500" w:right="140" w:hanging="8"/>
        <w:spacing w:after="0" w:line="288" w:lineRule="auto"/>
        <w:tabs>
          <w:tab w:leader="none" w:pos="175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arbitrators selected pursuant to this Section shall be practicing attorneys with [**] applicable to the Services. Any such appointment shall be binding upon the Parties. The Parties shall use best efforts to set the arbitration within [**] after selection of the arbitrator or arbitrators, as applicable, but in no event shall the arbitration be set more than [**]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 after the conclusion of the hearing, shall be in writing, shall set forth the basis therefore, and shall be final, binding and nonappealable upon the Parties and may be enforced and executed upon in any court having jurisdiction over the Party against whom the enforcement of such decision or award is sought. [**]; provided, however, the arbitrator or arbitrators, as applicable, may modify the allocation of fees, costs and expenses in the award in those cases where fairness dictates other than such allocation between the Parties.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 xml:space="preserve">Section 6.9, “Work Done By Others,” of </w:t>
      </w:r>
      <w:r>
        <w:rPr>
          <w:rFonts w:ascii="Arial" w:cs="Arial" w:eastAsia="Arial" w:hAnsi="Arial"/>
          <w:sz w:val="18"/>
          <w:szCs w:val="18"/>
          <w:b w:val="1"/>
          <w:bCs w:val="1"/>
          <w:color w:val="auto"/>
        </w:rPr>
        <w:t>ARTICLE VI - ONGOING SUPPORT SERVICES</w:t>
      </w:r>
      <w:r>
        <w:rPr>
          <w:rFonts w:ascii="Arial" w:cs="Arial" w:eastAsia="Arial" w:hAnsi="Arial"/>
          <w:sz w:val="18"/>
          <w:szCs w:val="18"/>
          <w:color w:val="auto"/>
        </w:rPr>
        <w:t xml:space="preserve"> is hereby deleted and replaced as follows:</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Work Done by Others</w:t>
      </w:r>
    </w:p>
    <w:p>
      <w:pPr>
        <w:spacing w:after="0" w:line="121"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If any part of Amdocs’s work is dependent upon work performed by others or subcontracted consistent with the terms herein, Amdocs shall inspect such other work and promptly report to AT&amp;T any known or discovered defect that renders such other work unsuitable for Amdocs’s proper performance. Amdocs’s silence shall constitute approval of such other work as fit, proper and suitable for Amdocs’s performance of its work except with respect to latent defects.</w:t>
      </w:r>
    </w:p>
    <w:p>
      <w:pPr>
        <w:spacing w:after="0" w:line="88"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1.2(2) IT Professional Service Price(s) </w:t>
      </w:r>
      <w:r>
        <w:rPr>
          <w:rFonts w:ascii="Arial" w:cs="Arial" w:eastAsia="Arial" w:hAnsi="Arial"/>
          <w:sz w:val="18"/>
          <w:szCs w:val="18"/>
          <w:color w:val="auto"/>
        </w:rPr>
        <w:t>is amended to include the following:</w:t>
      </w:r>
    </w:p>
    <w:p>
      <w:pPr>
        <w:spacing w:after="0" w:line="135" w:lineRule="exact"/>
        <w:rPr>
          <w:sz w:val="20"/>
          <w:szCs w:val="20"/>
          <w:color w:val="auto"/>
        </w:rPr>
      </w:pPr>
    </w:p>
    <w:p>
      <w:pPr>
        <w:ind w:left="900" w:hanging="446"/>
        <w:spacing w:after="0"/>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Mobility Software Development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 with the following exception: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00" w:right="9120" w:hanging="1046"/>
        <w:spacing w:after="0" w:line="431" w:lineRule="auto"/>
        <w:tabs>
          <w:tab w:leader="none" w:pos="90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Production Support [**].</w:t>
      </w:r>
    </w:p>
    <w:p>
      <w:pPr>
        <w:ind w:left="900" w:hanging="446"/>
        <w:spacing w:after="0"/>
        <w:tabs>
          <w:tab w:leader="none" w:pos="9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Requirements/Consulting</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Testing</w:t>
      </w:r>
    </w:p>
    <w:p>
      <w:pPr>
        <w:spacing w:after="0" w:line="117" w:lineRule="exact"/>
        <w:rPr>
          <w:rFonts w:ascii="Arial" w:cs="Arial" w:eastAsia="Arial" w:hAnsi="Arial"/>
          <w:sz w:val="18"/>
          <w:szCs w:val="18"/>
          <w:color w:val="auto"/>
        </w:rPr>
      </w:pPr>
    </w:p>
    <w:p>
      <w:pPr>
        <w:ind w:left="920" w:right="820" w:firstLine="1"/>
        <w:spacing w:after="0" w:line="277" w:lineRule="auto"/>
        <w:tabs>
          <w:tab w:leader="none" w:pos="131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This rate is conditional upon maintaining the current level or volume of testing services provided to AT&amp;T upon signature of this Amendment. [**].</w:t>
      </w:r>
    </w:p>
    <w:p>
      <w:pPr>
        <w:spacing w:after="0" w:line="71" w:lineRule="exact"/>
        <w:rPr>
          <w:rFonts w:ascii="Arial" w:cs="Arial" w:eastAsia="Arial" w:hAnsi="Arial"/>
          <w:sz w:val="18"/>
          <w:szCs w:val="18"/>
          <w:color w:val="auto"/>
        </w:rPr>
      </w:pPr>
    </w:p>
    <w:p>
      <w:pPr>
        <w:ind w:left="460" w:right="100" w:hanging="452"/>
        <w:spacing w:after="0" w:line="282" w:lineRule="auto"/>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8 AT&amp;T Supplier Information Security Requirements, </w:t>
      </w:r>
      <w:r>
        <w:rPr>
          <w:rFonts w:ascii="Arial" w:cs="Arial" w:eastAsia="Arial" w:hAnsi="Arial"/>
          <w:sz w:val="18"/>
          <w:szCs w:val="18"/>
          <w:color w:val="auto"/>
        </w:rPr>
        <w:t>attached to the Agreement, is deleted in its entirety, and replaced with the revised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Appendix 8 </w:t>
      </w:r>
      <w:r>
        <w:rPr>
          <w:rFonts w:ascii="Arial" w:cs="Arial" w:eastAsia="Arial" w:hAnsi="Arial"/>
          <w:sz w:val="18"/>
          <w:szCs w:val="18"/>
          <w:b w:val="1"/>
          <w:bCs w:val="1"/>
          <w:color w:val="auto"/>
        </w:rPr>
        <w:t>AT&amp;T Rules and Supplier Information Security Requirements</w:t>
      </w:r>
      <w:r>
        <w:rPr>
          <w:rFonts w:ascii="Arial" w:cs="Arial" w:eastAsia="Arial" w:hAnsi="Arial"/>
          <w:sz w:val="18"/>
          <w:szCs w:val="18"/>
          <w:color w:val="auto"/>
        </w:rPr>
        <w:t>, attached herewith.</w:t>
      </w:r>
    </w:p>
    <w:p>
      <w:pPr>
        <w:spacing w:after="0" w:line="67" w:lineRule="exact"/>
        <w:rPr>
          <w:rFonts w:ascii="Arial" w:cs="Arial" w:eastAsia="Arial" w:hAnsi="Arial"/>
          <w:sz w:val="18"/>
          <w:szCs w:val="18"/>
          <w:b w:val="1"/>
          <w:bCs w:val="1"/>
          <w:color w:val="auto"/>
        </w:rPr>
      </w:pPr>
    </w:p>
    <w:p>
      <w:pPr>
        <w:ind w:left="460" w:right="400" w:hanging="452"/>
        <w:spacing w:after="0" w:line="282" w:lineRule="auto"/>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10 Governance, </w:t>
      </w:r>
      <w:r>
        <w:rPr>
          <w:rFonts w:ascii="Arial" w:cs="Arial" w:eastAsia="Arial" w:hAnsi="Arial"/>
          <w:sz w:val="18"/>
          <w:szCs w:val="18"/>
          <w:color w:val="auto"/>
        </w:rPr>
        <w:t>attached to the Agreement, is deleted in its entirety, and replaced with the revised</w:t>
      </w:r>
      <w:r>
        <w:rPr>
          <w:rFonts w:ascii="Arial" w:cs="Arial" w:eastAsia="Arial" w:hAnsi="Arial"/>
          <w:sz w:val="18"/>
          <w:szCs w:val="18"/>
          <w:b w:val="1"/>
          <w:bCs w:val="1"/>
          <w:color w:val="auto"/>
        </w:rPr>
        <w:t xml:space="preserve"> Appendix 10 Governance</w:t>
      </w:r>
      <w:r>
        <w:rPr>
          <w:rFonts w:ascii="Arial" w:cs="Arial" w:eastAsia="Arial" w:hAnsi="Arial"/>
          <w:sz w:val="18"/>
          <w:szCs w:val="18"/>
          <w:color w:val="auto"/>
        </w:rPr>
        <w:t>,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48" w:name="page249"/>
    <w:bookmarkEnd w:id="248"/>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6060" w:type="dxa"/>
            <w:vAlign w:val="bottom"/>
            <w:gridSpan w:val="3"/>
          </w:tcPr>
          <w:p>
            <w:pPr>
              <w:ind w:left="68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360" w:type="dxa"/>
            <w:vAlign w:val="bottom"/>
            <w:gridSpan w:val="4"/>
          </w:tcPr>
          <w:p>
            <w:pPr>
              <w:spacing w:after="0"/>
              <w:rPr>
                <w:sz w:val="20"/>
                <w:szCs w:val="20"/>
                <w:color w:val="auto"/>
              </w:rPr>
            </w:pPr>
            <w:r>
              <w:rPr>
                <w:rFonts w:ascii="Arial" w:cs="Arial" w:eastAsia="Arial" w:hAnsi="Arial"/>
                <w:sz w:val="18"/>
                <w:szCs w:val="18"/>
                <w:color w:val="auto"/>
              </w:rPr>
              <w:t>By:  /s/ Kelley Basta</w:t>
            </w:r>
          </w:p>
        </w:tc>
        <w:tc>
          <w:tcPr>
            <w:tcW w:w="6060" w:type="dxa"/>
            <w:vAlign w:val="bottom"/>
            <w:gridSpan w:val="3"/>
          </w:tcPr>
          <w:p>
            <w:pPr>
              <w:ind w:left="680"/>
              <w:spacing w:after="0"/>
              <w:rPr>
                <w:sz w:val="20"/>
                <w:szCs w:val="20"/>
                <w:color w:val="auto"/>
              </w:rPr>
            </w:pPr>
            <w:r>
              <w:rPr>
                <w:rFonts w:ascii="Arial" w:cs="Arial" w:eastAsia="Arial" w:hAnsi="Arial"/>
                <w:sz w:val="18"/>
                <w:szCs w:val="18"/>
                <w:color w:val="auto"/>
              </w:rPr>
              <w:t>By:  /s/ Beverly J. Madson</w:t>
            </w: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5020" w:type="dxa"/>
            <w:vAlign w:val="bottom"/>
            <w:gridSpan w:val="2"/>
            <w:shd w:val="clear" w:color="auto" w:fill="000000"/>
          </w:tcPr>
          <w:p>
            <w:pPr>
              <w:spacing w:after="0" w:line="20" w:lineRule="exact"/>
              <w:rPr>
                <w:sz w:val="1"/>
                <w:szCs w:val="1"/>
                <w:color w:val="auto"/>
              </w:rPr>
            </w:pPr>
          </w:p>
        </w:tc>
      </w:tr>
      <w:tr>
        <w:trPr>
          <w:trHeight w:val="331"/>
        </w:trPr>
        <w:tc>
          <w:tcPr>
            <w:tcW w:w="5360" w:type="dxa"/>
            <w:vAlign w:val="bottom"/>
            <w:gridSpan w:val="4"/>
          </w:tcPr>
          <w:p>
            <w:pPr>
              <w:spacing w:after="0"/>
              <w:rPr>
                <w:sz w:val="20"/>
                <w:szCs w:val="20"/>
                <w:color w:val="auto"/>
              </w:rPr>
            </w:pPr>
            <w:r>
              <w:rPr>
                <w:rFonts w:ascii="Arial" w:cs="Arial" w:eastAsia="Arial" w:hAnsi="Arial"/>
                <w:sz w:val="18"/>
                <w:szCs w:val="18"/>
                <w:color w:val="auto"/>
              </w:rPr>
              <w:t>Printed Name:  Kelley Basta</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Printed Name:  Beverly J. Madson</w:t>
            </w:r>
          </w:p>
        </w:tc>
      </w:tr>
      <w:tr>
        <w:trPr>
          <w:trHeight w:val="20"/>
        </w:trPr>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1"/>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 of Finance</w:t>
            </w: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Contract Manager</w:t>
            </w:r>
          </w:p>
        </w:tc>
      </w:tr>
      <w:tr>
        <w:trPr>
          <w:trHeight w:val="439"/>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8/7/09</w:t>
            </w:r>
          </w:p>
        </w:tc>
        <w:tc>
          <w:tcPr>
            <w:tcW w:w="4100" w:type="dxa"/>
            <w:vAlign w:val="bottom"/>
            <w:tcBorders>
              <w:top w:val="single" w:sz="8" w:color="auto"/>
              <w:bottom w:val="single" w:sz="8" w:color="auto"/>
            </w:tcBorders>
          </w:tcPr>
          <w:p>
            <w:pPr>
              <w:spacing w:after="0"/>
              <w:rPr>
                <w:sz w:val="24"/>
                <w:szCs w:val="24"/>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8-7-2009</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A&amp;T Rules and Supplier Information Security Requirements</w:t>
      </w:r>
    </w:p>
    <w:p>
      <w:pPr>
        <w:spacing w:after="0" w:line="131"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Work Policies and Rules</w:t>
      </w:r>
    </w:p>
    <w:p>
      <w:pPr>
        <w:spacing w:after="0" w:line="135" w:lineRule="exact"/>
        <w:rPr>
          <w:sz w:val="20"/>
          <w:szCs w:val="20"/>
          <w:color w:val="auto"/>
        </w:rPr>
      </w:pPr>
    </w:p>
    <w:p>
      <w:pPr>
        <w:ind w:left="460" w:right="120" w:hanging="452"/>
        <w:spacing w:after="0" w:line="342" w:lineRule="auto"/>
        <w:tabs>
          <w:tab w:leader="none" w:pos="4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During the performance of Services, representatives of Amdocs, including its employees and subcontractors (“Amdocs Representatives”), shall adhere to AT&amp;T work rules and policies, including but not limited to those specified in the </w:t>
      </w:r>
      <w:r>
        <w:rPr>
          <w:rFonts w:ascii="Arial" w:cs="Arial" w:eastAsia="Arial" w:hAnsi="Arial"/>
          <w:sz w:val="16"/>
          <w:szCs w:val="16"/>
          <w:i w:val="1"/>
          <w:iCs w:val="1"/>
          <w:color w:val="auto"/>
        </w:rPr>
        <w:t>AT&amp;T Code Of Business Conduct</w:t>
      </w:r>
      <w:r>
        <w:rPr>
          <w:rFonts w:ascii="Arial" w:cs="Arial" w:eastAsia="Arial" w:hAnsi="Arial"/>
          <w:sz w:val="16"/>
          <w:szCs w:val="16"/>
          <w:color w:val="auto"/>
        </w:rPr>
        <w:t>, as amended from time to time.</w:t>
      </w:r>
    </w:p>
    <w:p>
      <w:pPr>
        <w:spacing w:after="0" w:line="29" w:lineRule="exact"/>
        <w:rPr>
          <w:rFonts w:ascii="Arial" w:cs="Arial" w:eastAsia="Arial" w:hAnsi="Arial"/>
          <w:sz w:val="16"/>
          <w:szCs w:val="16"/>
          <w:color w:val="auto"/>
        </w:rPr>
      </w:pPr>
    </w:p>
    <w:p>
      <w:pPr>
        <w:ind w:left="460" w:right="140" w:hanging="452"/>
        <w:spacing w:after="0" w:line="257"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Without limiting the Amdocs obligation in clause (a), Amdocs shall ensure that the personal conduct and comments in the workplace of Amdocs Representatives support a professional environment which is free of inappropriate behavior, language, jokes or actions which could be perceived as sexual harassment or as biased, demeaning, offensive, or derogatory to others based upon race, color, religion, national origin, sex, age, sexual orientation, marital status, veteran’s status or disability. Amdocs further agrees that Amdocs Representatives will refrain from words or conduct that is threatening and/or disrespectful of others.</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Without limiting Amdocs’ obligation in clauses (a) or (b), if AT&amp;T provides Amdocs Representatives access to its computer systems, Amdocs agrees</w:t>
      </w:r>
    </w:p>
    <w:p>
      <w:pPr>
        <w:spacing w:after="0" w:line="46" w:lineRule="exact"/>
        <w:rPr>
          <w:rFonts w:ascii="Arial" w:cs="Arial" w:eastAsia="Arial" w:hAnsi="Arial"/>
          <w:sz w:val="16"/>
          <w:szCs w:val="16"/>
          <w:color w:val="auto"/>
        </w:rPr>
      </w:pPr>
    </w:p>
    <w:p>
      <w:pPr>
        <w:ind w:left="460" w:right="40"/>
        <w:spacing w:after="0" w:line="252" w:lineRule="auto"/>
        <w:rPr>
          <w:rFonts w:ascii="Arial" w:cs="Arial" w:eastAsia="Arial" w:hAnsi="Arial"/>
          <w:sz w:val="16"/>
          <w:szCs w:val="16"/>
          <w:color w:val="auto"/>
        </w:rPr>
      </w:pPr>
      <w:r>
        <w:rPr>
          <w:rFonts w:ascii="Arial" w:cs="Arial" w:eastAsia="Arial" w:hAnsi="Arial"/>
          <w:sz w:val="18"/>
          <w:szCs w:val="18"/>
          <w:color w:val="auto"/>
        </w:rPr>
        <w:t>(i) to use such systems in a professional manner, (ii) to use such systems only for business purposes and solely for the purposes of performing under the Agreement, (iii) to use such systems in compliance with AT&amp;T’s applicable standards and guidelines for computer systems use, as outlined in AT&amp;T Supplier Information Security Requirements, and (iv) to use password devices, if applicable and if requested by AT&amp;T. Without limiting the foregoing, any access provided by AT&amp;T, or by virtue of the presence of Amdocs Representatives at AT&amp;T locations, including but not limited to access to intranet and internet services, shall not be used for personal purposes or for any purpose which is not directly related to the Services. Amdocs agrees that Amdocs Representatives must have a valid AT&amp;T business reason to access the intranet and/or the internet from within AT&amp;T’s private corporate network.</w:t>
      </w:r>
    </w:p>
    <w:p>
      <w:pPr>
        <w:spacing w:after="0" w:line="338"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Access</w:t>
      </w:r>
    </w:p>
    <w:p>
      <w:pPr>
        <w:spacing w:after="0" w:line="135" w:lineRule="exact"/>
        <w:rPr>
          <w:sz w:val="20"/>
          <w:szCs w:val="20"/>
          <w:color w:val="auto"/>
        </w:rPr>
      </w:pPr>
    </w:p>
    <w:p>
      <w:pPr>
        <w:ind w:left="460" w:right="100" w:hanging="452"/>
        <w:spacing w:after="0" w:line="255"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When appropriate, Amdocs shall have reasonable access to AT&amp;T’s premises to enable Amdocs to perform its obligations under the Agreement. Amdocs shall coordinate such access with AT&amp;T’s designated representative prior to visiting such premises. Amdocs will ensure that only employees or subcontractors of Amdocs will be allowed to enter AT&amp;T’s premises. If AT&amp;T requests Amdocs to discontinue furnishing any person provided by Amdocs from performing Services on AT&amp;T’s premises, in accordance with the terms and conditions of the Agreement, Amdocs shall immediately comply with such request. Such person shall leave AT&amp;T’s premises immediately and Amdocs shall not furnish such person again to perform Services on AT&amp;T’s premises without AT&amp;T’s written consent.</w:t>
      </w:r>
    </w:p>
    <w:p>
      <w:pPr>
        <w:spacing w:after="0" w:line="98"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AT&amp;T may require Amdocs or its Amdocs Representatives to exhibit identification credentials, which AT&amp;T may issue, to gain access to AT&amp;T’s premises for the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0" w:name="page251"/>
    <w:bookmarkEnd w:id="250"/>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of Services. If, for any reason, any Amdocs Representative is no longer performing such Services, Amdocs shall immediately inform AT&amp;T and promptly deliver to AT&amp;T such person’s identification credentials, if issued by AT&amp;T. Amdocs agrees to comply with AT&amp;T’s corporate policy requiring Amdocs Representatives to exhibit their company photo identification in addition to the AT&amp;T issued photo identification when on AT&amp;T’s premises.</w:t>
      </w:r>
    </w:p>
    <w:p>
      <w:pPr>
        <w:spacing w:after="0" w:line="92" w:lineRule="exact"/>
        <w:rPr>
          <w:sz w:val="20"/>
          <w:szCs w:val="20"/>
          <w:color w:val="auto"/>
        </w:rPr>
      </w:pPr>
    </w:p>
    <w:p>
      <w:pPr>
        <w:ind w:left="460" w:right="80" w:hanging="452"/>
        <w:spacing w:after="0" w:line="257" w:lineRule="auto"/>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Amdocs shall ensure that Amdocs Representatives, while on or off AT&amp;T’s premises, will perform (i) Services which protect AT&amp;T-owned Materials, buildings and structures, (ii) which do not interfere with AT&amp;T’s business operations, and (iii) with care and due regard for the safety, convenience and protection of AT&amp;T, its employees, and property and in full conformance with the policies specified in the </w:t>
      </w:r>
      <w:r>
        <w:rPr>
          <w:rFonts w:ascii="Arial" w:cs="Arial" w:eastAsia="Arial" w:hAnsi="Arial"/>
          <w:sz w:val="18"/>
          <w:szCs w:val="18"/>
          <w:i w:val="1"/>
          <w:iCs w:val="1"/>
          <w:color w:val="auto"/>
        </w:rPr>
        <w:t>AT&amp;T Code of Business Conduct</w:t>
      </w:r>
      <w:r>
        <w:rPr>
          <w:rFonts w:ascii="Arial" w:cs="Arial" w:eastAsia="Arial" w:hAnsi="Arial"/>
          <w:sz w:val="18"/>
          <w:szCs w:val="18"/>
          <w:color w:val="auto"/>
        </w:rPr>
        <w:t xml:space="preserve">, which prohibits the possession of a weapon or an implement which can be used as a weapon (a copy of the </w:t>
      </w:r>
      <w:r>
        <w:rPr>
          <w:rFonts w:ascii="Arial" w:cs="Arial" w:eastAsia="Arial" w:hAnsi="Arial"/>
          <w:sz w:val="18"/>
          <w:szCs w:val="18"/>
          <w:i w:val="1"/>
          <w:iCs w:val="1"/>
          <w:color w:val="auto"/>
        </w:rPr>
        <w:t>AT&amp;T Code of Business Conduct</w:t>
      </w:r>
      <w:r>
        <w:rPr>
          <w:rFonts w:ascii="Arial" w:cs="Arial" w:eastAsia="Arial" w:hAnsi="Arial"/>
          <w:sz w:val="18"/>
          <w:szCs w:val="18"/>
          <w:color w:val="auto"/>
        </w:rPr>
        <w:t xml:space="preserve"> is available upon request).</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Amdocs shall ensure that all persons furnished by Amdocs work harmoniously with all others when on AT&amp;T’s premises.</w:t>
      </w:r>
    </w:p>
    <w:p>
      <w:pPr>
        <w:spacing w:after="0" w:line="370"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Security Requirements for System or Network Access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Supplier shall comply with these security requirements (“Requirements”) to have access to AT&amp;T’s computers, computer peripherals, computer communications networks, computer systems/applications/software, network elements and their support systems, and the information stored, transmitted, or processed using these resources (“Information Resources”). “User” means any individual performing services under the Agreement, whether as an employee, approved subcontractor, or agent of Supplier. “AT&amp;T Sponsor” means the AT&amp;T management employee responsible for the oversight of the services provided by Supplier.</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Requirements apply to Suppliers and Users performing services on AT&amp;T premises or remotely accessing AT&amp;T infrastructure, systems or applications using AT&amp;T-provisioned client-VPN and to those providing services to AT&amp;T that are hosted external to AT&amp;T premises.</w:t>
      </w:r>
    </w:p>
    <w:p>
      <w:pPr>
        <w:spacing w:after="0" w:line="315" w:lineRule="exact"/>
        <w:rPr>
          <w:sz w:val="20"/>
          <w:szCs w:val="20"/>
          <w:color w:val="auto"/>
        </w:rPr>
      </w:pPr>
    </w:p>
    <w:p>
      <w:pPr>
        <w:ind w:left="900" w:hanging="446"/>
        <w:spacing w:after="0"/>
        <w:tabs>
          <w:tab w:leader="none" w:pos="9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Security Program</w:t>
      </w:r>
    </w:p>
    <w:p>
      <w:pPr>
        <w:spacing w:after="0" w:line="121"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 xml:space="preserve">Supplier shall adhere to the security requirements described in </w:t>
      </w:r>
      <w:r>
        <w:rPr>
          <w:rFonts w:ascii="Arial" w:cs="Arial" w:eastAsia="Arial" w:hAnsi="Arial"/>
          <w:sz w:val="18"/>
          <w:szCs w:val="18"/>
          <w:u w:val="single" w:color="auto"/>
          <w:color w:val="auto"/>
        </w:rPr>
        <w:t>Exhibit 1</w:t>
      </w:r>
      <w:r>
        <w:rPr>
          <w:rFonts w:ascii="Arial" w:cs="Arial" w:eastAsia="Arial" w:hAnsi="Arial"/>
          <w:sz w:val="18"/>
          <w:szCs w:val="18"/>
          <w:color w:val="auto"/>
        </w:rPr>
        <w:t>. Security requirements apply to all “Supplier system components” which are defined as any network component or server or application included or directly connected to the AT&amp;T customer cardholder data environment. Network components include, but are not limited to, firewalls, switches, routers, wireless access points, network appliances, or other appliances. Servers include, but are not limited to, web database, authentication, and DNS mail proxy. Applications include all purchased and custom applications including internal and external web applications.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51" w:name="page252"/>
    <w:bookmarkEnd w:id="25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Supplier expressly warrants that it will not store any AT&amp;T customer cardholder data on any Supplier-owned system component. Supplier expressly warrants that it will not transmit any AT&amp;T customer cardholder data across open public networks.</w:t>
      </w:r>
    </w:p>
    <w:p>
      <w:pPr>
        <w:spacing w:after="0" w:line="62" w:lineRule="exact"/>
        <w:rPr>
          <w:sz w:val="20"/>
          <w:szCs w:val="20"/>
          <w:color w:val="auto"/>
        </w:rPr>
      </w:pPr>
    </w:p>
    <w:p>
      <w:pPr>
        <w:jc w:val="both"/>
        <w:ind w:left="380" w:right="640"/>
        <w:spacing w:after="0" w:line="342" w:lineRule="auto"/>
        <w:rPr>
          <w:sz w:val="20"/>
          <w:szCs w:val="20"/>
          <w:color w:val="auto"/>
        </w:rPr>
      </w:pPr>
      <w:r>
        <w:rPr>
          <w:rFonts w:ascii="Arial" w:cs="Arial" w:eastAsia="Arial" w:hAnsi="Arial"/>
          <w:sz w:val="16"/>
          <w:szCs w:val="16"/>
          <w:color w:val="auto"/>
        </w:rPr>
        <w:t>In the event that Supplier causes harm due to material breach of such warranties or Supplier’s other obligations hereunder that causes an AT&amp;T customer’s cardholder information to be compromised, it shall be liable for all penalties or expenses incurred as a result of such a compromise.</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27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Supplier Information Security Requirements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following AT&amp;T Supplier Information Security Requirements (“Security Requirements”) apply to Supplier, its subcontractors, and each of their employees and/or temporary workers, contractors, vendors and/or agents (for the purpose of this Appendix, each or all “Supplier”) that perform Services for, on behalf of, and/or through AT&amp;T </w:t>
      </w:r>
      <w:r>
        <w:rPr>
          <w:rFonts w:ascii="Arial" w:cs="Arial" w:eastAsia="Arial" w:hAnsi="Arial"/>
          <w:sz w:val="18"/>
          <w:szCs w:val="18"/>
          <w:b w:val="1"/>
          <w:bCs w:val="1"/>
          <w:color w:val="auto"/>
        </w:rPr>
        <w:t>that include any of the following:</w:t>
      </w:r>
    </w:p>
    <w:p>
      <w:pPr>
        <w:spacing w:after="0" w:line="73" w:lineRule="exact"/>
        <w:rPr>
          <w:sz w:val="20"/>
          <w:szCs w:val="20"/>
          <w:color w:val="auto"/>
        </w:rPr>
      </w:pPr>
    </w:p>
    <w:p>
      <w:pPr>
        <w:ind w:left="640" w:hanging="176"/>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Supplier’s performance of Services that involve the collection, storage or handling of AT&amp;T confidential Information;</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Supplier-offered or -supported AT&amp;T branded services using non-AT&amp;T network and computing resources;</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Connectivity to AT&amp;T non-public networks and computing resources;</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Custom software development or software implementation;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Supplier shall be fully compliant with these Security Requirements prior to the performance of any such Services.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and [**] by Supplier to enforce the obligations in these Security Requirements, including those that survive Termination, Cancellation or expiration of this Agreement. The provisions of this Appendix shall not be deemed to, and shall not, limit any more stringent security or other obligations of the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set forth or expanded herein, defined terms shall have the same meaning as set forth in the main body of the Agreement.</w:t>
      </w:r>
    </w:p>
    <w:p>
      <w:pPr>
        <w:spacing w:after="0" w:line="117" w:lineRule="exact"/>
        <w:rPr>
          <w:sz w:val="20"/>
          <w:szCs w:val="20"/>
          <w:color w:val="auto"/>
        </w:rPr>
      </w:pPr>
    </w:p>
    <w:p>
      <w:pPr>
        <w:ind w:left="460" w:right="420"/>
        <w:spacing w:after="0" w:line="308" w:lineRule="auto"/>
        <w:rPr>
          <w:sz w:val="20"/>
          <w:szCs w:val="20"/>
          <w:color w:val="auto"/>
        </w:rPr>
      </w:pPr>
      <w:r>
        <w:rPr>
          <w:rFonts w:ascii="Arial" w:cs="Arial" w:eastAsia="Arial" w:hAnsi="Arial"/>
          <w:sz w:val="17"/>
          <w:szCs w:val="17"/>
          <w:color w:val="auto"/>
        </w:rPr>
        <w:t>“Information Resources” means any systems, applications, and network elements, and the information stored, transmitted, or processed with these resources in conjunction with supporting AT&amp;T and/or used by Supplier in fulfillment of its obligations under this Agreement.</w:t>
      </w:r>
    </w:p>
    <w:p>
      <w:pPr>
        <w:spacing w:after="0" w:line="38"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“Personally Identifiable Information” or “PII” means any information that could be used to uniquely identify, locate, or contact a single person (or potentially be exploited to steal the identity of an individual, commit fraud or perpetuate other crimes). Examples of PII include, but are not limited to, personal telephone numbers, social security numbers, national, state or province issued identification number, drivers license number, date of birth, bank account numbers, credit card numbers, and other credit-related information, PINs, passwords, passcodes,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53" w:name="page254"/>
    <w:bookmarkEnd w:id="253"/>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password hint answers, Protected Health Information as defined by the Health Insurance Portability and Accountability Act (HIPAA), biometric data, digitized signatures, and background check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accordance with the foregoing, Supplier shall: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System Security</w:t>
      </w:r>
    </w:p>
    <w:p>
      <w:pPr>
        <w:spacing w:after="0" w:line="135" w:lineRule="exact"/>
        <w:rPr>
          <w:sz w:val="20"/>
          <w:szCs w:val="20"/>
          <w:color w:val="auto"/>
        </w:rPr>
      </w:pPr>
    </w:p>
    <w:p>
      <w:pPr>
        <w:ind w:left="460" w:right="320" w:hanging="452"/>
        <w:spacing w:after="0" w:line="277"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Actively monitor industry resources (e.g., </w:t>
      </w:r>
      <w:r>
        <w:rPr>
          <w:rFonts w:ascii="Arial" w:cs="Arial" w:eastAsia="Arial" w:hAnsi="Arial"/>
          <w:sz w:val="18"/>
          <w:szCs w:val="18"/>
          <w:u w:val="single" w:color="auto"/>
          <w:color w:val="auto"/>
        </w:rPr>
        <w:t>www.cert.org</w:t>
      </w:r>
      <w:r>
        <w:rPr>
          <w:rFonts w:ascii="Arial" w:cs="Arial" w:eastAsia="Arial" w:hAnsi="Arial"/>
          <w:sz w:val="18"/>
          <w:szCs w:val="18"/>
          <w:color w:val="auto"/>
        </w:rPr>
        <w:t>, pertinent software vendor mailing lists &amp; websites) for timely notification of all applicable security alerts pertaining to Supplier networks and computers.</w:t>
      </w:r>
    </w:p>
    <w:p>
      <w:pPr>
        <w:spacing w:after="0" w:line="75"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Scan externally-facing systems with applicable industry standard security vulnerability scanning software (including, but not limited to, network, server, &amp; application scanning tools) [**]</w:t>
      </w:r>
    </w:p>
    <w:p>
      <w:pPr>
        <w:spacing w:after="0" w:line="75"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Scan internal systems with applicable industry standard security vulnerability scanning software (including, but not limited to, network, server, application &amp; database scanning tools) [**]</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AT&amp;T’s request, furnish to AT&amp;T its most current scanning results for those resources used to support AT&amp;T.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Deploy an Intrusion Detection System(s) (IDS) in an active mode of operation.</w:t>
      </w:r>
    </w:p>
    <w:p>
      <w:pPr>
        <w:spacing w:after="0" w:line="130"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Remediate security vulnerabilities, including, but not limited to, those discovered through industry publications, vulnerability scanning, virus scanning, and the review of security logs, and apply applicable security patches in a timely manner, according to the following minimal guidelines: If:</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vulnerability exists and attack is underway: Supplier shall work on remediating/patching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vulnerability exists and attack is determined to be imminent: Supplier shall remediate/patch within [**].</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vulnerability exists and attack is determined to not be imminent: Supplier shall remediate/patch within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security remediations/patches shall be applied [**]</w:t>
      </w:r>
    </w:p>
    <w:p>
      <w:pPr>
        <w:spacing w:after="0" w:line="131"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Assign security administration responsibilities for configuring host operating systems to specific individuals.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Ensure its security staff has reasonable and necessary experience in information/network security.</w:t>
      </w:r>
    </w:p>
    <w:p>
      <w:pPr>
        <w:spacing w:after="0" w:line="130"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Ensure that all of Supplier’s systems are and remain ‘hardened’ including, but not limited to, removing or disabling unused network services (</w:t>
      </w:r>
      <w:r>
        <w:rPr>
          <w:rFonts w:ascii="Arial" w:cs="Arial" w:eastAsia="Arial" w:hAnsi="Arial"/>
          <w:sz w:val="18"/>
          <w:szCs w:val="18"/>
          <w:i w:val="1"/>
          <w:iCs w:val="1"/>
          <w:color w:val="auto"/>
        </w:rPr>
        <w:t>e.g</w:t>
      </w:r>
      <w:r>
        <w:rPr>
          <w:rFonts w:ascii="Arial" w:cs="Arial" w:eastAsia="Arial" w:hAnsi="Arial"/>
          <w:sz w:val="18"/>
          <w:szCs w:val="18"/>
          <w:color w:val="auto"/>
        </w:rPr>
        <w:t>., finger, rlogin, ftp, simple TCP/IP services) and installing a system firewall, TCP Wrappers or similar technology.</w:t>
      </w:r>
    </w:p>
    <w:p>
      <w:pPr>
        <w:spacing w:after="0" w:line="75" w:lineRule="exact"/>
        <w:rPr>
          <w:rFonts w:ascii="Arial" w:cs="Arial" w:eastAsia="Arial" w:hAnsi="Arial"/>
          <w:sz w:val="18"/>
          <w:szCs w:val="18"/>
          <w:color w:val="auto"/>
        </w:rPr>
      </w:pPr>
    </w:p>
    <w:p>
      <w:pPr>
        <w:ind w:left="460" w:right="460" w:hanging="452"/>
        <w:spacing w:after="0" w:line="342" w:lineRule="auto"/>
        <w:tabs>
          <w:tab w:leader="none" w:pos="4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Change all default account names and/or default passwords in accordance with password requirements as set forth within requirement number 34, below; except that the Administrator account name only in Windows and Root account name only in UNIX systems will continue unchanged.</w:t>
      </w:r>
    </w:p>
    <w:p>
      <w:pPr>
        <w:spacing w:after="0" w:line="29" w:lineRule="exact"/>
        <w:rPr>
          <w:rFonts w:ascii="Arial" w:cs="Arial" w:eastAsia="Arial" w:hAnsi="Arial"/>
          <w:sz w:val="16"/>
          <w:szCs w:val="16"/>
          <w:color w:val="auto"/>
        </w:rPr>
      </w:pPr>
    </w:p>
    <w:p>
      <w:pPr>
        <w:ind w:left="460" w:right="320" w:hanging="452"/>
        <w:spacing w:after="0" w:line="277"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Limit system administrator/root (or privileged, super user, or the like) access to host operating systems only to individuals requiring such high-level access in the performance of their jobs.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Require system administrators to restrict access by users to only the commands, data and systems necessary to perform authorized functions.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Physical Security</w:t>
      </w:r>
    </w:p>
    <w:p>
      <w:pPr>
        <w:spacing w:after="0" w:line="135" w:lineRule="exact"/>
        <w:rPr>
          <w:sz w:val="20"/>
          <w:szCs w:val="20"/>
          <w:color w:val="auto"/>
        </w:rPr>
      </w:pPr>
    </w:p>
    <w:p>
      <w:pPr>
        <w:ind w:left="460" w:right="840" w:hanging="452"/>
        <w:spacing w:after="0" w:line="277"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Ensure that all of Supplier’s networks and computers are located in secure physical facilities with limited and restricted access by authorized individuals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460" w:right="720" w:hanging="452"/>
        <w:spacing w:after="0" w:line="277" w:lineRule="auto"/>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networks and computers used in connection with Supplier’s performance of its obligations under the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Network Security</w:t>
      </w:r>
    </w:p>
    <w:p>
      <w:pPr>
        <w:spacing w:after="0" w:line="135" w:lineRule="exact"/>
        <w:rPr>
          <w:sz w:val="20"/>
          <w:szCs w:val="20"/>
          <w:color w:val="auto"/>
        </w:rPr>
      </w:pPr>
    </w:p>
    <w:p>
      <w:pPr>
        <w:jc w:val="both"/>
        <w:ind w:left="460" w:right="580" w:hanging="452"/>
        <w:spacing w:after="0" w:line="342" w:lineRule="auto"/>
        <w:tabs>
          <w:tab w:leader="none" w:pos="4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Separate AT&amp;T’s Information from the Internet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the destination web servers with a perimeter security gateway (e.g., firewall). For additional clarification of this requirement, see diagram, however, the written requirements shall control with respect to the interpretation of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2289810" cy="26073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8981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0" w:right="580" w:hanging="452"/>
        <w:spacing w:after="0" w:line="277"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AT&amp;T’s request, provide to AT&amp;T a logical network diagram detailing the Information Resources (including, but not limited to, firewalls, servers, etc.) that will support AT&amp;T.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Have a documented process and controls in place to detect and handle unauthorized attempts to access AT&amp;T Information.</w:t>
      </w:r>
    </w:p>
    <w:p>
      <w:pPr>
        <w:spacing w:after="0" w:line="130"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Use the strongest commercially available encryption technologies (minimum 256-bit encryption) for the transfer of AT&amp;T Information outside AT&amp;T controlled facilities and network. This also applies to electronically transmitted email communications containing AT&amp;T Information.</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Use strong authentication (</w:t>
      </w:r>
      <w:r>
        <w:rPr>
          <w:rFonts w:ascii="Arial" w:cs="Arial" w:eastAsia="Arial" w:hAnsi="Arial"/>
          <w:sz w:val="18"/>
          <w:szCs w:val="18"/>
          <w:i w:val="1"/>
          <w:iCs w:val="1"/>
          <w:color w:val="auto"/>
        </w:rPr>
        <w:t>e.g</w:t>
      </w:r>
      <w:r>
        <w:rPr>
          <w:rFonts w:ascii="Arial" w:cs="Arial" w:eastAsia="Arial" w:hAnsi="Arial"/>
          <w:sz w:val="18"/>
          <w:szCs w:val="18"/>
          <w:color w:val="auto"/>
        </w:rPr>
        <w:t>., two factor token or digital certificates) for remote access.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Not</w:t>
      </w:r>
      <w:r>
        <w:rPr>
          <w:rFonts w:ascii="Arial" w:cs="Arial" w:eastAsia="Arial" w:hAnsi="Arial"/>
          <w:sz w:val="18"/>
          <w:szCs w:val="18"/>
          <w:color w:val="auto"/>
        </w:rPr>
        <w:t xml:space="preserve"> co-locate AT&amp;T’s application/Information on the same physical servers with any other customer’s or Supplier’s own application/data.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460" w:hanging="452"/>
        <w:spacing w:after="0"/>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Have a documented procedure for the secure backup, transport and storage of AT&amp;T Information and provide it upon AT&amp;T’s request.</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Maintain and, upon AT&amp;T’s request, furnish to AT&amp;T a business continuity plan that ensures that Supplier can meet its contractual obligations under the Agreement, including the requirements of any applicable Statement of Work or Service Level Agreement.</w:t>
      </w:r>
    </w:p>
    <w:p>
      <w:pPr>
        <w:spacing w:after="0" w:line="75"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Store sensitive AT&amp;T data elements using the strongest commercially available encryption technologies (minimum 256-bit encryption). Sensitive data elements include, but are not limited to, Personally Identifiable Information.</w:t>
      </w:r>
    </w:p>
    <w:p>
      <w:pPr>
        <w:spacing w:after="0" w:line="75"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Limit access to AT&amp;T Information, including, but not limited to paper hard copies, only to persons or systems authorized by AT&amp;T under written agreement.</w:t>
      </w:r>
    </w:p>
    <w:p>
      <w:pPr>
        <w:spacing w:after="0" w:line="75" w:lineRule="exact"/>
        <w:rPr>
          <w:rFonts w:ascii="Arial" w:cs="Arial" w:eastAsia="Arial" w:hAnsi="Arial"/>
          <w:sz w:val="18"/>
          <w:szCs w:val="18"/>
          <w:color w:val="auto"/>
        </w:rPr>
      </w:pPr>
    </w:p>
    <w:p>
      <w:pPr>
        <w:ind w:left="460" w:right="200" w:hanging="452"/>
        <w:spacing w:after="0" w:line="291" w:lineRule="auto"/>
        <w:tabs>
          <w:tab w:leader="none" w:pos="4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Be compliant with any applicable government- and industry-mandated information security standards including, but not limited to, the Payment Card Industry - Data Security Standards (PCI), National Automated Clearing House Associates (NACHA) Rules, Electronic Data Interchange (EDI), and</w:t>
      </w:r>
    </w:p>
    <w:p>
      <w:pPr>
        <w:ind w:left="460"/>
        <w:spacing w:after="0"/>
        <w:rPr>
          <w:rFonts w:ascii="Arial" w:cs="Arial" w:eastAsia="Arial" w:hAnsi="Arial"/>
          <w:sz w:val="16"/>
          <w:szCs w:val="16"/>
          <w:color w:val="auto"/>
        </w:rPr>
      </w:pPr>
      <w:r>
        <w:rPr>
          <w:rFonts w:ascii="Arial" w:cs="Arial" w:eastAsia="Arial" w:hAnsi="Arial"/>
          <w:sz w:val="18"/>
          <w:szCs w:val="18"/>
          <w:color w:val="auto"/>
        </w:rPr>
        <w:t>HIPAA.</w:t>
      </w:r>
    </w:p>
    <w:p>
      <w:pPr>
        <w:spacing w:after="0" w:line="116" w:lineRule="exact"/>
        <w:rPr>
          <w:rFonts w:ascii="Arial" w:cs="Arial" w:eastAsia="Arial" w:hAnsi="Arial"/>
          <w:sz w:val="16"/>
          <w:szCs w:val="16"/>
          <w:color w:val="auto"/>
        </w:rPr>
      </w:pPr>
    </w:p>
    <w:p>
      <w:pPr>
        <w:ind w:left="460" w:right="200" w:hanging="452"/>
        <w:spacing w:after="0" w:line="25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Return all AT&amp;T Information, including electronic and hard copies, within [**] - after the sooner of: (a) expiration or Termination or Cancellation of the Agreement; (b) AT&amp;T’s request for the return of Information; or (c) when Supplier (or its suppliers or representatives) no longer needs the Information. In the event that AT&amp;T approves the destruction as an alternative to returning the Information, then Supplier shall certify the destruction (</w:t>
      </w:r>
      <w:r>
        <w:rPr>
          <w:rFonts w:ascii="Arial" w:cs="Arial" w:eastAsia="Arial" w:hAnsi="Arial"/>
          <w:sz w:val="18"/>
          <w:szCs w:val="18"/>
          <w:i w:val="1"/>
          <w:iCs w:val="1"/>
          <w:color w:val="auto"/>
        </w:rPr>
        <w:t>e.g.</w:t>
      </w:r>
      <w:r>
        <w:rPr>
          <w:rFonts w:ascii="Arial" w:cs="Arial" w:eastAsia="Arial" w:hAnsi="Arial"/>
          <w:sz w:val="18"/>
          <w:szCs w:val="18"/>
          <w:color w:val="auto"/>
        </w:rPr>
        <w:t>, degaussing, overwriting, performing a secure erase, performing a chip erase, shredding, cutting, punching holes, breaking, etc.) as rendering the Information non-retrievable</w:t>
      </w:r>
    </w:p>
    <w:p>
      <w:pPr>
        <w:spacing w:after="0" w:line="93"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Unless otherwise instructed by AT&amp;T, when collecting, generating or creating Information for, through or on behalf of AT&amp;T or under the AT&amp;T brand, Supplier shall use the following AT&amp;T proprietary marking: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AT&amp;T Proprietary Information (Internal Use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for use or disclosure outside the AT&amp;T companies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Identification and Authentication</w:t>
      </w:r>
    </w:p>
    <w:p>
      <w:pPr>
        <w:spacing w:after="0" w:line="135"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Assign unique userIDs to individual users.</w:t>
      </w:r>
    </w:p>
    <w:p>
      <w:pPr>
        <w:spacing w:after="0" w:line="130"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Have and use a documented UserID Lifecycle Management process including, but not limited to, procedures for approved account creation, timely account removal, and account modification (</w:t>
      </w:r>
      <w:r>
        <w:rPr>
          <w:rFonts w:ascii="Arial" w:cs="Arial" w:eastAsia="Arial" w:hAnsi="Arial"/>
          <w:sz w:val="18"/>
          <w:szCs w:val="18"/>
          <w:i w:val="1"/>
          <w:iCs w:val="1"/>
          <w:color w:val="auto"/>
        </w:rPr>
        <w:t>e.g</w:t>
      </w:r>
      <w:r>
        <w:rPr>
          <w:rFonts w:ascii="Arial" w:cs="Arial" w:eastAsia="Arial" w:hAnsi="Arial"/>
          <w:sz w:val="18"/>
          <w:szCs w:val="18"/>
          <w:color w:val="auto"/>
        </w:rPr>
        <w:t>., changes to privileges, span of access, functions/roles) for all applications and across all environments (</w:t>
      </w:r>
      <w:r>
        <w:rPr>
          <w:rFonts w:ascii="Arial" w:cs="Arial" w:eastAsia="Arial" w:hAnsi="Arial"/>
          <w:sz w:val="18"/>
          <w:szCs w:val="18"/>
          <w:i w:val="1"/>
          <w:iCs w:val="1"/>
          <w:color w:val="auto"/>
        </w:rPr>
        <w:t>e.g</w:t>
      </w:r>
      <w:r>
        <w:rPr>
          <w:rFonts w:ascii="Arial" w:cs="Arial" w:eastAsia="Arial" w:hAnsi="Arial"/>
          <w:sz w:val="18"/>
          <w:szCs w:val="18"/>
          <w:color w:val="auto"/>
        </w:rPr>
        <w:t>., production, test, development, etc.).</w:t>
      </w:r>
    </w:p>
    <w:p>
      <w:pPr>
        <w:spacing w:after="0" w:line="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Enforce the rule of least privilege (i.e., limiting access to only the commands and Information necessary to perform authorized functions according to one’s job function).</w:t>
      </w:r>
    </w:p>
    <w:p>
      <w:pPr>
        <w:spacing w:after="0" w:line="75"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Limit failed login attempts to no more than [**] successive attempts and lock the user account upon reaching that limit. Access to the user account can be reactivated subsequently through a manual process requiring verification of the user’s identity or, where such capability exists, can be automatically reactivated after [**] from the last failed login attempt.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Terminate interactive sessions that have been inactive for a designated period of time, not to [**]</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Require password expiration at regular intervals not to exceed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Use an AT&amp;T-approved authentication method based on sensitivity of Information. When passwords are used, they must meet these requirements: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Passwords must be a minimum of [**] characters in length.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Passwords must contain characters from at least [**] of these groupings: alpha, numeric, and special characters.</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 xml:space="preserve">Password construction must be complex and not contain names, dictionary words, combinations of words, or words with substitutions of numbers for letters, </w:t>
      </w:r>
      <w:r>
        <w:rPr>
          <w:rFonts w:ascii="Arial" w:cs="Arial" w:eastAsia="Arial" w:hAnsi="Arial"/>
          <w:sz w:val="18"/>
          <w:szCs w:val="18"/>
          <w:i w:val="1"/>
          <w:iCs w:val="1"/>
          <w:color w:val="auto"/>
        </w:rPr>
        <w:t>e.g.</w:t>
      </w:r>
      <w:r>
        <w:rPr>
          <w:rFonts w:ascii="Arial" w:cs="Arial" w:eastAsia="Arial" w:hAnsi="Arial"/>
          <w:sz w:val="18"/>
          <w:szCs w:val="18"/>
          <w:color w:val="auto"/>
        </w:rPr>
        <w:t>, s3cur1ty.</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Passwords must differ from the USERID by at least three positions. The new password must differ from the previous password by at least two positions.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same character must not occur in three consecutive positions in the password.</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Note: Applications housing more sensitive Information, as identified by AT&amp;T, may require an authentication mechanism stronger than passwords and the authentication mechanism must be approved by AT&amp;T in advance in writing. Examples of stronger authentication methods include tokens, digital certificates, passphrases, and biometrics.</w:t>
      </w:r>
    </w:p>
    <w:p>
      <w:pPr>
        <w:spacing w:after="0" w:line="87"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Use a secure method for the conveyance of authentication credentials (e.g., passwords) and authentication mechanisms (e.g., tokens or smart cards).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Warning Banner</w:t>
      </w:r>
    </w:p>
    <w:p>
      <w:pPr>
        <w:spacing w:after="0" w:line="135" w:lineRule="exact"/>
        <w:rPr>
          <w:sz w:val="20"/>
          <w:szCs w:val="20"/>
          <w:color w:val="auto"/>
        </w:rPr>
      </w:pPr>
    </w:p>
    <w:p>
      <w:pPr>
        <w:ind w:left="460" w:right="140" w:hanging="452"/>
        <w:spacing w:after="0" w:line="277" w:lineRule="auto"/>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Display a warning or “no-trespassing” banner on applicable login screens or pages when in Supplier’s environment and not an AT&amp;T branded product or service.</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long version):</w:t>
      </w:r>
    </w:p>
    <w:p>
      <w:pPr>
        <w:spacing w:after="0" w:line="121"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This is an &lt;company name&gt; system, restricted to authorized individuals. This system is subject to monitoring. Unauthorized users, access, and/or modification will be prosecuted.</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short version):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&lt;company name&gt; authorized use ONLY, subject to monitoring. All other use prohibited.</w:t>
      </w:r>
    </w:p>
    <w:p>
      <w:pPr>
        <w:spacing w:after="0" w:line="117" w:lineRule="exact"/>
        <w:rPr>
          <w:rFonts w:ascii="Arial" w:cs="Arial" w:eastAsia="Arial" w:hAnsi="Arial"/>
          <w:sz w:val="18"/>
          <w:szCs w:val="18"/>
          <w:color w:val="auto"/>
        </w:rPr>
      </w:pPr>
    </w:p>
    <w:p>
      <w:pPr>
        <w:ind w:left="460" w:right="620"/>
        <w:spacing w:after="0" w:line="277" w:lineRule="auto"/>
        <w:rPr>
          <w:rFonts w:ascii="Arial" w:cs="Arial" w:eastAsia="Arial" w:hAnsi="Arial"/>
          <w:sz w:val="18"/>
          <w:szCs w:val="18"/>
          <w:color w:val="auto"/>
        </w:rPr>
      </w:pPr>
      <w:r>
        <w:rPr>
          <w:rFonts w:ascii="Arial" w:cs="Arial" w:eastAsia="Arial" w:hAnsi="Arial"/>
          <w:sz w:val="18"/>
          <w:szCs w:val="18"/>
          <w:color w:val="auto"/>
        </w:rPr>
        <w:t>For AT&amp;T branded products or services or for software developed for AT&amp;T, Supplier shall display a warning banner on login screens or pages provided by AT&amp;T.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Software and Data Integrity</w:t>
      </w:r>
    </w:p>
    <w:p>
      <w:pPr>
        <w:spacing w:after="0" w:line="135"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Have current antivirus software installed and running to scan for and promptly remove viruses.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Separate non-production systems and data from production systems and data.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Have a documented software change control process including back out procedures.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Have database transaction logging features enabled and retain database transaction logs for a minimum of [**].</w:t>
      </w:r>
    </w:p>
    <w:p>
      <w:pPr>
        <w:spacing w:after="0" w:line="130" w:lineRule="exact"/>
        <w:rPr>
          <w:rFonts w:ascii="Arial" w:cs="Arial" w:eastAsia="Arial" w:hAnsi="Arial"/>
          <w:sz w:val="18"/>
          <w:szCs w:val="18"/>
          <w:color w:val="auto"/>
        </w:rPr>
      </w:pPr>
    </w:p>
    <w:p>
      <w:pPr>
        <w:ind w:left="460" w:right="1020" w:hanging="452"/>
        <w:spacing w:after="0" w:line="277"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For all software developed, used or furnished and/or supported under this Agreement, review such software to find and remediate security vulnerabilities during initial implementation and upon any modifications and updates.</w:t>
      </w:r>
    </w:p>
    <w:p>
      <w:pPr>
        <w:spacing w:after="0" w:line="75" w:lineRule="exact"/>
        <w:rPr>
          <w:rFonts w:ascii="Arial" w:cs="Arial" w:eastAsia="Arial" w:hAnsi="Arial"/>
          <w:sz w:val="18"/>
          <w:szCs w:val="18"/>
          <w:color w:val="auto"/>
        </w:rPr>
      </w:pPr>
    </w:p>
    <w:p>
      <w:pPr>
        <w:ind w:left="460" w:right="820" w:hanging="452"/>
        <w:spacing w:after="0" w:line="264"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Perform quality assurance testing for the application functionality and security components (</w:t>
      </w:r>
      <w:r>
        <w:rPr>
          <w:rFonts w:ascii="Arial" w:cs="Arial" w:eastAsia="Arial" w:hAnsi="Arial"/>
          <w:sz w:val="18"/>
          <w:szCs w:val="18"/>
          <w:i w:val="1"/>
          <w:iCs w:val="1"/>
          <w:color w:val="auto"/>
        </w:rPr>
        <w:t>e.g.</w:t>
      </w:r>
      <w:r>
        <w:rPr>
          <w:rFonts w:ascii="Arial" w:cs="Arial" w:eastAsia="Arial" w:hAnsi="Arial"/>
          <w:sz w:val="18"/>
          <w:szCs w:val="18"/>
          <w:color w:val="auto"/>
        </w:rPr>
        <w:t>, testing of authentication, authorization, and accounting functions, as well as any other activity designed to validate the security architecture) during initial implementation and upon any modifications and updates.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jc w:val="right"/>
        <w:ind w:right="5160"/>
        <w:spacing w:after="0"/>
        <w:rPr>
          <w:sz w:val="20"/>
          <w:szCs w:val="20"/>
          <w:color w:val="auto"/>
        </w:rPr>
      </w:pPr>
      <w:r>
        <w:rPr>
          <w:rFonts w:ascii="Arial" w:cs="Arial" w:eastAsia="Arial" w:hAnsi="Arial"/>
          <w:sz w:val="18"/>
          <w:szCs w:val="18"/>
          <w:b w:val="1"/>
          <w:bCs w:val="1"/>
          <w:color w:val="auto"/>
        </w:rPr>
        <w:t>Privacy Issues</w:t>
      </w:r>
    </w:p>
    <w:p>
      <w:pPr>
        <w:spacing w:after="0" w:line="121" w:lineRule="exact"/>
        <w:rPr>
          <w:sz w:val="20"/>
          <w:szCs w:val="20"/>
          <w:color w:val="auto"/>
        </w:rPr>
      </w:pPr>
    </w:p>
    <w:p>
      <w:pPr>
        <w:jc w:val="right"/>
        <w:ind w:right="5120"/>
        <w:spacing w:after="0"/>
        <w:rPr>
          <w:sz w:val="20"/>
          <w:szCs w:val="20"/>
          <w:color w:val="auto"/>
        </w:rPr>
      </w:pPr>
      <w:r>
        <w:rPr>
          <w:rFonts w:ascii="Arial" w:cs="Arial" w:eastAsia="Arial" w:hAnsi="Arial"/>
          <w:sz w:val="16"/>
          <w:szCs w:val="16"/>
          <w:color w:val="auto"/>
        </w:rPr>
        <w:t>43. Restrict access to any Personally Identifiable Information to authorized individuals.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Monitoring and Auditing Controls</w:t>
      </w:r>
    </w:p>
    <w:p>
      <w:pPr>
        <w:spacing w:after="0" w:line="121" w:lineRule="exact"/>
        <w:rPr>
          <w:sz w:val="20"/>
          <w:szCs w:val="20"/>
          <w:color w:val="auto"/>
        </w:rPr>
      </w:pPr>
    </w:p>
    <w:p>
      <w:pPr>
        <w:ind w:left="280" w:hanging="272"/>
        <w:spacing w:after="0"/>
        <w:tabs>
          <w:tab w:leader="none" w:pos="2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w:t>
      </w:r>
    </w:p>
    <w:p>
      <w:pPr>
        <w:spacing w:after="0" w:line="225" w:lineRule="exact"/>
        <w:rPr>
          <w:rFonts w:ascii="Arial" w:cs="Arial" w:eastAsia="Arial" w:hAnsi="Arial"/>
          <w:sz w:val="18"/>
          <w:szCs w:val="18"/>
          <w:color w:val="auto"/>
        </w:rPr>
      </w:pPr>
    </w:p>
    <w:p>
      <w:pPr>
        <w:ind w:right="540" w:firstLine="8"/>
        <w:spacing w:after="0" w:line="264" w:lineRule="auto"/>
        <w:tabs>
          <w:tab w:leader="none" w:pos="27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Manually review security logs [**] for anomalies and document and resolve all logged security problems in a timely manner. Amdocs logging runs continuously. Alerting is done [**]. Areas of concern are addressed and exceptions eliminated in a time mannerly. Security Operations investigates if necessary.</w:t>
      </w:r>
    </w:p>
    <w:p>
      <w:pPr>
        <w:spacing w:after="0" w:line="181" w:lineRule="exact"/>
        <w:rPr>
          <w:rFonts w:ascii="Arial" w:cs="Arial" w:eastAsia="Arial" w:hAnsi="Arial"/>
          <w:sz w:val="18"/>
          <w:szCs w:val="18"/>
          <w:color w:val="auto"/>
        </w:rPr>
      </w:pPr>
    </w:p>
    <w:p>
      <w:pPr>
        <w:ind w:right="60" w:firstLine="8"/>
        <w:spacing w:after="0" w:line="255" w:lineRule="auto"/>
        <w:tabs>
          <w:tab w:leader="none" w:pos="27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Supplier shall retain complete and accurate records relating to its performance of its obligations arising out of these Security Requirements and Supplier’s compliance herewith in a format that will permit audit for a period of [**], or longer as may be required pursuant to a court order or civil or regulatory proceeding. Notwithstanding the foregoing, Supplier shall only be required to maintain security logs for a [**]. In the event Supplier is provided connectivity to AT&amp;T, Supplier shall maintain logs of user sessions (including application to application sessions) relating to such connectivity. These session logs must include: login identification, user request records, system configuration, and timestamps and/or duration of access. These session logs must be retained for a [**].</w:t>
      </w:r>
    </w:p>
    <w:p>
      <w:pPr>
        <w:spacing w:after="0" w:line="193" w:lineRule="exact"/>
        <w:rPr>
          <w:rFonts w:ascii="Arial" w:cs="Arial" w:eastAsia="Arial" w:hAnsi="Arial"/>
          <w:sz w:val="18"/>
          <w:szCs w:val="18"/>
          <w:color w:val="auto"/>
        </w:rPr>
      </w:pPr>
    </w:p>
    <w:p>
      <w:pPr>
        <w:ind w:right="40" w:firstLine="8"/>
        <w:spacing w:after="0" w:line="312" w:lineRule="auto"/>
        <w:tabs>
          <w:tab w:leader="none" w:pos="27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Upon AT&amp;T’s request for audit, Supplier shall schedule a security audit to commence [**] from such request. In the event that AT&amp;T, in its sole discretion, deems a security breach has occurred, Supplier shall schedule the audit to commence [**] of AT&amp;T’s notice requiring an audit. This provision shall not be deemed to, and shall not, limit any more stringent audit obligations permitting the examination of Supplier’s records contained in this Agreement.</w:t>
      </w:r>
    </w:p>
    <w:p>
      <w:pPr>
        <w:spacing w:after="0" w:line="146" w:lineRule="exact"/>
        <w:rPr>
          <w:rFonts w:ascii="Arial" w:cs="Arial" w:eastAsia="Arial" w:hAnsi="Arial"/>
          <w:sz w:val="16"/>
          <w:szCs w:val="16"/>
          <w:color w:val="auto"/>
        </w:rPr>
      </w:pPr>
    </w:p>
    <w:p>
      <w:pPr>
        <w:ind w:right="120" w:firstLine="8"/>
        <w:spacing w:after="0" w:line="259" w:lineRule="auto"/>
        <w:tabs>
          <w:tab w:leader="none" w:pos="27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Provide AT&amp;T, [**] from the publication of the audit report identifying any noncompliance with these Security Requirements, a written report of completed or proposed corrective actions addressing each noncompliance found within the audit and implementation timeframes (which timeframes must be as soon as possible, but, in any event, [**]). Supplier shall provide periodic, [**], written updates in a format acceptable to AT&amp;T, regarding the status of the implementation of the corrective action plan in order to track the work to completion.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Violations</w:t>
      </w:r>
    </w:p>
    <w:p>
      <w:pPr>
        <w:spacing w:after="0" w:line="229" w:lineRule="exact"/>
        <w:rPr>
          <w:sz w:val="20"/>
          <w:szCs w:val="20"/>
          <w:color w:val="auto"/>
        </w:rPr>
      </w:pPr>
    </w:p>
    <w:p>
      <w:pPr>
        <w:ind w:right="60" w:firstLine="8"/>
        <w:spacing w:after="0" w:line="286" w:lineRule="auto"/>
        <w:tabs>
          <w:tab w:leader="none" w:pos="27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Have and use a documented procedure to follow in the event of an actual or suspected unauthorized intrusion or other security violation, including but not limited to, a physical security or computer security incident (</w:t>
      </w:r>
      <w:r>
        <w:rPr>
          <w:rFonts w:ascii="Arial" w:cs="Arial" w:eastAsia="Arial" w:hAnsi="Arial"/>
          <w:sz w:val="17"/>
          <w:szCs w:val="17"/>
          <w:i w:val="1"/>
          <w:iCs w:val="1"/>
          <w:color w:val="auto"/>
        </w:rPr>
        <w:t>e.g.</w:t>
      </w:r>
      <w:r>
        <w:rPr>
          <w:rFonts w:ascii="Arial" w:cs="Arial" w:eastAsia="Arial" w:hAnsi="Arial"/>
          <w:sz w:val="17"/>
          <w:szCs w:val="17"/>
          <w:color w:val="auto"/>
        </w:rPr>
        <w:t>, hacker or attempted hacker activity or the introduction or attempted introduction of a virus or malicious code), which includes immediate notification to the AT&amp;T Computer Security Incident Response Team (ACSIRT).</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ACSIRT 24 hour contact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00" w:firstLine="8"/>
        <w:spacing w:after="0" w:line="286" w:lineRule="auto"/>
        <w:tabs>
          <w:tab w:leader="none" w:pos="27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Provide AT&amp;T with regular status on any actual or suspected unauthorized intrusion or other security violation updates including, but not limited to, actions taken to resolve such incident, [**] for the duration of the incident, and, [**] of the closure of the incident, a written report describing the incident, actions taken by the Supplier during its response and Supplier’s plans for future actions to prevent a similar incident from occurring.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Software Development and Implementation</w:t>
      </w:r>
    </w:p>
    <w:p>
      <w:pPr>
        <w:spacing w:after="0" w:line="229" w:lineRule="exact"/>
        <w:rPr>
          <w:sz w:val="20"/>
          <w:szCs w:val="20"/>
          <w:color w:val="auto"/>
        </w:rPr>
      </w:pPr>
    </w:p>
    <w:p>
      <w:pPr>
        <w:ind w:right="300" w:firstLine="8"/>
        <w:spacing w:after="0" w:line="277" w:lineRule="auto"/>
        <w:tabs>
          <w:tab w:leader="none" w:pos="2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Ensure, prior to furnishing or development of custom software, that such software incorporates applicable AT&amp;T security requirements as provided by AT&amp;T.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Policies and Procedures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52 Ensure that all personnel, subcontractors or representatives performing work on any AT&amp;T Information Resources or the resources used to interconnect to AT&amp;T resources or the resources used to house AT&amp;T Information under this Agreement are in compliance with these Security Requirements.</w:t>
      </w:r>
    </w:p>
    <w:p>
      <w:pPr>
        <w:spacing w:after="0" w:line="124" w:lineRule="exact"/>
        <w:rPr>
          <w:sz w:val="20"/>
          <w:szCs w:val="20"/>
          <w:color w:val="auto"/>
        </w:rPr>
      </w:pPr>
    </w:p>
    <w:p>
      <w:pPr>
        <w:ind w:left="280" w:hanging="272"/>
        <w:spacing w:after="0"/>
        <w:tabs>
          <w:tab w:leader="none" w:pos="2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Notify AT&amp;T of any policy changes that could impact the security controls put in place to secure AT&amp;T’s Information.</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At a minimum annually, review these Security Requirements to ensure that Supplier is in compliance with the requirements.</w:t>
      </w:r>
    </w:p>
    <w:p>
      <w:pPr>
        <w:spacing w:after="0" w:line="225" w:lineRule="exact"/>
        <w:rPr>
          <w:rFonts w:ascii="Arial" w:cs="Arial" w:eastAsia="Arial" w:hAnsi="Arial"/>
          <w:sz w:val="18"/>
          <w:szCs w:val="18"/>
          <w:color w:val="auto"/>
        </w:rPr>
      </w:pPr>
    </w:p>
    <w:p>
      <w:pPr>
        <w:ind w:right="20" w:firstLine="8"/>
        <w:spacing w:after="0" w:line="291" w:lineRule="auto"/>
        <w:tabs>
          <w:tab w:leader="none" w:pos="27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Return all AT&amp;T owned or provided access devices (including, but not limited to, SecurID tokens, information storage devices, software, and/or computer equipment), as soon as practicable, but in no event more than [**] upon the sooner of: (a) expiration or Termination or Cancellation of the Agreement;</w:t>
      </w:r>
    </w:p>
    <w:p>
      <w:pPr>
        <w:spacing w:after="0"/>
        <w:rPr>
          <w:rFonts w:ascii="Arial" w:cs="Arial" w:eastAsia="Arial" w:hAnsi="Arial"/>
          <w:sz w:val="16"/>
          <w:szCs w:val="16"/>
          <w:color w:val="auto"/>
        </w:rPr>
      </w:pPr>
      <w:r>
        <w:rPr>
          <w:rFonts w:ascii="Arial" w:cs="Arial" w:eastAsia="Arial" w:hAnsi="Arial"/>
          <w:sz w:val="18"/>
          <w:szCs w:val="18"/>
          <w:color w:val="auto"/>
        </w:rPr>
        <w:t>(b) AT&amp;T’s request for the return of such property; or (c) when Supplier (or its suppliers or representatives) no longer need such property.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event Supplier has, or will be provided connectivity (e.g., access to AT&amp;T’s or its customer’s network) in conjunction with this Agreement, then in addition to the foregoing, the following Security Requirements shall apply to Supplier:</w:t>
      </w:r>
    </w:p>
    <w:p>
      <w:pPr>
        <w:spacing w:after="0" w:line="76" w:lineRule="exact"/>
        <w:rPr>
          <w:sz w:val="20"/>
          <w:szCs w:val="20"/>
          <w:color w:val="auto"/>
        </w:rPr>
      </w:pPr>
    </w:p>
    <w:p>
      <w:pPr>
        <w:ind w:left="900" w:right="200" w:hanging="446"/>
        <w:spacing w:after="0" w:line="293" w:lineRule="auto"/>
        <w:tabs>
          <w:tab w:leader="none" w:pos="9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event a data connection agreement, such as a “Master Data Connection Agreement,” “Data Connection Agreement,” and/or “Connection Supplement” (“DCA”) exists between the Parties, and incorporates this Agreement by reference, or is otherwise integrated with, or used to govern the Parties’ connectivity obligations under, this Agreement, such DCA is hereby superseded by the terms of the Security Requirements, effective as of the date these Security Requirements become effective under the Agreement, and the terms of such DCA are amended to require that the Security Requirements and not the DCA are controlling in the Agreement (as well as any agreements subordinate to this Agreement). Notwithstanding the foregoing, the DCA remains in full force and effect for all other agreements between the Parties to which it applies.</w:t>
      </w:r>
    </w:p>
    <w:p>
      <w:pPr>
        <w:spacing w:after="0" w:line="70" w:lineRule="exact"/>
        <w:rPr>
          <w:rFonts w:ascii="Arial" w:cs="Arial" w:eastAsia="Arial" w:hAnsi="Arial"/>
          <w:sz w:val="16"/>
          <w:szCs w:val="16"/>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Supplier shall:</w:t>
      </w:r>
    </w:p>
    <w:p>
      <w:pPr>
        <w:spacing w:after="0" w:line="130" w:lineRule="exact"/>
        <w:rPr>
          <w:rFonts w:ascii="Arial" w:cs="Arial" w:eastAsia="Arial" w:hAnsi="Arial"/>
          <w:sz w:val="18"/>
          <w:szCs w:val="18"/>
          <w:color w:val="auto"/>
        </w:rPr>
      </w:pPr>
    </w:p>
    <w:p>
      <w:pPr>
        <w:ind w:left="1920" w:right="240" w:hanging="440"/>
        <w:spacing w:after="0" w:line="277" w:lineRule="auto"/>
        <w:tabs>
          <w:tab w:leader="none" w:pos="1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Use only the AT&amp;T Chief Security Office (CSO) approved facilities and connection methodologies to interconnect AT&amp;T’s data facilities with Supplier’s data facilities and to provide access to the data for each connection.</w:t>
      </w:r>
    </w:p>
    <w:p>
      <w:pPr>
        <w:spacing w:after="0" w:line="75" w:lineRule="exact"/>
        <w:rPr>
          <w:rFonts w:ascii="Arial" w:cs="Arial" w:eastAsia="Arial" w:hAnsi="Arial"/>
          <w:sz w:val="18"/>
          <w:szCs w:val="18"/>
          <w:color w:val="auto"/>
        </w:rPr>
      </w:pPr>
    </w:p>
    <w:p>
      <w:pPr>
        <w:ind w:left="1920" w:right="180" w:hanging="440"/>
        <w:spacing w:after="0" w:line="277" w:lineRule="auto"/>
        <w:tabs>
          <w:tab w:leader="none" w:pos="19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NOT establish interconnection to endpoint resources other than in the United States. Interconnections to endpoint resources other than in the United States require the express prior written consent of AT&amp;T.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1920" w:right="560" w:hanging="440"/>
        <w:spacing w:after="0" w:line="277" w:lineRule="auto"/>
        <w:tabs>
          <w:tab w:leader="none" w:pos="19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Provide AT&amp;T access to any Supplier facilities during normal business hours for the maintenance and support of any AT&amp;T equipment (</w:t>
      </w:r>
      <w:r>
        <w:rPr>
          <w:rFonts w:ascii="Arial" w:cs="Arial" w:eastAsia="Arial" w:hAnsi="Arial"/>
          <w:sz w:val="18"/>
          <w:szCs w:val="18"/>
          <w:i w:val="1"/>
          <w:iCs w:val="1"/>
          <w:color w:val="auto"/>
        </w:rPr>
        <w:t>e.g.,</w:t>
      </w:r>
      <w:r>
        <w:rPr>
          <w:rFonts w:ascii="Arial" w:cs="Arial" w:eastAsia="Arial" w:hAnsi="Arial"/>
          <w:sz w:val="18"/>
          <w:szCs w:val="18"/>
          <w:color w:val="auto"/>
        </w:rPr>
        <w:t xml:space="preserve"> router) used for the transmission of Information under this Agreement.</w:t>
      </w:r>
    </w:p>
    <w:p>
      <w:pPr>
        <w:spacing w:after="0" w:line="75" w:lineRule="exact"/>
        <w:rPr>
          <w:rFonts w:ascii="Arial" w:cs="Arial" w:eastAsia="Arial" w:hAnsi="Arial"/>
          <w:sz w:val="18"/>
          <w:szCs w:val="18"/>
          <w:color w:val="auto"/>
        </w:rPr>
      </w:pPr>
    </w:p>
    <w:p>
      <w:pPr>
        <w:ind w:left="1920" w:right="360" w:hanging="440"/>
        <w:spacing w:after="0" w:line="277" w:lineRule="auto"/>
        <w:tabs>
          <w:tab w:leader="none" w:pos="19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Use any AT&amp;T equipment provided under this Agreement only for the furnishing of those Services or functionalities explicitly defined in this Agreement.</w:t>
      </w:r>
    </w:p>
    <w:p>
      <w:pPr>
        <w:spacing w:after="0" w:line="71" w:lineRule="exact"/>
        <w:rPr>
          <w:rFonts w:ascii="Arial" w:cs="Arial" w:eastAsia="Arial" w:hAnsi="Arial"/>
          <w:sz w:val="18"/>
          <w:szCs w:val="18"/>
          <w:color w:val="auto"/>
        </w:rPr>
      </w:pPr>
    </w:p>
    <w:p>
      <w:pPr>
        <w:ind w:left="1920" w:hanging="440"/>
        <w:spacing w:after="0"/>
        <w:tabs>
          <w:tab w:leader="none" w:pos="19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Ensure that all Supplier interconnections to AT&amp;T pass through the designated AT&amp;T perimeter security gateway (</w:t>
      </w:r>
      <w:r>
        <w:rPr>
          <w:rFonts w:ascii="Arial" w:cs="Arial" w:eastAsia="Arial" w:hAnsi="Arial"/>
          <w:sz w:val="16"/>
          <w:szCs w:val="16"/>
          <w:i w:val="1"/>
          <w:iCs w:val="1"/>
          <w:color w:val="auto"/>
        </w:rPr>
        <w:t>e.g.,</w:t>
      </w:r>
      <w:r>
        <w:rPr>
          <w:rFonts w:ascii="Arial" w:cs="Arial" w:eastAsia="Arial" w:hAnsi="Arial"/>
          <w:sz w:val="16"/>
          <w:szCs w:val="16"/>
          <w:color w:val="auto"/>
        </w:rPr>
        <w:t xml:space="preserve"> firewall)</w:t>
      </w:r>
      <w:r>
        <w:rPr>
          <w:rFonts w:ascii="Arial" w:cs="Arial" w:eastAsia="Arial" w:hAnsi="Arial"/>
          <w:sz w:val="16"/>
          <w:szCs w:val="16"/>
          <w:b w:val="1"/>
          <w:bCs w:val="1"/>
          <w:color w:val="auto"/>
        </w:rPr>
        <w:t>.</w:t>
      </w:r>
    </w:p>
    <w:p>
      <w:pPr>
        <w:spacing w:after="0" w:line="157" w:lineRule="exact"/>
        <w:rPr>
          <w:rFonts w:ascii="Arial" w:cs="Arial" w:eastAsia="Arial" w:hAnsi="Arial"/>
          <w:sz w:val="16"/>
          <w:szCs w:val="16"/>
          <w:color w:val="auto"/>
        </w:rPr>
      </w:pPr>
    </w:p>
    <w:p>
      <w:pPr>
        <w:ind w:left="1920" w:right="400" w:hanging="440"/>
        <w:spacing w:after="0" w:line="277" w:lineRule="auto"/>
        <w:tabs>
          <w:tab w:leader="none" w:pos="19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Ensure that Supplier interconnections to AT&amp;T terminate at a perimeter security gateway (</w:t>
      </w:r>
      <w:r>
        <w:rPr>
          <w:rFonts w:ascii="Arial" w:cs="Arial" w:eastAsia="Arial" w:hAnsi="Arial"/>
          <w:sz w:val="18"/>
          <w:szCs w:val="18"/>
          <w:i w:val="1"/>
          <w:iCs w:val="1"/>
          <w:color w:val="auto"/>
        </w:rPr>
        <w:t>e.g.,</w:t>
      </w:r>
      <w:r>
        <w:rPr>
          <w:rFonts w:ascii="Arial" w:cs="Arial" w:eastAsia="Arial" w:hAnsi="Arial"/>
          <w:sz w:val="18"/>
          <w:szCs w:val="18"/>
          <w:color w:val="auto"/>
        </w:rPr>
        <w:t xml:space="preserve"> firewall) at Supplier end of the connection.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addition to other rights set forth herein, AT&amp;T shall have the right to:</w:t>
      </w:r>
    </w:p>
    <w:p>
      <w:pPr>
        <w:spacing w:after="0" w:line="130" w:lineRule="exact"/>
        <w:rPr>
          <w:rFonts w:ascii="Arial" w:cs="Arial" w:eastAsia="Arial" w:hAnsi="Arial"/>
          <w:sz w:val="18"/>
          <w:szCs w:val="18"/>
          <w:color w:val="auto"/>
        </w:rPr>
      </w:pPr>
    </w:p>
    <w:p>
      <w:pPr>
        <w:ind w:left="1920" w:right="220" w:hanging="440"/>
        <w:spacing w:after="0" w:line="312" w:lineRule="auto"/>
        <w:tabs>
          <w:tab w:leader="none" w:pos="192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Gather information relating to access, including Supplier’s access, to AT&amp;T networks, processing systems and applications. This information may be collected, retained and analyzed by AT&amp;T to identify potential security risks without further notice. This information may include trace files, statistics, network addresses, and the actual data or screens accessed or transferred.</w:t>
      </w:r>
    </w:p>
    <w:p>
      <w:pPr>
        <w:spacing w:after="0" w:line="52" w:lineRule="exact"/>
        <w:rPr>
          <w:rFonts w:ascii="Arial" w:cs="Arial" w:eastAsia="Arial" w:hAnsi="Arial"/>
          <w:sz w:val="16"/>
          <w:szCs w:val="16"/>
          <w:color w:val="auto"/>
        </w:rPr>
      </w:pPr>
    </w:p>
    <w:p>
      <w:pPr>
        <w:ind w:left="1920" w:right="160" w:hanging="440"/>
        <w:spacing w:after="0" w:line="277" w:lineRule="auto"/>
        <w:tabs>
          <w:tab w:leader="none" w:pos="19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Immediately suspend or terminate any interconnection if AT&amp;T, in its sole discretion, believes there has been a breach of security or unauthorized access to or misuse of AT&amp;T data facilities or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Offshore Remote Access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the extent approved by AT&amp;T’s Executive Director of the Offshore Management Office, Amdocs Offshore Personnel may perform Services and access AT&amp;T Data on an as-needed basis (e.g., to perform after-hours work) from their home location with specifically designated and approved computers provided by Amdocs (“Remote Access Computer”), subject to the following:</w:t>
      </w:r>
    </w:p>
    <w:p>
      <w:pPr>
        <w:spacing w:after="0" w:line="87" w:lineRule="exact"/>
        <w:rPr>
          <w:sz w:val="20"/>
          <w:szCs w:val="20"/>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Access to AT&amp;T Data by Offshore Personnel will be done only by: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First, accessing the Amdocs network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Second, from the Amdocs network, accessing the AT&amp;T network through a “Virtual Workstation”</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Connection from the Amdocs network to the AT&amp;T network is defined by AT&amp;T. Currently this is done through a dedicated Business to Business (B2B) network connection.</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Remote Access Computer will have Amdocs-provided anti-virus and firewall Software installed and operating in accordance with the Agreement.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Remote Access Computer will only access AT&amp;T Data through an Amdocs-provided VPN tunnel that is authenticated using a strong two-factor token solution.</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Amdocs will implement and enforce commercially reasonable password complexity requirements that are not less strict than those required under this Agreement.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Amdocs Personnel using Remote Access Computers will only be able to connect to the Virtual Workstation or Citrix server in an AT&amp;T facility from the Amdocs network using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0" w:name="page261"/>
    <w:bookmarkEnd w:id="260"/>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left="840" w:right="280"/>
        <w:spacing w:after="0" w:line="259" w:lineRule="auto"/>
        <w:rPr>
          <w:sz w:val="20"/>
          <w:szCs w:val="20"/>
          <w:color w:val="auto"/>
        </w:rPr>
      </w:pPr>
      <w:r>
        <w:rPr>
          <w:rFonts w:ascii="Arial" w:cs="Arial" w:eastAsia="Arial" w:hAnsi="Arial"/>
          <w:sz w:val="18"/>
          <w:szCs w:val="18"/>
          <w:color w:val="auto"/>
        </w:rPr>
        <w:t>Microsoft Remote Desktop Connection or Citrix ICA protocol. Only domain accounts will be allowed to connect to such computers and those domain accounts will be configured by Amdocs on the target computers (i.e., the AT&amp;T facility computer) as having permission to connect. Local accounts on that computer shall not be configured or allowed. Only accounts under the security control of the Windows domain will be permitted.</w:t>
      </w:r>
    </w:p>
    <w:p>
      <w:pPr>
        <w:spacing w:after="0" w:line="92" w:lineRule="exact"/>
        <w:rPr>
          <w:sz w:val="20"/>
          <w:szCs w:val="20"/>
          <w:color w:val="auto"/>
        </w:rPr>
      </w:pPr>
    </w:p>
    <w:p>
      <w:pPr>
        <w:ind w:left="820" w:hanging="446"/>
        <w:spacing w:after="0"/>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traffic over the public internet shall be highly encrypted (i.e., at least 128 byte encryption).</w:t>
      </w:r>
    </w:p>
    <w:p>
      <w:pPr>
        <w:spacing w:after="0" w:line="130" w:lineRule="exact"/>
        <w:rPr>
          <w:rFonts w:ascii="Arial" w:cs="Arial" w:eastAsia="Arial" w:hAnsi="Arial"/>
          <w:sz w:val="18"/>
          <w:szCs w:val="18"/>
          <w:color w:val="auto"/>
        </w:rPr>
      </w:pPr>
    </w:p>
    <w:p>
      <w:pPr>
        <w:ind w:left="820" w:hanging="446"/>
        <w:spacing w:after="0"/>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Session timeouts shall be enabled by Amdocs, per AT&amp;T guidelines.</w:t>
      </w:r>
    </w:p>
    <w:p>
      <w:pPr>
        <w:spacing w:after="0" w:line="130" w:lineRule="exact"/>
        <w:rPr>
          <w:rFonts w:ascii="Arial" w:cs="Arial" w:eastAsia="Arial" w:hAnsi="Arial"/>
          <w:sz w:val="18"/>
          <w:szCs w:val="18"/>
          <w:color w:val="auto"/>
        </w:rPr>
      </w:pPr>
    </w:p>
    <w:p>
      <w:pPr>
        <w:ind w:left="820" w:right="80" w:hanging="446"/>
        <w:spacing w:after="0" w:line="277" w:lineRule="auto"/>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Security audit logs will be maintained by Amdocs to track system events, including login attempts, user sessions, logoffs, configuration changes, and other pertinent events and data.</w:t>
      </w:r>
    </w:p>
    <w:p>
      <w:pPr>
        <w:spacing w:after="0" w:line="75" w:lineRule="exact"/>
        <w:rPr>
          <w:rFonts w:ascii="Arial" w:cs="Arial" w:eastAsia="Arial" w:hAnsi="Arial"/>
          <w:sz w:val="18"/>
          <w:szCs w:val="18"/>
          <w:color w:val="auto"/>
        </w:rPr>
      </w:pPr>
    </w:p>
    <w:p>
      <w:pPr>
        <w:ind w:left="820" w:right="440" w:hanging="446"/>
        <w:spacing w:after="0" w:line="264" w:lineRule="auto"/>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Virtual Workstations will be configured such that Offshore Amdocs Personnel will be unable to download or copy AT&amp;T Data to their local devices such as disk drives, USB drives, writeable CDs, etc. Such configuration settings will be controlled centrally and editable only by authorized administrators.</w:t>
      </w:r>
    </w:p>
    <w:p>
      <w:pPr>
        <w:spacing w:after="0" w:line="86" w:lineRule="exact"/>
        <w:rPr>
          <w:rFonts w:ascii="Arial" w:cs="Arial" w:eastAsia="Arial" w:hAnsi="Arial"/>
          <w:sz w:val="18"/>
          <w:szCs w:val="18"/>
          <w:color w:val="auto"/>
        </w:rPr>
      </w:pPr>
    </w:p>
    <w:p>
      <w:pPr>
        <w:ind w:left="820" w:hanging="446"/>
        <w:spacing w:after="0"/>
        <w:tabs>
          <w:tab w:leader="none" w:pos="8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Amdocs will be responsible for all costs associated with setting up the offshore remote access solution, as described above.</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320" w:top="274"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Agreement Number 02026713.A.010</w:t>
            </w:r>
          </w:p>
        </w:tc>
      </w:tr>
      <w:tr>
        <w:trPr>
          <w:trHeight w:val="43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78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1"/>
              </w:rPr>
              <w:t>Appendix 10</w:t>
            </w:r>
          </w:p>
        </w:tc>
        <w:tc>
          <w:tcPr>
            <w:tcW w:w="3600" w:type="dxa"/>
            <w:vAlign w:val="bottom"/>
          </w:tcPr>
          <w:p>
            <w:pPr>
              <w:spacing w:after="0"/>
              <w:rPr>
                <w:sz w:val="24"/>
                <w:szCs w:val="24"/>
                <w:color w:val="auto"/>
              </w:rPr>
            </w:pPr>
          </w:p>
        </w:tc>
      </w:tr>
      <w:tr>
        <w:trPr>
          <w:trHeight w:val="43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78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0"/>
              </w:rPr>
              <w:t>Governance</w:t>
            </w:r>
          </w:p>
        </w:tc>
        <w:tc>
          <w:tcPr>
            <w:tcW w:w="36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w w:val="89"/>
              </w:rPr>
              <w:t>Table of Contents</w:t>
            </w:r>
          </w:p>
        </w:tc>
        <w:tc>
          <w:tcPr>
            <w:tcW w:w="3600" w:type="dxa"/>
            <w:vAlign w:val="bottom"/>
          </w:tcPr>
          <w:p>
            <w:pPr>
              <w:spacing w:after="0"/>
              <w:rPr>
                <w:sz w:val="24"/>
                <w:szCs w:val="24"/>
                <w:color w:val="auto"/>
              </w:rPr>
            </w:pPr>
          </w:p>
        </w:tc>
      </w:tr>
      <w:tr>
        <w:trPr>
          <w:trHeight w:val="480"/>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1.0</w:t>
            </w:r>
          </w:p>
        </w:tc>
        <w:tc>
          <w:tcPr>
            <w:tcW w:w="47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INTRODUCTION</w:t>
            </w:r>
          </w:p>
        </w:tc>
        <w:tc>
          <w:tcPr>
            <w:tcW w:w="13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2.0</w:t>
            </w:r>
          </w:p>
        </w:tc>
        <w:tc>
          <w:tcPr>
            <w:tcW w:w="7540" w:type="dxa"/>
            <w:vAlign w:val="bottom"/>
            <w:gridSpan w:val="4"/>
          </w:tcPr>
          <w:p>
            <w:pPr>
              <w:ind w:left="240"/>
              <w:spacing w:after="0"/>
              <w:rPr>
                <w:sz w:val="20"/>
                <w:szCs w:val="20"/>
                <w:color w:val="auto"/>
              </w:rPr>
            </w:pPr>
            <w:r>
              <w:rPr>
                <w:rFonts w:ascii="Arial" w:cs="Arial" w:eastAsia="Arial" w:hAnsi="Arial"/>
                <w:sz w:val="18"/>
                <w:szCs w:val="18"/>
                <w:b w:val="1"/>
                <w:bCs w:val="1"/>
                <w:color w:val="auto"/>
              </w:rPr>
              <w:t>ROLES AND RESPONSIBILITIES OF KEY GOVERNANCE TEAM MEMBERS</w:t>
            </w:r>
          </w:p>
        </w:tc>
        <w:tc>
          <w:tcPr>
            <w:tcW w:w="360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AT&amp;T</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MDOCS</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3.0</w:t>
            </w:r>
          </w:p>
        </w:tc>
        <w:tc>
          <w:tcPr>
            <w:tcW w:w="7540" w:type="dxa"/>
            <w:vAlign w:val="bottom"/>
            <w:gridSpan w:val="4"/>
          </w:tcPr>
          <w:p>
            <w:pPr>
              <w:ind w:left="240"/>
              <w:spacing w:after="0"/>
              <w:rPr>
                <w:sz w:val="20"/>
                <w:szCs w:val="20"/>
                <w:color w:val="auto"/>
              </w:rPr>
            </w:pPr>
            <w:r>
              <w:rPr>
                <w:rFonts w:ascii="Arial" w:cs="Arial" w:eastAsia="Arial" w:hAnsi="Arial"/>
                <w:sz w:val="18"/>
                <w:szCs w:val="18"/>
                <w:b w:val="1"/>
                <w:bCs w:val="1"/>
                <w:color w:val="auto"/>
              </w:rPr>
              <w:t>COMMITTEES AND TEAMS</w:t>
            </w:r>
          </w:p>
        </w:tc>
        <w:tc>
          <w:tcPr>
            <w:tcW w:w="36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XECUTIVE</w:t>
            </w:r>
            <w:r>
              <w:rPr>
                <w:rFonts w:ascii="Arial" w:cs="Arial" w:eastAsia="Arial" w:hAnsi="Arial"/>
                <w:sz w:val="18"/>
                <w:szCs w:val="18"/>
                <w:color w:val="auto"/>
              </w:rPr>
              <w:t xml:space="preserve"> S</w:t>
            </w:r>
            <w:r>
              <w:rPr>
                <w:rFonts w:ascii="Arial" w:cs="Arial" w:eastAsia="Arial" w:hAnsi="Arial"/>
                <w:sz w:val="15"/>
                <w:szCs w:val="15"/>
                <w:color w:val="auto"/>
              </w:rPr>
              <w:t>TEERING</w:t>
            </w:r>
            <w:r>
              <w:rPr>
                <w:rFonts w:ascii="Arial" w:cs="Arial" w:eastAsia="Arial" w:hAnsi="Arial"/>
                <w:sz w:val="18"/>
                <w:szCs w:val="18"/>
                <w:color w:val="auto"/>
              </w:rPr>
              <w:t xml:space="preserve"> C</w:t>
            </w:r>
            <w:r>
              <w:rPr>
                <w:rFonts w:ascii="Arial" w:cs="Arial" w:eastAsia="Arial" w:hAnsi="Arial"/>
                <w:sz w:val="15"/>
                <w:szCs w:val="15"/>
                <w:color w:val="auto"/>
              </w:rPr>
              <w:t>OMMITTEE</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ANAGEMENT</w:t>
            </w:r>
            <w:r>
              <w:rPr>
                <w:rFonts w:ascii="Arial" w:cs="Arial" w:eastAsia="Arial" w:hAnsi="Arial"/>
                <w:sz w:val="18"/>
                <w:szCs w:val="18"/>
                <w:color w:val="auto"/>
              </w:rPr>
              <w:t xml:space="preserve"> C</w:t>
            </w:r>
            <w:r>
              <w:rPr>
                <w:rFonts w:ascii="Arial" w:cs="Arial" w:eastAsia="Arial" w:hAnsi="Arial"/>
                <w:sz w:val="15"/>
                <w:szCs w:val="15"/>
                <w:color w:val="auto"/>
              </w:rPr>
              <w:t>OMMITTEE</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ERVICE</w:t>
            </w:r>
            <w:r>
              <w:rPr>
                <w:rFonts w:ascii="Arial" w:cs="Arial" w:eastAsia="Arial" w:hAnsi="Arial"/>
                <w:sz w:val="18"/>
                <w:szCs w:val="18"/>
                <w:color w:val="auto"/>
              </w:rPr>
              <w:t xml:space="preserve"> D</w:t>
            </w:r>
            <w:r>
              <w:rPr>
                <w:rFonts w:ascii="Arial" w:cs="Arial" w:eastAsia="Arial" w:hAnsi="Arial"/>
                <w:sz w:val="15"/>
                <w:szCs w:val="15"/>
                <w:color w:val="auto"/>
              </w:rPr>
              <w:t>ELIVERY</w:t>
            </w:r>
            <w:r>
              <w:rPr>
                <w:rFonts w:ascii="Arial" w:cs="Arial" w:eastAsia="Arial" w:hAnsi="Arial"/>
                <w:sz w:val="18"/>
                <w:szCs w:val="18"/>
                <w:color w:val="auto"/>
              </w:rPr>
              <w:t xml:space="preserve"> C</w:t>
            </w:r>
            <w:r>
              <w:rPr>
                <w:rFonts w:ascii="Arial" w:cs="Arial" w:eastAsia="Arial" w:hAnsi="Arial"/>
                <w:sz w:val="15"/>
                <w:szCs w:val="15"/>
                <w:color w:val="auto"/>
              </w:rPr>
              <w:t>OMMITTEE</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ECHNICAL</w:t>
            </w:r>
            <w:r>
              <w:rPr>
                <w:rFonts w:ascii="Arial" w:cs="Arial" w:eastAsia="Arial" w:hAnsi="Arial"/>
                <w:sz w:val="18"/>
                <w:szCs w:val="18"/>
                <w:color w:val="auto"/>
              </w:rPr>
              <w:t xml:space="preserve"> S</w:t>
            </w:r>
            <w:r>
              <w:rPr>
                <w:rFonts w:ascii="Arial" w:cs="Arial" w:eastAsia="Arial" w:hAnsi="Arial"/>
                <w:sz w:val="15"/>
                <w:szCs w:val="15"/>
                <w:color w:val="auto"/>
              </w:rPr>
              <w:t>TEERING</w:t>
            </w:r>
            <w:r>
              <w:rPr>
                <w:rFonts w:ascii="Arial" w:cs="Arial" w:eastAsia="Arial" w:hAnsi="Arial"/>
                <w:sz w:val="18"/>
                <w:szCs w:val="18"/>
                <w:color w:val="auto"/>
              </w:rPr>
              <w:t xml:space="preserve"> C</w:t>
            </w:r>
            <w:r>
              <w:rPr>
                <w:rFonts w:ascii="Arial" w:cs="Arial" w:eastAsia="Arial" w:hAnsi="Arial"/>
                <w:sz w:val="15"/>
                <w:szCs w:val="15"/>
                <w:color w:val="auto"/>
              </w:rPr>
              <w:t>OMMITTEE</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ROGRAM</w:t>
            </w:r>
            <w:r>
              <w:rPr>
                <w:rFonts w:ascii="Arial" w:cs="Arial" w:eastAsia="Arial" w:hAnsi="Arial"/>
                <w:sz w:val="18"/>
                <w:szCs w:val="18"/>
                <w:color w:val="auto"/>
              </w:rPr>
              <w:t xml:space="preserve"> S</w:t>
            </w:r>
            <w:r>
              <w:rPr>
                <w:rFonts w:ascii="Arial" w:cs="Arial" w:eastAsia="Arial" w:hAnsi="Arial"/>
                <w:sz w:val="15"/>
                <w:szCs w:val="15"/>
                <w:color w:val="auto"/>
              </w:rPr>
              <w:t>TEERING</w:t>
            </w:r>
            <w:r>
              <w:rPr>
                <w:rFonts w:ascii="Arial" w:cs="Arial" w:eastAsia="Arial" w:hAnsi="Arial"/>
                <w:sz w:val="18"/>
                <w:szCs w:val="18"/>
                <w:color w:val="auto"/>
              </w:rPr>
              <w:t xml:space="preserve"> C</w:t>
            </w:r>
            <w:r>
              <w:rPr>
                <w:rFonts w:ascii="Arial" w:cs="Arial" w:eastAsia="Arial" w:hAnsi="Arial"/>
                <w:sz w:val="15"/>
                <w:szCs w:val="15"/>
                <w:color w:val="auto"/>
              </w:rPr>
              <w:t>OUNCIL</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324"/>
        </w:trPr>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7200" w:type="dxa"/>
            <w:vAlign w:val="bottom"/>
            <w:gridSpan w:val="3"/>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ROGRAM</w:t>
            </w:r>
            <w:r>
              <w:rPr>
                <w:rFonts w:ascii="Arial" w:cs="Arial" w:eastAsia="Arial" w:hAnsi="Arial"/>
                <w:sz w:val="18"/>
                <w:szCs w:val="18"/>
                <w:color w:val="auto"/>
              </w:rPr>
              <w:t xml:space="preserve"> T</w:t>
            </w:r>
            <w:r>
              <w:rPr>
                <w:rFonts w:ascii="Arial" w:cs="Arial" w:eastAsia="Arial" w:hAnsi="Arial"/>
                <w:sz w:val="15"/>
                <w:szCs w:val="15"/>
                <w:color w:val="auto"/>
              </w:rPr>
              <w:t>EAM</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4.0</w:t>
            </w:r>
          </w:p>
        </w:tc>
        <w:tc>
          <w:tcPr>
            <w:tcW w:w="7540" w:type="dxa"/>
            <w:vAlign w:val="bottom"/>
            <w:gridSpan w:val="4"/>
          </w:tcPr>
          <w:p>
            <w:pPr>
              <w:ind w:left="240"/>
              <w:spacing w:after="0"/>
              <w:rPr>
                <w:sz w:val="20"/>
                <w:szCs w:val="20"/>
                <w:color w:val="auto"/>
              </w:rPr>
            </w:pPr>
            <w:r>
              <w:rPr>
                <w:rFonts w:ascii="Arial" w:cs="Arial" w:eastAsia="Arial" w:hAnsi="Arial"/>
                <w:sz w:val="18"/>
                <w:szCs w:val="18"/>
                <w:b w:val="1"/>
                <w:bCs w:val="1"/>
                <w:color w:val="auto"/>
              </w:rPr>
              <w:t>ISSUE ESCALATION PROCEDURES</w:t>
            </w:r>
          </w:p>
        </w:tc>
        <w:tc>
          <w:tcPr>
            <w:tcW w:w="360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2" w:name="page263"/>
    <w:bookmarkEnd w:id="26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Governance procedure will be applicable to Services provided under this Agreement when the Parties so agree in an applicable Work Order. Capitalized terms not defined in this Schedule have the meaning given in the Agreement. Any capitalized term not defined has its generally understood meaning in the context in which it is used in the IT industry.</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Schedule sets out the Governance structure for the Agreement, the roles and responsibilities of both Parties to maintain a working relationship, and the type, content and frequency of the status meetings that will be held. AT&amp;T’s Contract Executive, Contract Manager, Contract Administrator, Quality Assurance Program Manager, Business Unit Coordinator, Finance Manager, Transition Manager, Service Level Managers, Technology Architecture Program Managers and AT&amp;T Retained and Vendor Employee Support Manager comprise the “AT&amp;T Governance Team.” Amdocs’ Account Executive, Account Manager, Transition Manager, Architecture Manager, Service Delivery Managers, Resourcing Manager, Service Control Manager, Finance Manager, and Human Resource Director comprise the “Amdocs Governance Team.” Amdocs shall replace any member of Amdocs’ Governance Team upon reasonable request by AT&amp;T to Amdocs. The AT&amp;T Governance Team and the Amdocs Governance Team are collectively referred to in this Agreement as the “Governance Team.” Costs for Amdocs activities associated with the Governance Team and committees shall be paid by Amdocs and not be billed to AT&amp;T.</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notice to the other Party, each Party reserves the right to replace or substitute members of its own Governance Team in accordance with this Agreement and change the titles and responsibilities of members of its Governance Team (with members that have equivalent decision-making authority). Notwithstanding anything in this Agreement to the contrary, representatives from any AT&amp;T Affiliate shall have the opportunity to attend and participate in Governance Team meetings as requested by AT&amp;T.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Party may fill multiple positions in its Governance Team with the same individual; provided, however, that the Amdocs Account Executive and the Amdocs Account Manager shall be separate individuals. At the reasonable request of AT&amp;T (whether in connection with the addition of or other Change to the Services), Governance Team positions may be increased or decreased to address areas or issues in the scope of Services or other obligations of the Parties under the Agreement</w:t>
      </w:r>
      <w:r>
        <w:rPr>
          <w:rFonts w:ascii="Arial" w:cs="Arial" w:eastAsia="Arial" w:hAnsi="Arial"/>
          <w:sz w:val="18"/>
          <w:szCs w:val="18"/>
          <w:b w:val="1"/>
          <w:bCs w:val="1"/>
          <w:color w:val="auto"/>
        </w:rPr>
        <w: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respect to meetings under this Agreement, such meetings may be held by teleconference or videoconference, unless AT&amp;T reasonably requests that such meetings be held in person at a location designated by AT&amp;T.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two Parties cannot agree to what is reasonable, the Governance Escalation process will be followed. Each Party shall bear its own expenses (travel or otherwise) in connection with the meetings.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ROLES AND RESPONSIBILITIES OF KEY GOVERNANCE TEAM MEMBERS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AT&amp;T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AT&amp;T Contract Executive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AT&amp;T’s Contract Executive’s responsibilities include: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the overall relationship with Amdocs under this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leadership and guidance to the AT&amp;T Governance organization.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Working with the Amdocs Account Executive and Amdocs Account Manager to progress the goals and objectives of the arrangement.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Resolving escalated issues in accordance with the Governance escalation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liaison activities and guidance with Amdocs’s corporate executive leadership in regard to the strategic needs of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Serving as the primary interface to AT&amp;T IT senior management.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overall oversight of the Agreement including services, technical and financial oversight.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input to Long Range IT Planning activities and the disaster/business continuity strategy.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AT&amp;T Contract Manager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AT&amp;T’s Contract Manager has primary operational responsibility for the Agreement and monitoring Amdocs deliverables and commitments. The Contract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Amdocs and AT&amp;T compliance with the obligations of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Amdocs Agreement level deliverable commitments.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Tracking fulfillment of Amdocs deliverables.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benchmarking activities,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the AT&amp;T Governance organization including committee establishment and oversight.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Resolving escalated issues according to the Governance escalation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Approving or declining all work requests that are in excess of pre-established expenditure amounts or circumstances, including New Services.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service level base-lining activities as defined in Schedule F.</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Evaluating Service Level Credits and approving any action plans resulting from critical Service Level Failures.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authorizing and overseeing all Agreement related policies and procedures.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Authorizing Amendments to the Agreement.</w:t>
      </w:r>
    </w:p>
    <w:p>
      <w:pPr>
        <w:spacing w:after="0" w:line="225" w:lineRule="exact"/>
        <w:rPr>
          <w:sz w:val="20"/>
          <w:szCs w:val="20"/>
          <w:color w:val="auto"/>
        </w:rPr>
      </w:pPr>
    </w:p>
    <w:p>
      <w:pPr>
        <w:ind w:left="920" w:right="580" w:hanging="419"/>
        <w:spacing w:after="0" w:line="277" w:lineRule="auto"/>
        <w:rPr>
          <w:sz w:val="20"/>
          <w:szCs w:val="20"/>
          <w:color w:val="auto"/>
        </w:rPr>
      </w:pPr>
      <w:r>
        <w:rPr>
          <w:rFonts w:ascii="Arial" w:cs="Arial" w:eastAsia="Arial" w:hAnsi="Arial"/>
          <w:sz w:val="18"/>
          <w:szCs w:val="18"/>
          <w:color w:val="auto"/>
        </w:rPr>
        <w:t>Coordination of AT&amp;T third party matters including contract management, leases, and license management, except to the extent the Agreement expressly requires Amdocs to provide such coordination (e.g., Managed Third Parties).</w:t>
      </w:r>
    </w:p>
    <w:p>
      <w:pPr>
        <w:spacing w:after="0" w:line="170" w:lineRule="exact"/>
        <w:rPr>
          <w:sz w:val="20"/>
          <w:szCs w:val="20"/>
          <w:color w:val="auto"/>
        </w:rPr>
      </w:pPr>
    </w:p>
    <w:p>
      <w:pPr>
        <w:ind w:left="920" w:right="20" w:hanging="419"/>
        <w:spacing w:after="0" w:line="277" w:lineRule="auto"/>
        <w:rPr>
          <w:sz w:val="20"/>
          <w:szCs w:val="20"/>
          <w:color w:val="auto"/>
        </w:rPr>
      </w:pPr>
      <w:r>
        <w:rPr>
          <w:rFonts w:ascii="Arial" w:cs="Arial" w:eastAsia="Arial" w:hAnsi="Arial"/>
          <w:sz w:val="18"/>
          <w:szCs w:val="18"/>
          <w:color w:val="auto"/>
        </w:rPr>
        <w:t>Coordination with the Amdocs Contract Manager concerning operational activities associated with all Amdocs Personnel including onsite and offshore resources.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contractor sponsorship.</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Developing and providing metric reporting for AT&amp;T IT leadership.</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AT&amp;T Contract Administrator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AT&amp;T’s Contract Administrator has primary administrative responsibility for the Agreement including the management of all reporting and updates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The Contract Administrator’s responsibilities include: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receipt and review of all Amdocs reports required by the Agreement.</w:t>
      </w:r>
    </w:p>
    <w:p>
      <w:pPr>
        <w:spacing w:after="0" w:line="225" w:lineRule="exact"/>
        <w:rPr>
          <w:sz w:val="20"/>
          <w:szCs w:val="20"/>
          <w:color w:val="auto"/>
        </w:rPr>
      </w:pPr>
    </w:p>
    <w:p>
      <w:pPr>
        <w:ind w:left="920" w:right="320" w:hanging="419"/>
        <w:spacing w:after="0" w:line="286" w:lineRule="auto"/>
        <w:rPr>
          <w:sz w:val="20"/>
          <w:szCs w:val="20"/>
          <w:color w:val="auto"/>
        </w:rPr>
      </w:pPr>
      <w:r>
        <w:rPr>
          <w:rFonts w:ascii="Arial" w:cs="Arial" w:eastAsia="Arial" w:hAnsi="Arial"/>
          <w:sz w:val="17"/>
          <w:szCs w:val="17"/>
          <w:color w:val="auto"/>
        </w:rPr>
        <w:t>Serving as the single point of contact for all requests and communications originating from Amdocs with respect to the Agreement. Except for [**] communications for which alternative procedures are described elsewhere in the Agreement, Amdocs shall direct all requests and communications required by, permitted under or made in connection with the Agreement to the AT&amp;T Contract Administrator.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Developing standard reporting and communication requirements between Amdocs and various staff and organizations within AT&amp;T.</w:t>
      </w:r>
    </w:p>
    <w:p>
      <w:pPr>
        <w:spacing w:after="0" w:line="225" w:lineRule="exact"/>
        <w:rPr>
          <w:sz w:val="20"/>
          <w:szCs w:val="20"/>
          <w:color w:val="auto"/>
        </w:rPr>
      </w:pPr>
    </w:p>
    <w:p>
      <w:pPr>
        <w:ind w:left="920" w:right="180" w:hanging="419"/>
        <w:spacing w:after="0" w:line="277" w:lineRule="auto"/>
        <w:rPr>
          <w:sz w:val="20"/>
          <w:szCs w:val="20"/>
          <w:color w:val="auto"/>
        </w:rPr>
      </w:pPr>
      <w:r>
        <w:rPr>
          <w:rFonts w:ascii="Arial" w:cs="Arial" w:eastAsia="Arial" w:hAnsi="Arial"/>
          <w:sz w:val="18"/>
          <w:szCs w:val="18"/>
          <w:color w:val="auto"/>
        </w:rPr>
        <w:t>Developing and assisting with negotiations and dispute resolution related to all addendums and updates to the Agreement that are required during the Term.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Assisting with interpretation and intent of the Parties in regard to the terms and conditions of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Assuring ability to audit Amdocs processes.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Oversight of Agreement Amendment process.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the dispute resolution process as needed for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Administration of Policy and Procedure Manual changes.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Serving as a single point of contact for any document retention notices, tax surveys, insurance surveys and general data calls.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Performing facilities management to ensure appropriate facilities are available to Amdocs with the required environmental equipment services.</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AT&amp;T Quality Assurance Program Manager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AT&amp;T’s Quality Assurance (QA) Program Manager has the overall responsibility for tracking the quality of Amdocs’ software development processes and deliverables. The Quality Assurance Program Manager’s responsibilities include:</w:t>
      </w:r>
    </w:p>
    <w:p>
      <w:pPr>
        <w:spacing w:after="0" w:line="76" w:lineRule="exact"/>
        <w:rPr>
          <w:sz w:val="20"/>
          <w:szCs w:val="20"/>
          <w:color w:val="auto"/>
        </w:rPr>
      </w:pPr>
    </w:p>
    <w:p>
      <w:pPr>
        <w:ind w:left="900" w:right="720" w:hanging="446"/>
        <w:spacing w:after="0" w:line="277"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Developing and implementing processes and procedures to monitor, measure and report quality, reliability and performance of Amdocs’ deliverables, and their conformance to requirements (business and technical).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Verifying, monitoring and reporting to AT&amp;T Amdocs’ compliance against: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IT Unified Process (ITUP), ITS Quality System standards and SEI CMM Level 2/3 processes.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Amdocs’ Software Quality Assurance (SQA) plans and activities.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Amdocs’ Software Configuration Management (SCM) plans and activities.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Amdocs’ test plans, test activities and test performance.</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Conducting scheduled QA reviews and audits to verify that the Amdocs Project activities and Services are following the AT&amp;T Strategic Decisions, standards and communicating results to the Service Delivery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Conducting post-Project reviews to identify Amdocs processes and activities that worked well, along with areas of improvement.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Monitoring Amdocs defect resolutions and Root Cause Analysis of problems.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AT&amp;T Business Unit Coordinator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AT&amp;T’s Business Unit Coordinator has the overall responsibility for AT&amp;T’s customer relationship with Amdocs and fulfilling AT&amp;T’s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Transition Plan. The Business Unit Coordinator’s responsibilities include: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advice and counsel to AT&amp;T business units regarding the terms and conditions of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support to AT&amp;T business units in regard to questions and issues arising from the delivery of Services.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Acting as the primary interface between Amdocs’ organization and the AT&amp;T business unit in regards to issue management and problem escalation.</w:t>
      </w:r>
    </w:p>
    <w:p>
      <w:pPr>
        <w:spacing w:after="0" w:line="248" w:lineRule="exact"/>
        <w:rPr>
          <w:sz w:val="20"/>
          <w:szCs w:val="20"/>
          <w:color w:val="auto"/>
        </w:rPr>
      </w:pPr>
    </w:p>
    <w:p>
      <w:pPr>
        <w:ind w:left="920" w:right="760" w:hanging="419"/>
        <w:spacing w:after="0" w:line="277" w:lineRule="auto"/>
        <w:rPr>
          <w:sz w:val="20"/>
          <w:szCs w:val="20"/>
          <w:color w:val="auto"/>
        </w:rPr>
      </w:pPr>
      <w:r>
        <w:rPr>
          <w:rFonts w:ascii="Arial" w:cs="Arial" w:eastAsia="Arial" w:hAnsi="Arial"/>
          <w:sz w:val="18"/>
          <w:szCs w:val="18"/>
          <w:color w:val="auto"/>
        </w:rPr>
        <w:t>Assisting AT&amp;T’s client facing organization with documenting, reviewing, and tracking Change Requests, Work Requests and Service issues (problems/defects).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Identifying and escalating service issues related to specific business units until resolved.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Facilitating the project approval process and work authorization in accordance with the processes described in the Policy and Procedures Manual.</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Overseeing Projects and their status for the AT&amp;T business unit.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and approving or rejecting the AT&amp;T business units’ User Acceptance Testing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Oversight of Amdocs customer satisfaction survey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AT&amp;T’s obligations and service.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or rejecting the Transition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the implementation of Amdocs’ service delivery plan.</w:t>
      </w:r>
    </w:p>
    <w:p>
      <w:pPr>
        <w:spacing w:after="0" w:line="225" w:lineRule="exact"/>
        <w:rPr>
          <w:sz w:val="20"/>
          <w:szCs w:val="20"/>
          <w:color w:val="auto"/>
        </w:rPr>
      </w:pPr>
    </w:p>
    <w:p>
      <w:pPr>
        <w:ind w:left="920" w:right="660" w:hanging="419"/>
        <w:spacing w:after="0" w:line="277" w:lineRule="auto"/>
        <w:rPr>
          <w:sz w:val="20"/>
          <w:szCs w:val="20"/>
          <w:color w:val="auto"/>
        </w:rPr>
      </w:pPr>
      <w:r>
        <w:rPr>
          <w:rFonts w:ascii="Arial" w:cs="Arial" w:eastAsia="Arial" w:hAnsi="Arial"/>
          <w:sz w:val="18"/>
          <w:szCs w:val="18"/>
          <w:color w:val="auto"/>
        </w:rPr>
        <w:t>Monitoring all service delivery processes and tracking that the Service Level reporting mechanisms are established and operational to AT&amp;T’s satisfaction.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all service delivery processes and deliverables to ensure Amdocs’ compliance with regulatory requirements.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and coordinating Amdocs demarcation with AT&amp;T’s business-operating environment for the entire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Oversight of any Amdocs End User training activities.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AT&amp;T Finance Manager</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AT&amp;T’s Finance Manager oversees all financial activities related to the Agreement and the delivery of Services. The Finance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Assisting the AT&amp;T Area Financial Manager in establishing and managing the overall budget in connection with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Performing any required research and analysis required in connection with the verifications contemplated in any Work Order.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that savings objectives for the Agreement are being met.</w:t>
      </w:r>
    </w:p>
    <w:p>
      <w:pPr>
        <w:spacing w:after="0" w:line="225" w:lineRule="exact"/>
        <w:rPr>
          <w:sz w:val="20"/>
          <w:szCs w:val="20"/>
          <w:color w:val="auto"/>
        </w:rPr>
      </w:pPr>
    </w:p>
    <w:p>
      <w:pPr>
        <w:ind w:left="920" w:right="120" w:hanging="419"/>
        <w:spacing w:after="0" w:line="277" w:lineRule="auto"/>
        <w:rPr>
          <w:sz w:val="20"/>
          <w:szCs w:val="20"/>
          <w:color w:val="auto"/>
        </w:rPr>
      </w:pPr>
      <w:r>
        <w:rPr>
          <w:rFonts w:ascii="Arial" w:cs="Arial" w:eastAsia="Arial" w:hAnsi="Arial"/>
          <w:sz w:val="18"/>
          <w:szCs w:val="18"/>
          <w:color w:val="auto"/>
        </w:rPr>
        <w:t>Assisting the AT&amp;T Area Financial Manager in reviewing and approving or rejecting financial analysis for all Amdocs sponsored initiatives to ensure financial viability.</w:t>
      </w:r>
    </w:p>
    <w:p>
      <w:pPr>
        <w:spacing w:after="0" w:line="170" w:lineRule="exact"/>
        <w:rPr>
          <w:sz w:val="20"/>
          <w:szCs w:val="20"/>
          <w:color w:val="auto"/>
        </w:rPr>
      </w:pPr>
    </w:p>
    <w:p>
      <w:pPr>
        <w:ind w:left="920" w:right="380" w:hanging="419"/>
        <w:spacing w:after="0" w:line="277" w:lineRule="auto"/>
        <w:rPr>
          <w:sz w:val="20"/>
          <w:szCs w:val="20"/>
          <w:color w:val="auto"/>
        </w:rPr>
      </w:pPr>
      <w:r>
        <w:rPr>
          <w:rFonts w:ascii="Arial" w:cs="Arial" w:eastAsia="Arial" w:hAnsi="Arial"/>
          <w:sz w:val="18"/>
          <w:szCs w:val="18"/>
          <w:color w:val="auto"/>
        </w:rPr>
        <w:t>Assisting in and supporting, as needed, the review of [**] charges to assure the accuracy of Amdocs charges, AT&amp;T Service Level Credits, AT&amp;T retained costs and pass-through expenses.</w:t>
      </w:r>
    </w:p>
    <w:p>
      <w:pPr>
        <w:spacing w:after="0" w:line="170" w:lineRule="exact"/>
        <w:rPr>
          <w:sz w:val="20"/>
          <w:szCs w:val="20"/>
          <w:color w:val="auto"/>
        </w:rPr>
      </w:pPr>
    </w:p>
    <w:p>
      <w:pPr>
        <w:ind w:left="920" w:right="180" w:hanging="419"/>
        <w:spacing w:after="0" w:line="277" w:lineRule="auto"/>
        <w:rPr>
          <w:sz w:val="20"/>
          <w:szCs w:val="20"/>
          <w:color w:val="auto"/>
        </w:rPr>
      </w:pPr>
      <w:r>
        <w:rPr>
          <w:rFonts w:ascii="Arial" w:cs="Arial" w:eastAsia="Arial" w:hAnsi="Arial"/>
          <w:sz w:val="18"/>
          <w:szCs w:val="18"/>
          <w:color w:val="auto"/>
        </w:rPr>
        <w:t>Ensuring that anticipated and agreed-upon Amdocs financial responsibilities are not converted to AT&amp;T retained or pass-through expenses, except as provided under the Agreement.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and maintaining the AT&amp;T charge back process and systems.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Performing AT&amp;T cost management activities, including affiliate allocations and capitalization forecasting and tracking.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oversight of asset management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AT&amp;T Service Level Manager</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AT&amp;T’s Service Level Manager oversees all Service Level management activities related to the Agreement and the delivery of Services. The Service Level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Analyzing [**] Service Level reports prepared by Amdocs, reviewing anomalies and trends in performance and continuous improvement.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Coordinating and communicating [**] Service delivery issues.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Addressing, co-coordinating and prioritizing the issues affecting the provision of the Services to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Reviewing and escalating operational problems and issues to the Management Committee in accordance with the Policies and Procedures Manual.</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Determining Service Level Credits where appropriate.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root cause analysis and action plans resulting from a Critical Service Level Failure.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Rebaselining performance targets on an annual basis to account for continuous improvement contractual requirements.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Developing semi-annual inventory of Service Level additions, deletions and modifications.</w:t>
      </w:r>
    </w:p>
    <w:p>
      <w:pPr>
        <w:spacing w:after="0" w:line="225" w:lineRule="exact"/>
        <w:rPr>
          <w:sz w:val="20"/>
          <w:szCs w:val="20"/>
          <w:color w:val="auto"/>
        </w:rPr>
      </w:pPr>
    </w:p>
    <w:p>
      <w:pPr>
        <w:ind w:left="500" w:right="4880"/>
        <w:spacing w:after="0" w:line="501" w:lineRule="auto"/>
        <w:rPr>
          <w:sz w:val="20"/>
          <w:szCs w:val="20"/>
          <w:color w:val="auto"/>
        </w:rPr>
      </w:pPr>
      <w:r>
        <w:rPr>
          <w:rFonts w:ascii="Arial" w:cs="Arial" w:eastAsia="Arial" w:hAnsi="Arial"/>
          <w:sz w:val="18"/>
          <w:szCs w:val="18"/>
          <w:color w:val="auto"/>
        </w:rPr>
        <w:t>Ensuring receipt and review of all Amdocs reports required by the Agreement. Reviewing and adjusting the following, as directed by the Management Committee: Continuous improvement and quality assurance measures. Customer satisfaction surveys.</w:t>
      </w:r>
    </w:p>
    <w:p>
      <w:pPr>
        <w:ind w:left="500"/>
        <w:spacing w:after="0"/>
        <w:rPr>
          <w:sz w:val="20"/>
          <w:szCs w:val="20"/>
          <w:color w:val="auto"/>
        </w:rPr>
      </w:pPr>
      <w:r>
        <w:rPr>
          <w:rFonts w:ascii="Arial" w:cs="Arial" w:eastAsia="Arial" w:hAnsi="Arial"/>
          <w:sz w:val="18"/>
          <w:szCs w:val="18"/>
          <w:color w:val="auto"/>
        </w:rPr>
        <w:t>Audits.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Benchmarking results.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AT&amp;T Transition Manager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AT&amp;T Transition Manager has overall AT&amp;T responsibility for activities associated with the transition of the Transitioned Personnel and Subcontractors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Amdocs. The Transition Manager’s responsibilities include: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Coordinating the transition of AT&amp;T’s Transitioned Personnel, Subcontractors and Equipment to Amdocs under the applicable Transition Plan.</w:t>
      </w:r>
    </w:p>
    <w:p>
      <w:pPr>
        <w:spacing w:after="0" w:line="237" w:lineRule="exact"/>
        <w:rPr>
          <w:sz w:val="20"/>
          <w:szCs w:val="20"/>
          <w:color w:val="auto"/>
        </w:rPr>
      </w:pPr>
    </w:p>
    <w:p>
      <w:pPr>
        <w:ind w:left="920" w:right="600" w:hanging="419"/>
        <w:spacing w:after="0" w:line="277" w:lineRule="auto"/>
        <w:rPr>
          <w:sz w:val="20"/>
          <w:szCs w:val="20"/>
          <w:color w:val="auto"/>
        </w:rPr>
      </w:pPr>
      <w:r>
        <w:rPr>
          <w:rFonts w:ascii="Arial" w:cs="Arial" w:eastAsia="Arial" w:hAnsi="Arial"/>
          <w:sz w:val="18"/>
          <w:szCs w:val="18"/>
          <w:color w:val="auto"/>
        </w:rPr>
        <w:t>Monitoring Amdocs’ strategies for the transition of the infrastructure necessary to operate the account including all financial, human resources, security, facilities and communication.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Assist Amdocs in developing and implementing each detailed Transition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an interim transition organization and assisting the AT&amp;T Contract Manager in developing the Governance Organization.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guidance to Amdocs related to the Policy and Procedures Manual development.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AT&amp;T IT Architecture Program Managers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AT&amp;T’s IT Architecture Program Managers will have the primary responsibilities to review technical and architecture standards compliance. The IT Architecture Program Managers’ responsibilities include:</w:t>
      </w:r>
    </w:p>
    <w:p>
      <w:pPr>
        <w:spacing w:after="0" w:line="76" w:lineRule="exact"/>
        <w:rPr>
          <w:sz w:val="20"/>
          <w:szCs w:val="20"/>
          <w:color w:val="auto"/>
        </w:rPr>
      </w:pPr>
    </w:p>
    <w:p>
      <w:pPr>
        <w:ind w:left="900" w:right="62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Developing processes and procedures to track that Amdocs’ services are in alignment with the AT&amp;T business and AT&amp;T IT architecture strategies.</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Coordinating the IT architectural standards of AT&amp;T and working with AT&amp;T and Amdocs to develop the Long Range IT Plan, as described in </w:t>
      </w:r>
      <w:r>
        <w:rPr>
          <w:rFonts w:ascii="Arial" w:cs="Arial" w:eastAsia="Arial" w:hAnsi="Arial"/>
          <w:sz w:val="18"/>
          <w:szCs w:val="18"/>
          <w:b w:val="1"/>
          <w:bCs w:val="1"/>
          <w:u w:val="single" w:color="auto"/>
          <w:color w:val="auto"/>
        </w:rPr>
        <w:t>Schedule D, Part 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Reviewing and approving or rejecting Amdocs’ solution approach, including but not limited to:</w:t>
      </w:r>
    </w:p>
    <w:p>
      <w:pPr>
        <w:spacing w:after="0" w:line="130" w:lineRule="exact"/>
        <w:rPr>
          <w:rFonts w:ascii="Arial" w:cs="Arial" w:eastAsia="Arial" w:hAnsi="Arial"/>
          <w:sz w:val="18"/>
          <w:szCs w:val="18"/>
          <w:color w:val="auto"/>
        </w:rPr>
      </w:pPr>
    </w:p>
    <w:p>
      <w:pPr>
        <w:ind w:left="1920" w:right="160" w:hanging="440"/>
        <w:spacing w:after="0" w:line="277" w:lineRule="auto"/>
        <w:tabs>
          <w:tab w:leader="none" w:pos="19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Technical architecture designs at a level of detail that provides AT&amp;T appropriate visibility into the application design to evaluate compliance with AT&amp;T standards.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Logical and physical data models.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Data access methods and call patterns.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Reviewing and approving specific Project plans and Change Requests to comply with the Long Term IT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Reviewing designs/architecture/approval data models.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Ensuring Amdocs’ compliance with AT&amp;T IT software and hardware currency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Providing oversight of Amdocs activities associated with Disaster Recovery and planning.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AT&amp;T Retained and Vendor Employee Support Manager</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AT&amp;T’s Retained and Vendor Employee Support Manager will have the primary responsibility of coordinating service requests. The Support Managers’ responsibilities include:</w:t>
      </w:r>
    </w:p>
    <w:p>
      <w:pPr>
        <w:spacing w:after="0" w:line="76" w:lineRule="exact"/>
        <w:rPr>
          <w:sz w:val="20"/>
          <w:szCs w:val="20"/>
          <w:color w:val="auto"/>
        </w:rPr>
      </w:pPr>
    </w:p>
    <w:p>
      <w:pPr>
        <w:ind w:left="900" w:hanging="446"/>
        <w:spacing w:after="0"/>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Coordinating customer service requests related to AT&amp;T Facilities and Equipment for Amdocs Personnel at AT&amp;T Facilities.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Amdocs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b w:val="1"/>
          <w:bCs w:val="1"/>
          <w:color w:val="auto"/>
        </w:rPr>
        <w:t>Amdocs Account Executive</w:t>
      </w:r>
    </w:p>
    <w:p>
      <w:pPr>
        <w:spacing w:after="0" w:line="12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Amdocs’ Account Executive has complete authority and responsibility to deliver all Services from Amdocs to AT&amp;T. The Account Executive’s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the overall relationship regarding Amdocs and AT&amp;T under this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that Amdocs fulfills all of its obligations under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Working with the AT&amp;T Governance Team to establish, manage, and meet commitments, requirements, and expectations.</w:t>
      </w:r>
    </w:p>
    <w:p>
      <w:pPr>
        <w:spacing w:after="0" w:line="225" w:lineRule="exact"/>
        <w:rPr>
          <w:sz w:val="20"/>
          <w:szCs w:val="20"/>
          <w:color w:val="auto"/>
        </w:rPr>
      </w:pPr>
    </w:p>
    <w:p>
      <w:pPr>
        <w:ind w:left="920" w:right="360" w:hanging="419"/>
        <w:spacing w:after="0" w:line="308" w:lineRule="auto"/>
        <w:rPr>
          <w:sz w:val="20"/>
          <w:szCs w:val="20"/>
          <w:color w:val="auto"/>
        </w:rPr>
      </w:pPr>
      <w:r>
        <w:rPr>
          <w:rFonts w:ascii="Arial" w:cs="Arial" w:eastAsia="Arial" w:hAnsi="Arial"/>
          <w:sz w:val="17"/>
          <w:szCs w:val="17"/>
          <w:color w:val="auto"/>
        </w:rPr>
        <w:t>Working with AT&amp;T executives and business unit managers after approval from AT&amp;T to align the delivery of Services with the strategic needs of AT&amp;T; such activities will be performed with the approval and in conjunction with the AT&amp;T Contract Manager.</w:t>
      </w:r>
    </w:p>
    <w:p>
      <w:pPr>
        <w:spacing w:after="0" w:line="147" w:lineRule="exact"/>
        <w:rPr>
          <w:sz w:val="20"/>
          <w:szCs w:val="20"/>
          <w:color w:val="auto"/>
        </w:rPr>
      </w:pPr>
    </w:p>
    <w:p>
      <w:pPr>
        <w:ind w:left="920" w:right="320" w:hanging="419"/>
        <w:spacing w:after="0" w:line="277" w:lineRule="auto"/>
        <w:rPr>
          <w:sz w:val="20"/>
          <w:szCs w:val="20"/>
          <w:color w:val="auto"/>
        </w:rPr>
      </w:pPr>
      <w:r>
        <w:rPr>
          <w:rFonts w:ascii="Arial" w:cs="Arial" w:eastAsia="Arial" w:hAnsi="Arial"/>
          <w:sz w:val="18"/>
          <w:szCs w:val="18"/>
          <w:color w:val="auto"/>
        </w:rPr>
        <w:t>Informing AT&amp;T about new corporate capabilities and developments within Amdocs’ organization; proposing ideas and solutions that will provide ongoing benefit to AT&amp;T.</w:t>
      </w:r>
    </w:p>
    <w:p>
      <w:pPr>
        <w:spacing w:after="0" w:line="170" w:lineRule="exact"/>
        <w:rPr>
          <w:sz w:val="20"/>
          <w:szCs w:val="20"/>
          <w:color w:val="auto"/>
        </w:rPr>
      </w:pPr>
    </w:p>
    <w:p>
      <w:pPr>
        <w:ind w:left="920" w:right="220" w:hanging="419"/>
        <w:spacing w:after="0" w:line="277" w:lineRule="auto"/>
        <w:rPr>
          <w:sz w:val="20"/>
          <w:szCs w:val="20"/>
          <w:color w:val="auto"/>
        </w:rPr>
      </w:pPr>
      <w:r>
        <w:rPr>
          <w:rFonts w:ascii="Arial" w:cs="Arial" w:eastAsia="Arial" w:hAnsi="Arial"/>
          <w:sz w:val="18"/>
          <w:szCs w:val="18"/>
          <w:color w:val="auto"/>
        </w:rPr>
        <w:t>Responding, or ensuring the response by Amdocs’ subject matter experts, to all requests for strategic or relationship-wide questions or requests from AT&amp;T.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Assisting with interpretation and intent of the Parties in regard to the terms and conditions of the Agreement.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Amdocs Account Manager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Amdocs’ Account Manager will have primary business operating performance responsibility for the account and will ensure that all delivery commitments and deliverables required under the Agreement are provided to AT&amp;T. The Account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Working with the AT&amp;T Contract Manager to manage and meet commitments, requirements and expectations.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that all Service Levels are met.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that Amdocs’ performance requirements as they relate to AT&amp;T business requirements and business objectives are satisfied.</w:t>
      </w:r>
    </w:p>
    <w:p>
      <w:pPr>
        <w:spacing w:after="0" w:line="225" w:lineRule="exact"/>
        <w:rPr>
          <w:sz w:val="20"/>
          <w:szCs w:val="20"/>
          <w:color w:val="auto"/>
        </w:rPr>
      </w:pPr>
    </w:p>
    <w:p>
      <w:pPr>
        <w:ind w:left="920" w:right="140" w:hanging="419"/>
        <w:spacing w:after="0" w:line="277" w:lineRule="auto"/>
        <w:rPr>
          <w:sz w:val="20"/>
          <w:szCs w:val="20"/>
          <w:color w:val="auto"/>
        </w:rPr>
      </w:pPr>
      <w:r>
        <w:rPr>
          <w:rFonts w:ascii="Arial" w:cs="Arial" w:eastAsia="Arial" w:hAnsi="Arial"/>
          <w:sz w:val="18"/>
          <w:szCs w:val="18"/>
          <w:color w:val="auto"/>
        </w:rPr>
        <w:t>Ensuring operational compliance with the Agreement and ensuring that Amdocs fulfills its obligations under the Agreement, including all obligations relating to Deliverables.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and executing the account management disciplines, business management processes, and associated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prompt identification and resolution of service delivery issues.</w:t>
      </w:r>
    </w:p>
    <w:p>
      <w:pPr>
        <w:spacing w:after="0" w:line="225" w:lineRule="exact"/>
        <w:rPr>
          <w:sz w:val="20"/>
          <w:szCs w:val="20"/>
          <w:color w:val="auto"/>
        </w:rPr>
      </w:pPr>
    </w:p>
    <w:p>
      <w:pPr>
        <w:ind w:left="920" w:right="460" w:hanging="419"/>
        <w:spacing w:after="0" w:line="277" w:lineRule="auto"/>
        <w:rPr>
          <w:sz w:val="20"/>
          <w:szCs w:val="20"/>
          <w:color w:val="auto"/>
        </w:rPr>
      </w:pPr>
      <w:r>
        <w:rPr>
          <w:rFonts w:ascii="Arial" w:cs="Arial" w:eastAsia="Arial" w:hAnsi="Arial"/>
          <w:sz w:val="18"/>
          <w:szCs w:val="18"/>
          <w:color w:val="auto"/>
        </w:rPr>
        <w:t>Ensuring that Amdocs’ performance requirements as they relate to the AT&amp;T strategic business planning (i.e., business and architecture, strategic options, business assessment, business operating plans) requirements are met.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Staffing and leading the Amdocs management team and project staff.</w:t>
      </w:r>
    </w:p>
    <w:p>
      <w:pPr>
        <w:spacing w:after="0" w:line="225" w:lineRule="exact"/>
        <w:rPr>
          <w:sz w:val="20"/>
          <w:szCs w:val="20"/>
          <w:color w:val="auto"/>
        </w:rPr>
      </w:pPr>
    </w:p>
    <w:p>
      <w:pPr>
        <w:ind w:left="920" w:right="60" w:hanging="419"/>
        <w:spacing w:after="0" w:line="277" w:lineRule="auto"/>
        <w:rPr>
          <w:sz w:val="20"/>
          <w:szCs w:val="20"/>
          <w:color w:val="auto"/>
        </w:rPr>
      </w:pPr>
      <w:r>
        <w:rPr>
          <w:rFonts w:ascii="Arial" w:cs="Arial" w:eastAsia="Arial" w:hAnsi="Arial"/>
          <w:sz w:val="18"/>
          <w:szCs w:val="18"/>
          <w:color w:val="auto"/>
        </w:rPr>
        <w:t xml:space="preserve">Accepting requests for new Projects from AT&amp;T and ensuring that such requests are handled pursuant to the Change Management Procedures set forth in </w:t>
      </w:r>
      <w:r>
        <w:rPr>
          <w:rFonts w:ascii="Arial" w:cs="Arial" w:eastAsia="Arial" w:hAnsi="Arial"/>
          <w:sz w:val="18"/>
          <w:szCs w:val="18"/>
          <w:b w:val="1"/>
          <w:bCs w:val="1"/>
          <w:u w:val="single" w:color="auto"/>
          <w:color w:val="auto"/>
        </w:rPr>
        <w:t>Section 9.6</w:t>
      </w:r>
      <w:r>
        <w:rPr>
          <w:rFonts w:ascii="Arial" w:cs="Arial" w:eastAsia="Arial" w:hAnsi="Arial"/>
          <w:sz w:val="18"/>
          <w:szCs w:val="18"/>
          <w:color w:val="auto"/>
        </w:rPr>
        <w:t xml:space="preserve"> of the Agreement, applicable Schedules and the Policy and Procedures Manual.</w:t>
      </w:r>
    </w:p>
    <w:p>
      <w:pPr>
        <w:spacing w:after="0" w:line="170" w:lineRule="exact"/>
        <w:rPr>
          <w:sz w:val="20"/>
          <w:szCs w:val="20"/>
          <w:color w:val="auto"/>
        </w:rPr>
      </w:pPr>
    </w:p>
    <w:p>
      <w:pPr>
        <w:ind w:left="920" w:right="140" w:hanging="419"/>
        <w:spacing w:after="0" w:line="277" w:lineRule="auto"/>
        <w:rPr>
          <w:sz w:val="20"/>
          <w:szCs w:val="20"/>
          <w:color w:val="auto"/>
        </w:rPr>
      </w:pPr>
      <w:r>
        <w:rPr>
          <w:rFonts w:ascii="Arial" w:cs="Arial" w:eastAsia="Arial" w:hAnsi="Arial"/>
          <w:sz w:val="18"/>
          <w:szCs w:val="18"/>
          <w:color w:val="auto"/>
        </w:rPr>
        <w:t>Ensuring the delivery to AT&amp;T of all data that Amdocs is obligated to provide to AT&amp;T under the Agreement as well as all data reasonably requested by AT&amp;T.</w:t>
      </w:r>
    </w:p>
    <w:p>
      <w:pPr>
        <w:spacing w:after="0" w:line="170" w:lineRule="exact"/>
        <w:rPr>
          <w:sz w:val="20"/>
          <w:szCs w:val="20"/>
          <w:color w:val="auto"/>
        </w:rPr>
      </w:pPr>
    </w:p>
    <w:p>
      <w:pPr>
        <w:ind w:left="920" w:right="160" w:hanging="419"/>
        <w:spacing w:after="0" w:line="277" w:lineRule="auto"/>
        <w:rPr>
          <w:sz w:val="20"/>
          <w:szCs w:val="20"/>
          <w:color w:val="auto"/>
        </w:rPr>
      </w:pPr>
      <w:r>
        <w:rPr>
          <w:rFonts w:ascii="Arial" w:cs="Arial" w:eastAsia="Arial" w:hAnsi="Arial"/>
          <w:sz w:val="18"/>
          <w:szCs w:val="18"/>
          <w:color w:val="auto"/>
        </w:rPr>
        <w:t>Coordination with the AT&amp;T Contract Manager concerning operational activities associated with all Amdocs Personnel including onsite and offshore resources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Amdocs Transition Manager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Amdocs’ Transition Manager has the overall responsibility for the successful transition of the Transitioned Employees and applicable subcontractors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Amdocs account team while ensuring that Service Levels and AT&amp;T satisfaction are maintained. The Transition Manager’s responsibilities include:</w:t>
      </w:r>
    </w:p>
    <w:p>
      <w:pPr>
        <w:spacing w:after="0" w:line="222" w:lineRule="exact"/>
        <w:rPr>
          <w:sz w:val="20"/>
          <w:szCs w:val="20"/>
          <w:color w:val="auto"/>
        </w:rPr>
      </w:pPr>
    </w:p>
    <w:p>
      <w:pPr>
        <w:ind w:left="920" w:right="20" w:hanging="419"/>
        <w:spacing w:after="0" w:line="277" w:lineRule="auto"/>
        <w:rPr>
          <w:sz w:val="20"/>
          <w:szCs w:val="20"/>
          <w:color w:val="auto"/>
        </w:rPr>
      </w:pPr>
      <w:r>
        <w:rPr>
          <w:rFonts w:ascii="Arial" w:cs="Arial" w:eastAsia="Arial" w:hAnsi="Arial"/>
          <w:sz w:val="18"/>
          <w:szCs w:val="18"/>
          <w:color w:val="auto"/>
        </w:rPr>
        <w:t>Establishing the account infrastructure necessary to operate the account including all financial, human resources, security, facilities and communication functions.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Developing and implementing the service delivery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Installing all service delivery processes and ensuring that the Service Level reporting mechanisms are established and operational.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Transitioning all of AT&amp;T’s applicable personnel and subcontractors seamlessly to Amdocs.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the business-operating environment for the entire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Responding to all AT&amp;T reasonable requests for information related to the Transition Services.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Amdocs Architecture Manager</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Amdocs’ Architecture Manager will be responsible for liaison with the AT&amp;T IT architecture team and ensure that architectural initiatives and decisions are fully supported and executed. The Amdocs Architecture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Interfacing with and fully supporting the AT&amp;T IT architecture team.</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compliance with the Long Range IT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Coordinating and facilitating sharing of architectural information between AT&amp;T and Amdocs.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Amdocs Service Delivery Managers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Service Delivery Managers will have the primary responsibility to deliver the Services. The Service Delivery Managers’ responsibilities include: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all Service Levels and Agreement commitments.</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Staffing all Service delivery with the appropriate level of trained personnel.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Forecasting resource requirements and managing resourcing requirements.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that AT&amp;T’s IT architectural standards are met and working with AT&amp;T to develop the Long Range IT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support to AT&amp;T and End Users in accordance with the problem management process.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Implementing Amdocs’ development methodology as tailored to meet AT&amp;T development standards.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all Service Level reporting to AT&amp;T and the service control function.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Implementing and meeting the requirements of the AT&amp;T business continuity plans.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Amdocs Resourcing Manager</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Amdocs’ Resourcing Manager will be responsible to manage and execute resource allocation strategies applicable to this Agreement. The Resourcing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transition of assigned subcontractors.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Amdocs relationships.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selection of Subcontractors (e.g., permitted offshore subcontractors).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shared resource centers within the AT&amp;T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overall resource levels in accordance with AT&amp;T resource requirements.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Amdocs Service Control Manager</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Amdocs’ Service Control Manager will be responsible for delivering the metrics program for the account and overseeing the implementation of the account system development methodology. The Service Control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Interfacing as needed with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Amdocs’ metrics program.</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direction for the account program office function.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Constructing the performance reports and managing the [**]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Amdocs benchmarking methodology in accordance with the Agreement.</w:t>
      </w:r>
    </w:p>
    <w:p>
      <w:pPr>
        <w:spacing w:after="0" w:line="225" w:lineRule="exact"/>
        <w:rPr>
          <w:sz w:val="20"/>
          <w:szCs w:val="20"/>
          <w:color w:val="auto"/>
        </w:rPr>
      </w:pPr>
    </w:p>
    <w:p>
      <w:pPr>
        <w:ind w:left="920" w:right="720" w:hanging="419"/>
        <w:spacing w:after="0" w:line="277" w:lineRule="auto"/>
        <w:rPr>
          <w:sz w:val="20"/>
          <w:szCs w:val="20"/>
          <w:color w:val="auto"/>
        </w:rPr>
      </w:pPr>
      <w:r>
        <w:rPr>
          <w:rFonts w:ascii="Arial" w:cs="Arial" w:eastAsia="Arial" w:hAnsi="Arial"/>
          <w:sz w:val="18"/>
          <w:szCs w:val="18"/>
          <w:color w:val="auto"/>
        </w:rPr>
        <w:t>Introducing Amdocs’ methodology on the account, modifying it to meet AT&amp;T development standards, and ensuring that this methodology is implemented on the account.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training as required by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process ownership for service delivery processes.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Amdocs’ quality assurance function.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Implementing a client satisfaction survey for the account, according to the Agreement.</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Amdocs Finance Manager</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Amdocs’ Finance Manager will be responsible for all financial, billing, Agreement compliance and new business management functions. The Finance Manager’s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the [**] invoice and all account billing and reporting functions.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Implementing and managing Amdocs’ financial system including time recording, labor reporting, billing, budgeting, forecasting, and annual planning.</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Acting as the primary Amdocs focus for new service establishment for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other administrative functions including physical and logical security, facilities and contracts.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financial reporting in accordance with the Agreement.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Amdocs Human Resource Director</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Amdocs’ Human Resource Director will be responsible for personnel policies or process administration. The Human Resource Director’s responsibilities include: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Establishing all personnel administration policies for the AT&amp;T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the Human Resource management function for the AT&amp;T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the recruitment and placement function for the AT&amp;T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the communication forms for the AT&amp;T account.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Interfacing with the AT&amp;T Contract Manager on personnel issues.</w:t>
      </w:r>
    </w:p>
    <w:p>
      <w:pPr>
        <w:spacing w:after="0" w:line="225" w:lineRule="exact"/>
        <w:rPr>
          <w:sz w:val="20"/>
          <w:szCs w:val="20"/>
          <w:color w:val="auto"/>
        </w:rPr>
      </w:pPr>
    </w:p>
    <w:p>
      <w:pPr>
        <w:ind w:left="920" w:right="180" w:hanging="419"/>
        <w:spacing w:after="0" w:line="277" w:lineRule="auto"/>
        <w:rPr>
          <w:sz w:val="20"/>
          <w:szCs w:val="20"/>
          <w:color w:val="auto"/>
        </w:rPr>
      </w:pPr>
      <w:r>
        <w:rPr>
          <w:rFonts w:ascii="Arial" w:cs="Arial" w:eastAsia="Arial" w:hAnsi="Arial"/>
          <w:sz w:val="18"/>
          <w:szCs w:val="18"/>
          <w:color w:val="auto"/>
        </w:rPr>
        <w:t>Submitting the quarterly resource roster to the AT&amp;T Contract Administrator and informing AT&amp;T with reasonable advance notice of any changes to the then current roster.</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COMMITTEES AND TEAMS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Executive Steering Committee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Parties will form and name members of an Executive Steering Committee. The Executive Steering Committee will have executive management responsibility for the Agreement and for the relationship between the Parties and shall provide business oversight and ensure the alignment of the Long Range IT Plan and Service delivery objectives. This committee will also assist the AT&amp;T Contract Manager and the Amdocs Account Manager in decisions that directly affect the Agreement. AT&amp;T’s Contract Manager and an Amdocs Account Manager will be appointed by each respective Party to liaise with the Executive Steering Committee and to monitor and resolve where possible any issues raised by the AT&amp;T Service Level Manager and the Amdocs Service Delivery Managers. The AT&amp;T Service Level Manager and Amdocs Service Delivery Managers will carry out the [**] coordination of Service delivery, and include other AT&amp;T representatives as required.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73" w:name="page274"/>
    <w:bookmarkEnd w:id="273"/>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AT&amp;T and Amdocs will jointly develop and implement agreed performance management and business assurance processes.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Amdocs will deploy the performance management and business assurance processes at the Sites to ensure the stable start-up and efficient delivery of the Services.</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Steering Committee will be chaired by the AT&amp;T Contract Manager and will be comprised of the following individuals: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Executive.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Account Executive.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Account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AT&amp;T and Amdocs Personnel as required.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color w:val="auto"/>
        </w:rPr>
        <w:t>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Steering Committee’s responsibilities include the following:</w:t>
      </w:r>
    </w:p>
    <w:p>
      <w:pPr>
        <w:spacing w:after="0" w:line="225" w:lineRule="exact"/>
        <w:rPr>
          <w:sz w:val="20"/>
          <w:szCs w:val="20"/>
          <w:color w:val="auto"/>
        </w:rPr>
      </w:pPr>
    </w:p>
    <w:p>
      <w:pPr>
        <w:ind w:left="920" w:right="60" w:hanging="419"/>
        <w:spacing w:after="0" w:line="277" w:lineRule="auto"/>
        <w:rPr>
          <w:sz w:val="20"/>
          <w:szCs w:val="20"/>
          <w:color w:val="auto"/>
        </w:rPr>
      </w:pPr>
      <w:r>
        <w:rPr>
          <w:rFonts w:ascii="Arial" w:cs="Arial" w:eastAsia="Arial" w:hAnsi="Arial"/>
          <w:sz w:val="18"/>
          <w:szCs w:val="18"/>
          <w:color w:val="auto"/>
        </w:rPr>
        <w:t>Ensuring business alignment between the Parties, analysis of AT&amp;T and Amdocs business plans, and oversight of new or modified Services during the Term.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Developing strategic requirements and plans associated with the Services during the Term.</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that the annual technology plan is in accordance with and supports the Long Range IT Plan.</w:t>
      </w:r>
    </w:p>
    <w:p>
      <w:pPr>
        <w:spacing w:after="0" w:line="225" w:lineRule="exact"/>
        <w:rPr>
          <w:sz w:val="20"/>
          <w:szCs w:val="20"/>
          <w:color w:val="auto"/>
        </w:rPr>
      </w:pPr>
    </w:p>
    <w:p>
      <w:pPr>
        <w:ind w:left="920" w:right="80" w:hanging="419"/>
        <w:spacing w:after="0" w:line="277" w:lineRule="auto"/>
        <w:rPr>
          <w:sz w:val="20"/>
          <w:szCs w:val="20"/>
          <w:color w:val="auto"/>
        </w:rPr>
      </w:pPr>
      <w:r>
        <w:rPr>
          <w:rFonts w:ascii="Arial" w:cs="Arial" w:eastAsia="Arial" w:hAnsi="Arial"/>
          <w:sz w:val="18"/>
          <w:szCs w:val="18"/>
          <w:color w:val="auto"/>
        </w:rPr>
        <w:t>Agreeing to and periodically reviewing the authority of the committees and makeup of the individual members of the Management Committee and the Service Delivery Committee.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the Management Committee report and recommendations, including review of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Transition Plan implementation, including progress and achievement of Critical Deliverables and key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Level reports and modifications.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Continuous improvement and quality assurance measures.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Reset of Critical Service Levels.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issues and performance.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the Management Committee report and recommendations, including review and approval of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satisfaction surveys, according to the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Audit results.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Benchmarking results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Attempting to resolve issues escalated by the Management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Resource plans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Escalated issue resolution.</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Meetings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Executive Committee will meet upon the request of either Party, no less than [**] but no more than [**] without the consent of both Parties. The Party requesting the meeting shall prepare and distribute a written agenda at least [**] prior to the meeting. Amdocs shall keep minutes of each meeting and shall distribute the minutes to AT&amp;T within [**] after each meeting.</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Management Committee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Prior to the Commencement Date, the Parties will establish a Management Committee. The names and titles of the representatives serving on the initial Management Committee are attached to this Schedule.</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Committee will be chaired by AT&amp;T’s Contract Manager and will be comprised of the following individuals: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Administrator.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Finance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Account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Finance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AT&amp;T and Amdocs Personnel as required.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Authority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Subject to direction and approval from the Executive Steering Committee and to the authority derived from the Change Management Procedures set forth in the Agreement, the Management Committee will have general authority and responsibility regarding: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changes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Adding, modifying, and/or removing Services covered by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Operational, technical, financial, and general management oversight of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Resolving issues escalated by the Service Delivery Committee.</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275" w:name="page276"/>
    <w:bookmarkEnd w:id="27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Notwithstanding the foregoing, any addition to, removal from or modification of the Services shall require the written consent of the AT&amp;T Contract Executive and the AT&amp;T Contract Manager. Any change or amendment to the Agreement shall not take effect unless such change or amendment is in writing and signed by an authorized representative of each Party authorized to make such changes.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5"/>
          <w:szCs w:val="15"/>
          <w:b w:val="1"/>
          <w:bCs w:val="1"/>
          <w:color w:val="auto"/>
        </w:rPr>
        <w:t>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Committee’s responsibilities include: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the performance of the Parties’ respective roles and responsibilities under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Implementing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Managing risks and opportunities for improvement.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Service delivery and transition activities based on reporting and coordination with the Service Delivery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Considering and approving, where possible, operational and technical changes in accordance with the Change Management Procedures.</w:t>
      </w:r>
    </w:p>
    <w:p>
      <w:pPr>
        <w:spacing w:after="0" w:line="237" w:lineRule="exact"/>
        <w:rPr>
          <w:sz w:val="20"/>
          <w:szCs w:val="20"/>
          <w:color w:val="auto"/>
        </w:rPr>
      </w:pPr>
    </w:p>
    <w:p>
      <w:pPr>
        <w:ind w:left="920" w:right="80" w:hanging="419"/>
        <w:spacing w:after="0" w:line="277" w:lineRule="auto"/>
        <w:rPr>
          <w:sz w:val="20"/>
          <w:szCs w:val="20"/>
          <w:color w:val="auto"/>
        </w:rPr>
      </w:pPr>
      <w:r>
        <w:rPr>
          <w:rFonts w:ascii="Arial" w:cs="Arial" w:eastAsia="Arial" w:hAnsi="Arial"/>
          <w:sz w:val="18"/>
          <w:szCs w:val="18"/>
          <w:color w:val="auto"/>
        </w:rPr>
        <w:t>Considering and approving, where possible, changes to the Agreement and to the Services in accordance with the Change Management Procedures set forth in the Agreement.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Seeking to resolve any issues escalated by the Service Delivery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Escalating any issues not resolved by the Management Committee to the Executive Steering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Producing Management Committee summary reports and submitting them for Executive Steering Committee review.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the following and reporting, as required, to the Executive Steering Committee with respect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Levels, Service Level Credits and Earn Back.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Continuous improvement and quality assurance measures.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Proposals for reset of Service Levels.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 of financial performance.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Pricing.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Approving the following and reporting, as required, to the Executive Steering Committee with respect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satisfaction surveys,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Audit results.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Benchmarking results according to the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276" w:name="page277"/>
    <w:bookmarkEnd w:id="276"/>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and reviewing the ongoing status of third party contracts as appropriate and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Initiating the recommendations and suggestions made by the Executive Steering Committee relating to the Services and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the implementation of process/infrastructure, financial and resource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Recommending changes to the Policy and Procedures Manual submitted to AT&amp;T for approval.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business and technical proposals submitted by AT&amp;T business sponsors or Amdocs Personnel.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Recommending new proposals to the Executive Steering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Providing advice and direction to the Service Delivery Committee for performance improvement.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Preparing the following reports: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Summary Executive Reports.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Global Management Report.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Level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Transition Reports.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Delegating any powers it considers appropriate to the Service Delivery Committee.</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Committee will meet, at a minimum, [**], and at other times as agreed between the Parties, to review: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of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delivery.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Transition management.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 management.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Technical planning.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Either Party may include items on a written agenda that Amdocs shall distribute at least [**] prior to the meeting. Amdocs shall keep minutes of each meeting and shall distribute the minutes to AT&amp;T within [**] after each meeting.</w:t>
      </w:r>
    </w:p>
    <w:p>
      <w:pPr>
        <w:spacing w:after="0" w:line="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Service Delivery Committee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Prior to the Commencement Date, the Parties will establish a Service Delivery Committee. The names and titles of the representatives serving on the initial Service Delivery Committee are attached to this Schedule.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Service Delivery Committee will be comprised of the following individuals: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Service Level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Business Unit Coordinator.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Service Delivery Managers.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AT&amp;T and Amdocs Personnel as required.</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Authority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Service Delivery Committee will have authority regarding: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 and approval, where possible, of the short-term and long-term plans and activities in regard to the delivery of the Services.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Resolution of Service delivery problems.</w:t>
      </w:r>
    </w:p>
    <w:p>
      <w:pPr>
        <w:spacing w:after="0" w:line="225" w:lineRule="exact"/>
        <w:rPr>
          <w:sz w:val="20"/>
          <w:szCs w:val="20"/>
          <w:color w:val="auto"/>
        </w:rPr>
      </w:pPr>
    </w:p>
    <w:p>
      <w:pPr>
        <w:ind w:left="920" w:right="400" w:hanging="419"/>
        <w:spacing w:after="0" w:line="277" w:lineRule="auto"/>
        <w:rPr>
          <w:sz w:val="20"/>
          <w:szCs w:val="20"/>
          <w:color w:val="auto"/>
        </w:rPr>
      </w:pPr>
      <w:r>
        <w:rPr>
          <w:rFonts w:ascii="Arial" w:cs="Arial" w:eastAsia="Arial" w:hAnsi="Arial"/>
          <w:sz w:val="18"/>
          <w:szCs w:val="18"/>
          <w:color w:val="auto"/>
        </w:rPr>
        <w:t>Upward notification of all issues that might result in the addition to, deletion from, or modification of the Services, or the terms of the Agreement, irrespective of the initiating Party.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Agreement of Service delivery initiatives.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5"/>
          <w:szCs w:val="15"/>
          <w:b w:val="1"/>
          <w:bCs w:val="1"/>
          <w:color w:val="auto"/>
        </w:rPr>
        <w:t>Key Responsibilities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Service Delivery Committee’s responsibilities will be determined and delegated in each case by the Management Committee and may include matters within the relevant region including: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Implementing the Transition Plan and monitoring Service delivery.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Critical Deliverables and Service Levels.</w:t>
      </w:r>
    </w:p>
    <w:p>
      <w:pPr>
        <w:spacing w:after="0" w:line="225" w:lineRule="exact"/>
        <w:rPr>
          <w:sz w:val="20"/>
          <w:szCs w:val="20"/>
          <w:color w:val="auto"/>
        </w:rPr>
      </w:pPr>
    </w:p>
    <w:p>
      <w:pPr>
        <w:ind w:left="920" w:right="340" w:hanging="419"/>
        <w:spacing w:after="0" w:line="277" w:lineRule="auto"/>
        <w:rPr>
          <w:sz w:val="20"/>
          <w:szCs w:val="20"/>
          <w:color w:val="auto"/>
        </w:rPr>
      </w:pPr>
      <w:r>
        <w:rPr>
          <w:rFonts w:ascii="Arial" w:cs="Arial" w:eastAsia="Arial" w:hAnsi="Arial"/>
          <w:sz w:val="18"/>
          <w:szCs w:val="18"/>
          <w:color w:val="auto"/>
        </w:rPr>
        <w:t>Coordinating and communicating [**] Service delivery issues; addressing, co-coordinating and prioritizing the issues affecting the provision of the Services to AT&amp;T.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Reviewing and escalating operational problems and issues to the Management Committee and in accordance with the Policy and Procedures Manual.</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and scheduling change requests in accordance with the Change Management Procedures.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Ensuring efficient flow of documentation as required by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Handling disputes within the authority of the AT&amp;T and Amdocs representatives, and referring others to the Management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Submitting issues concerning the relationship between the Parties to the Management Committee for its guidance and recommendations.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Submitting reports to the Management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Advising the Management Committee of new opportunities and proposals.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Identifying and referring matters outside the authority of AT&amp;T and Amdocs representatives to the Management Committee.</w:t>
      </w:r>
    </w:p>
    <w:p>
      <w:pPr>
        <w:spacing w:after="0" w:line="225" w:lineRule="exact"/>
        <w:rPr>
          <w:sz w:val="20"/>
          <w:szCs w:val="20"/>
          <w:color w:val="auto"/>
        </w:rPr>
      </w:pPr>
    </w:p>
    <w:p>
      <w:pPr>
        <w:ind w:left="920" w:right="140" w:hanging="419"/>
        <w:spacing w:after="0" w:line="277" w:lineRule="auto"/>
        <w:rPr>
          <w:sz w:val="20"/>
          <w:szCs w:val="20"/>
          <w:color w:val="auto"/>
        </w:rPr>
      </w:pPr>
      <w:r>
        <w:rPr>
          <w:rFonts w:ascii="Arial" w:cs="Arial" w:eastAsia="Arial" w:hAnsi="Arial"/>
          <w:sz w:val="18"/>
          <w:szCs w:val="18"/>
          <w:color w:val="auto"/>
        </w:rPr>
        <w:t>Reviewing and presenting recommendations and suggestions made by AT&amp;T representatives and Amdocs representatives relating to the Services and initiating appropriate actions.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Identifying issues that may have an impact outside the relevant Sites and referring these to the Management Committee and to other Sites as required.</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Monitoring and reviewing the ongoing status of third party contracts.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and adjusting the following, as directed by the Management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Levels.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Continuous improvement and quality assurance measures.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satisfaction surveys,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Audits,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Benchmarking results, according to the Agreement.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Preparing the following reports: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reports.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Levels and Service delivery results, as required.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Minutes.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Meetings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Service Delivery Committee will meet, at a minimum, [**], and at other times as directed by the Management Committee, to review: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Agreement issues.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Delivery.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Transition management.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Amdocs shall keep minutes of each meeting and shall distribute the minutes to AT&amp;T within [**] after each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Technical Steering Committee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Within [**] days following the Effective Date, a Technical Steering Committee will be established by the Parties to focus on the development of the annual and Long Range IT Plans. The Technical Steering Committee will meet [**], and at other times as agreed between the 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Technical Steering Committee will be chaired and the agenda set by the AT&amp;T IT Architecture Manager and will be comprised of the following individuals: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Manager or their nominated deputy.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IT Architecture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ADM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infrastructure and maintenance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Business Unit Coordinator.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Account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assigned Chief Technology Officer for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and Amdocs subject matter experts.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5"/>
          <w:szCs w:val="15"/>
          <w:b w:val="1"/>
          <w:bCs w:val="1"/>
          <w:color w:val="auto"/>
        </w:rPr>
        <w:t>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Technical Steering Committee’s responsibilities include: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Amdocs’ input for the Long Range IT Plan.</w:t>
      </w:r>
    </w:p>
    <w:p>
      <w:pPr>
        <w:spacing w:after="0" w:line="225" w:lineRule="exact"/>
        <w:rPr>
          <w:sz w:val="20"/>
          <w:szCs w:val="20"/>
          <w:color w:val="auto"/>
        </w:rPr>
      </w:pPr>
    </w:p>
    <w:p>
      <w:pPr>
        <w:ind w:left="920" w:right="640" w:hanging="419"/>
        <w:spacing w:after="0" w:line="308" w:lineRule="auto"/>
        <w:rPr>
          <w:sz w:val="20"/>
          <w:szCs w:val="20"/>
          <w:color w:val="auto"/>
        </w:rPr>
      </w:pPr>
      <w:r>
        <w:rPr>
          <w:rFonts w:ascii="Arial" w:cs="Arial" w:eastAsia="Arial" w:hAnsi="Arial"/>
          <w:sz w:val="17"/>
          <w:szCs w:val="17"/>
          <w:color w:val="auto"/>
        </w:rPr>
        <w:t>Using management reports and any other appropriate sources to research, develop, review and approve technical initiatives to address business problems and opportunities as agreed by the Executive Steering Committee and the Management Committee.</w:t>
      </w:r>
    </w:p>
    <w:p>
      <w:pPr>
        <w:spacing w:after="0" w:line="147" w:lineRule="exact"/>
        <w:rPr>
          <w:sz w:val="20"/>
          <w:szCs w:val="20"/>
          <w:color w:val="auto"/>
        </w:rPr>
      </w:pPr>
    </w:p>
    <w:p>
      <w:pPr>
        <w:ind w:left="920" w:right="20" w:hanging="419"/>
        <w:spacing w:after="0" w:line="277" w:lineRule="auto"/>
        <w:rPr>
          <w:sz w:val="20"/>
          <w:szCs w:val="20"/>
          <w:color w:val="auto"/>
        </w:rPr>
      </w:pPr>
      <w:r>
        <w:rPr>
          <w:rFonts w:ascii="Arial" w:cs="Arial" w:eastAsia="Arial" w:hAnsi="Arial"/>
          <w:sz w:val="18"/>
          <w:szCs w:val="18"/>
          <w:color w:val="auto"/>
        </w:rPr>
        <w:t>Providing advice and guidance to the Management Committee for technical improvement and making recommendations directly to AT&amp;T and Amdocs on issues affecting the technical infrastructure that supports the AT&amp;T business operations.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technical policy standards and making recommendations to the Management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Amdocs’ migration plan to ensure compliance with AT&amp;T standards.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Reviewing any proposals for reductions in the costs of the Services driven by new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AT&amp;T shall keep minutes of each Technical Steering Committee meeting and shall distribute the minutes within [**] after each meeting.</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Program Steering Council</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Program Steering Council (PSC) and Program Team (PT) will be established for any major Program initiated by the business or IT. The PSC is focused on guidance and resource allocation for Projects within a specific business area. The PSC directs the PT and provides go/no-go and redirect decisions. PSC meetings will be conducted at a minimum of once every [**] using the conference call format and should be limited to [**] where possible and follow a standard sequence of events per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80" w:name="page281"/>
    <w:bookmarkEnd w:id="280"/>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02026713.A.010</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predetermined agenda. At a minimum, the standard agenda will include a report out of the current status and metrics of the program and a discussion of open issues that need to be addressed by the PSC. The program coordinator will facilitate the PSC status calls and capture/document/distribute action items and minutes from each call.</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PSC will be chaired by the AT&amp;T program sponsor and will be comprised of the following individuals: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Contract Manager or their nominated deputy.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Business Unit Coordinator.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IT Architecture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ADM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infrastructure and maintenance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Business Representatives.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Account Manager.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assigned Chief Technology Officer for AT&amp;T.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and Amdocs subject matter experts.</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5"/>
          <w:szCs w:val="15"/>
          <w:b w:val="1"/>
          <w:bCs w:val="1"/>
          <w:color w:val="auto"/>
        </w:rPr>
        <w:t>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PSC responsibilities include:</w:t>
      </w:r>
    </w:p>
    <w:p>
      <w:pPr>
        <w:spacing w:after="0" w:line="131" w:lineRule="exact"/>
        <w:rPr>
          <w:sz w:val="20"/>
          <w:szCs w:val="20"/>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Charter the project team that will implement the project.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Assign individuals to lead and approve membership in the PT.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Make “go,” “no-go,” or “redirect” decisions for projects at decision point meetings.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Establish priorities and make decisions on personnel and financial resource allocation for projects at each phase of the process.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Review status of the project on an on-going basis and make adjustments to resources, activities and/or priorities as necessary.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Report progress and escalate issues as appropriate to the senior leadership team (SLT).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Program Team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PSC and PT will be established for any major program initiated by the business or IT.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PT reports to the PSC and is a decision making body made up of AT&amp;T business personnel and IT leaders who are responsible for the successful delivery of business capabilities. This team is responsible for the delivery of end-to-end business solutions, including both the IT and business components. PT membership may be modified from phase to phase to ensure that necessary disciplines are represented.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81" w:name="page282"/>
    <w:bookmarkEnd w:id="281"/>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AT&amp;T business personnel appoint the Program Team (PT) leader. The PT leader is responsible for ongoing communications with the SLT. Membership in the PT is split evenly between the business and IT. PT meetings will be conducted at a minimum of [**] using the conference call format and should be limited to</w:t>
      </w:r>
    </w:p>
    <w:p>
      <w:pPr>
        <w:ind w:right="60" w:firstLine="8"/>
        <w:spacing w:after="0" w:line="261" w:lineRule="auto"/>
        <w:tabs>
          <w:tab w:leader="none" w:pos="34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where possible and follow a standard sequence of events per a predetermined agenda. At a minimum, the standard agenda will include a report out of the current status and a discussion of open issues that need to be addressed by the 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PT has the responsibility to:</w:t>
      </w:r>
    </w:p>
    <w:p>
      <w:pPr>
        <w:spacing w:after="0" w:line="131" w:lineRule="exact"/>
        <w:rPr>
          <w:sz w:val="20"/>
          <w:szCs w:val="20"/>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Make decisions on behalf of their representative functional area/organization.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Ensure the timeliness and quality of Project deliverables.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Communicate project information to stakeholders and supporting team members in their respective functional area/organization.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Ensure consensus on all agreed schedules, work estimates and priorities by those performing the work.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Coordinate the direction and efforts of the Project with other Projects in the program.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Assign individuals to lead and approve membership in the project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Charter the Project team that will implement the Project.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Make “go/no-go” decisions for the Project at key milestones.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Establish priorities and make decisions on personnel and financial resource allocation at each phase of the Project.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Resolve issues that cannot be handled by the Project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Report progress and escalate issues that cannot be resolved to the PSC.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status of the Project on an on-going basis and make adjustments to resources, activities and/or priorities as necessary.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6"/>
          <w:szCs w:val="16"/>
          <w:b w:val="1"/>
          <w:bCs w:val="1"/>
          <w:color w:val="auto"/>
        </w:rPr>
        <w:t>Members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PT will be chaired by the AT&amp;T Program Team leader and will be comprised of the following individuals: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AT&amp;T IT personnel representing the following areas: architecture, infrastructure, project management, implementation, and quality assurance.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Amdocs personnel representing the following areas: software development, implementation, quality assurance, and infrastructure.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 business personnel representing the appropriate functional areas including training.</w:t>
      </w:r>
    </w:p>
    <w:p>
      <w:pPr>
        <w:spacing w:after="0" w:line="15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02026713.A.010</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ISSUE ESCALATION PROCEDURES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 to time, issues will arise that cannot be resolved at the various levels of management within the AT&amp;T and Amdocs teams. Issues that cannot be resolved will be escalated as follows:</w:t>
      </w:r>
    </w:p>
    <w:p>
      <w:pPr>
        <w:spacing w:after="0" w:line="170" w:lineRule="exact"/>
        <w:rPr>
          <w:sz w:val="20"/>
          <w:szCs w:val="20"/>
          <w:color w:val="auto"/>
        </w:rPr>
      </w:pPr>
    </w:p>
    <w:p>
      <w:pPr>
        <w:ind w:left="920" w:right="20" w:hanging="419"/>
        <w:spacing w:after="0" w:line="276" w:lineRule="auto"/>
        <w:rPr>
          <w:sz w:val="20"/>
          <w:szCs w:val="20"/>
          <w:color w:val="auto"/>
        </w:rPr>
      </w:pPr>
      <w:r>
        <w:rPr>
          <w:rFonts w:ascii="Arial" w:cs="Arial" w:eastAsia="Arial" w:hAnsi="Arial"/>
          <w:sz w:val="17"/>
          <w:szCs w:val="17"/>
          <w:color w:val="auto"/>
        </w:rPr>
        <w:t>Notification: Either Party may decide that escalation is desirable when resolution of an issue appears unachievable at the current management level. The Party desiring escalation will provide written notice of its intention to the members of the other Party currently involved in the dispute. At either Party’s request, the members currently engaged in attempting to resolve the issue shall meet again to attempt resolution of the issue prior to escalation to the next level. If the issue cannot be resolved at the current management level, the issue will then be escalated after good faith attempts by both Parties to resolve the issue at the current level.</w:t>
      </w:r>
    </w:p>
    <w:p>
      <w:pPr>
        <w:spacing w:after="0" w:line="173" w:lineRule="exact"/>
        <w:rPr>
          <w:sz w:val="20"/>
          <w:szCs w:val="20"/>
          <w:color w:val="auto"/>
        </w:rPr>
      </w:pPr>
    </w:p>
    <w:p>
      <w:pPr>
        <w:ind w:left="920" w:right="360" w:hanging="419"/>
        <w:spacing w:after="0" w:line="277" w:lineRule="auto"/>
        <w:rPr>
          <w:sz w:val="20"/>
          <w:szCs w:val="20"/>
          <w:color w:val="auto"/>
        </w:rPr>
      </w:pPr>
      <w:r>
        <w:rPr>
          <w:rFonts w:ascii="Arial" w:cs="Arial" w:eastAsia="Arial" w:hAnsi="Arial"/>
          <w:sz w:val="18"/>
          <w:szCs w:val="18"/>
          <w:color w:val="auto"/>
        </w:rPr>
        <w:t>Documentation: Both Parties will jointly develop a short briefing document for escalation that describes the issue, relevant impact and positions of both Parties.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Request for Assistance: A meeting will be scheduled with appropriate individuals. The brief will be sent in advance to the participants.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Issues will be escalated for review and resolution to the next level of management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Amdocs Service Delivery Manager and the appropriate AT&amp;T Governance team member. If unresolved, escalate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AT&amp;T Contract Manager and the Amdocs Account Manager. If unresolved, escalate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Executive Steering Committee. If unresolved, escalate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AT&amp;T IT Vice President and the equivalent Amdocs executive. If unresolved, escalate to: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AT&amp;T’s CIO and Amdocs’ Senior Vice President.</w:t>
      </w:r>
    </w:p>
    <w:p>
      <w:pPr>
        <w:spacing w:after="0" w:line="221" w:lineRule="exact"/>
        <w:rPr>
          <w:sz w:val="20"/>
          <w:szCs w:val="20"/>
          <w:color w:val="auto"/>
        </w:rPr>
      </w:pPr>
    </w:p>
    <w:p>
      <w:pPr>
        <w:ind w:left="920" w:right="380" w:hanging="419"/>
        <w:spacing w:after="0" w:line="282" w:lineRule="auto"/>
        <w:rPr>
          <w:sz w:val="20"/>
          <w:szCs w:val="20"/>
          <w:color w:val="auto"/>
        </w:rPr>
      </w:pPr>
      <w:r>
        <w:rPr>
          <w:rFonts w:ascii="Arial" w:cs="Arial" w:eastAsia="Arial" w:hAnsi="Arial"/>
          <w:sz w:val="18"/>
          <w:szCs w:val="18"/>
          <w:color w:val="auto"/>
        </w:rPr>
        <w:t xml:space="preserve">If the matter remains unresolved after escalation under this Section 4.0, it shall be resolved by arbitration in accordance with </w:t>
      </w:r>
      <w:r>
        <w:rPr>
          <w:rFonts w:ascii="Arial" w:cs="Arial" w:eastAsia="Arial" w:hAnsi="Arial"/>
          <w:sz w:val="18"/>
          <w:szCs w:val="18"/>
          <w:b w:val="1"/>
          <w:bCs w:val="1"/>
          <w:u w:val="single" w:color="auto"/>
          <w:color w:val="auto"/>
        </w:rPr>
        <w:t>Section 4.7(B)</w:t>
      </w:r>
      <w:r>
        <w:rPr>
          <w:rFonts w:ascii="Arial" w:cs="Arial" w:eastAsia="Arial" w:hAnsi="Arial"/>
          <w:sz w:val="18"/>
          <w:szCs w:val="18"/>
          <w:color w:val="auto"/>
        </w:rPr>
        <w:t xml:space="preserve"> of the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02026713.A.011</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02026713.A.011</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274"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11,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further amended by Amendment No. 10 effective August 7, 2009 (collectively, the “Agreement”); and</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February 28, 2010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to extend its term; to formalize the validity and continuation of the Agreement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its Effective Date of August 7, 2003; and to make the other additions, deletions and modifications as set forth below;</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jc w:val="both"/>
        <w:ind w:left="460" w:right="260" w:hanging="452"/>
        <w:spacing w:after="0" w:line="264" w:lineRule="auto"/>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under the Agreement between the Prior Expiration Date and the date when this Amendment is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8"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6"/>
          <w:szCs w:val="16"/>
          <w:b w:val="1"/>
          <w:bCs w:val="1"/>
          <w:color w:val="auto"/>
        </w:rPr>
      </w:pPr>
      <w:r>
        <w:rPr>
          <w:rFonts w:ascii="Arial" w:cs="Arial" w:eastAsia="Arial" w:hAnsi="Arial"/>
          <w:sz w:val="16"/>
          <w:szCs w:val="16"/>
          <w:color w:val="auto"/>
        </w:rPr>
        <w:t>For purposes of extending the term of this Agreement, Section 3.32. “Term of Agreement”, is deleted in its entirety and replaced with the following:</w:t>
      </w:r>
    </w:p>
    <w:p>
      <w:pPr>
        <w:spacing w:after="0" w:line="13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July 31, 2010, unless earlier Terminated or Canceled as provided in this Agreement. The Parties may extend the term of this Agreement by agreement in writing.</w:t>
      </w:r>
    </w:p>
    <w:p>
      <w:pPr>
        <w:spacing w:after="0" w:line="47" w:lineRule="exact"/>
        <w:rPr>
          <w:rFonts w:ascii="Arial" w:cs="Arial" w:eastAsia="Arial" w:hAnsi="Arial"/>
          <w:sz w:val="16"/>
          <w:szCs w:val="16"/>
          <w:b w:val="1"/>
          <w:bCs w:val="1"/>
          <w:color w:val="auto"/>
        </w:rPr>
      </w:pPr>
    </w:p>
    <w:p>
      <w:pPr>
        <w:ind w:left="460" w:right="280" w:hanging="452"/>
        <w:spacing w:after="0" w:line="282" w:lineRule="auto"/>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 xml:space="preserve">Section 3.15, “Insurance”, of </w:t>
      </w:r>
      <w:r>
        <w:rPr>
          <w:rFonts w:ascii="Arial" w:cs="Arial" w:eastAsia="Arial" w:hAnsi="Arial"/>
          <w:sz w:val="18"/>
          <w:szCs w:val="18"/>
          <w:b w:val="1"/>
          <w:bCs w:val="1"/>
          <w:color w:val="auto"/>
        </w:rPr>
        <w:t>ARTICLE III GENERAL TERMS</w:t>
      </w:r>
      <w:r>
        <w:rPr>
          <w:rFonts w:ascii="Arial" w:cs="Arial" w:eastAsia="Arial" w:hAnsi="Arial"/>
          <w:sz w:val="18"/>
          <w:szCs w:val="18"/>
          <w:color w:val="auto"/>
        </w:rPr>
        <w:t xml:space="preserve"> is hereby deleted and replaced with the following Section 3.15, Insurance, which shall apply to all existing agreements between AT&amp;T and Amdocs:</w:t>
      </w:r>
    </w:p>
    <w:p>
      <w:pPr>
        <w:spacing w:after="0" w:line="6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3.15  Insurance</w:t>
      </w:r>
    </w:p>
    <w:p>
      <w:pPr>
        <w:spacing w:after="0" w:line="134" w:lineRule="exact"/>
        <w:rPr>
          <w:rFonts w:ascii="Arial" w:cs="Arial" w:eastAsia="Arial" w:hAnsi="Arial"/>
          <w:sz w:val="18"/>
          <w:szCs w:val="18"/>
          <w:b w:val="1"/>
          <w:bCs w:val="1"/>
          <w:color w:val="auto"/>
        </w:rPr>
      </w:pPr>
    </w:p>
    <w:p>
      <w:pPr>
        <w:ind w:left="1480" w:right="140" w:hanging="567"/>
        <w:spacing w:after="0" w:line="277" w:lineRule="auto"/>
        <w:tabs>
          <w:tab w:leader="none" w:pos="14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With respect to Amdocs’ performance under this Agreement, and in addition to Amdocs’ obligation to indemnify, Amdocs shall comply with this section, at its sole cost and expense.</w:t>
      </w:r>
    </w:p>
    <w:p>
      <w:pPr>
        <w:spacing w:after="0" w:line="75" w:lineRule="exact"/>
        <w:rPr>
          <w:rFonts w:ascii="Arial" w:cs="Arial" w:eastAsia="Arial" w:hAnsi="Arial"/>
          <w:sz w:val="18"/>
          <w:szCs w:val="18"/>
          <w:color w:val="auto"/>
        </w:rPr>
      </w:pPr>
    </w:p>
    <w:p>
      <w:pPr>
        <w:ind w:left="1480" w:right="300" w:hanging="567"/>
        <w:spacing w:after="0" w:line="277" w:lineRule="auto"/>
        <w:tabs>
          <w:tab w:leader="none" w:pos="14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Amdocs shall maintain insurance coverages and limits required by this Section and any additional insurance and/or bonds required by law:</w:t>
      </w:r>
    </w:p>
    <w:p>
      <w:pPr>
        <w:spacing w:after="0" w:line="75" w:lineRule="exact"/>
        <w:rPr>
          <w:rFonts w:ascii="Arial" w:cs="Arial" w:eastAsia="Arial" w:hAnsi="Arial"/>
          <w:sz w:val="18"/>
          <w:szCs w:val="18"/>
          <w:color w:val="auto"/>
        </w:rPr>
      </w:pPr>
    </w:p>
    <w:p>
      <w:pPr>
        <w:ind w:left="1920" w:right="300" w:hanging="440"/>
        <w:spacing w:after="0" w:line="277" w:lineRule="auto"/>
        <w:tabs>
          <w:tab w:leader="none" w:pos="19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until completion of all Services associated with this Agreement, whichever is later; and</w:t>
      </w:r>
    </w:p>
    <w:p>
      <w:pPr>
        <w:spacing w:after="0" w:line="75" w:lineRule="exact"/>
        <w:rPr>
          <w:rFonts w:ascii="Arial" w:cs="Arial" w:eastAsia="Arial" w:hAnsi="Arial"/>
          <w:sz w:val="18"/>
          <w:szCs w:val="18"/>
          <w:color w:val="auto"/>
        </w:rPr>
      </w:pPr>
    </w:p>
    <w:p>
      <w:pPr>
        <w:ind w:left="1920" w:right="460" w:hanging="440"/>
        <w:spacing w:after="0" w:line="264" w:lineRule="auto"/>
        <w:tabs>
          <w:tab w:leader="none" w:pos="19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86" w:lineRule="exact"/>
        <w:rPr>
          <w:rFonts w:ascii="Arial" w:cs="Arial" w:eastAsia="Arial" w:hAnsi="Arial"/>
          <w:sz w:val="18"/>
          <w:szCs w:val="18"/>
          <w:color w:val="auto"/>
        </w:rPr>
      </w:pPr>
    </w:p>
    <w:p>
      <w:pPr>
        <w:ind w:left="1480" w:right="80" w:hanging="567"/>
        <w:spacing w:after="0" w:line="279" w:lineRule="auto"/>
        <w:tabs>
          <w:tab w:leader="none" w:pos="148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Amdocs shall require each Subcontractor that may perform Services under this Agreement or enter upon the AT&amp;T Facilities or Amdocs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76" w:lineRule="exact"/>
        <w:rPr>
          <w:rFonts w:ascii="Arial" w:cs="Arial" w:eastAsia="Arial" w:hAnsi="Arial"/>
          <w:sz w:val="17"/>
          <w:szCs w:val="17"/>
          <w:color w:val="auto"/>
        </w:rPr>
      </w:pPr>
    </w:p>
    <w:p>
      <w:pPr>
        <w:ind w:left="1480" w:right="80" w:hanging="567"/>
        <w:spacing w:after="0" w:line="302" w:lineRule="auto"/>
        <w:tabs>
          <w:tab w:leader="none" w:pos="148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Amdocs shall procure the required insurance from an insurance company eligible to do business in the state or states where Services will be performed and having and maintaining a Financial Strength Rating of “A-” or better and a Financial Size Category of “VII” or better, as rated in the A.M. Best Key Rating Guide for Property and Casualty Insurance Companies, except that, in the case of Workers’ Compensation insurance, Amdocs may procure insurance from the state fund of the state where Services are to be performed.</w:t>
      </w:r>
    </w:p>
    <w:p>
      <w:pPr>
        <w:spacing w:after="0" w:line="59" w:lineRule="exact"/>
        <w:rPr>
          <w:rFonts w:ascii="Arial" w:cs="Arial" w:eastAsia="Arial" w:hAnsi="Arial"/>
          <w:sz w:val="16"/>
          <w:szCs w:val="16"/>
          <w:color w:val="auto"/>
        </w:rPr>
      </w:pPr>
    </w:p>
    <w:p>
      <w:pPr>
        <w:ind w:left="1480" w:right="140" w:hanging="567"/>
        <w:spacing w:after="0" w:line="264" w:lineRule="auto"/>
        <w:tabs>
          <w:tab w:leader="none" w:pos="14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Amdocs shall deliver to AT&amp;T certificates of insurance stating the types of insurance and policy limits. Amdocs shall provide or will endeavor to have the issuing insurance company provide at least thirty (30) days advance written notice of cancellation, non-renewal, or reduction in coverage, terms, or limits to AT&amp;T. Amdocs shall deliver such certificates: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prior to execution of this Agreement and prior to commencement of any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02026713.A.011</w:t>
      </w:r>
    </w:p>
    <w:p>
      <w:pPr>
        <w:spacing w:after="0" w:line="158" w:lineRule="exact"/>
        <w:rPr>
          <w:sz w:val="20"/>
          <w:szCs w:val="20"/>
          <w:color w:val="auto"/>
        </w:rPr>
      </w:pPr>
    </w:p>
    <w:p>
      <w:pPr>
        <w:ind w:left="1840" w:hanging="440"/>
        <w:spacing w:after="0"/>
        <w:tabs>
          <w:tab w:leader="none" w:pos="18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prior to expiration of any insurance policy required in this Section; and</w:t>
      </w:r>
    </w:p>
    <w:p>
      <w:pPr>
        <w:spacing w:after="0" w:line="130" w:lineRule="exact"/>
        <w:rPr>
          <w:rFonts w:ascii="Arial" w:cs="Arial" w:eastAsia="Arial" w:hAnsi="Arial"/>
          <w:sz w:val="18"/>
          <w:szCs w:val="18"/>
          <w:color w:val="auto"/>
        </w:rPr>
      </w:pPr>
    </w:p>
    <w:p>
      <w:pPr>
        <w:ind w:left="1840" w:right="220" w:hanging="440"/>
        <w:spacing w:after="0" w:line="277" w:lineRule="auto"/>
        <w:tabs>
          <w:tab w:leader="none" w:pos="18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for any coverage maintained on a “claims-made” policy, for two (2) years following the term of this Agreement or completion of all Services associated with this Agreement, whichever is later.</w:t>
      </w:r>
    </w:p>
    <w:p>
      <w:pPr>
        <w:spacing w:after="0" w:line="75" w:lineRule="exact"/>
        <w:rPr>
          <w:rFonts w:ascii="Arial" w:cs="Arial" w:eastAsia="Arial" w:hAnsi="Arial"/>
          <w:sz w:val="18"/>
          <w:szCs w:val="18"/>
          <w:color w:val="auto"/>
        </w:rPr>
      </w:pPr>
    </w:p>
    <w:p>
      <w:pPr>
        <w:ind w:left="1400" w:hanging="567"/>
        <w:spacing w:after="0"/>
        <w:tabs>
          <w:tab w:leader="none" w:pos="14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1840" w:right="180" w:hanging="440"/>
        <w:spacing w:after="0" w:line="277" w:lineRule="auto"/>
        <w:tabs>
          <w:tab w:leader="none" w:pos="18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failure of AT&amp;T to demand such certificate of insurance or failure of AT&amp;T to identify a deficiency will not be construed as a waiver of Amdocs’ obligation to maintain the insurance required under this Agreement;</w:t>
      </w:r>
    </w:p>
    <w:p>
      <w:pPr>
        <w:spacing w:after="0" w:line="75" w:lineRule="exact"/>
        <w:rPr>
          <w:rFonts w:ascii="Arial" w:cs="Arial" w:eastAsia="Arial" w:hAnsi="Arial"/>
          <w:sz w:val="18"/>
          <w:szCs w:val="18"/>
          <w:color w:val="auto"/>
        </w:rPr>
      </w:pPr>
    </w:p>
    <w:p>
      <w:pPr>
        <w:ind w:left="1840" w:right="360" w:hanging="440"/>
        <w:spacing w:after="0" w:line="277" w:lineRule="auto"/>
        <w:tabs>
          <w:tab w:leader="none" w:pos="18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insurance required under this Agreement does not represent that coverage and limits will necessarily be adequate to protect Amdocs, nor will it be deemed as a limitation on Amdocs’ liability to AT&amp;T in this Agreement;</w:t>
      </w:r>
    </w:p>
    <w:p>
      <w:pPr>
        <w:spacing w:after="0" w:line="75" w:lineRule="exact"/>
        <w:rPr>
          <w:rFonts w:ascii="Arial" w:cs="Arial" w:eastAsia="Arial" w:hAnsi="Arial"/>
          <w:sz w:val="18"/>
          <w:szCs w:val="18"/>
          <w:color w:val="auto"/>
        </w:rPr>
      </w:pPr>
    </w:p>
    <w:p>
      <w:pPr>
        <w:ind w:left="1840" w:right="360" w:hanging="440"/>
        <w:spacing w:after="0" w:line="277" w:lineRule="auto"/>
        <w:tabs>
          <w:tab w:leader="none" w:pos="18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Amdocs may meet the required insurance coverages and limits with any combination of primary and Umbrella/Excess liability insurance; and</w:t>
      </w:r>
    </w:p>
    <w:p>
      <w:pPr>
        <w:spacing w:after="0" w:line="75" w:lineRule="exact"/>
        <w:rPr>
          <w:rFonts w:ascii="Arial" w:cs="Arial" w:eastAsia="Arial" w:hAnsi="Arial"/>
          <w:sz w:val="18"/>
          <w:szCs w:val="18"/>
          <w:color w:val="auto"/>
        </w:rPr>
      </w:pPr>
    </w:p>
    <w:p>
      <w:pPr>
        <w:ind w:left="1840" w:hanging="440"/>
        <w:spacing w:after="0"/>
        <w:tabs>
          <w:tab w:leader="none" w:pos="18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Amdocs is responsible for any deductible or self-insured retention.</w:t>
      </w:r>
    </w:p>
    <w:p>
      <w:pPr>
        <w:spacing w:after="0" w:line="130" w:lineRule="exact"/>
        <w:rPr>
          <w:rFonts w:ascii="Arial" w:cs="Arial" w:eastAsia="Arial" w:hAnsi="Arial"/>
          <w:sz w:val="18"/>
          <w:szCs w:val="18"/>
          <w:color w:val="auto"/>
        </w:rPr>
      </w:pPr>
    </w:p>
    <w:p>
      <w:pPr>
        <w:ind w:left="1400" w:hanging="567"/>
        <w:spacing w:after="0"/>
        <w:tabs>
          <w:tab w:leader="none" w:pos="14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insurance coverage required of Amdocs by this Section shall include:</w:t>
      </w:r>
    </w:p>
    <w:p>
      <w:pPr>
        <w:spacing w:after="0" w:line="130" w:lineRule="exact"/>
        <w:rPr>
          <w:rFonts w:ascii="Arial" w:cs="Arial" w:eastAsia="Arial" w:hAnsi="Arial"/>
          <w:sz w:val="18"/>
          <w:szCs w:val="18"/>
          <w:color w:val="auto"/>
        </w:rPr>
      </w:pPr>
    </w:p>
    <w:p>
      <w:pPr>
        <w:ind w:left="1840" w:right="100" w:hanging="440"/>
        <w:spacing w:after="0" w:line="277" w:lineRule="auto"/>
        <w:tabs>
          <w:tab w:leader="none" w:pos="18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Workers’ Compensation insurance with benefits afforded under the laws of the state in which the Services are to be performed and Employers Liability insurance with limits of at least:</w:t>
      </w:r>
    </w:p>
    <w:p>
      <w:pPr>
        <w:spacing w:after="0" w:line="6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$500,000 for Bodily Injury – each accident</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$500,000 for Bodily Injury be disease – policy limits</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$500,000 for Bodily Injury by disease – each employee</w:t>
      </w:r>
    </w:p>
    <w:p>
      <w:pPr>
        <w:spacing w:after="0" w:line="117" w:lineRule="exact"/>
        <w:rPr>
          <w:sz w:val="20"/>
          <w:szCs w:val="20"/>
          <w:color w:val="auto"/>
        </w:rPr>
      </w:pPr>
    </w:p>
    <w:p>
      <w:pPr>
        <w:ind w:left="1860" w:right="180"/>
        <w:spacing w:after="0" w:line="277" w:lineRule="auto"/>
        <w:rPr>
          <w:sz w:val="20"/>
          <w:szCs w:val="20"/>
          <w:color w:val="auto"/>
        </w:rPr>
      </w:pPr>
      <w:r>
        <w:rPr>
          <w:rFonts w:ascii="Arial" w:cs="Arial" w:eastAsia="Arial" w:hAnsi="Arial"/>
          <w:sz w:val="18"/>
          <w:szCs w:val="18"/>
          <w:color w:val="auto"/>
        </w:rPr>
        <w:t>To the fullest extent allowable by Law, the policy must include a waiver of subrogation in favor of AT&amp;T, its Affiliates, and their directors, officers and employees.</w:t>
      </w:r>
    </w:p>
    <w:p>
      <w:pPr>
        <w:spacing w:after="0" w:line="62" w:lineRule="exact"/>
        <w:rPr>
          <w:sz w:val="20"/>
          <w:szCs w:val="20"/>
          <w:color w:val="auto"/>
        </w:rPr>
      </w:pPr>
    </w:p>
    <w:p>
      <w:pPr>
        <w:ind w:left="1860" w:right="440"/>
        <w:spacing w:after="0" w:line="277" w:lineRule="auto"/>
        <w:rPr>
          <w:sz w:val="20"/>
          <w:szCs w:val="20"/>
          <w:color w:val="auto"/>
        </w:rPr>
      </w:pPr>
      <w:r>
        <w:rPr>
          <w:rFonts w:ascii="Arial" w:cs="Arial" w:eastAsia="Arial" w:hAnsi="Arial"/>
          <w:sz w:val="18"/>
          <w:szCs w:val="18"/>
          <w:color w:val="auto"/>
        </w:rPr>
        <w:t>In states where Workers’ Compensation insurance is a monopolistic state-run system, Amdocs shall add Stop Gap Employers Liability with limits not less than $500,000 each accident or disease.</w:t>
      </w:r>
    </w:p>
    <w:p>
      <w:pPr>
        <w:spacing w:after="0" w:line="76" w:lineRule="exact"/>
        <w:rPr>
          <w:sz w:val="20"/>
          <w:szCs w:val="20"/>
          <w:color w:val="auto"/>
        </w:rPr>
      </w:pPr>
    </w:p>
    <w:p>
      <w:pPr>
        <w:ind w:left="1840" w:right="20" w:hanging="440"/>
        <w:spacing w:after="0" w:line="259" w:lineRule="auto"/>
        <w:tabs>
          <w:tab w:leader="none" w:pos="18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Insurance Services Office (ISO) Form CG 00 01 12 04 or a substitute form providing equivalent coverage, covering liability arising from premises, operations, personal injury, products/completed operations, and liability assumed under an insured contract (including the tort liability of another assumed in a business contract) with limits of at least:</w:t>
      </w:r>
    </w:p>
    <w:p>
      <w:pPr>
        <w:spacing w:after="0" w:line="7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$2,000,000 General Aggregate limit</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$1,000,000 each occurrence limit for all bodily injury or property damage incurred in any one (1) occurrence</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$1,000,000 each occurrence limit for Personal Injury and Advertising Injury</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$2,000,000 Products/Completed Operations Aggregate limit</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$1,000,000 each occurrence limit for Products/Completed Operations</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$1,000,000 Damage to Premises Rented to You (Fire Legal Liability)</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274"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8" w:lineRule="exact"/>
        <w:rPr>
          <w:sz w:val="20"/>
          <w:szCs w:val="20"/>
          <w:color w:val="auto"/>
        </w:rPr>
      </w:pPr>
    </w:p>
    <w:p>
      <w:pPr>
        <w:ind w:left="1840" w:hanging="440"/>
        <w:spacing w:after="0"/>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must:</w:t>
      </w:r>
    </w:p>
    <w:p>
      <w:pPr>
        <w:spacing w:after="0" w:line="130" w:lineRule="exact"/>
        <w:rPr>
          <w:rFonts w:ascii="Arial" w:cs="Arial" w:eastAsia="Arial" w:hAnsi="Arial"/>
          <w:sz w:val="18"/>
          <w:szCs w:val="18"/>
          <w:color w:val="auto"/>
        </w:rPr>
      </w:pPr>
    </w:p>
    <w:p>
      <w:pPr>
        <w:ind w:left="2300" w:right="20" w:hanging="441"/>
        <w:spacing w:after="0" w:line="257" w:lineRule="auto"/>
        <w:tabs>
          <w:tab w:leader="none" w:pos="2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include AT&amp;T, its Affiliates, and their directors, officers, and employees as Additional Insureds. Amdocs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sixty (60) days of execution of this Agreement and within sixty (60) days of each Commercial General Liability policy renewal;</w:t>
      </w:r>
    </w:p>
    <w:p>
      <w:pPr>
        <w:spacing w:after="0" w:line="93" w:lineRule="exact"/>
        <w:rPr>
          <w:rFonts w:ascii="Arial" w:cs="Arial" w:eastAsia="Arial" w:hAnsi="Arial"/>
          <w:sz w:val="18"/>
          <w:szCs w:val="18"/>
          <w:color w:val="auto"/>
        </w:rPr>
      </w:pPr>
    </w:p>
    <w:p>
      <w:pPr>
        <w:ind w:left="2300" w:hanging="441"/>
        <w:spacing w:after="0"/>
        <w:tabs>
          <w:tab w:leader="none" w:pos="2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include a waiver of subrogation in favor of AT&amp;T, its Affiliates, and their directors, officers and employees; and</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be primary and non-contributory with respect to any insurance or self-insurance that is maintained by AT&amp;T.</w:t>
      </w:r>
    </w:p>
    <w:p>
      <w:pPr>
        <w:spacing w:after="0" w:line="130" w:lineRule="exact"/>
        <w:rPr>
          <w:rFonts w:ascii="Arial" w:cs="Arial" w:eastAsia="Arial" w:hAnsi="Arial"/>
          <w:sz w:val="18"/>
          <w:szCs w:val="18"/>
          <w:color w:val="auto"/>
        </w:rPr>
      </w:pPr>
    </w:p>
    <w:p>
      <w:pPr>
        <w:ind w:left="1840" w:right="260" w:hanging="440"/>
        <w:spacing w:after="0" w:line="277" w:lineRule="auto"/>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Business Automobile Liability insurance with limits of at least $1,000,000 each accident for bodily injury and property damage, extending to all owned, hired, and non-owned vehicles.</w:t>
      </w:r>
    </w:p>
    <w:p>
      <w:pPr>
        <w:spacing w:after="0" w:line="75" w:lineRule="exact"/>
        <w:rPr>
          <w:rFonts w:ascii="Arial" w:cs="Arial" w:eastAsia="Arial" w:hAnsi="Arial"/>
          <w:sz w:val="18"/>
          <w:szCs w:val="18"/>
          <w:color w:val="auto"/>
        </w:rPr>
      </w:pPr>
    </w:p>
    <w:p>
      <w:pPr>
        <w:ind w:left="1840" w:right="40" w:hanging="440"/>
        <w:spacing w:after="0" w:line="312" w:lineRule="auto"/>
        <w:tabs>
          <w:tab w:leader="none" w:pos="184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Umbrella/Excess Liability insurance with limits of at least $1,000,000 each occurrence and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52" w:lineRule="exact"/>
        <w:rPr>
          <w:rFonts w:ascii="Arial" w:cs="Arial" w:eastAsia="Arial" w:hAnsi="Arial"/>
          <w:sz w:val="16"/>
          <w:szCs w:val="16"/>
          <w:color w:val="auto"/>
        </w:rPr>
      </w:pPr>
    </w:p>
    <w:p>
      <w:pPr>
        <w:ind w:left="1840" w:right="160" w:hanging="440"/>
        <w:spacing w:after="0" w:line="259" w:lineRule="auto"/>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Fidelity or Crime insurance covering employee dishonesty, including but not limited to dishonest acts of Amdocs and its employees, agents, subcontractors and anyone under Amdocs supervision or control. Amdocs shall be liable for money, securities or other property of AT&amp;T. Amdocs shall include a client coverage endorsement written for limits of a least $1,000,000 and shall include AT&amp;T as Loss Payee.</w:t>
      </w:r>
    </w:p>
    <w:p>
      <w:pPr>
        <w:spacing w:after="0" w:line="92" w:lineRule="exact"/>
        <w:rPr>
          <w:rFonts w:ascii="Arial" w:cs="Arial" w:eastAsia="Arial" w:hAnsi="Arial"/>
          <w:sz w:val="18"/>
          <w:szCs w:val="18"/>
          <w:color w:val="auto"/>
        </w:rPr>
      </w:pPr>
    </w:p>
    <w:p>
      <w:pPr>
        <w:ind w:left="1840" w:hanging="440"/>
        <w:spacing w:after="0"/>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Professional Liability (Errors &amp; Omissions) insurance with limits of at least $1,000,000 each claim or wrongful act.</w:t>
      </w:r>
    </w:p>
    <w:p>
      <w:pPr>
        <w:spacing w:after="0" w:line="130" w:lineRule="exact"/>
        <w:rPr>
          <w:rFonts w:ascii="Arial" w:cs="Arial" w:eastAsia="Arial" w:hAnsi="Arial"/>
          <w:sz w:val="18"/>
          <w:szCs w:val="18"/>
          <w:color w:val="auto"/>
        </w:rPr>
      </w:pPr>
    </w:p>
    <w:p>
      <w:pPr>
        <w:ind w:left="1840" w:hanging="440"/>
        <w:spacing w:after="0"/>
        <w:tabs>
          <w:tab w:leader="none" w:pos="184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Internet Liability and Network Protection (Cyberrisk) insurance with limits of at least $1,000,000 each claim or wrongful act.</w:t>
      </w:r>
    </w:p>
    <w:p>
      <w:pPr>
        <w:spacing w:after="0" w:line="142" w:lineRule="exact"/>
        <w:rPr>
          <w:rFonts w:ascii="Arial" w:cs="Arial" w:eastAsia="Arial" w:hAnsi="Arial"/>
          <w:sz w:val="17"/>
          <w:szCs w:val="17"/>
          <w:color w:val="auto"/>
        </w:rPr>
      </w:pPr>
    </w:p>
    <w:p>
      <w:pPr>
        <w:ind w:left="1840" w:hanging="440"/>
        <w:spacing w:after="0"/>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Media Liability insurance with limits of at least $1,000,000 each claim or wrongful act.</w:t>
      </w:r>
    </w:p>
    <w:p>
      <w:pPr>
        <w:spacing w:after="0" w:line="130" w:lineRule="exact"/>
        <w:rPr>
          <w:rFonts w:ascii="Arial" w:cs="Arial" w:eastAsia="Arial" w:hAnsi="Arial"/>
          <w:sz w:val="18"/>
          <w:szCs w:val="18"/>
          <w:color w:val="auto"/>
        </w:rPr>
      </w:pPr>
    </w:p>
    <w:p>
      <w:pPr>
        <w:ind w:left="1840" w:right="60" w:hanging="440"/>
        <w:spacing w:after="0" w:line="264" w:lineRule="auto"/>
        <w:tabs>
          <w:tab w:leader="none" w:pos="18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Property insurance with limits equal to the replacement cost of Amdocs’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02026713.A.011</w:t>
      </w:r>
    </w:p>
    <w:p>
      <w:pPr>
        <w:spacing w:after="0" w:line="158" w:lineRule="exact"/>
        <w:rPr>
          <w:sz w:val="20"/>
          <w:szCs w:val="20"/>
          <w:color w:val="auto"/>
        </w:rPr>
      </w:pPr>
    </w:p>
    <w:p>
      <w:pPr>
        <w:ind w:left="460" w:right="160" w:hanging="452"/>
        <w:spacing w:after="0" w:line="277" w:lineRule="auto"/>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Appendix 1.2(4), Reimbursable Expenses, which is attached to the Agreement, is deleted in its entirety and replaced with the revised Appendix 1.2(4) Vendor Expense Policy, which is attached hereto.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Madson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rPr>
              <w:t>Title:  President</w:t>
            </w:r>
          </w:p>
        </w:tc>
        <w:tc>
          <w:tcPr>
            <w:tcW w:w="4200" w:type="dxa"/>
            <w:vAlign w:val="bottom"/>
            <w:tcBorders>
              <w:top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color w:val="auto"/>
              </w:rPr>
              <w:t>Date: 3-15-2010</w:t>
            </w:r>
          </w:p>
        </w:tc>
        <w:tc>
          <w:tcPr>
            <w:tcW w:w="0" w:type="dxa"/>
            <w:vAlign w:val="bottom"/>
          </w:tcPr>
          <w:p>
            <w:pPr>
              <w:spacing w:after="0" w:line="20" w:lineRule="exact"/>
              <w:rPr>
                <w:sz w:val="1"/>
                <w:szCs w:val="1"/>
                <w:color w:val="auto"/>
              </w:rPr>
            </w:pPr>
          </w:p>
        </w:tc>
      </w:tr>
      <w:tr>
        <w:trPr>
          <w:trHeight w:val="385"/>
        </w:trPr>
        <w:tc>
          <w:tcPr>
            <w:tcW w:w="5480" w:type="dxa"/>
            <w:vAlign w:val="bottom"/>
            <w:gridSpan w:val="4"/>
          </w:tcPr>
          <w:p>
            <w:pPr>
              <w:spacing w:after="0"/>
              <w:rPr>
                <w:sz w:val="20"/>
                <w:szCs w:val="20"/>
                <w:color w:val="auto"/>
              </w:rPr>
            </w:pPr>
            <w:r>
              <w:rPr>
                <w:rFonts w:ascii="Arial" w:cs="Arial" w:eastAsia="Arial" w:hAnsi="Arial"/>
                <w:sz w:val="18"/>
                <w:szCs w:val="18"/>
                <w:color w:val="auto"/>
              </w:rPr>
              <w:t>Date: 3-15-2010</w:t>
            </w:r>
          </w:p>
        </w:tc>
        <w:tc>
          <w:tcPr>
            <w:tcW w:w="57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Vendor Expense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Inc. and Participating Companies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(Updated 1/1/2010)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spending money that is to be reimbursed, vendors must ensure that an AT&amp;T Company (“Company”) receives proper value in return.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Deviations from this VEP </w:t>
      </w:r>
      <w:r>
        <w:rPr>
          <w:rFonts w:ascii="Arial" w:cs="Arial" w:eastAsia="Arial" w:hAnsi="Arial"/>
          <w:sz w:val="18"/>
          <w:szCs w:val="18"/>
          <w:i w:val="1"/>
          <w:iCs w:val="1"/>
          <w:color w:val="auto"/>
        </w:rPr>
        <w:t>must be approved in writing</w:t>
      </w:r>
      <w:r>
        <w:rPr>
          <w:rFonts w:ascii="Arial" w:cs="Arial" w:eastAsia="Arial" w:hAnsi="Arial"/>
          <w:sz w:val="18"/>
          <w:szCs w:val="18"/>
          <w:color w:val="auto"/>
        </w:rPr>
        <w:t xml:space="preserve"> by the sponsoring Senior Manager or Officer of an AT&amp;T Company.</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Employees should refer to the Section entitled “Payments” in the Schedule of Authorizations for Affiliates of AT&amp;T Inc. for appropriate supplier invoice authorization approval levels.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Non-Reimbursable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Break-room supplies for the supplier, such as coffee, creamer, paper products, soft drinks, snack food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Car rental additional fees associated with high speed toll access programs and GPS devices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Lost luggage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suppliers cannot voucher lunch with each other simply to talk about AT&amp;T)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Office expenses of suppliers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PC, cell phone, and other supplier support expenses (unless specifically authorized in the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Phone usage on airline unless AT&amp;T business emergency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1460" w:right="180" w:hanging="547"/>
        <w:spacing w:after="0" w:line="264" w:lineRule="auto"/>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Surcharges for providing fast service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related to delivery charges such as Fedex, UPS, etc.). AT&amp;T expects all suppliers to complete the terms of contracts in the shortest period practicable. Charges for shortening the timeframe in which contracts are fulfilled are not permissible.</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Tips for housekeeping and 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to 18% of cost of meal or services, excluding tax</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02026713.A.011</w:t>
      </w:r>
    </w:p>
    <w:p>
      <w:pPr>
        <w:spacing w:after="0" w:line="158" w:lineRule="exact"/>
        <w:rPr>
          <w:sz w:val="20"/>
          <w:szCs w:val="20"/>
          <w:color w:val="auto"/>
        </w:rPr>
      </w:pPr>
    </w:p>
    <w:p>
      <w:pPr>
        <w:ind w:left="1460" w:hanging="547"/>
        <w:spacing w:after="0"/>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2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Responsibilities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Vendor’s Responsibility</w:t>
      </w:r>
    </w:p>
    <w:p>
      <w:pPr>
        <w:spacing w:after="0" w:line="121" w:lineRule="exact"/>
        <w:rPr>
          <w:sz w:val="20"/>
          <w:szCs w:val="20"/>
          <w:color w:val="auto"/>
        </w:rPr>
      </w:pPr>
    </w:p>
    <w:p>
      <w:pPr>
        <w:ind w:left="1500" w:right="120"/>
        <w:spacing w:after="0" w:line="264" w:lineRule="auto"/>
        <w:rPr>
          <w:sz w:val="20"/>
          <w:szCs w:val="20"/>
          <w:color w:val="auto"/>
        </w:rPr>
      </w:pPr>
      <w:r>
        <w:rPr>
          <w:rFonts w:ascii="Arial" w:cs="Arial" w:eastAsia="Arial" w:hAnsi="Arial"/>
          <w:sz w:val="18"/>
          <w:szCs w:val="18"/>
          <w:color w:val="auto"/>
        </w:rPr>
        <w:t>AT&amp;T’s sponsoring managers will ensure that vendors have been covered on this policy prior to incurring any expenditure. Vendors and their sponsoring AT&amp;T managers are responsible for clarifying any questions or uncertainties they may have relative to reimbursable business expenses.</w:t>
      </w:r>
    </w:p>
    <w:p>
      <w:pPr>
        <w:spacing w:after="0" w:line="69" w:lineRule="exact"/>
        <w:rPr>
          <w:sz w:val="20"/>
          <w:szCs w:val="20"/>
          <w:color w:val="auto"/>
        </w:rPr>
      </w:pPr>
    </w:p>
    <w:p>
      <w:pPr>
        <w:ind w:left="1500" w:right="60"/>
        <w:spacing w:after="0" w:line="314" w:lineRule="auto"/>
        <w:rPr>
          <w:sz w:val="20"/>
          <w:szCs w:val="20"/>
          <w:color w:val="auto"/>
        </w:rPr>
      </w:pPr>
      <w:r>
        <w:rPr>
          <w:rFonts w:ascii="Arial" w:cs="Arial" w:eastAsia="Arial" w:hAnsi="Arial"/>
          <w:sz w:val="16"/>
          <w:szCs w:val="16"/>
          <w:color w:val="auto"/>
        </w:rPr>
        <w:t xml:space="preserve">It is mandatory that financial transactions are recorded in a timely manner. </w:t>
      </w:r>
      <w:r>
        <w:rPr>
          <w:rFonts w:ascii="Arial" w:cs="Arial" w:eastAsia="Arial" w:hAnsi="Arial"/>
          <w:sz w:val="16"/>
          <w:szCs w:val="16"/>
          <w:b w:val="1"/>
          <w:bCs w:val="1"/>
          <w:color w:val="auto"/>
        </w:rPr>
        <w:t>Out-of-pocket business expense(s) for vendors that are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submitted for reimbursement within [**] from the date incurred are considered non-reimbursable. </w:t>
      </w:r>
      <w:r>
        <w:rPr>
          <w:rFonts w:ascii="Arial" w:cs="Arial" w:eastAsia="Arial" w:hAnsi="Arial"/>
          <w:sz w:val="16"/>
          <w:szCs w:val="16"/>
          <w:color w:val="auto"/>
        </w:rPr>
        <w:t>Company managers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approving reimbursable expenses of vendors should ensure they are submitted and approved in a timely manner.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Travel Policy</w:t>
      </w:r>
    </w:p>
    <w:p>
      <w:pPr>
        <w:spacing w:after="0" w:line="121" w:lineRule="exact"/>
        <w:rPr>
          <w:sz w:val="20"/>
          <w:szCs w:val="20"/>
          <w:color w:val="auto"/>
        </w:rPr>
      </w:pPr>
    </w:p>
    <w:p>
      <w:pPr>
        <w:jc w:val="both"/>
        <w:ind w:left="1500" w:right="180"/>
        <w:spacing w:after="0" w:line="342" w:lineRule="auto"/>
        <w:rPr>
          <w:sz w:val="20"/>
          <w:szCs w:val="20"/>
          <w:color w:val="auto"/>
        </w:rPr>
      </w:pPr>
      <w:r>
        <w:rPr>
          <w:rFonts w:ascii="Arial" w:cs="Arial" w:eastAsia="Arial" w:hAnsi="Arial"/>
          <w:sz w:val="16"/>
          <w:szCs w:val="16"/>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16" w:lineRule="exact"/>
        <w:rPr>
          <w:sz w:val="20"/>
          <w:szCs w:val="20"/>
          <w:color w:val="auto"/>
        </w:rPr>
      </w:pPr>
    </w:p>
    <w:p>
      <w:pPr>
        <w:ind w:left="1500" w:right="16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Travel Authorization</w:t>
      </w:r>
    </w:p>
    <w:p>
      <w:pPr>
        <w:spacing w:after="0" w:line="121" w:lineRule="exact"/>
        <w:rPr>
          <w:sz w:val="20"/>
          <w:szCs w:val="20"/>
          <w:color w:val="auto"/>
        </w:rPr>
      </w:pPr>
    </w:p>
    <w:p>
      <w:pPr>
        <w:ind w:left="1500" w:right="42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Senior Manager (5</w:t>
      </w:r>
      <w:r>
        <w:rPr>
          <w:rFonts w:ascii="Arial" w:cs="Arial" w:eastAsia="Arial" w:hAnsi="Arial"/>
          <w:sz w:val="15"/>
          <w:szCs w:val="15"/>
          <w:color w:val="auto"/>
        </w:rPr>
        <w:t>th</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Travel Reservations</w:t>
      </w:r>
    </w:p>
    <w:p>
      <w:pPr>
        <w:spacing w:after="0" w:line="121" w:lineRule="exact"/>
        <w:rPr>
          <w:sz w:val="20"/>
          <w:szCs w:val="20"/>
          <w:color w:val="auto"/>
        </w:rPr>
      </w:pPr>
    </w:p>
    <w:p>
      <w:pPr>
        <w:ind w:left="1500" w:right="2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3.3 Travel Expense Reimbursement</w:t>
      </w:r>
    </w:p>
    <w:p>
      <w:pPr>
        <w:spacing w:after="0" w:line="121"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2300" w:hanging="441"/>
        <w:spacing w:after="0"/>
        <w:tabs>
          <w:tab w:leader="none" w:pos="23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Transportation (airfare or other commercial transportation, car rental, personal auto mileage, taxi and shuttle service)</w:t>
      </w:r>
    </w:p>
    <w:p>
      <w:pPr>
        <w:spacing w:after="0" w:line="142" w:lineRule="exact"/>
        <w:rPr>
          <w:rFonts w:ascii="Arial" w:cs="Arial" w:eastAsia="Arial" w:hAnsi="Arial"/>
          <w:sz w:val="17"/>
          <w:szCs w:val="17"/>
          <w:color w:val="auto"/>
        </w:rPr>
      </w:pPr>
    </w:p>
    <w:p>
      <w:pPr>
        <w:ind w:left="2300" w:hanging="441"/>
        <w:spacing w:after="0"/>
        <w:tabs>
          <w:tab w:leader="none" w:pos="2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26" w:lineRule="exact"/>
        <w:rPr>
          <w:rFonts w:ascii="Arial" w:cs="Arial" w:eastAsia="Arial" w:hAnsi="Arial"/>
          <w:sz w:val="18"/>
          <w:szCs w:val="18"/>
          <w:color w:val="auto"/>
        </w:rPr>
      </w:pPr>
    </w:p>
    <w:p>
      <w:pPr>
        <w:ind w:left="2300" w:right="560" w:hanging="441"/>
        <w:spacing w:after="0" w:line="266" w:lineRule="auto"/>
        <w:tabs>
          <w:tab w:leader="none" w:pos="2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72" w:lineRule="exact"/>
        <w:rPr>
          <w:sz w:val="20"/>
          <w:szCs w:val="20"/>
          <w:color w:val="auto"/>
        </w:rPr>
      </w:pPr>
    </w:p>
    <w:p>
      <w:pPr>
        <w:ind w:left="1420" w:right="46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3.4 Air Travel Arrangements</w:t>
      </w:r>
    </w:p>
    <w:p>
      <w:pPr>
        <w:spacing w:after="0" w:line="121" w:lineRule="exact"/>
        <w:rPr>
          <w:sz w:val="20"/>
          <w:szCs w:val="20"/>
          <w:color w:val="auto"/>
        </w:rPr>
      </w:pPr>
    </w:p>
    <w:p>
      <w:pPr>
        <w:jc w:val="both"/>
        <w:ind w:left="1420" w:right="2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travel at all times.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hours providing the relevant manager pre-approves.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3.5 Hotel Arrangements</w:t>
      </w:r>
    </w:p>
    <w:p>
      <w:pPr>
        <w:spacing w:after="0" w:line="117" w:lineRule="exact"/>
        <w:rPr>
          <w:sz w:val="20"/>
          <w:szCs w:val="20"/>
          <w:color w:val="auto"/>
        </w:rPr>
      </w:pPr>
    </w:p>
    <w:p>
      <w:pPr>
        <w:ind w:left="1420" w:right="20"/>
        <w:spacing w:after="0" w:line="292" w:lineRule="auto"/>
        <w:rPr>
          <w:sz w:val="20"/>
          <w:szCs w:val="20"/>
          <w:color w:val="auto"/>
        </w:rPr>
      </w:pPr>
      <w:r>
        <w:rPr>
          <w:rFonts w:ascii="Arial" w:cs="Arial" w:eastAsia="Arial" w:hAnsi="Arial"/>
          <w:sz w:val="16"/>
          <w:szCs w:val="16"/>
          <w:color w:val="auto"/>
        </w:rPr>
        <w:t>AT&amp;T has established Market-Based Room Rate Guideline</w:t>
      </w:r>
      <w:r>
        <w:rPr>
          <w:rFonts w:ascii="Arial" w:cs="Arial" w:eastAsia="Arial" w:hAnsi="Arial"/>
          <w:sz w:val="16"/>
          <w:szCs w:val="16"/>
          <w:b w:val="1"/>
          <w:bCs w:val="1"/>
          <w:color w:val="auto"/>
        </w:rPr>
        <w:t>s</w:t>
      </w:r>
      <w:r>
        <w:rPr>
          <w:rFonts w:ascii="Arial" w:cs="Arial" w:eastAsia="Arial" w:hAnsi="Arial"/>
          <w:sz w:val="16"/>
          <w:szCs w:val="16"/>
          <w:color w:val="auto"/>
        </w:rPr>
        <w:t xml:space="preserve"> for vendors to reference when making hotel reservations in the United States (see Addendum A). U.S. vendors traveling outside the U.S. should reference the GSA, Government Per Diem as a guide: </w:t>
      </w:r>
      <w:r>
        <w:rPr>
          <w:rFonts w:ascii="Arial" w:cs="Arial" w:eastAsia="Arial" w:hAnsi="Arial"/>
          <w:sz w:val="16"/>
          <w:szCs w:val="16"/>
          <w:u w:val="single" w:color="auto"/>
          <w:color w:val="auto"/>
        </w:rPr>
        <w:t>http://aoprals.state.gov/web920/per_diem.asp</w:t>
      </w:r>
      <w:r>
        <w:rPr>
          <w:rFonts w:ascii="Arial" w:cs="Arial" w:eastAsia="Arial" w:hAnsi="Arial"/>
          <w:sz w:val="16"/>
          <w:szCs w:val="16"/>
          <w:color w:val="auto"/>
        </w:rPr>
        <w:t>.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supplier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58" w:lineRule="exact"/>
        <w:rPr>
          <w:sz w:val="20"/>
          <w:szCs w:val="20"/>
          <w:color w:val="auto"/>
        </w:rPr>
      </w:pPr>
    </w:p>
    <w:p>
      <w:pPr>
        <w:ind w:left="1420" w:right="740"/>
        <w:spacing w:after="0" w:line="277" w:lineRule="auto"/>
        <w:rPr>
          <w:sz w:val="20"/>
          <w:szCs w:val="20"/>
          <w:color w:val="auto"/>
        </w:rPr>
      </w:pPr>
      <w:r>
        <w:rPr>
          <w:rFonts w:ascii="Arial" w:cs="Arial" w:eastAsia="Arial" w:hAnsi="Arial"/>
          <w:sz w:val="18"/>
          <w:szCs w:val="18"/>
          <w:color w:val="auto"/>
        </w:rPr>
        <w:t xml:space="preserve">There must be a </w:t>
      </w:r>
      <w:r>
        <w:rPr>
          <w:rFonts w:ascii="Arial" w:cs="Arial" w:eastAsia="Arial" w:hAnsi="Arial"/>
          <w:sz w:val="18"/>
          <w:szCs w:val="18"/>
          <w:u w:val="single" w:color="auto"/>
          <w:color w:val="auto"/>
        </w:rPr>
        <w:t>strong</w:t>
      </w:r>
      <w:r>
        <w:rPr>
          <w:rFonts w:ascii="Arial" w:cs="Arial" w:eastAsia="Arial" w:hAnsi="Arial"/>
          <w:sz w:val="18"/>
          <w:szCs w:val="18"/>
          <w:color w:val="auto"/>
        </w:rPr>
        <w:t xml:space="preserve"> business justification for incurring any cost for internet access, and a request for reimbursement must be accompanied by a detailed explanation regarding reason for charge.</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274" w:right="239" w:bottom="1440" w:gutter="0" w:footer="0" w:header="0"/>
        </w:sectPr>
      </w:pPr>
    </w:p>
    <w:bookmarkStart w:id="293" w:name="page294"/>
    <w:bookmarkEnd w:id="293"/>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color w:val="auto"/>
        </w:rPr>
        <w:t>: Vendors must indicate the number of room nights on the transaction line when invoicing for reimbursement of hotel expenses.</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Copies of all hotel bills must be made available for any invoice containing lodging charges.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3.6 Ground Transportation</w:t>
      </w:r>
    </w:p>
    <w:p>
      <w:pPr>
        <w:spacing w:after="0" w:line="121"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79" w:lineRule="exact"/>
        <w:rPr>
          <w:sz w:val="20"/>
          <w:szCs w:val="20"/>
          <w:color w:val="auto"/>
        </w:rPr>
      </w:pPr>
    </w:p>
    <w:p>
      <w:pPr>
        <w:ind w:left="142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w:t>
      </w:r>
    </w:p>
    <w:p>
      <w:pPr>
        <w:spacing w:after="0" w:line="62" w:lineRule="exact"/>
        <w:rPr>
          <w:sz w:val="20"/>
          <w:szCs w:val="20"/>
          <w:color w:val="auto"/>
        </w:rPr>
      </w:pPr>
    </w:p>
    <w:p>
      <w:pPr>
        <w:ind w:left="1420" w:right="660"/>
        <w:spacing w:after="0" w:line="277" w:lineRule="auto"/>
        <w:rPr>
          <w:sz w:val="20"/>
          <w:szCs w:val="20"/>
          <w:color w:val="auto"/>
        </w:rPr>
      </w:pPr>
      <w:r>
        <w:rPr>
          <w:rFonts w:ascii="Arial" w:cs="Arial" w:eastAsia="Arial" w:hAnsi="Arial"/>
          <w:sz w:val="18"/>
          <w:szCs w:val="18"/>
          <w:color w:val="auto"/>
        </w:rPr>
        <w:t>Rental cars should be refueled before returning to the rental company, since gas purchased through the rental company carries an expensive refueling service charge.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3.7 Use of Personal Vehicle</w:t>
      </w:r>
    </w:p>
    <w:p>
      <w:pPr>
        <w:spacing w:after="0" w:line="121" w:lineRule="exact"/>
        <w:rPr>
          <w:sz w:val="20"/>
          <w:szCs w:val="20"/>
          <w:color w:val="auto"/>
        </w:rPr>
      </w:pPr>
    </w:p>
    <w:p>
      <w:pPr>
        <w:ind w:left="1420" w:right="260"/>
        <w:spacing w:after="0" w:line="277" w:lineRule="auto"/>
        <w:rPr>
          <w:sz w:val="20"/>
          <w:szCs w:val="20"/>
          <w:color w:val="auto"/>
        </w:rPr>
      </w:pPr>
      <w:r>
        <w:rPr>
          <w:rFonts w:ascii="Arial" w:cs="Arial" w:eastAsia="Arial" w:hAnsi="Arial"/>
          <w:sz w:val="18"/>
          <w:szCs w:val="18"/>
          <w:color w:val="auto"/>
        </w:rPr>
        <w:t>When use of personal vehicle is required, the current locally approved mileage rate for miles driven for the business portion of the trip should be the maximum used to determine the amount to be reimbursed.</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3.8 Parking</w:t>
      </w:r>
    </w:p>
    <w:p>
      <w:pPr>
        <w:spacing w:after="0" w:line="121"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3.9 Entertainment</w:t>
      </w:r>
    </w:p>
    <w:p>
      <w:pPr>
        <w:spacing w:after="0" w:line="121" w:lineRule="exact"/>
        <w:rPr>
          <w:sz w:val="20"/>
          <w:szCs w:val="20"/>
          <w:color w:val="auto"/>
        </w:rPr>
      </w:pPr>
    </w:p>
    <w:p>
      <w:pPr>
        <w:ind w:left="1420" w:right="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1420" w:right="600"/>
        <w:spacing w:after="0" w:line="282" w:lineRule="auto"/>
        <w:rPr>
          <w:sz w:val="20"/>
          <w:szCs w:val="20"/>
          <w:color w:val="auto"/>
        </w:rPr>
      </w:pPr>
      <w:r>
        <w:rPr>
          <w:rFonts w:ascii="Arial" w:cs="Arial" w:eastAsia="Arial" w:hAnsi="Arial"/>
          <w:sz w:val="18"/>
          <w:szCs w:val="18"/>
          <w:color w:val="auto"/>
        </w:rPr>
        <w:t xml:space="preserve">Reasonable laundry charges during business trips of seven or more </w:t>
      </w:r>
      <w:r>
        <w:rPr>
          <w:rFonts w:ascii="Arial" w:cs="Arial" w:eastAsia="Arial" w:hAnsi="Arial"/>
          <w:sz w:val="18"/>
          <w:szCs w:val="18"/>
          <w:b w:val="1"/>
          <w:bCs w:val="1"/>
          <w:color w:val="auto"/>
        </w:rPr>
        <w:t>consecutive</w:t>
      </w:r>
      <w:r>
        <w:rPr>
          <w:rFonts w:ascii="Arial" w:cs="Arial" w:eastAsia="Arial" w:hAnsi="Arial"/>
          <w:sz w:val="18"/>
          <w:szCs w:val="18"/>
          <w:color w:val="auto"/>
        </w:rPr>
        <w:t xml:space="preserve"> nights are reimbursable based on actual expenses incurred.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3.11 Communications</w:t>
      </w:r>
    </w:p>
    <w:p>
      <w:pPr>
        <w:spacing w:after="0" w:line="135" w:lineRule="exact"/>
        <w:rPr>
          <w:sz w:val="20"/>
          <w:szCs w:val="20"/>
          <w:color w:val="auto"/>
        </w:rPr>
      </w:pPr>
    </w:p>
    <w:p>
      <w:pPr>
        <w:ind w:left="2300" w:right="160" w:hanging="441"/>
        <w:spacing w:after="0" w:line="277" w:lineRule="auto"/>
        <w:tabs>
          <w:tab w:leader="none" w:pos="23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actual cost of landline telephone calls for AT&amp;T business is reimbursable. The use of AT&amp;T products is required when available.</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274"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8" w:lineRule="exact"/>
        <w:rPr>
          <w:sz w:val="20"/>
          <w:szCs w:val="20"/>
          <w:color w:val="auto"/>
        </w:rPr>
      </w:pPr>
    </w:p>
    <w:p>
      <w:pPr>
        <w:ind w:left="2300" w:right="520" w:hanging="441"/>
        <w:spacing w:after="0" w:line="264" w:lineRule="auto"/>
        <w:tabs>
          <w:tab w:leader="none" w:pos="2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86" w:lineRule="exact"/>
        <w:rPr>
          <w:rFonts w:ascii="Arial" w:cs="Arial" w:eastAsia="Arial" w:hAnsi="Arial"/>
          <w:sz w:val="18"/>
          <w:szCs w:val="18"/>
          <w:color w:val="auto"/>
        </w:rPr>
      </w:pPr>
    </w:p>
    <w:p>
      <w:pPr>
        <w:ind w:left="2300" w:hanging="441"/>
        <w:spacing w:after="0"/>
        <w:tabs>
          <w:tab w:leader="none" w:pos="2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1420" w:right="240"/>
        <w:spacing w:after="0" w:line="255" w:lineRule="auto"/>
        <w:rPr>
          <w:sz w:val="20"/>
          <w:szCs w:val="20"/>
          <w:color w:val="auto"/>
        </w:rPr>
      </w:pPr>
      <w:r>
        <w:rPr>
          <w:rFonts w:ascii="Arial" w:cs="Arial" w:eastAsia="Arial" w:hAnsi="Arial"/>
          <w:sz w:val="18"/>
          <w:szCs w:val="18"/>
          <w:color w:val="auto"/>
        </w:rPr>
        <w:t>Vendors are expected to find reasonably priced dining alternatives. As a general rule, vendors are expected to spend [**] (or local currency equivalent) inclusive of tax and gratuity or to abide by the legally specified per diem applicable in the Vendor’s country.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85"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1420" w:right="120"/>
        <w:spacing w:after="0" w:line="342" w:lineRule="auto"/>
        <w:rPr>
          <w:sz w:val="20"/>
          <w:szCs w:val="20"/>
          <w:color w:val="auto"/>
        </w:rPr>
      </w:pPr>
      <w:r>
        <w:rPr>
          <w:rFonts w:ascii="Arial" w:cs="Arial" w:eastAsia="Arial" w:hAnsi="Arial"/>
          <w:sz w:val="16"/>
          <w:szCs w:val="16"/>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The Company assumes no responsibility for loss or damage to a vendor’s personal property during business functions or hours.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320" w:top="274"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U.S. 2010 Hotel Room Rate Only Guidelines</w:t>
      </w: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This Chart applies to the U.S. locations. For Travel outside of the U.S., travelers should exercise prudent judgment and select reasonably priced hotels, based on local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traveling outside the U.S. should reference the GSA, Government Per Diems as a guide. http://aoprals.state.gov/web920/per_diem.asp</w:t>
      </w:r>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***U.S. Cities not listed on this Hotel Room Rate Only Guideline Matrix, default to $[**] nightly rate. On occasion an AT&amp;T Preferred Property may exceed the rate guideline for a season (s) </w:t>
      </w:r>
      <w:r>
        <w:rPr>
          <w:rFonts w:ascii="Arial" w:cs="Arial" w:eastAsia="Arial" w:hAnsi="Arial"/>
          <w:sz w:val="18"/>
          <w:szCs w:val="18"/>
          <w:b w:val="1"/>
          <w:bCs w:val="1"/>
          <w:i w:val="1"/>
          <w:iCs w:val="1"/>
          <w:color w:val="auto"/>
        </w:rPr>
        <w:t>or</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particular city, but has been added due to demand within the market. However, if an alternate Preferred Property within the guideline is offered it should be accepted when available.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may select the Preferred Property that is over the Guideline if it is the option that is available, selecting the appropriate reason code.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8"/>
              </w:rPr>
              <w:t>City</w:t>
            </w:r>
          </w:p>
        </w:tc>
        <w:tc>
          <w:tcPr>
            <w:tcW w:w="720" w:type="dxa"/>
            <w:vAlign w:val="bottom"/>
            <w:vMerge w:val="restart"/>
          </w:tcPr>
          <w:p>
            <w:pPr>
              <w:spacing w:after="0"/>
              <w:rPr>
                <w:sz w:val="14"/>
                <w:szCs w:val="14"/>
                <w:color w:val="auto"/>
              </w:rPr>
            </w:pPr>
          </w:p>
        </w:tc>
        <w:tc>
          <w:tcPr>
            <w:tcW w:w="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City</w:t>
            </w: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Guideline</w:t>
            </w:r>
          </w:p>
        </w:tc>
        <w:tc>
          <w:tcPr>
            <w:tcW w:w="1180" w:type="dxa"/>
            <w:vAlign w:val="bottom"/>
            <w:gridSpan w:val="3"/>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2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320" w:type="dxa"/>
            <w:vAlign w:val="bottom"/>
            <w:gridSpan w:val="3"/>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Guideline</w:t>
            </w:r>
          </w:p>
        </w:tc>
        <w:tc>
          <w:tcPr>
            <w:tcW w:w="11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Guideline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rPr>
              <w:t>Anchorage</w:t>
            </w:r>
          </w:p>
        </w:tc>
        <w:tc>
          <w:tcPr>
            <w:tcW w:w="4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AK</w:t>
            </w:r>
          </w:p>
        </w:tc>
        <w:tc>
          <w:tcPr>
            <w:tcW w:w="80" w:type="dxa"/>
            <w:vAlign w:val="bottom"/>
            <w:vMerge w:val="continue"/>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Susanville</w:t>
            </w:r>
          </w:p>
        </w:tc>
        <w:tc>
          <w:tcPr>
            <w:tcW w:w="80" w:type="dxa"/>
            <w:vAlign w:val="bottom"/>
            <w:vMerge w:val="continue"/>
          </w:tcPr>
          <w:p>
            <w:pPr>
              <w:spacing w:after="0"/>
              <w:rPr>
                <w:sz w:val="16"/>
                <w:szCs w:val="16"/>
                <w:color w:val="auto"/>
              </w:rPr>
            </w:pP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CA</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140" w:type="dxa"/>
            <w:vAlign w:val="bottom"/>
            <w:vMerge w:val="continue"/>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Fairview</w:t>
            </w: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IL</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Morrisville</w:t>
            </w:r>
          </w:p>
        </w:tc>
        <w:tc>
          <w:tcPr>
            <w:tcW w:w="300" w:type="dxa"/>
            <w:vAlign w:val="bottom"/>
            <w:gridSpan w:val="2"/>
          </w:tcPr>
          <w:p>
            <w:pPr>
              <w:spacing w:after="0" w:line="195" w:lineRule="exact"/>
              <w:rPr>
                <w:sz w:val="20"/>
                <w:szCs w:val="20"/>
                <w:color w:val="auto"/>
              </w:rPr>
            </w:pPr>
            <w:r>
              <w:rPr>
                <w:rFonts w:ascii="Arial" w:cs="Arial" w:eastAsia="Arial" w:hAnsi="Arial"/>
                <w:sz w:val="18"/>
                <w:szCs w:val="18"/>
                <w:color w:val="auto"/>
              </w:rPr>
              <w:t>NC</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140" w:type="dxa"/>
            <w:vAlign w:val="bottom"/>
            <w:vMerge w:val="continue"/>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Knoxville</w:t>
            </w:r>
          </w:p>
        </w:tc>
        <w:tc>
          <w:tcPr>
            <w:tcW w:w="280" w:type="dxa"/>
            <w:vAlign w:val="bottom"/>
            <w:gridSpan w:val="2"/>
          </w:tcPr>
          <w:p>
            <w:pPr>
              <w:spacing w:after="0" w:line="195" w:lineRule="exact"/>
              <w:rPr>
                <w:sz w:val="20"/>
                <w:szCs w:val="20"/>
                <w:color w:val="auto"/>
              </w:rPr>
            </w:pPr>
            <w:r>
              <w:rPr>
                <w:rFonts w:ascii="Arial" w:cs="Arial" w:eastAsia="Arial" w:hAnsi="Arial"/>
                <w:sz w:val="18"/>
                <w:szCs w:val="18"/>
                <w:color w:val="auto"/>
              </w:rPr>
              <w:t>TN</w:t>
            </w:r>
          </w:p>
        </w:tc>
        <w:tc>
          <w:tcPr>
            <w:tcW w:w="100" w:type="dxa"/>
            <w:vAlign w:val="bottom"/>
            <w:vMerge w:val="continue"/>
          </w:tcPr>
          <w:p>
            <w:pPr>
              <w:spacing w:after="0"/>
              <w:rPr>
                <w:sz w:val="16"/>
                <w:szCs w:val="16"/>
                <w:color w:val="auto"/>
              </w:rPr>
            </w:pPr>
          </w:p>
        </w:tc>
        <w:tc>
          <w:tcPr>
            <w:tcW w:w="60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Heights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Fairbanks</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Temecula</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Glenview</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Raleigh</w:t>
            </w:r>
          </w:p>
        </w:tc>
        <w:tc>
          <w:tcPr>
            <w:tcW w:w="300" w:type="dxa"/>
            <w:vAlign w:val="bottom"/>
            <w:gridSpan w:val="2"/>
          </w:tcPr>
          <w:p>
            <w:pPr>
              <w:spacing w:after="0"/>
              <w:rPr>
                <w:sz w:val="20"/>
                <w:szCs w:val="20"/>
                <w:color w:val="auto"/>
              </w:rPr>
            </w:pPr>
            <w:r>
              <w:rPr>
                <w:rFonts w:ascii="Arial" w:cs="Arial" w:eastAsia="Arial" w:hAnsi="Arial"/>
                <w:sz w:val="18"/>
                <w:szCs w:val="18"/>
                <w:color w:val="auto"/>
              </w:rPr>
              <w:t>NC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Memphis</w:t>
            </w:r>
          </w:p>
        </w:tc>
        <w:tc>
          <w:tcPr>
            <w:tcW w:w="280" w:type="dxa"/>
            <w:vAlign w:val="bottom"/>
            <w:gridSpan w:val="2"/>
          </w:tcPr>
          <w:p>
            <w:pPr>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Glennallen</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Thousand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Gurnee</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Winston Salem</w:t>
            </w:r>
          </w:p>
        </w:tc>
        <w:tc>
          <w:tcPr>
            <w:tcW w:w="300" w:type="dxa"/>
            <w:vAlign w:val="bottom"/>
            <w:gridSpan w:val="2"/>
          </w:tcPr>
          <w:p>
            <w:pPr>
              <w:spacing w:after="0"/>
              <w:rPr>
                <w:sz w:val="20"/>
                <w:szCs w:val="20"/>
                <w:color w:val="auto"/>
              </w:rPr>
            </w:pPr>
            <w:r>
              <w:rPr>
                <w:rFonts w:ascii="Arial" w:cs="Arial" w:eastAsia="Arial" w:hAnsi="Arial"/>
                <w:sz w:val="18"/>
                <w:szCs w:val="18"/>
                <w:color w:val="auto"/>
              </w:rPr>
              <w:t>NC</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Nashville</w:t>
            </w:r>
          </w:p>
        </w:tc>
        <w:tc>
          <w:tcPr>
            <w:tcW w:w="280" w:type="dxa"/>
            <w:vAlign w:val="bottom"/>
            <w:gridSpan w:val="2"/>
          </w:tcPr>
          <w:p>
            <w:pPr>
              <w:spacing w:after="0"/>
              <w:rPr>
                <w:sz w:val="20"/>
                <w:szCs w:val="20"/>
                <w:color w:val="auto"/>
              </w:rPr>
            </w:pPr>
            <w:r>
              <w:rPr>
                <w:rFonts w:ascii="Arial" w:cs="Arial" w:eastAsia="Arial" w:hAnsi="Arial"/>
                <w:sz w:val="18"/>
                <w:szCs w:val="18"/>
                <w:color w:val="auto"/>
              </w:rPr>
              <w:t>TN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Oaks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Ketchikan</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Torrance</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Hoffman</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Omaha</w:t>
            </w:r>
          </w:p>
        </w:tc>
        <w:tc>
          <w:tcPr>
            <w:tcW w:w="300" w:type="dxa"/>
            <w:vAlign w:val="bottom"/>
            <w:gridSpan w:val="2"/>
          </w:tcPr>
          <w:p>
            <w:pPr>
              <w:spacing w:after="0"/>
              <w:rPr>
                <w:sz w:val="20"/>
                <w:szCs w:val="20"/>
                <w:color w:val="auto"/>
              </w:rPr>
            </w:pPr>
            <w:r>
              <w:rPr>
                <w:rFonts w:ascii="Arial" w:cs="Arial" w:eastAsia="Arial" w:hAnsi="Arial"/>
                <w:sz w:val="18"/>
                <w:szCs w:val="18"/>
                <w:color w:val="auto"/>
              </w:rPr>
              <w:t>NE</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Abilene</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Estates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Kodiak</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AK</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Ukiah</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Lincolnshire</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Basking Ridge</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Addison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Birmingham</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Universal City</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Lisle</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Bernardsville</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Decatur</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Valencia</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Naperville</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Bridgewater</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Austin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Hoover</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Van Nuys</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Northbrook</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Cranbury</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Beaumont</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Huntsville</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Walnut Creek</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Ofallon</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Eatontown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Corpus</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Christi</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7"/>
              </w:rPr>
              <w:t>Montgomery</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Watsonville</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Palatine</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Edison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Dallas</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Mobile</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West Lake</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Peoria</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Elizabeth</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Village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Tuscaloosa</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AL</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West</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Rockford</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Fair Lawn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Frisco</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Sacramento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Bryant</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Willits</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Rolling</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Florham Park</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Meadows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El Dorado</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Woodland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Rosemont</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Iselin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Irving</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Fayetteville</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Yorba Linda</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Schaumburg</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Mahwah</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Fort Smith</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Aurora</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Springfield</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Morristown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Mcallen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Hardy</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Boulder</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Vernon Hills</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Newark</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Midland</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Little Rock</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Colorado</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Westmont</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Paramus</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Plano</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Springs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Mountain</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Denver</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Willowbrook</w:t>
            </w:r>
          </w:p>
        </w:tc>
        <w:tc>
          <w:tcPr>
            <w:tcW w:w="300" w:type="dxa"/>
            <w:vAlign w:val="bottom"/>
            <w:gridSpan w:val="2"/>
          </w:tcPr>
          <w:p>
            <w:pPr>
              <w:spacing w:after="0"/>
              <w:rPr>
                <w:sz w:val="20"/>
                <w:szCs w:val="20"/>
                <w:color w:val="auto"/>
              </w:rPr>
            </w:pPr>
            <w:r>
              <w:rPr>
                <w:rFonts w:ascii="Arial" w:cs="Arial" w:eastAsia="Arial" w:hAnsi="Arial"/>
                <w:sz w:val="18"/>
                <w:szCs w:val="18"/>
                <w:color w:val="auto"/>
              </w:rPr>
              <w:t>IL</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Parsippany</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Richardson</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Home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North</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Englewood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Bloomington</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Piscataway</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Littlerock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Pine Bluff</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Greenwood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CO</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Carmel</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Princeton</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Texarkana</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Village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Rogers</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Glastonbury</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Columbus</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Ramsey</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Tyler</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Russellville</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Hartford</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Fishers</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Red Bank</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Waxahachie</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Springdale</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Meriden</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Indianaplis</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Saddle Brook</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The</w:t>
            </w:r>
          </w:p>
        </w:tc>
        <w:tc>
          <w:tcPr>
            <w:tcW w:w="280" w:type="dxa"/>
            <w:vAlign w:val="bottom"/>
            <w:gridSpan w:val="2"/>
          </w:tcPr>
          <w:p>
            <w:pPr>
              <w:spacing w:after="0"/>
              <w:rPr>
                <w:sz w:val="20"/>
                <w:szCs w:val="20"/>
                <w:color w:val="auto"/>
              </w:rPr>
            </w:pPr>
            <w:r>
              <w:rPr>
                <w:rFonts w:ascii="Arial" w:cs="Arial" w:eastAsia="Arial" w:hAnsi="Arial"/>
                <w:sz w:val="18"/>
                <w:szCs w:val="18"/>
                <w:color w:val="auto"/>
              </w:rPr>
              <w:t>TX</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Woodlands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VanBuren</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AR</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New Haven</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Muncie</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Saddle River</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Salt Lake</w:t>
            </w:r>
          </w:p>
        </w:tc>
        <w:tc>
          <w:tcPr>
            <w:tcW w:w="280" w:type="dxa"/>
            <w:vAlign w:val="bottom"/>
            <w:gridSpan w:val="2"/>
          </w:tcPr>
          <w:p>
            <w:pPr>
              <w:spacing w:after="0"/>
              <w:rPr>
                <w:sz w:val="20"/>
                <w:szCs w:val="20"/>
                <w:color w:val="auto"/>
              </w:rPr>
            </w:pPr>
            <w:r>
              <w:rPr>
                <w:rFonts w:ascii="Arial" w:cs="Arial" w:eastAsia="Arial" w:hAnsi="Arial"/>
                <w:sz w:val="18"/>
                <w:szCs w:val="18"/>
                <w:color w:val="auto"/>
              </w:rPr>
              <w:t>UT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City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Chandler</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New London</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South Bend</w:t>
            </w:r>
          </w:p>
        </w:tc>
        <w:tc>
          <w:tcPr>
            <w:tcW w:w="3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Short Hills</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Alexander</w:t>
            </w:r>
          </w:p>
        </w:tc>
        <w:tc>
          <w:tcPr>
            <w:tcW w:w="280" w:type="dxa"/>
            <w:vAlign w:val="bottom"/>
            <w:gridSpan w:val="2"/>
          </w:tcPr>
          <w:p>
            <w:pPr>
              <w:spacing w:after="0"/>
              <w:rPr>
                <w:sz w:val="20"/>
                <w:szCs w:val="20"/>
                <w:color w:val="auto"/>
              </w:rPr>
            </w:pPr>
            <w:r>
              <w:rPr>
                <w:rFonts w:ascii="Arial" w:cs="Arial" w:eastAsia="Arial" w:hAnsi="Arial"/>
                <w:sz w:val="18"/>
                <w:szCs w:val="18"/>
                <w:color w:val="auto"/>
              </w:rPr>
              <w:t>VA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Mesa</w:t>
            </w: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AZ</w:t>
            </w:r>
          </w:p>
        </w:tc>
        <w:tc>
          <w:tcPr>
            <w:tcW w:w="7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Rocky Hill</w:t>
            </w:r>
          </w:p>
        </w:tc>
        <w:tc>
          <w:tcPr>
            <w:tcW w:w="380" w:type="dxa"/>
            <w:vAlign w:val="bottom"/>
            <w:gridSpan w:val="3"/>
          </w:tcPr>
          <w:p>
            <w:pPr>
              <w:ind w:left="80"/>
              <w:spacing w:after="0"/>
              <w:rPr>
                <w:sz w:val="20"/>
                <w:szCs w:val="20"/>
                <w:color w:val="auto"/>
              </w:rPr>
            </w:pPr>
            <w:r>
              <w:rPr>
                <w:rFonts w:ascii="Arial" w:cs="Arial" w:eastAsia="Arial" w:hAnsi="Arial"/>
                <w:sz w:val="18"/>
                <w:szCs w:val="18"/>
                <w:color w:val="auto"/>
              </w:rPr>
              <w:t>CT</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Merriam</w:t>
            </w:r>
          </w:p>
        </w:tc>
        <w:tc>
          <w:tcPr>
            <w:tcW w:w="300" w:type="dxa"/>
            <w:vAlign w:val="bottom"/>
            <w:gridSpan w:val="2"/>
          </w:tcPr>
          <w:p>
            <w:pPr>
              <w:spacing w:after="0"/>
              <w:rPr>
                <w:sz w:val="20"/>
                <w:szCs w:val="20"/>
                <w:color w:val="auto"/>
              </w:rPr>
            </w:pPr>
            <w:r>
              <w:rPr>
                <w:rFonts w:ascii="Arial" w:cs="Arial" w:eastAsia="Arial" w:hAnsi="Arial"/>
                <w:sz w:val="18"/>
                <w:szCs w:val="18"/>
                <w:color w:val="auto"/>
              </w:rPr>
              <w:t>KS</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Somerset</w:t>
            </w:r>
          </w:p>
        </w:tc>
        <w:tc>
          <w:tcPr>
            <w:tcW w:w="300" w:type="dxa"/>
            <w:vAlign w:val="bottom"/>
            <w:gridSpan w:val="2"/>
          </w:tcPr>
          <w:p>
            <w:pPr>
              <w:spacing w:after="0"/>
              <w:rPr>
                <w:sz w:val="20"/>
                <w:szCs w:val="20"/>
                <w:color w:val="auto"/>
              </w:rPr>
            </w:pPr>
            <w:r>
              <w:rPr>
                <w:rFonts w:ascii="Arial" w:cs="Arial" w:eastAsia="Arial" w:hAnsi="Arial"/>
                <w:sz w:val="18"/>
                <w:szCs w:val="18"/>
                <w:color w:val="auto"/>
              </w:rPr>
              <w:t>NJ</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280" w:type="dxa"/>
            <w:vAlign w:val="bottom"/>
            <w:gridSpan w:val="2"/>
          </w:tcPr>
          <w:p>
            <w:pPr>
              <w:spacing w:after="0"/>
              <w:rPr>
                <w:sz w:val="20"/>
                <w:szCs w:val="20"/>
                <w:color w:val="auto"/>
              </w:rPr>
            </w:pPr>
            <w:r>
              <w:rPr>
                <w:rFonts w:ascii="Arial" w:cs="Arial" w:eastAsia="Arial" w:hAnsi="Arial"/>
                <w:sz w:val="18"/>
                <w:szCs w:val="18"/>
                <w:color w:val="auto"/>
              </w:rPr>
              <w:t>VA</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ectPr>
          <w:pgSz w:w="11900" w:h="16838" w:orient="portrait"/>
          <w:cols w:equalWidth="0" w:num="1">
            <w:col w:w="11420"/>
          </w:cols>
          <w:pgMar w:left="240" w:top="274"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74" w:right="239" w:bottom="1440" w:gutter="0" w:footer="0" w:header="0"/>
          <w:type w:val="continuous"/>
        </w:sectPr>
      </w:pPr>
    </w:p>
    <w:bookmarkStart w:id="296" w:name="page297"/>
    <w:bookmarkEnd w:id="296"/>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gridSpan w:val="3"/>
          </w:tcPr>
          <w:p>
            <w:pPr>
              <w:ind w:left="20"/>
              <w:spacing w:after="0"/>
              <w:rPr>
                <w:sz w:val="20"/>
                <w:szCs w:val="20"/>
                <w:color w:val="auto"/>
              </w:rPr>
            </w:pPr>
            <w:r>
              <w:rPr>
                <w:rFonts w:ascii="Arial" w:cs="Arial" w:eastAsia="Arial" w:hAnsi="Arial"/>
                <w:sz w:val="18"/>
                <w:szCs w:val="18"/>
                <w:color w:val="auto"/>
                <w:w w:val="90"/>
              </w:rPr>
              <w:t>Agreement Number 02026713.A.011</w:t>
            </w:r>
          </w:p>
        </w:tc>
      </w:tr>
      <w:tr>
        <w:trPr>
          <w:trHeight w:val="350"/>
        </w:trPr>
        <w:tc>
          <w:tcPr>
            <w:tcW w:w="1000" w:type="dxa"/>
            <w:vAlign w:val="bottom"/>
          </w:tcPr>
          <w:p>
            <w:pPr>
              <w:spacing w:after="0"/>
              <w:rPr>
                <w:sz w:val="20"/>
                <w:szCs w:val="20"/>
                <w:color w:val="auto"/>
              </w:rPr>
            </w:pPr>
            <w:r>
              <w:rPr>
                <w:rFonts w:ascii="Arial" w:cs="Arial" w:eastAsia="Arial" w:hAnsi="Arial"/>
                <w:sz w:val="18"/>
                <w:szCs w:val="18"/>
                <w:color w:val="auto"/>
              </w:rPr>
              <w:t>Phoenix</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Stamford</w:t>
            </w:r>
          </w:p>
        </w:tc>
        <w:tc>
          <w:tcPr>
            <w:tcW w:w="380" w:type="dxa"/>
            <w:vAlign w:val="bottom"/>
          </w:tcPr>
          <w:p>
            <w:pPr>
              <w:ind w:left="60"/>
              <w:spacing w:after="0"/>
              <w:rPr>
                <w:sz w:val="20"/>
                <w:szCs w:val="20"/>
                <w:color w:val="auto"/>
              </w:rPr>
            </w:pPr>
            <w:r>
              <w:rPr>
                <w:rFonts w:ascii="Arial" w:cs="Arial" w:eastAsia="Arial" w:hAnsi="Arial"/>
                <w:sz w:val="18"/>
                <w:szCs w:val="18"/>
                <w:color w:val="auto"/>
              </w:rPr>
              <w:t>CT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Overland</w:t>
            </w:r>
          </w:p>
        </w:tc>
        <w:tc>
          <w:tcPr>
            <w:tcW w:w="440" w:type="dxa"/>
            <w:vAlign w:val="bottom"/>
          </w:tcPr>
          <w:p>
            <w:pPr>
              <w:ind w:left="100"/>
              <w:spacing w:after="0"/>
              <w:rPr>
                <w:sz w:val="20"/>
                <w:szCs w:val="20"/>
                <w:color w:val="auto"/>
              </w:rPr>
            </w:pPr>
            <w:r>
              <w:rPr>
                <w:rFonts w:ascii="Arial" w:cs="Arial" w:eastAsia="Arial" w:hAnsi="Arial"/>
                <w:sz w:val="18"/>
                <w:szCs w:val="18"/>
                <w:color w:val="auto"/>
              </w:rPr>
              <w:t>KS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Teaneck</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Chantilly</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Arial" w:cs="Arial" w:eastAsia="Arial" w:hAnsi="Arial"/>
                <w:sz w:val="18"/>
                <w:szCs w:val="18"/>
                <w:color w:val="auto"/>
              </w:rPr>
              <w:t>Park</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Rio Rico</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Washington</w:t>
            </w:r>
          </w:p>
        </w:tc>
        <w:tc>
          <w:tcPr>
            <w:tcW w:w="380" w:type="dxa"/>
            <w:vAlign w:val="bottom"/>
          </w:tcPr>
          <w:p>
            <w:pPr>
              <w:ind w:left="60"/>
              <w:spacing w:after="0"/>
              <w:rPr>
                <w:sz w:val="20"/>
                <w:szCs w:val="20"/>
                <w:color w:val="auto"/>
              </w:rPr>
            </w:pPr>
            <w:r>
              <w:rPr>
                <w:rFonts w:ascii="Arial" w:cs="Arial" w:eastAsia="Arial" w:hAnsi="Arial"/>
                <w:sz w:val="18"/>
                <w:szCs w:val="18"/>
                <w:color w:val="auto"/>
              </w:rPr>
              <w:t>DC</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Shawnee</w:t>
            </w:r>
          </w:p>
        </w:tc>
        <w:tc>
          <w:tcPr>
            <w:tcW w:w="440" w:type="dxa"/>
            <w:vAlign w:val="bottom"/>
          </w:tcPr>
          <w:p>
            <w:pPr>
              <w:ind w:left="100"/>
              <w:spacing w:after="0"/>
              <w:rPr>
                <w:sz w:val="20"/>
                <w:szCs w:val="20"/>
                <w:color w:val="auto"/>
              </w:rPr>
            </w:pPr>
            <w:r>
              <w:rPr>
                <w:rFonts w:ascii="Arial" w:cs="Arial" w:eastAsia="Arial" w:hAnsi="Arial"/>
                <w:sz w:val="18"/>
                <w:szCs w:val="18"/>
                <w:color w:val="auto"/>
              </w:rPr>
              <w:t>KS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Tinton Falls</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Chester</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Scottsdale</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Wilmington</w:t>
            </w:r>
          </w:p>
        </w:tc>
        <w:tc>
          <w:tcPr>
            <w:tcW w:w="380" w:type="dxa"/>
            <w:vAlign w:val="bottom"/>
          </w:tcPr>
          <w:p>
            <w:pPr>
              <w:ind w:left="60"/>
              <w:spacing w:after="0"/>
              <w:rPr>
                <w:sz w:val="20"/>
                <w:szCs w:val="20"/>
                <w:color w:val="auto"/>
              </w:rPr>
            </w:pPr>
            <w:r>
              <w:rPr>
                <w:rFonts w:ascii="Arial" w:cs="Arial" w:eastAsia="Arial" w:hAnsi="Arial"/>
                <w:sz w:val="18"/>
                <w:szCs w:val="18"/>
                <w:color w:val="auto"/>
              </w:rPr>
              <w:t>DE</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Topeka</w:t>
            </w:r>
          </w:p>
        </w:tc>
        <w:tc>
          <w:tcPr>
            <w:tcW w:w="440" w:type="dxa"/>
            <w:vAlign w:val="bottom"/>
          </w:tcPr>
          <w:p>
            <w:pPr>
              <w:ind w:left="100"/>
              <w:spacing w:after="0"/>
              <w:rPr>
                <w:sz w:val="20"/>
                <w:szCs w:val="20"/>
                <w:color w:val="auto"/>
              </w:rPr>
            </w:pPr>
            <w:r>
              <w:rPr>
                <w:rFonts w:ascii="Arial" w:cs="Arial" w:eastAsia="Arial" w:hAnsi="Arial"/>
                <w:sz w:val="18"/>
                <w:szCs w:val="18"/>
                <w:color w:val="auto"/>
              </w:rPr>
              <w:t>KS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Warren</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Dulles</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Tempe</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Altamonte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Wichita</w:t>
            </w:r>
          </w:p>
        </w:tc>
        <w:tc>
          <w:tcPr>
            <w:tcW w:w="440" w:type="dxa"/>
            <w:vAlign w:val="bottom"/>
          </w:tcPr>
          <w:p>
            <w:pPr>
              <w:ind w:left="100"/>
              <w:spacing w:after="0"/>
              <w:rPr>
                <w:sz w:val="20"/>
                <w:szCs w:val="20"/>
                <w:color w:val="auto"/>
              </w:rPr>
            </w:pPr>
            <w:r>
              <w:rPr>
                <w:rFonts w:ascii="Arial" w:cs="Arial" w:eastAsia="Arial" w:hAnsi="Arial"/>
                <w:sz w:val="18"/>
                <w:szCs w:val="18"/>
                <w:color w:val="auto"/>
              </w:rPr>
              <w:t>KS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w w:val="98"/>
              </w:rPr>
              <w:t>West Orange</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Fairfax</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ind w:left="220"/>
              <w:spacing w:after="0"/>
              <w:rPr>
                <w:sz w:val="20"/>
                <w:szCs w:val="20"/>
                <w:color w:val="auto"/>
              </w:rPr>
            </w:pPr>
            <w:r>
              <w:rPr>
                <w:rFonts w:ascii="Arial" w:cs="Arial" w:eastAsia="Arial" w:hAnsi="Arial"/>
                <w:sz w:val="18"/>
                <w:szCs w:val="18"/>
                <w:color w:val="auto"/>
              </w:rPr>
              <w:t>Springs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Tucson</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w w:val="98"/>
              </w:rPr>
              <w:t>Boynton Beach</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Covington</w:t>
            </w:r>
          </w:p>
        </w:tc>
        <w:tc>
          <w:tcPr>
            <w:tcW w:w="440" w:type="dxa"/>
            <w:vAlign w:val="bottom"/>
          </w:tcPr>
          <w:p>
            <w:pPr>
              <w:ind w:left="100"/>
              <w:spacing w:after="0"/>
              <w:rPr>
                <w:sz w:val="20"/>
                <w:szCs w:val="20"/>
                <w:color w:val="auto"/>
              </w:rPr>
            </w:pPr>
            <w:r>
              <w:rPr>
                <w:rFonts w:ascii="Arial" w:cs="Arial" w:eastAsia="Arial" w:hAnsi="Arial"/>
                <w:sz w:val="18"/>
                <w:szCs w:val="18"/>
                <w:color w:val="auto"/>
              </w:rPr>
              <w:t>KY</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Whippany</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w w:val="98"/>
              </w:rPr>
              <w:t>Falls Church</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Yuma</w:t>
            </w:r>
          </w:p>
        </w:tc>
        <w:tc>
          <w:tcPr>
            <w:tcW w:w="400" w:type="dxa"/>
            <w:vAlign w:val="bottom"/>
          </w:tcPr>
          <w:p>
            <w:pPr>
              <w:ind w:left="80"/>
              <w:spacing w:after="0"/>
              <w:rPr>
                <w:sz w:val="20"/>
                <w:szCs w:val="20"/>
                <w:color w:val="auto"/>
              </w:rPr>
            </w:pPr>
            <w:r>
              <w:rPr>
                <w:rFonts w:ascii="Arial" w:cs="Arial" w:eastAsia="Arial" w:hAnsi="Arial"/>
                <w:sz w:val="18"/>
                <w:szCs w:val="18"/>
                <w:color w:val="auto"/>
              </w:rPr>
              <w:t>AZ</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Dania Beach</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Louisville</w:t>
            </w:r>
          </w:p>
        </w:tc>
        <w:tc>
          <w:tcPr>
            <w:tcW w:w="440" w:type="dxa"/>
            <w:vAlign w:val="bottom"/>
          </w:tcPr>
          <w:p>
            <w:pPr>
              <w:ind w:left="100"/>
              <w:spacing w:after="0"/>
              <w:rPr>
                <w:sz w:val="20"/>
                <w:szCs w:val="20"/>
                <w:color w:val="auto"/>
              </w:rPr>
            </w:pPr>
            <w:r>
              <w:rPr>
                <w:rFonts w:ascii="Arial" w:cs="Arial" w:eastAsia="Arial" w:hAnsi="Arial"/>
                <w:sz w:val="18"/>
                <w:szCs w:val="18"/>
                <w:color w:val="auto"/>
              </w:rPr>
              <w:t>KY</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Woodcliff</w:t>
            </w:r>
          </w:p>
        </w:tc>
        <w:tc>
          <w:tcPr>
            <w:tcW w:w="420" w:type="dxa"/>
            <w:vAlign w:val="bottom"/>
          </w:tcPr>
          <w:p>
            <w:pPr>
              <w:ind w:left="80"/>
              <w:spacing w:after="0"/>
              <w:rPr>
                <w:sz w:val="20"/>
                <w:szCs w:val="20"/>
                <w:color w:val="auto"/>
              </w:rPr>
            </w:pPr>
            <w:r>
              <w:rPr>
                <w:rFonts w:ascii="Arial" w:cs="Arial" w:eastAsia="Arial" w:hAnsi="Arial"/>
                <w:sz w:val="18"/>
                <w:szCs w:val="18"/>
                <w:color w:val="auto"/>
              </w:rPr>
              <w:t>NJ</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Glen Allen</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Lake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Anaheim</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w w:val="94"/>
              </w:rPr>
              <w:t>Fort Lauderdale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Covington</w:t>
            </w:r>
          </w:p>
        </w:tc>
        <w:tc>
          <w:tcPr>
            <w:tcW w:w="440" w:type="dxa"/>
            <w:vAlign w:val="bottom"/>
          </w:tcPr>
          <w:p>
            <w:pPr>
              <w:ind w:left="100"/>
              <w:spacing w:after="0"/>
              <w:rPr>
                <w:sz w:val="20"/>
                <w:szCs w:val="20"/>
                <w:color w:val="auto"/>
              </w:rPr>
            </w:pPr>
            <w:r>
              <w:rPr>
                <w:rFonts w:ascii="Arial" w:cs="Arial" w:eastAsia="Arial" w:hAnsi="Arial"/>
                <w:sz w:val="18"/>
                <w:szCs w:val="18"/>
                <w:color w:val="auto"/>
              </w:rPr>
              <w:t>LA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Albuquerque</w:t>
            </w:r>
          </w:p>
        </w:tc>
        <w:tc>
          <w:tcPr>
            <w:tcW w:w="420" w:type="dxa"/>
            <w:vAlign w:val="bottom"/>
          </w:tcPr>
          <w:p>
            <w:pPr>
              <w:ind w:left="80"/>
              <w:spacing w:after="0"/>
              <w:rPr>
                <w:sz w:val="20"/>
                <w:szCs w:val="20"/>
                <w:color w:val="auto"/>
              </w:rPr>
            </w:pPr>
            <w:r>
              <w:rPr>
                <w:rFonts w:ascii="Arial" w:cs="Arial" w:eastAsia="Arial" w:hAnsi="Arial"/>
                <w:sz w:val="18"/>
                <w:szCs w:val="18"/>
                <w:color w:val="auto"/>
              </w:rPr>
              <w:t>NM</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Hampton</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Buena Park</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Jacksonville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Metairie</w:t>
            </w:r>
          </w:p>
        </w:tc>
        <w:tc>
          <w:tcPr>
            <w:tcW w:w="440" w:type="dxa"/>
            <w:vAlign w:val="bottom"/>
          </w:tcPr>
          <w:p>
            <w:pPr>
              <w:ind w:left="100"/>
              <w:spacing w:after="0"/>
              <w:rPr>
                <w:sz w:val="20"/>
                <w:szCs w:val="20"/>
                <w:color w:val="auto"/>
              </w:rPr>
            </w:pPr>
            <w:r>
              <w:rPr>
                <w:rFonts w:ascii="Arial" w:cs="Arial" w:eastAsia="Arial" w:hAnsi="Arial"/>
                <w:sz w:val="18"/>
                <w:szCs w:val="18"/>
                <w:color w:val="auto"/>
              </w:rPr>
              <w:t>LA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Henderson</w:t>
            </w:r>
          </w:p>
        </w:tc>
        <w:tc>
          <w:tcPr>
            <w:tcW w:w="420" w:type="dxa"/>
            <w:vAlign w:val="bottom"/>
          </w:tcPr>
          <w:p>
            <w:pPr>
              <w:ind w:left="80"/>
              <w:spacing w:after="0"/>
              <w:rPr>
                <w:sz w:val="20"/>
                <w:szCs w:val="20"/>
                <w:color w:val="auto"/>
              </w:rPr>
            </w:pPr>
            <w:r>
              <w:rPr>
                <w:rFonts w:ascii="Arial" w:cs="Arial" w:eastAsia="Arial" w:hAnsi="Arial"/>
                <w:sz w:val="18"/>
                <w:szCs w:val="18"/>
                <w:color w:val="auto"/>
              </w:rPr>
              <w:t>NV</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Herndon</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Burbank</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Kendall</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Monroe</w:t>
            </w:r>
          </w:p>
        </w:tc>
        <w:tc>
          <w:tcPr>
            <w:tcW w:w="440" w:type="dxa"/>
            <w:vAlign w:val="bottom"/>
          </w:tcPr>
          <w:p>
            <w:pPr>
              <w:ind w:left="100"/>
              <w:spacing w:after="0"/>
              <w:rPr>
                <w:sz w:val="20"/>
                <w:szCs w:val="20"/>
                <w:color w:val="auto"/>
              </w:rPr>
            </w:pPr>
            <w:r>
              <w:rPr>
                <w:rFonts w:ascii="Arial" w:cs="Arial" w:eastAsia="Arial" w:hAnsi="Arial"/>
                <w:sz w:val="18"/>
                <w:szCs w:val="18"/>
                <w:color w:val="auto"/>
              </w:rPr>
              <w:t>LA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Las Vegas</w:t>
            </w:r>
          </w:p>
        </w:tc>
        <w:tc>
          <w:tcPr>
            <w:tcW w:w="420" w:type="dxa"/>
            <w:vAlign w:val="bottom"/>
          </w:tcPr>
          <w:p>
            <w:pPr>
              <w:ind w:left="80"/>
              <w:spacing w:after="0"/>
              <w:rPr>
                <w:sz w:val="20"/>
                <w:szCs w:val="20"/>
                <w:color w:val="auto"/>
              </w:rPr>
            </w:pPr>
            <w:r>
              <w:rPr>
                <w:rFonts w:ascii="Arial" w:cs="Arial" w:eastAsia="Arial" w:hAnsi="Arial"/>
                <w:sz w:val="18"/>
                <w:szCs w:val="18"/>
                <w:color w:val="auto"/>
              </w:rPr>
              <w:t>NV</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Norfolk</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Burlingame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Key</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w w:val="98"/>
              </w:rPr>
              <w:t>New Orleans</w:t>
            </w:r>
          </w:p>
        </w:tc>
        <w:tc>
          <w:tcPr>
            <w:tcW w:w="440" w:type="dxa"/>
            <w:vAlign w:val="bottom"/>
          </w:tcPr>
          <w:p>
            <w:pPr>
              <w:ind w:left="100"/>
              <w:spacing w:after="0"/>
              <w:rPr>
                <w:sz w:val="20"/>
                <w:szCs w:val="20"/>
                <w:color w:val="auto"/>
              </w:rPr>
            </w:pPr>
            <w:r>
              <w:rPr>
                <w:rFonts w:ascii="Arial" w:cs="Arial" w:eastAsia="Arial" w:hAnsi="Arial"/>
                <w:sz w:val="18"/>
                <w:szCs w:val="18"/>
                <w:color w:val="auto"/>
              </w:rPr>
              <w:t>LA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Pahrump</w:t>
            </w:r>
          </w:p>
        </w:tc>
        <w:tc>
          <w:tcPr>
            <w:tcW w:w="420" w:type="dxa"/>
            <w:vAlign w:val="bottom"/>
          </w:tcPr>
          <w:p>
            <w:pPr>
              <w:ind w:left="80"/>
              <w:spacing w:after="0"/>
              <w:rPr>
                <w:sz w:val="20"/>
                <w:szCs w:val="20"/>
                <w:color w:val="auto"/>
              </w:rPr>
            </w:pPr>
            <w:r>
              <w:rPr>
                <w:rFonts w:ascii="Arial" w:cs="Arial" w:eastAsia="Arial" w:hAnsi="Arial"/>
                <w:sz w:val="18"/>
                <w:szCs w:val="18"/>
                <w:color w:val="auto"/>
              </w:rPr>
              <w:t>NV</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Richmond</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ind w:left="220"/>
              <w:spacing w:after="0"/>
              <w:rPr>
                <w:sz w:val="20"/>
                <w:szCs w:val="20"/>
                <w:color w:val="auto"/>
              </w:rPr>
            </w:pPr>
            <w:r>
              <w:rPr>
                <w:rFonts w:ascii="Arial" w:cs="Arial" w:eastAsia="Arial" w:hAnsi="Arial"/>
                <w:sz w:val="18"/>
                <w:szCs w:val="18"/>
                <w:color w:val="auto"/>
                <w:w w:val="94"/>
              </w:rPr>
              <w:t>Largo/Tavernier</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Carlsbad</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Key West</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Vidalia</w:t>
            </w:r>
          </w:p>
        </w:tc>
        <w:tc>
          <w:tcPr>
            <w:tcW w:w="440" w:type="dxa"/>
            <w:vAlign w:val="bottom"/>
          </w:tcPr>
          <w:p>
            <w:pPr>
              <w:ind w:left="100"/>
              <w:spacing w:after="0"/>
              <w:rPr>
                <w:sz w:val="20"/>
                <w:szCs w:val="20"/>
                <w:color w:val="auto"/>
              </w:rPr>
            </w:pPr>
            <w:r>
              <w:rPr>
                <w:rFonts w:ascii="Arial" w:cs="Arial" w:eastAsia="Arial" w:hAnsi="Arial"/>
                <w:sz w:val="18"/>
                <w:szCs w:val="18"/>
                <w:color w:val="auto"/>
              </w:rPr>
              <w:t>LA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Reno</w:t>
            </w:r>
          </w:p>
        </w:tc>
        <w:tc>
          <w:tcPr>
            <w:tcW w:w="420" w:type="dxa"/>
            <w:vAlign w:val="bottom"/>
          </w:tcPr>
          <w:p>
            <w:pPr>
              <w:ind w:left="80"/>
              <w:spacing w:after="0"/>
              <w:rPr>
                <w:sz w:val="20"/>
                <w:szCs w:val="20"/>
                <w:color w:val="auto"/>
              </w:rPr>
            </w:pPr>
            <w:r>
              <w:rPr>
                <w:rFonts w:ascii="Arial" w:cs="Arial" w:eastAsia="Arial" w:hAnsi="Arial"/>
                <w:sz w:val="18"/>
                <w:szCs w:val="18"/>
                <w:color w:val="auto"/>
              </w:rPr>
              <w:t>NV</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Sandston</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Cerritos</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Lake City</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Boston</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Albany</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Sterling</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Chico</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Lake Mary</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Burlington</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w w:val="94"/>
              </w:rPr>
              <w:t>Cheektowaga</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Tysons</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460"/>
              <w:spacing w:after="0"/>
              <w:rPr>
                <w:sz w:val="20"/>
                <w:szCs w:val="20"/>
                <w:color w:val="auto"/>
              </w:rPr>
            </w:pPr>
            <w:r>
              <w:rPr>
                <w:rFonts w:ascii="Arial" w:cs="Arial" w:eastAsia="Arial" w:hAnsi="Arial"/>
                <w:sz w:val="18"/>
                <w:szCs w:val="18"/>
                <w:color w:val="auto"/>
              </w:rPr>
              <w:t>Corner</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City of</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Lakeland</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Cambridge</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Fishkill</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Vienna</w:t>
            </w:r>
          </w:p>
        </w:tc>
        <w:tc>
          <w:tcPr>
            <w:tcW w:w="480" w:type="dxa"/>
            <w:vAlign w:val="bottom"/>
          </w:tcPr>
          <w:p>
            <w:pPr>
              <w:ind w:left="120"/>
              <w:spacing w:after="0"/>
              <w:rPr>
                <w:sz w:val="20"/>
                <w:szCs w:val="20"/>
                <w:color w:val="auto"/>
              </w:rPr>
            </w:pPr>
            <w:r>
              <w:rPr>
                <w:rFonts w:ascii="Arial" w:cs="Arial" w:eastAsia="Arial" w:hAnsi="Arial"/>
                <w:sz w:val="18"/>
                <w:szCs w:val="18"/>
                <w:color w:val="auto"/>
              </w:rPr>
              <w:t>VA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Industry</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Clovis</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Marathon</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Dedham</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Jamaica</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Bellevue</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Concord</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Maitland</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Framingham</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Bothell</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Coronado</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Miami</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Lowell</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Plainview</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Kirkland</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Costa Mesa</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Miami Beach</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Marlborough</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Rochester</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Lynnwood</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Cupertino</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Orlando</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Natick</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Rockville</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Redmond</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Center</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Del Mar</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Palm Beach</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Stoughton</w:t>
            </w:r>
          </w:p>
        </w:tc>
        <w:tc>
          <w:tcPr>
            <w:tcW w:w="440" w:type="dxa"/>
            <w:vAlign w:val="bottom"/>
          </w:tcPr>
          <w:p>
            <w:pPr>
              <w:ind w:left="100"/>
              <w:spacing w:after="0"/>
              <w:rPr>
                <w:sz w:val="20"/>
                <w:szCs w:val="20"/>
                <w:color w:val="auto"/>
              </w:rPr>
            </w:pPr>
            <w:r>
              <w:rPr>
                <w:rFonts w:ascii="Arial" w:cs="Arial" w:eastAsia="Arial" w:hAnsi="Arial"/>
                <w:sz w:val="18"/>
                <w:szCs w:val="18"/>
                <w:color w:val="auto"/>
              </w:rPr>
              <w:t>MA</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Syracuse</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Seattle</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Dublin</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Plantation</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Baltimore</w:t>
            </w:r>
          </w:p>
        </w:tc>
        <w:tc>
          <w:tcPr>
            <w:tcW w:w="440" w:type="dxa"/>
            <w:vAlign w:val="bottom"/>
          </w:tcPr>
          <w:p>
            <w:pPr>
              <w:ind w:left="100"/>
              <w:spacing w:after="0"/>
              <w:rPr>
                <w:sz w:val="20"/>
                <w:szCs w:val="20"/>
                <w:color w:val="auto"/>
              </w:rPr>
            </w:pPr>
            <w:r>
              <w:rPr>
                <w:rFonts w:ascii="Arial" w:cs="Arial" w:eastAsia="Arial" w:hAnsi="Arial"/>
                <w:sz w:val="18"/>
                <w:szCs w:val="18"/>
                <w:color w:val="auto"/>
              </w:rPr>
              <w:t>MD</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Vestal</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Spokane</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El Segundo</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w w:val="95"/>
              </w:rPr>
              <w:t>Saint Augustine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Columbia</w:t>
            </w:r>
          </w:p>
        </w:tc>
        <w:tc>
          <w:tcPr>
            <w:tcW w:w="440" w:type="dxa"/>
            <w:vAlign w:val="bottom"/>
          </w:tcPr>
          <w:p>
            <w:pPr>
              <w:ind w:left="100"/>
              <w:spacing w:after="0"/>
              <w:rPr>
                <w:sz w:val="20"/>
                <w:szCs w:val="20"/>
                <w:color w:val="auto"/>
              </w:rPr>
            </w:pPr>
            <w:r>
              <w:rPr>
                <w:rFonts w:ascii="Arial" w:cs="Arial" w:eastAsia="Arial" w:hAnsi="Arial"/>
                <w:sz w:val="18"/>
                <w:szCs w:val="18"/>
                <w:color w:val="auto"/>
              </w:rPr>
              <w:t>MD</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White Plains</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Tacoma</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Emeryville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Sunrise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Greenbelt</w:t>
            </w:r>
          </w:p>
        </w:tc>
        <w:tc>
          <w:tcPr>
            <w:tcW w:w="440" w:type="dxa"/>
            <w:vAlign w:val="bottom"/>
          </w:tcPr>
          <w:p>
            <w:pPr>
              <w:ind w:left="100"/>
              <w:spacing w:after="0"/>
              <w:rPr>
                <w:sz w:val="20"/>
                <w:szCs w:val="20"/>
                <w:color w:val="auto"/>
              </w:rPr>
            </w:pPr>
            <w:r>
              <w:rPr>
                <w:rFonts w:ascii="Arial" w:cs="Arial" w:eastAsia="Arial" w:hAnsi="Arial"/>
                <w:sz w:val="18"/>
                <w:szCs w:val="18"/>
                <w:color w:val="auto"/>
              </w:rPr>
              <w:t>MD</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Woodbury</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Tukwila</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Escondido</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Tallahassee</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Linthicum</w:t>
            </w:r>
          </w:p>
        </w:tc>
        <w:tc>
          <w:tcPr>
            <w:tcW w:w="440" w:type="dxa"/>
            <w:vAlign w:val="bottom"/>
          </w:tcPr>
          <w:p>
            <w:pPr>
              <w:ind w:left="100"/>
              <w:spacing w:after="0"/>
              <w:rPr>
                <w:sz w:val="20"/>
                <w:szCs w:val="20"/>
                <w:color w:val="auto"/>
              </w:rPr>
            </w:pPr>
            <w:r>
              <w:rPr>
                <w:rFonts w:ascii="Arial" w:cs="Arial" w:eastAsia="Arial" w:hAnsi="Arial"/>
                <w:sz w:val="18"/>
                <w:szCs w:val="18"/>
                <w:color w:val="auto"/>
              </w:rPr>
              <w:t>MD</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Tarrytown</w:t>
            </w:r>
          </w:p>
        </w:tc>
        <w:tc>
          <w:tcPr>
            <w:tcW w:w="420" w:type="dxa"/>
            <w:vAlign w:val="bottom"/>
          </w:tcPr>
          <w:p>
            <w:pPr>
              <w:ind w:left="80"/>
              <w:spacing w:after="0"/>
              <w:rPr>
                <w:sz w:val="20"/>
                <w:szCs w:val="20"/>
                <w:color w:val="auto"/>
              </w:rPr>
            </w:pPr>
            <w:r>
              <w:rPr>
                <w:rFonts w:ascii="Arial" w:cs="Arial" w:eastAsia="Arial" w:hAnsi="Arial"/>
                <w:sz w:val="18"/>
                <w:szCs w:val="18"/>
                <w:color w:val="auto"/>
              </w:rPr>
              <w:t>NY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Woodinville</w:t>
            </w:r>
          </w:p>
        </w:tc>
        <w:tc>
          <w:tcPr>
            <w:tcW w:w="480" w:type="dxa"/>
            <w:vAlign w:val="bottom"/>
          </w:tcPr>
          <w:p>
            <w:pPr>
              <w:ind w:left="120"/>
              <w:spacing w:after="0"/>
              <w:rPr>
                <w:sz w:val="20"/>
                <w:szCs w:val="20"/>
                <w:color w:val="auto"/>
              </w:rPr>
            </w:pPr>
            <w:r>
              <w:rPr>
                <w:rFonts w:ascii="Arial" w:cs="Arial" w:eastAsia="Arial" w:hAnsi="Arial"/>
                <w:sz w:val="18"/>
                <w:szCs w:val="18"/>
                <w:color w:val="auto"/>
              </w:rPr>
              <w:t>WA</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Arial" w:cs="Arial" w:eastAsia="Arial" w:hAnsi="Arial"/>
                <w:sz w:val="18"/>
                <w:szCs w:val="18"/>
                <w:color w:val="auto"/>
              </w:rPr>
              <w:t>Heights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Eureka</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Tamarac</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Portland</w:t>
            </w:r>
          </w:p>
        </w:tc>
        <w:tc>
          <w:tcPr>
            <w:tcW w:w="440" w:type="dxa"/>
            <w:vAlign w:val="bottom"/>
          </w:tcPr>
          <w:p>
            <w:pPr>
              <w:ind w:left="100"/>
              <w:spacing w:after="0"/>
              <w:rPr>
                <w:sz w:val="20"/>
                <w:szCs w:val="20"/>
                <w:color w:val="auto"/>
              </w:rPr>
            </w:pPr>
            <w:r>
              <w:rPr>
                <w:rFonts w:ascii="Arial" w:cs="Arial" w:eastAsia="Arial" w:hAnsi="Arial"/>
                <w:sz w:val="18"/>
                <w:szCs w:val="18"/>
                <w:color w:val="auto"/>
              </w:rPr>
              <w:t>ME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Beachwood</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Green Bay</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Garden</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Tampa</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Battlecreek</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Boardman</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Kenosha</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Grove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Glendale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West Palm</w:t>
            </w:r>
          </w:p>
        </w:tc>
        <w:tc>
          <w:tcPr>
            <w:tcW w:w="380" w:type="dxa"/>
            <w:vAlign w:val="bottom"/>
          </w:tcPr>
          <w:p>
            <w:pPr>
              <w:ind w:left="60"/>
              <w:spacing w:after="0"/>
              <w:rPr>
                <w:sz w:val="20"/>
                <w:szCs w:val="20"/>
                <w:color w:val="auto"/>
              </w:rPr>
            </w:pPr>
            <w:r>
              <w:rPr>
                <w:rFonts w:ascii="Arial" w:cs="Arial" w:eastAsia="Arial" w:hAnsi="Arial"/>
                <w:sz w:val="18"/>
                <w:szCs w:val="18"/>
                <w:color w:val="auto"/>
              </w:rPr>
              <w:t>FL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Canton</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Centerville</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Kimberly</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(North)</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ind w:left="220"/>
              <w:spacing w:after="0"/>
              <w:rPr>
                <w:sz w:val="20"/>
                <w:szCs w:val="20"/>
                <w:color w:val="auto"/>
              </w:rPr>
            </w:pPr>
            <w:r>
              <w:rPr>
                <w:rFonts w:ascii="Arial" w:cs="Arial" w:eastAsia="Arial" w:hAnsi="Arial"/>
                <w:sz w:val="18"/>
                <w:szCs w:val="18"/>
                <w:color w:val="auto"/>
              </w:rPr>
              <w:t>Beach</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Hawthorne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Alpharetta</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Dearborn</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Cleveland</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Madison</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Hayward</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Athens</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Detroit</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Columbus</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Milwaukee</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Hollywood</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Atlanta</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Farmington</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Dublin</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Mukwonago</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Arial" w:cs="Arial" w:eastAsia="Arial" w:hAnsi="Arial"/>
                <w:sz w:val="18"/>
                <w:szCs w:val="18"/>
                <w:color w:val="auto"/>
              </w:rPr>
              <w:t>Hills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Irvine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Augusta</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Holland</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Fairborn</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Oshkosh</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La Jolla</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Brunswick</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Livonia</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w w:val="91"/>
              </w:rPr>
              <w:t>Independence</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Pewaukee</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Livermore</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Carrollton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Marquette</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Mayfield</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Waukesha</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Village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Long Beach</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Columbus</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Novi</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Niles</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Wauwatosa</w:t>
            </w:r>
          </w:p>
        </w:tc>
        <w:tc>
          <w:tcPr>
            <w:tcW w:w="480" w:type="dxa"/>
            <w:vAlign w:val="bottom"/>
          </w:tcPr>
          <w:p>
            <w:pPr>
              <w:ind w:left="120"/>
              <w:spacing w:after="0"/>
              <w:rPr>
                <w:sz w:val="20"/>
                <w:szCs w:val="20"/>
                <w:color w:val="auto"/>
              </w:rPr>
            </w:pPr>
            <w:r>
              <w:rPr>
                <w:rFonts w:ascii="Arial" w:cs="Arial" w:eastAsia="Arial" w:hAnsi="Arial"/>
                <w:sz w:val="18"/>
                <w:szCs w:val="18"/>
                <w:color w:val="auto"/>
              </w:rPr>
              <w:t>WI</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8"/>
              </w:rPr>
              <w:t>Los Angeles</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Dublin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Port Huron</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North</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Beckley</w:t>
            </w:r>
          </w:p>
        </w:tc>
        <w:tc>
          <w:tcPr>
            <w:tcW w:w="480" w:type="dxa"/>
            <w:vAlign w:val="bottom"/>
          </w:tcPr>
          <w:p>
            <w:pPr>
              <w:ind w:left="120"/>
              <w:spacing w:after="0"/>
              <w:rPr>
                <w:sz w:val="20"/>
                <w:szCs w:val="20"/>
                <w:color w:val="auto"/>
              </w:rPr>
            </w:pPr>
            <w:r>
              <w:rPr>
                <w:rFonts w:ascii="Arial" w:cs="Arial" w:eastAsia="Arial" w:hAnsi="Arial"/>
                <w:sz w:val="18"/>
                <w:szCs w:val="18"/>
                <w:color w:val="auto"/>
              </w:rPr>
              <w:t>WV</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Olmsted</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Merced</w:t>
            </w:r>
          </w:p>
        </w:tc>
        <w:tc>
          <w:tcPr>
            <w:tcW w:w="400" w:type="dxa"/>
            <w:vAlign w:val="bottom"/>
          </w:tcPr>
          <w:p>
            <w:pPr>
              <w:ind w:left="8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ind w:left="220"/>
              <w:spacing w:after="0"/>
              <w:rPr>
                <w:sz w:val="20"/>
                <w:szCs w:val="20"/>
                <w:color w:val="auto"/>
              </w:rPr>
            </w:pPr>
            <w:r>
              <w:rPr>
                <w:rFonts w:ascii="Arial" w:cs="Arial" w:eastAsia="Arial" w:hAnsi="Arial"/>
                <w:sz w:val="18"/>
                <w:szCs w:val="18"/>
                <w:color w:val="auto"/>
              </w:rPr>
              <w:t>Duluth</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Saginaw</w:t>
            </w:r>
          </w:p>
        </w:tc>
        <w:tc>
          <w:tcPr>
            <w:tcW w:w="440" w:type="dxa"/>
            <w:vAlign w:val="bottom"/>
          </w:tcPr>
          <w:p>
            <w:pPr>
              <w:ind w:left="100"/>
              <w:spacing w:after="0"/>
              <w:rPr>
                <w:sz w:val="20"/>
                <w:szCs w:val="20"/>
                <w:color w:val="auto"/>
              </w:rPr>
            </w:pPr>
            <w:r>
              <w:rPr>
                <w:rFonts w:ascii="Arial" w:cs="Arial" w:eastAsia="Arial" w:hAnsi="Arial"/>
                <w:sz w:val="18"/>
                <w:szCs w:val="18"/>
                <w:color w:val="auto"/>
              </w:rPr>
              <w:t>MI</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ind w:left="220"/>
              <w:spacing w:after="0"/>
              <w:rPr>
                <w:sz w:val="20"/>
                <w:szCs w:val="20"/>
                <w:color w:val="auto"/>
              </w:rPr>
            </w:pPr>
            <w:r>
              <w:rPr>
                <w:rFonts w:ascii="Arial" w:cs="Arial" w:eastAsia="Arial" w:hAnsi="Arial"/>
                <w:sz w:val="18"/>
                <w:szCs w:val="18"/>
                <w:color w:val="auto"/>
              </w:rPr>
              <w:t>Orange</w:t>
            </w:r>
          </w:p>
        </w:tc>
        <w:tc>
          <w:tcPr>
            <w:tcW w:w="420" w:type="dxa"/>
            <w:vAlign w:val="bottom"/>
          </w:tcPr>
          <w:p>
            <w:pPr>
              <w:ind w:left="8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460"/>
              <w:spacing w:after="0"/>
              <w:rPr>
                <w:sz w:val="20"/>
                <w:szCs w:val="20"/>
                <w:color w:val="auto"/>
              </w:rPr>
            </w:pPr>
            <w:r>
              <w:rPr>
                <w:rFonts w:ascii="Arial" w:cs="Arial" w:eastAsia="Arial" w:hAnsi="Arial"/>
                <w:sz w:val="18"/>
                <w:szCs w:val="18"/>
                <w:color w:val="auto"/>
              </w:rPr>
              <w:t>Charleston</w:t>
            </w:r>
          </w:p>
        </w:tc>
        <w:tc>
          <w:tcPr>
            <w:tcW w:w="480" w:type="dxa"/>
            <w:vAlign w:val="bottom"/>
          </w:tcPr>
          <w:p>
            <w:pPr>
              <w:ind w:left="120"/>
              <w:spacing w:after="0"/>
              <w:rPr>
                <w:sz w:val="20"/>
                <w:szCs w:val="20"/>
                <w:color w:val="auto"/>
              </w:rPr>
            </w:pPr>
            <w:r>
              <w:rPr>
                <w:rFonts w:ascii="Arial" w:cs="Arial" w:eastAsia="Arial" w:hAnsi="Arial"/>
                <w:sz w:val="18"/>
                <w:szCs w:val="18"/>
                <w:color w:val="auto"/>
              </w:rPr>
              <w:t>WV</w:t>
            </w:r>
          </w:p>
        </w:tc>
        <w:tc>
          <w:tcPr>
            <w:tcW w:w="74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rPr>
              <w:t>Village</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w w:val="90"/>
              </w:rPr>
              <w:t>Agreement Number 02026713.A.011</w:t>
            </w:r>
          </w:p>
        </w:tc>
      </w:tr>
      <w:tr>
        <w:trPr>
          <w:trHeight w:val="350"/>
        </w:trPr>
        <w:tc>
          <w:tcPr>
            <w:tcW w:w="900" w:type="dxa"/>
            <w:vAlign w:val="bottom"/>
          </w:tcPr>
          <w:p>
            <w:pPr>
              <w:spacing w:after="0"/>
              <w:rPr>
                <w:sz w:val="20"/>
                <w:szCs w:val="20"/>
                <w:color w:val="auto"/>
              </w:rPr>
            </w:pPr>
            <w:r>
              <w:rPr>
                <w:rFonts w:ascii="Arial" w:cs="Arial" w:eastAsia="Arial" w:hAnsi="Arial"/>
                <w:sz w:val="18"/>
                <w:szCs w:val="18"/>
                <w:color w:val="auto"/>
              </w:rPr>
              <w:t>Milpitas</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Dunwoody</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Southfield</w:t>
            </w:r>
          </w:p>
        </w:tc>
        <w:tc>
          <w:tcPr>
            <w:tcW w:w="420" w:type="dxa"/>
            <w:vAlign w:val="bottom"/>
          </w:tcPr>
          <w:p>
            <w:pPr>
              <w:ind w:left="60"/>
              <w:spacing w:after="0"/>
              <w:rPr>
                <w:sz w:val="20"/>
                <w:szCs w:val="20"/>
                <w:color w:val="auto"/>
              </w:rPr>
            </w:pPr>
            <w:r>
              <w:rPr>
                <w:rFonts w:ascii="Arial" w:cs="Arial" w:eastAsia="Arial" w:hAnsi="Arial"/>
                <w:sz w:val="18"/>
                <w:szCs w:val="18"/>
                <w:color w:val="auto"/>
              </w:rPr>
              <w:t>MI</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Perrysburg</w:t>
            </w:r>
          </w:p>
        </w:tc>
        <w:tc>
          <w:tcPr>
            <w:tcW w:w="380" w:type="dxa"/>
            <w:vAlign w:val="bottom"/>
          </w:tcPr>
          <w:p>
            <w:pPr>
              <w:ind w:left="6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480"/>
              <w:spacing w:after="0"/>
              <w:rPr>
                <w:sz w:val="20"/>
                <w:szCs w:val="20"/>
                <w:color w:val="auto"/>
              </w:rPr>
            </w:pPr>
            <w:r>
              <w:rPr>
                <w:rFonts w:ascii="Arial" w:cs="Arial" w:eastAsia="Arial" w:hAnsi="Arial"/>
                <w:sz w:val="18"/>
                <w:szCs w:val="18"/>
                <w:color w:val="auto"/>
              </w:rPr>
              <w:t>Hurricane</w:t>
            </w:r>
          </w:p>
        </w:tc>
        <w:tc>
          <w:tcPr>
            <w:tcW w:w="1300" w:type="dxa"/>
            <w:vAlign w:val="bottom"/>
          </w:tcPr>
          <w:p>
            <w:pPr>
              <w:ind w:left="200"/>
              <w:spacing w:after="0"/>
              <w:rPr>
                <w:sz w:val="20"/>
                <w:szCs w:val="20"/>
                <w:color w:val="auto"/>
              </w:rPr>
            </w:pPr>
            <w:r>
              <w:rPr>
                <w:rFonts w:ascii="Arial" w:cs="Arial" w:eastAsia="Arial" w:hAnsi="Arial"/>
                <w:sz w:val="18"/>
                <w:szCs w:val="18"/>
                <w:color w:val="auto"/>
              </w:rPr>
              <w:t>WV  [**]</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Modesto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Griffin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Walker</w:t>
            </w:r>
          </w:p>
        </w:tc>
        <w:tc>
          <w:tcPr>
            <w:tcW w:w="420" w:type="dxa"/>
            <w:vAlign w:val="bottom"/>
          </w:tcPr>
          <w:p>
            <w:pPr>
              <w:ind w:left="60"/>
              <w:spacing w:after="0"/>
              <w:rPr>
                <w:sz w:val="20"/>
                <w:szCs w:val="20"/>
                <w:color w:val="auto"/>
              </w:rPr>
            </w:pPr>
            <w:r>
              <w:rPr>
                <w:rFonts w:ascii="Arial" w:cs="Arial" w:eastAsia="Arial" w:hAnsi="Arial"/>
                <w:sz w:val="18"/>
                <w:szCs w:val="18"/>
                <w:color w:val="auto"/>
              </w:rPr>
              <w:t>MI</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Reynoldsburg</w:t>
            </w:r>
          </w:p>
        </w:tc>
        <w:tc>
          <w:tcPr>
            <w:tcW w:w="380" w:type="dxa"/>
            <w:vAlign w:val="bottom"/>
          </w:tcPr>
          <w:p>
            <w:pPr>
              <w:ind w:left="6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9"/>
              </w:rPr>
              <w:t>Montebello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Lawrenceville</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Warren</w:t>
            </w:r>
          </w:p>
        </w:tc>
        <w:tc>
          <w:tcPr>
            <w:tcW w:w="420" w:type="dxa"/>
            <w:vAlign w:val="bottom"/>
          </w:tcPr>
          <w:p>
            <w:pPr>
              <w:ind w:left="60"/>
              <w:spacing w:after="0"/>
              <w:rPr>
                <w:sz w:val="20"/>
                <w:szCs w:val="20"/>
                <w:color w:val="auto"/>
              </w:rPr>
            </w:pPr>
            <w:r>
              <w:rPr>
                <w:rFonts w:ascii="Arial" w:cs="Arial" w:eastAsia="Arial" w:hAnsi="Arial"/>
                <w:sz w:val="18"/>
                <w:szCs w:val="18"/>
                <w:color w:val="auto"/>
              </w:rPr>
              <w:t>MI</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Richfield</w:t>
            </w:r>
          </w:p>
        </w:tc>
        <w:tc>
          <w:tcPr>
            <w:tcW w:w="380" w:type="dxa"/>
            <w:vAlign w:val="bottom"/>
          </w:tcPr>
          <w:p>
            <w:pPr>
              <w:ind w:left="60"/>
              <w:spacing w:after="0"/>
              <w:rPr>
                <w:sz w:val="20"/>
                <w:szCs w:val="20"/>
                <w:color w:val="auto"/>
              </w:rPr>
            </w:pPr>
            <w:r>
              <w:rPr>
                <w:rFonts w:ascii="Arial" w:cs="Arial" w:eastAsia="Arial" w:hAnsi="Arial"/>
                <w:sz w:val="18"/>
                <w:szCs w:val="18"/>
                <w:color w:val="auto"/>
              </w:rPr>
              <w:t>OH</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Napa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Lithia Springs</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Baxter</w:t>
            </w:r>
          </w:p>
        </w:tc>
        <w:tc>
          <w:tcPr>
            <w:tcW w:w="420" w:type="dxa"/>
            <w:vAlign w:val="bottom"/>
          </w:tcPr>
          <w:p>
            <w:pPr>
              <w:ind w:left="60"/>
              <w:spacing w:after="0"/>
              <w:rPr>
                <w:sz w:val="20"/>
                <w:szCs w:val="20"/>
                <w:color w:val="auto"/>
              </w:rPr>
            </w:pPr>
            <w:r>
              <w:rPr>
                <w:rFonts w:ascii="Arial" w:cs="Arial" w:eastAsia="Arial" w:hAnsi="Arial"/>
                <w:sz w:val="18"/>
                <w:szCs w:val="18"/>
                <w:color w:val="auto"/>
              </w:rPr>
              <w:t>MN</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w w:val="98"/>
              </w:rPr>
              <w:t>Oklahoma City</w:t>
            </w:r>
          </w:p>
        </w:tc>
        <w:tc>
          <w:tcPr>
            <w:tcW w:w="380" w:type="dxa"/>
            <w:vAlign w:val="bottom"/>
          </w:tcPr>
          <w:p>
            <w:pPr>
              <w:ind w:left="60"/>
              <w:spacing w:after="0"/>
              <w:rPr>
                <w:sz w:val="20"/>
                <w:szCs w:val="20"/>
                <w:color w:val="auto"/>
              </w:rPr>
            </w:pPr>
            <w:r>
              <w:rPr>
                <w:rFonts w:ascii="Arial" w:cs="Arial" w:eastAsia="Arial" w:hAnsi="Arial"/>
                <w:sz w:val="18"/>
                <w:szCs w:val="18"/>
                <w:color w:val="auto"/>
              </w:rPr>
              <w:t>OK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Ontario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Macon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Bloomington</w:t>
            </w:r>
          </w:p>
        </w:tc>
        <w:tc>
          <w:tcPr>
            <w:tcW w:w="420" w:type="dxa"/>
            <w:vAlign w:val="bottom"/>
          </w:tcPr>
          <w:p>
            <w:pPr>
              <w:ind w:left="60"/>
              <w:spacing w:after="0"/>
              <w:rPr>
                <w:sz w:val="20"/>
                <w:szCs w:val="20"/>
                <w:color w:val="auto"/>
              </w:rPr>
            </w:pPr>
            <w:r>
              <w:rPr>
                <w:rFonts w:ascii="Arial" w:cs="Arial" w:eastAsia="Arial" w:hAnsi="Arial"/>
                <w:sz w:val="18"/>
                <w:szCs w:val="18"/>
                <w:color w:val="auto"/>
              </w:rPr>
              <w:t>MN</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Owasso</w:t>
            </w:r>
          </w:p>
        </w:tc>
        <w:tc>
          <w:tcPr>
            <w:tcW w:w="380" w:type="dxa"/>
            <w:vAlign w:val="bottom"/>
          </w:tcPr>
          <w:p>
            <w:pPr>
              <w:ind w:left="60"/>
              <w:spacing w:after="0"/>
              <w:rPr>
                <w:sz w:val="20"/>
                <w:szCs w:val="20"/>
                <w:color w:val="auto"/>
              </w:rPr>
            </w:pPr>
            <w:r>
              <w:rPr>
                <w:rFonts w:ascii="Arial" w:cs="Arial" w:eastAsia="Arial" w:hAnsi="Arial"/>
                <w:sz w:val="18"/>
                <w:szCs w:val="18"/>
                <w:color w:val="auto"/>
              </w:rPr>
              <w:t>OK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Orange</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Newnan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Deluth</w:t>
            </w:r>
          </w:p>
        </w:tc>
        <w:tc>
          <w:tcPr>
            <w:tcW w:w="420" w:type="dxa"/>
            <w:vAlign w:val="bottom"/>
          </w:tcPr>
          <w:p>
            <w:pPr>
              <w:ind w:left="60"/>
              <w:spacing w:after="0"/>
              <w:rPr>
                <w:sz w:val="20"/>
                <w:szCs w:val="20"/>
                <w:color w:val="auto"/>
              </w:rPr>
            </w:pPr>
            <w:r>
              <w:rPr>
                <w:rFonts w:ascii="Arial" w:cs="Arial" w:eastAsia="Arial" w:hAnsi="Arial"/>
                <w:sz w:val="18"/>
                <w:szCs w:val="18"/>
                <w:color w:val="auto"/>
              </w:rPr>
              <w:t>MN</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Ponca City</w:t>
            </w:r>
          </w:p>
        </w:tc>
        <w:tc>
          <w:tcPr>
            <w:tcW w:w="380" w:type="dxa"/>
            <w:vAlign w:val="bottom"/>
          </w:tcPr>
          <w:p>
            <w:pPr>
              <w:ind w:left="60"/>
              <w:spacing w:after="0"/>
              <w:rPr>
                <w:sz w:val="20"/>
                <w:szCs w:val="20"/>
                <w:color w:val="auto"/>
              </w:rPr>
            </w:pPr>
            <w:r>
              <w:rPr>
                <w:rFonts w:ascii="Arial" w:cs="Arial" w:eastAsia="Arial" w:hAnsi="Arial"/>
                <w:sz w:val="18"/>
                <w:szCs w:val="18"/>
                <w:color w:val="auto"/>
              </w:rPr>
              <w:t>OK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Pasadena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Norcross</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Minneapolis</w:t>
            </w:r>
          </w:p>
        </w:tc>
        <w:tc>
          <w:tcPr>
            <w:tcW w:w="420" w:type="dxa"/>
            <w:vAlign w:val="bottom"/>
          </w:tcPr>
          <w:p>
            <w:pPr>
              <w:ind w:left="60"/>
              <w:spacing w:after="0"/>
              <w:rPr>
                <w:sz w:val="20"/>
                <w:szCs w:val="20"/>
                <w:color w:val="auto"/>
              </w:rPr>
            </w:pPr>
            <w:r>
              <w:rPr>
                <w:rFonts w:ascii="Arial" w:cs="Arial" w:eastAsia="Arial" w:hAnsi="Arial"/>
                <w:sz w:val="18"/>
                <w:szCs w:val="18"/>
                <w:color w:val="auto"/>
              </w:rPr>
              <w:t>MN</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Coos Bay</w:t>
            </w:r>
          </w:p>
        </w:tc>
        <w:tc>
          <w:tcPr>
            <w:tcW w:w="380" w:type="dxa"/>
            <w:vAlign w:val="bottom"/>
          </w:tcPr>
          <w:p>
            <w:pPr>
              <w:ind w:left="60"/>
              <w:spacing w:after="0"/>
              <w:rPr>
                <w:sz w:val="20"/>
                <w:szCs w:val="20"/>
                <w:color w:val="auto"/>
              </w:rPr>
            </w:pPr>
            <w:r>
              <w:rPr>
                <w:rFonts w:ascii="Arial" w:cs="Arial" w:eastAsia="Arial" w:hAnsi="Arial"/>
                <w:sz w:val="18"/>
                <w:szCs w:val="18"/>
                <w:color w:val="auto"/>
              </w:rPr>
              <w:t>OR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Petaluma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w w:val="98"/>
              </w:rPr>
              <w:t>Peachtree City</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St. Paul</w:t>
            </w:r>
          </w:p>
        </w:tc>
        <w:tc>
          <w:tcPr>
            <w:tcW w:w="420" w:type="dxa"/>
            <w:vAlign w:val="bottom"/>
          </w:tcPr>
          <w:p>
            <w:pPr>
              <w:ind w:left="60"/>
              <w:spacing w:after="0"/>
              <w:rPr>
                <w:sz w:val="20"/>
                <w:szCs w:val="20"/>
                <w:color w:val="auto"/>
              </w:rPr>
            </w:pPr>
            <w:r>
              <w:rPr>
                <w:rFonts w:ascii="Arial" w:cs="Arial" w:eastAsia="Arial" w:hAnsi="Arial"/>
                <w:sz w:val="18"/>
                <w:szCs w:val="18"/>
                <w:color w:val="auto"/>
              </w:rPr>
              <w:t>MN</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Portland</w:t>
            </w:r>
          </w:p>
        </w:tc>
        <w:tc>
          <w:tcPr>
            <w:tcW w:w="380" w:type="dxa"/>
            <w:vAlign w:val="bottom"/>
          </w:tcPr>
          <w:p>
            <w:pPr>
              <w:ind w:left="60"/>
              <w:spacing w:after="0"/>
              <w:rPr>
                <w:sz w:val="20"/>
                <w:szCs w:val="20"/>
                <w:color w:val="auto"/>
              </w:rPr>
            </w:pPr>
            <w:r>
              <w:rPr>
                <w:rFonts w:ascii="Arial" w:cs="Arial" w:eastAsia="Arial" w:hAnsi="Arial"/>
                <w:sz w:val="18"/>
                <w:szCs w:val="18"/>
                <w:color w:val="auto"/>
              </w:rPr>
              <w:t>OR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Pleasanton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Savannah</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Bridgeton</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Tigard</w:t>
            </w:r>
          </w:p>
        </w:tc>
        <w:tc>
          <w:tcPr>
            <w:tcW w:w="380" w:type="dxa"/>
            <w:vAlign w:val="bottom"/>
          </w:tcPr>
          <w:p>
            <w:pPr>
              <w:ind w:left="60"/>
              <w:spacing w:after="0"/>
              <w:rPr>
                <w:sz w:val="20"/>
                <w:szCs w:val="20"/>
                <w:color w:val="auto"/>
              </w:rPr>
            </w:pPr>
            <w:r>
              <w:rPr>
                <w:rFonts w:ascii="Arial" w:cs="Arial" w:eastAsia="Arial" w:hAnsi="Arial"/>
                <w:sz w:val="18"/>
                <w:szCs w:val="18"/>
                <w:color w:val="auto"/>
              </w:rPr>
              <w:t>OR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Riverside</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Roswell</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Columbia</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Allentown</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Rocklin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Tifton</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Fenton</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Audubon</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Rohnert</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w w:val="96"/>
              </w:rPr>
              <w:t>Warner Robins</w:t>
            </w:r>
          </w:p>
        </w:tc>
        <w:tc>
          <w:tcPr>
            <w:tcW w:w="380" w:type="dxa"/>
            <w:vAlign w:val="bottom"/>
          </w:tcPr>
          <w:p>
            <w:pPr>
              <w:ind w:left="60"/>
              <w:spacing w:after="0"/>
              <w:rPr>
                <w:sz w:val="20"/>
                <w:szCs w:val="20"/>
                <w:color w:val="auto"/>
              </w:rPr>
            </w:pPr>
            <w:r>
              <w:rPr>
                <w:rFonts w:ascii="Arial" w:cs="Arial" w:eastAsia="Arial" w:hAnsi="Arial"/>
                <w:sz w:val="18"/>
                <w:szCs w:val="18"/>
                <w:color w:val="auto"/>
              </w:rPr>
              <w:t>GA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Festus</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Bensalem</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Park</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Rosemead</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Honolulu</w:t>
            </w:r>
          </w:p>
        </w:tc>
        <w:tc>
          <w:tcPr>
            <w:tcW w:w="380" w:type="dxa"/>
            <w:vAlign w:val="bottom"/>
          </w:tcPr>
          <w:p>
            <w:pPr>
              <w:ind w:left="60"/>
              <w:spacing w:after="0"/>
              <w:rPr>
                <w:sz w:val="20"/>
                <w:szCs w:val="20"/>
                <w:color w:val="auto"/>
              </w:rPr>
            </w:pPr>
            <w:r>
              <w:rPr>
                <w:rFonts w:ascii="Arial" w:cs="Arial" w:eastAsia="Arial" w:hAnsi="Arial"/>
                <w:sz w:val="18"/>
                <w:szCs w:val="18"/>
                <w:color w:val="auto"/>
              </w:rPr>
              <w:t>HI</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Joplin</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Berwyn</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0"/>
              </w:rPr>
              <w:t>Sacramento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Kailua Kona</w:t>
            </w:r>
          </w:p>
        </w:tc>
        <w:tc>
          <w:tcPr>
            <w:tcW w:w="380" w:type="dxa"/>
            <w:vAlign w:val="bottom"/>
          </w:tcPr>
          <w:p>
            <w:pPr>
              <w:ind w:left="60"/>
              <w:spacing w:after="0"/>
              <w:rPr>
                <w:sz w:val="20"/>
                <w:szCs w:val="20"/>
                <w:color w:val="auto"/>
              </w:rPr>
            </w:pPr>
            <w:r>
              <w:rPr>
                <w:rFonts w:ascii="Arial" w:cs="Arial" w:eastAsia="Arial" w:hAnsi="Arial"/>
                <w:sz w:val="18"/>
                <w:szCs w:val="18"/>
                <w:color w:val="auto"/>
              </w:rPr>
              <w:t>HI</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Coraopolis</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Salinas</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Kihei</w:t>
            </w:r>
          </w:p>
        </w:tc>
        <w:tc>
          <w:tcPr>
            <w:tcW w:w="380" w:type="dxa"/>
            <w:vAlign w:val="bottom"/>
          </w:tcPr>
          <w:p>
            <w:pPr>
              <w:ind w:left="60"/>
              <w:spacing w:after="0"/>
              <w:rPr>
                <w:sz w:val="20"/>
                <w:szCs w:val="20"/>
                <w:color w:val="auto"/>
              </w:rPr>
            </w:pPr>
            <w:r>
              <w:rPr>
                <w:rFonts w:ascii="Arial" w:cs="Arial" w:eastAsia="Arial" w:hAnsi="Arial"/>
                <w:sz w:val="18"/>
                <w:szCs w:val="18"/>
                <w:color w:val="auto"/>
              </w:rPr>
              <w:t>HI</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Kirkwood</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Essington</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8"/>
              </w:rPr>
              <w:t>San Carlos</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Waikoloa</w:t>
            </w:r>
          </w:p>
        </w:tc>
        <w:tc>
          <w:tcPr>
            <w:tcW w:w="380" w:type="dxa"/>
            <w:vAlign w:val="bottom"/>
          </w:tcPr>
          <w:p>
            <w:pPr>
              <w:ind w:left="60"/>
              <w:spacing w:after="0"/>
              <w:rPr>
                <w:sz w:val="20"/>
                <w:szCs w:val="20"/>
                <w:color w:val="auto"/>
              </w:rPr>
            </w:pPr>
            <w:r>
              <w:rPr>
                <w:rFonts w:ascii="Arial" w:cs="Arial" w:eastAsia="Arial" w:hAnsi="Arial"/>
                <w:sz w:val="18"/>
                <w:szCs w:val="18"/>
                <w:color w:val="auto"/>
              </w:rPr>
              <w:t>HI</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Lees Summit</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Glen Mills</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 Diego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Desmoines</w:t>
            </w:r>
          </w:p>
        </w:tc>
        <w:tc>
          <w:tcPr>
            <w:tcW w:w="380" w:type="dxa"/>
            <w:vAlign w:val="bottom"/>
          </w:tcPr>
          <w:p>
            <w:pPr>
              <w:ind w:left="60"/>
              <w:spacing w:after="0"/>
              <w:rPr>
                <w:sz w:val="20"/>
                <w:szCs w:val="20"/>
                <w:color w:val="auto"/>
              </w:rPr>
            </w:pPr>
            <w:r>
              <w:rPr>
                <w:rFonts w:ascii="Arial" w:cs="Arial" w:eastAsia="Arial" w:hAnsi="Arial"/>
                <w:sz w:val="18"/>
                <w:szCs w:val="18"/>
                <w:color w:val="auto"/>
              </w:rPr>
              <w:t>IA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Maryland</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Harrisburg</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rPr>
              <w:t>Heights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Johnston</w:t>
            </w:r>
          </w:p>
        </w:tc>
        <w:tc>
          <w:tcPr>
            <w:tcW w:w="380" w:type="dxa"/>
            <w:vAlign w:val="bottom"/>
          </w:tcPr>
          <w:p>
            <w:pPr>
              <w:ind w:left="60"/>
              <w:spacing w:after="0"/>
              <w:rPr>
                <w:sz w:val="20"/>
                <w:szCs w:val="20"/>
                <w:color w:val="auto"/>
              </w:rPr>
            </w:pPr>
            <w:r>
              <w:rPr>
                <w:rFonts w:ascii="Arial" w:cs="Arial" w:eastAsia="Arial" w:hAnsi="Arial"/>
                <w:sz w:val="18"/>
                <w:szCs w:val="18"/>
                <w:color w:val="auto"/>
              </w:rPr>
              <w:t>IA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Saint Charles</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w w:val="95"/>
              </w:rPr>
              <w:t>King of Prussia</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Francisco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Urbandale</w:t>
            </w:r>
          </w:p>
        </w:tc>
        <w:tc>
          <w:tcPr>
            <w:tcW w:w="380" w:type="dxa"/>
            <w:vAlign w:val="bottom"/>
          </w:tcPr>
          <w:p>
            <w:pPr>
              <w:ind w:left="60"/>
              <w:spacing w:after="0"/>
              <w:rPr>
                <w:sz w:val="20"/>
                <w:szCs w:val="20"/>
                <w:color w:val="auto"/>
              </w:rPr>
            </w:pPr>
            <w:r>
              <w:rPr>
                <w:rFonts w:ascii="Arial" w:cs="Arial" w:eastAsia="Arial" w:hAnsi="Arial"/>
                <w:sz w:val="18"/>
                <w:szCs w:val="18"/>
                <w:color w:val="auto"/>
              </w:rPr>
              <w:t>IA</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Saint Louis</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Philadelphia</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Gabriel</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 Jose</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Ammon</w:t>
            </w:r>
          </w:p>
        </w:tc>
        <w:tc>
          <w:tcPr>
            <w:tcW w:w="380" w:type="dxa"/>
            <w:vAlign w:val="bottom"/>
          </w:tcPr>
          <w:p>
            <w:pPr>
              <w:ind w:left="60"/>
              <w:spacing w:after="0"/>
              <w:rPr>
                <w:sz w:val="20"/>
                <w:szCs w:val="20"/>
                <w:color w:val="auto"/>
              </w:rPr>
            </w:pPr>
            <w:r>
              <w:rPr>
                <w:rFonts w:ascii="Arial" w:cs="Arial" w:eastAsia="Arial" w:hAnsi="Arial"/>
                <w:sz w:val="18"/>
                <w:szCs w:val="18"/>
                <w:color w:val="auto"/>
              </w:rPr>
              <w:t>ID</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Springfield</w:t>
            </w:r>
          </w:p>
        </w:tc>
        <w:tc>
          <w:tcPr>
            <w:tcW w:w="420" w:type="dxa"/>
            <w:vAlign w:val="bottom"/>
          </w:tcPr>
          <w:p>
            <w:pPr>
              <w:ind w:left="60"/>
              <w:spacing w:after="0"/>
              <w:rPr>
                <w:sz w:val="20"/>
                <w:szCs w:val="20"/>
                <w:color w:val="auto"/>
              </w:rPr>
            </w:pPr>
            <w:r>
              <w:rPr>
                <w:rFonts w:ascii="Arial" w:cs="Arial" w:eastAsia="Arial" w:hAnsi="Arial"/>
                <w:sz w:val="18"/>
                <w:szCs w:val="18"/>
                <w:color w:val="auto"/>
              </w:rPr>
              <w:t>MO</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Pittsburgh</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 Luis</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Alsip</w:t>
            </w:r>
          </w:p>
        </w:tc>
        <w:tc>
          <w:tcPr>
            <w:tcW w:w="380" w:type="dxa"/>
            <w:vAlign w:val="bottom"/>
          </w:tcPr>
          <w:p>
            <w:pPr>
              <w:ind w:left="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Jackson</w:t>
            </w:r>
          </w:p>
        </w:tc>
        <w:tc>
          <w:tcPr>
            <w:tcW w:w="420" w:type="dxa"/>
            <w:vAlign w:val="bottom"/>
          </w:tcPr>
          <w:p>
            <w:pPr>
              <w:ind w:left="60"/>
              <w:spacing w:after="0"/>
              <w:rPr>
                <w:sz w:val="20"/>
                <w:szCs w:val="20"/>
                <w:color w:val="auto"/>
              </w:rPr>
            </w:pPr>
            <w:r>
              <w:rPr>
                <w:rFonts w:ascii="Arial" w:cs="Arial" w:eastAsia="Arial" w:hAnsi="Arial"/>
                <w:sz w:val="18"/>
                <w:szCs w:val="18"/>
                <w:color w:val="auto"/>
              </w:rPr>
              <w:t>MS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Wayne</w:t>
            </w:r>
          </w:p>
        </w:tc>
        <w:tc>
          <w:tcPr>
            <w:tcW w:w="380" w:type="dxa"/>
            <w:vAlign w:val="bottom"/>
          </w:tcPr>
          <w:p>
            <w:pPr>
              <w:ind w:left="60"/>
              <w:spacing w:after="0"/>
              <w:rPr>
                <w:sz w:val="20"/>
                <w:szCs w:val="20"/>
                <w:color w:val="auto"/>
              </w:rPr>
            </w:pPr>
            <w:r>
              <w:rPr>
                <w:rFonts w:ascii="Arial" w:cs="Arial" w:eastAsia="Arial" w:hAnsi="Arial"/>
                <w:sz w:val="18"/>
                <w:szCs w:val="18"/>
                <w:color w:val="auto"/>
              </w:rPr>
              <w:t>PA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Obispo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 Mateo</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Arlington</w:t>
            </w:r>
          </w:p>
        </w:tc>
        <w:tc>
          <w:tcPr>
            <w:tcW w:w="380" w:type="dxa"/>
            <w:vAlign w:val="bottom"/>
          </w:tcPr>
          <w:p>
            <w:pPr>
              <w:ind w:left="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McComb</w:t>
            </w:r>
          </w:p>
        </w:tc>
        <w:tc>
          <w:tcPr>
            <w:tcW w:w="420" w:type="dxa"/>
            <w:vAlign w:val="bottom"/>
          </w:tcPr>
          <w:p>
            <w:pPr>
              <w:ind w:left="60"/>
              <w:spacing w:after="0"/>
              <w:rPr>
                <w:sz w:val="20"/>
                <w:szCs w:val="20"/>
                <w:color w:val="auto"/>
              </w:rPr>
            </w:pPr>
            <w:r>
              <w:rPr>
                <w:rFonts w:ascii="Arial" w:cs="Arial" w:eastAsia="Arial" w:hAnsi="Arial"/>
                <w:sz w:val="18"/>
                <w:szCs w:val="18"/>
                <w:color w:val="auto"/>
              </w:rPr>
              <w:t>MS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Anderson</w:t>
            </w:r>
          </w:p>
        </w:tc>
        <w:tc>
          <w:tcPr>
            <w:tcW w:w="380" w:type="dxa"/>
            <w:vAlign w:val="bottom"/>
          </w:tcPr>
          <w:p>
            <w:pPr>
              <w:ind w:left="60"/>
              <w:spacing w:after="0"/>
              <w:rPr>
                <w:sz w:val="20"/>
                <w:szCs w:val="20"/>
                <w:color w:val="auto"/>
              </w:rPr>
            </w:pPr>
            <w:r>
              <w:rPr>
                <w:rFonts w:ascii="Arial" w:cs="Arial" w:eastAsia="Arial" w:hAnsi="Arial"/>
                <w:sz w:val="18"/>
                <w:szCs w:val="18"/>
                <w:color w:val="auto"/>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Heights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8"/>
              </w:rPr>
              <w:t>San Rafael</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Barrington</w:t>
            </w:r>
          </w:p>
        </w:tc>
        <w:tc>
          <w:tcPr>
            <w:tcW w:w="380" w:type="dxa"/>
            <w:vAlign w:val="bottom"/>
          </w:tcPr>
          <w:p>
            <w:pPr>
              <w:ind w:left="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Natchez</w:t>
            </w:r>
          </w:p>
        </w:tc>
        <w:tc>
          <w:tcPr>
            <w:tcW w:w="420" w:type="dxa"/>
            <w:vAlign w:val="bottom"/>
          </w:tcPr>
          <w:p>
            <w:pPr>
              <w:ind w:left="60"/>
              <w:spacing w:after="0"/>
              <w:rPr>
                <w:sz w:val="20"/>
                <w:szCs w:val="20"/>
                <w:color w:val="auto"/>
              </w:rPr>
            </w:pPr>
            <w:r>
              <w:rPr>
                <w:rFonts w:ascii="Arial" w:cs="Arial" w:eastAsia="Arial" w:hAnsi="Arial"/>
                <w:sz w:val="18"/>
                <w:szCs w:val="18"/>
                <w:color w:val="auto"/>
              </w:rPr>
              <w:t>MS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Charleston</w:t>
            </w:r>
          </w:p>
        </w:tc>
        <w:tc>
          <w:tcPr>
            <w:tcW w:w="380" w:type="dxa"/>
            <w:vAlign w:val="bottom"/>
          </w:tcPr>
          <w:p>
            <w:pPr>
              <w:ind w:left="60"/>
              <w:spacing w:after="0"/>
              <w:rPr>
                <w:sz w:val="20"/>
                <w:szCs w:val="20"/>
                <w:color w:val="auto"/>
              </w:rPr>
            </w:pPr>
            <w:r>
              <w:rPr>
                <w:rFonts w:ascii="Arial" w:cs="Arial" w:eastAsia="Arial" w:hAnsi="Arial"/>
                <w:sz w:val="18"/>
                <w:szCs w:val="18"/>
                <w:color w:val="auto"/>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2"/>
              </w:rPr>
              <w:t>San Ramon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Bedford Park</w:t>
            </w:r>
          </w:p>
        </w:tc>
        <w:tc>
          <w:tcPr>
            <w:tcW w:w="380" w:type="dxa"/>
            <w:vAlign w:val="bottom"/>
          </w:tcPr>
          <w:p>
            <w:pPr>
              <w:ind w:left="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w w:val="95"/>
              </w:rPr>
              <w:t>Ocean Springs</w:t>
            </w:r>
          </w:p>
        </w:tc>
        <w:tc>
          <w:tcPr>
            <w:tcW w:w="420" w:type="dxa"/>
            <w:vAlign w:val="bottom"/>
          </w:tcPr>
          <w:p>
            <w:pPr>
              <w:ind w:left="60"/>
              <w:spacing w:after="0"/>
              <w:rPr>
                <w:sz w:val="20"/>
                <w:szCs w:val="20"/>
                <w:color w:val="auto"/>
              </w:rPr>
            </w:pPr>
            <w:r>
              <w:rPr>
                <w:rFonts w:ascii="Arial" w:cs="Arial" w:eastAsia="Arial" w:hAnsi="Arial"/>
                <w:sz w:val="18"/>
                <w:szCs w:val="18"/>
                <w:color w:val="auto"/>
              </w:rPr>
              <w:t>MS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Duncan</w:t>
            </w:r>
          </w:p>
        </w:tc>
        <w:tc>
          <w:tcPr>
            <w:tcW w:w="380" w:type="dxa"/>
            <w:vAlign w:val="bottom"/>
          </w:tcPr>
          <w:p>
            <w:pPr>
              <w:ind w:left="60"/>
              <w:spacing w:after="0"/>
              <w:rPr>
                <w:sz w:val="20"/>
                <w:szCs w:val="20"/>
                <w:color w:val="auto"/>
              </w:rPr>
            </w:pPr>
            <w:r>
              <w:rPr>
                <w:rFonts w:ascii="Arial" w:cs="Arial" w:eastAsia="Arial" w:hAnsi="Arial"/>
                <w:sz w:val="18"/>
                <w:szCs w:val="18"/>
                <w:color w:val="auto"/>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Santa Ana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Bourbonnais</w:t>
            </w:r>
          </w:p>
        </w:tc>
        <w:tc>
          <w:tcPr>
            <w:tcW w:w="380" w:type="dxa"/>
            <w:vAlign w:val="bottom"/>
          </w:tcPr>
          <w:p>
            <w:pPr>
              <w:ind w:left="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Tupelo</w:t>
            </w:r>
          </w:p>
        </w:tc>
        <w:tc>
          <w:tcPr>
            <w:tcW w:w="420" w:type="dxa"/>
            <w:vAlign w:val="bottom"/>
          </w:tcPr>
          <w:p>
            <w:pPr>
              <w:ind w:left="60"/>
              <w:spacing w:after="0"/>
              <w:rPr>
                <w:sz w:val="20"/>
                <w:szCs w:val="20"/>
                <w:color w:val="auto"/>
              </w:rPr>
            </w:pPr>
            <w:r>
              <w:rPr>
                <w:rFonts w:ascii="Arial" w:cs="Arial" w:eastAsia="Arial" w:hAnsi="Arial"/>
                <w:sz w:val="18"/>
                <w:szCs w:val="18"/>
                <w:color w:val="auto"/>
              </w:rPr>
              <w:t>MS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ind w:left="220"/>
              <w:spacing w:after="0"/>
              <w:rPr>
                <w:sz w:val="20"/>
                <w:szCs w:val="20"/>
                <w:color w:val="auto"/>
              </w:rPr>
            </w:pPr>
            <w:r>
              <w:rPr>
                <w:rFonts w:ascii="Arial" w:cs="Arial" w:eastAsia="Arial" w:hAnsi="Arial"/>
                <w:sz w:val="18"/>
                <w:szCs w:val="18"/>
                <w:color w:val="auto"/>
              </w:rPr>
              <w:t>Florence</w:t>
            </w:r>
          </w:p>
        </w:tc>
        <w:tc>
          <w:tcPr>
            <w:tcW w:w="380" w:type="dxa"/>
            <w:vAlign w:val="bottom"/>
          </w:tcPr>
          <w:p>
            <w:pPr>
              <w:ind w:left="60"/>
              <w:spacing w:after="0"/>
              <w:rPr>
                <w:sz w:val="20"/>
                <w:szCs w:val="20"/>
                <w:color w:val="auto"/>
              </w:rPr>
            </w:pPr>
            <w:r>
              <w:rPr>
                <w:rFonts w:ascii="Arial" w:cs="Arial" w:eastAsia="Arial" w:hAnsi="Arial"/>
                <w:sz w:val="18"/>
                <w:szCs w:val="18"/>
                <w:color w:val="auto"/>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8"/>
                <w:szCs w:val="18"/>
                <w:color w:val="auto"/>
                <w:w w:val="90"/>
              </w:rPr>
              <w:t>Santa Clara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Champaign</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Asheville</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Hilton Head</w:t>
            </w:r>
          </w:p>
        </w:tc>
        <w:tc>
          <w:tcPr>
            <w:tcW w:w="380" w:type="dxa"/>
            <w:vAlign w:val="bottom"/>
          </w:tcPr>
          <w:p>
            <w:pPr>
              <w:ind w:left="120"/>
              <w:spacing w:after="0"/>
              <w:rPr>
                <w:sz w:val="20"/>
                <w:szCs w:val="20"/>
                <w:color w:val="auto"/>
              </w:rPr>
            </w:pPr>
            <w:r>
              <w:rPr>
                <w:rFonts w:ascii="Arial" w:cs="Arial" w:eastAsia="Arial" w:hAnsi="Arial"/>
                <w:sz w:val="18"/>
                <w:szCs w:val="18"/>
                <w:color w:val="auto"/>
                <w:w w:val="95"/>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Santa</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Chicago</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w w:val="92"/>
              </w:rPr>
              <w:t>Carolina Beach</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Myrtle Beach</w:t>
            </w:r>
          </w:p>
        </w:tc>
        <w:tc>
          <w:tcPr>
            <w:tcW w:w="380" w:type="dxa"/>
            <w:vAlign w:val="bottom"/>
          </w:tcPr>
          <w:p>
            <w:pPr>
              <w:ind w:left="120"/>
              <w:spacing w:after="0"/>
              <w:rPr>
                <w:sz w:val="20"/>
                <w:szCs w:val="20"/>
                <w:color w:val="auto"/>
              </w:rPr>
            </w:pPr>
            <w:r>
              <w:rPr>
                <w:rFonts w:ascii="Arial" w:cs="Arial" w:eastAsia="Arial" w:hAnsi="Arial"/>
                <w:sz w:val="18"/>
                <w:szCs w:val="18"/>
                <w:color w:val="auto"/>
                <w:w w:val="95"/>
              </w:rPr>
              <w:t>SC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Monica</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Sherman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Danville</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Charlotte</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Brentwood</w:t>
            </w:r>
          </w:p>
        </w:tc>
        <w:tc>
          <w:tcPr>
            <w:tcW w:w="380" w:type="dxa"/>
            <w:vAlign w:val="bottom"/>
          </w:tcPr>
          <w:p>
            <w:pPr>
              <w:ind w:left="100"/>
              <w:spacing w:after="0"/>
              <w:rPr>
                <w:sz w:val="20"/>
                <w:szCs w:val="20"/>
                <w:color w:val="auto"/>
              </w:rPr>
            </w:pPr>
            <w:r>
              <w:rPr>
                <w:rFonts w:ascii="Arial" w:cs="Arial" w:eastAsia="Arial" w:hAnsi="Arial"/>
                <w:sz w:val="18"/>
                <w:szCs w:val="18"/>
                <w:color w:val="auto"/>
              </w:rPr>
              <w:t>TN</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Oaks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99"/>
              </w:rPr>
              <w:t>South San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Danville</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Durham</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Crossville</w:t>
            </w:r>
          </w:p>
        </w:tc>
        <w:tc>
          <w:tcPr>
            <w:tcW w:w="380" w:type="dxa"/>
            <w:vAlign w:val="bottom"/>
          </w:tcPr>
          <w:p>
            <w:pPr>
              <w:ind w:left="100"/>
              <w:spacing w:after="0"/>
              <w:rPr>
                <w:sz w:val="20"/>
                <w:szCs w:val="20"/>
                <w:color w:val="auto"/>
              </w:rPr>
            </w:pPr>
            <w:r>
              <w:rPr>
                <w:rFonts w:ascii="Arial" w:cs="Arial" w:eastAsia="Arial" w:hAnsi="Arial"/>
                <w:sz w:val="18"/>
                <w:szCs w:val="18"/>
                <w:color w:val="auto"/>
              </w:rPr>
              <w:t>TN</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Francisco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98"/>
              </w:rPr>
              <w:t>Stevenson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Downers</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Gastonia</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Franklin</w:t>
            </w:r>
          </w:p>
        </w:tc>
        <w:tc>
          <w:tcPr>
            <w:tcW w:w="380" w:type="dxa"/>
            <w:vAlign w:val="bottom"/>
          </w:tcPr>
          <w:p>
            <w:pPr>
              <w:ind w:left="100"/>
              <w:spacing w:after="0"/>
              <w:rPr>
                <w:sz w:val="20"/>
                <w:szCs w:val="20"/>
                <w:color w:val="auto"/>
              </w:rPr>
            </w:pPr>
            <w:r>
              <w:rPr>
                <w:rFonts w:ascii="Arial" w:cs="Arial" w:eastAsia="Arial" w:hAnsi="Arial"/>
                <w:sz w:val="18"/>
                <w:szCs w:val="18"/>
                <w:color w:val="auto"/>
              </w:rPr>
              <w:t>TN</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Ranch</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Grove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Stockton</w:t>
            </w:r>
          </w:p>
        </w:tc>
        <w:tc>
          <w:tcPr>
            <w:tcW w:w="360" w:type="dxa"/>
            <w:vAlign w:val="bottom"/>
          </w:tcPr>
          <w:p>
            <w:pPr>
              <w:ind w:left="60"/>
              <w:spacing w:after="0"/>
              <w:rPr>
                <w:sz w:val="20"/>
                <w:szCs w:val="20"/>
                <w:color w:val="auto"/>
              </w:rPr>
            </w:pPr>
            <w:r>
              <w:rPr>
                <w:rFonts w:ascii="Arial" w:cs="Arial" w:eastAsia="Arial" w:hAnsi="Arial"/>
                <w:sz w:val="18"/>
                <w:szCs w:val="18"/>
                <w:color w:val="auto"/>
              </w:rPr>
              <w:t>CA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Elmhurst</w:t>
            </w:r>
          </w:p>
        </w:tc>
        <w:tc>
          <w:tcPr>
            <w:tcW w:w="380" w:type="dxa"/>
            <w:vAlign w:val="bottom"/>
          </w:tcPr>
          <w:p>
            <w:pPr>
              <w:ind w:left="160"/>
              <w:spacing w:after="0"/>
              <w:rPr>
                <w:sz w:val="20"/>
                <w:szCs w:val="20"/>
                <w:color w:val="auto"/>
              </w:rPr>
            </w:pPr>
            <w:r>
              <w:rPr>
                <w:rFonts w:ascii="Arial" w:cs="Arial" w:eastAsia="Arial" w:hAnsi="Arial"/>
                <w:sz w:val="18"/>
                <w:szCs w:val="18"/>
                <w:color w:val="auto"/>
              </w:rPr>
              <w:t>IL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Goldsboro</w:t>
            </w:r>
          </w:p>
        </w:tc>
        <w:tc>
          <w:tcPr>
            <w:tcW w:w="420" w:type="dxa"/>
            <w:vAlign w:val="bottom"/>
          </w:tcPr>
          <w:p>
            <w:pPr>
              <w:ind w:left="100"/>
              <w:spacing w:after="0"/>
              <w:rPr>
                <w:sz w:val="20"/>
                <w:szCs w:val="20"/>
                <w:color w:val="auto"/>
              </w:rPr>
            </w:pPr>
            <w:r>
              <w:rPr>
                <w:rFonts w:ascii="Arial" w:cs="Arial" w:eastAsia="Arial" w:hAnsi="Arial"/>
                <w:sz w:val="18"/>
                <w:szCs w:val="18"/>
                <w:color w:val="auto"/>
              </w:rPr>
              <w:t>NC</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Johnson City</w:t>
            </w:r>
          </w:p>
        </w:tc>
        <w:tc>
          <w:tcPr>
            <w:tcW w:w="380" w:type="dxa"/>
            <w:vAlign w:val="bottom"/>
          </w:tcPr>
          <w:p>
            <w:pPr>
              <w:ind w:left="100"/>
              <w:spacing w:after="0"/>
              <w:rPr>
                <w:sz w:val="20"/>
                <w:szCs w:val="20"/>
                <w:color w:val="auto"/>
              </w:rPr>
            </w:pPr>
            <w:r>
              <w:rPr>
                <w:rFonts w:ascii="Arial" w:cs="Arial" w:eastAsia="Arial" w:hAnsi="Arial"/>
                <w:sz w:val="18"/>
                <w:szCs w:val="18"/>
                <w:color w:val="auto"/>
              </w:rPr>
              <w:t>TN</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12,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AT&amp;T and Amdocs are parties to that certain Agreement No. 02026713 for Software and Professional Services, dated as of August 7, 2003,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further amended by Amendment No. 11 effective March, 15, 2010 (collectively, the “Agreement”); and</w:t>
      </w:r>
    </w:p>
    <w:p>
      <w:pPr>
        <w:spacing w:after="0" w:line="15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desire to amend the Agreement as hereinafter set forth.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For purposes of extending the term of this Agreement, Section 3.32. “Term of Agreement”, is deleted in its entirety and replaced with the following:</w:t>
      </w:r>
    </w:p>
    <w:p>
      <w:pPr>
        <w:spacing w:after="0" w:line="13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November 15, 2010, unless earlier Terminated or Canceled as provided in this Agreement. The Parties may extend the term of this Agreement by agreement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02026713.A.012</w:t>
      </w:r>
    </w:p>
    <w:p>
      <w:pPr>
        <w:spacing w:after="0" w:line="154" w:lineRule="exact"/>
        <w:rPr>
          <w:sz w:val="20"/>
          <w:szCs w:val="20"/>
          <w:color w:val="auto"/>
        </w:rPr>
      </w:pPr>
    </w:p>
    <w:p>
      <w:pPr>
        <w:ind w:left="460" w:right="440" w:hanging="452"/>
        <w:spacing w:after="0" w:line="282" w:lineRule="auto"/>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 xml:space="preserve">Section 6.1, “Allowable Expenses”, paragraph f, of </w:t>
      </w:r>
      <w:r>
        <w:rPr>
          <w:rFonts w:ascii="Arial" w:cs="Arial" w:eastAsia="Arial" w:hAnsi="Arial"/>
          <w:sz w:val="18"/>
          <w:szCs w:val="18"/>
          <w:b w:val="1"/>
          <w:bCs w:val="1"/>
          <w:color w:val="auto"/>
        </w:rPr>
        <w:t>ARTICLE VI – ONGOING SUPPORT SERVICES</w:t>
      </w:r>
      <w:r>
        <w:rPr>
          <w:rFonts w:ascii="Arial" w:cs="Arial" w:eastAsia="Arial" w:hAnsi="Arial"/>
          <w:sz w:val="18"/>
          <w:szCs w:val="18"/>
          <w:color w:val="auto"/>
        </w:rPr>
        <w:t xml:space="preserve"> is hereby deleted and replaced with the following paragraph f):</w:t>
      </w:r>
    </w:p>
    <w:p>
      <w:pPr>
        <w:spacing w:after="0" w:line="71" w:lineRule="exact"/>
        <w:rPr>
          <w:rFonts w:ascii="Arial" w:cs="Arial" w:eastAsia="Arial" w:hAnsi="Arial"/>
          <w:sz w:val="18"/>
          <w:szCs w:val="18"/>
          <w:b w:val="1"/>
          <w:bCs w:val="1"/>
          <w:color w:val="auto"/>
        </w:rPr>
      </w:pPr>
    </w:p>
    <w:p>
      <w:pPr>
        <w:ind w:left="1480" w:right="200" w:hanging="567"/>
        <w:spacing w:after="0" w:line="264" w:lineRule="auto"/>
        <w:tabs>
          <w:tab w:leader="none" w:pos="14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 of travel and living expenses will occur each [**] In the event that the total travel and living expenses [**], Amdocs will provide AT&amp;T a credit for the dollar amount that [**]. For the [**], Amdocs will provide a written report by [**] of the respective year showing the [**].</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Madson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rPr>
              <w:t>Title:  President</w:t>
            </w:r>
          </w:p>
        </w:tc>
        <w:tc>
          <w:tcPr>
            <w:tcW w:w="4200" w:type="dxa"/>
            <w:vAlign w:val="bottom"/>
            <w:tcBorders>
              <w:top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color w:val="auto"/>
              </w:rPr>
              <w:t>Date: 5-27-2010</w:t>
            </w:r>
          </w:p>
        </w:tc>
        <w:tc>
          <w:tcPr>
            <w:tcW w:w="0" w:type="dxa"/>
            <w:vAlign w:val="bottom"/>
          </w:tcPr>
          <w:p>
            <w:pPr>
              <w:spacing w:after="0" w:line="20" w:lineRule="exact"/>
              <w:rPr>
                <w:sz w:val="1"/>
                <w:szCs w:val="1"/>
                <w:color w:val="auto"/>
              </w:rPr>
            </w:pPr>
          </w:p>
        </w:tc>
      </w:tr>
      <w:tr>
        <w:trPr>
          <w:trHeight w:val="385"/>
        </w:trPr>
        <w:tc>
          <w:tcPr>
            <w:tcW w:w="5480" w:type="dxa"/>
            <w:vAlign w:val="bottom"/>
            <w:gridSpan w:val="4"/>
          </w:tcPr>
          <w:p>
            <w:pPr>
              <w:spacing w:after="0"/>
              <w:rPr>
                <w:sz w:val="20"/>
                <w:szCs w:val="20"/>
                <w:color w:val="auto"/>
              </w:rPr>
            </w:pPr>
            <w:r>
              <w:rPr>
                <w:rFonts w:ascii="Arial" w:cs="Arial" w:eastAsia="Arial" w:hAnsi="Arial"/>
                <w:sz w:val="18"/>
                <w:szCs w:val="18"/>
                <w:color w:val="auto"/>
              </w:rPr>
              <w:t>Date: 5-28-2010</w:t>
            </w:r>
          </w:p>
        </w:tc>
        <w:tc>
          <w:tcPr>
            <w:tcW w:w="57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13,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further amended by Amendment No. 12 effective May 28, 2010 (collectively, the “Agreement”); and</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desire to amend the Agreement as hereinafter set forth.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right="440" w:hanging="452"/>
        <w:spacing w:after="0" w:line="313" w:lineRule="auto"/>
        <w:tabs>
          <w:tab w:leader="none" w:pos="460"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 xml:space="preserve">Section 3.3, “Termination,” of </w:t>
      </w:r>
      <w:r>
        <w:rPr>
          <w:rFonts w:ascii="Arial" w:cs="Arial" w:eastAsia="Arial" w:hAnsi="Arial"/>
          <w:sz w:val="17"/>
          <w:szCs w:val="17"/>
          <w:b w:val="1"/>
          <w:bCs w:val="1"/>
          <w:color w:val="auto"/>
        </w:rPr>
        <w:t>ARTICLE III - GENERAL TERMS</w:t>
      </w:r>
      <w:r>
        <w:rPr>
          <w:rFonts w:ascii="Arial" w:cs="Arial" w:eastAsia="Arial" w:hAnsi="Arial"/>
          <w:sz w:val="17"/>
          <w:szCs w:val="17"/>
          <w:color w:val="auto"/>
        </w:rPr>
        <w:t xml:space="preserve"> is hereby amended to include the following paragraph G. Termination Upon Amdocs’ Change of Control, which shall apply to all agreements between any AT&amp;T Entity and any Amdocs’ Entity:</w:t>
      </w:r>
    </w:p>
    <w:p>
      <w:pPr>
        <w:spacing w:after="0" w:line="4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Termination Upon Amdocs’ Change of Control</w:t>
      </w:r>
      <w:r>
        <w:rPr>
          <w:rFonts w:ascii="Arial" w:cs="Arial" w:eastAsia="Arial" w:hAnsi="Arial"/>
          <w:sz w:val="18"/>
          <w:szCs w:val="18"/>
          <w:color w:val="auto"/>
        </w:rPr>
        <w:t>.</w:t>
      </w:r>
    </w:p>
    <w:p>
      <w:pPr>
        <w:spacing w:after="0" w:line="130" w:lineRule="exact"/>
        <w:rPr>
          <w:rFonts w:ascii="Arial" w:cs="Arial" w:eastAsia="Arial" w:hAnsi="Arial"/>
          <w:sz w:val="17"/>
          <w:szCs w:val="17"/>
          <w:b w:val="1"/>
          <w:bCs w:val="1"/>
          <w:color w:val="auto"/>
        </w:rPr>
      </w:pPr>
    </w:p>
    <w:p>
      <w:pPr>
        <w:ind w:left="1480" w:right="20" w:hanging="567"/>
        <w:spacing w:after="0" w:line="257" w:lineRule="auto"/>
        <w:tabs>
          <w:tab w:leader="none" w:pos="148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In the event of a change in Control of Amdocs (or that portion of Amdocs providing Services under this Agreement) or the Entity that Controls Amdocs (if any), where such Control is acquired, directly or indirectly, in a single transaction or series of related transactions, or all or substantially all of the assets of Amdocs are acquired by any Entity, or Amdocs is merged with or into another Entity to form a new Entity, AT&amp;T may at its option terminate this Agreement by giving Amdocs at least ninety (90) days prior notice and designating a date upon which such termination shall be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3" w:name="page304"/>
    <w:bookmarkEnd w:id="303"/>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81" w:lineRule="exact"/>
        <w:rPr>
          <w:sz w:val="20"/>
          <w:szCs w:val="20"/>
          <w:color w:val="auto"/>
        </w:rPr>
      </w:pPr>
    </w:p>
    <w:p>
      <w:pPr>
        <w:ind w:left="1480"/>
        <w:spacing w:after="0" w:line="287" w:lineRule="auto"/>
        <w:rPr>
          <w:sz w:val="20"/>
          <w:szCs w:val="20"/>
          <w:color w:val="auto"/>
        </w:rPr>
      </w:pPr>
      <w:r>
        <w:rPr>
          <w:rFonts w:ascii="Arial" w:cs="Arial" w:eastAsia="Arial" w:hAnsi="Arial"/>
          <w:sz w:val="16"/>
          <w:szCs w:val="16"/>
          <w:color w:val="auto"/>
        </w:rPr>
        <w:t xml:space="preserve">effective; provided, however, AT&amp;T shall not have this right if Amdocs Limited, (a Guernsey corporation as of the Effective Date) retains Control of Amdocs after such transaction, acquisition, merger; provided, further, however, if such change in Control of Amdocs involves an AT&amp;T competitor, AT&amp;T may terminate this Agreement by giving Amdocs at least ten (10) days prior notice, and the AT&amp;T competitor shall be prohibited from any contact with AT&amp;T Data, AT&amp;T Information and any and all other information about the AT&amp;T account, including discussions with Amdocs personnel regarding specifics relating to the Services. Amdocs shall not be entitled to any termination charges in connection with a termination pursuant to this </w:t>
      </w:r>
      <w:r>
        <w:rPr>
          <w:rFonts w:ascii="Arial" w:cs="Arial" w:eastAsia="Arial" w:hAnsi="Arial"/>
          <w:sz w:val="16"/>
          <w:szCs w:val="16"/>
          <w:b w:val="1"/>
          <w:bCs w:val="1"/>
          <w:u w:val="single" w:color="auto"/>
          <w:color w:val="auto"/>
        </w:rPr>
        <w:t>Section 3.3 G</w:t>
      </w:r>
      <w:r>
        <w:rPr>
          <w:rFonts w:ascii="Arial" w:cs="Arial" w:eastAsia="Arial" w:hAnsi="Arial"/>
          <w:sz w:val="16"/>
          <w:szCs w:val="16"/>
          <w:color w:val="auto"/>
        </w:rPr>
        <w:t>. For purposes of this Section, “</w:t>
      </w:r>
      <w:r>
        <w:rPr>
          <w:rFonts w:ascii="Arial" w:cs="Arial" w:eastAsia="Arial" w:hAnsi="Arial"/>
          <w:sz w:val="16"/>
          <w:szCs w:val="16"/>
          <w:u w:val="single" w:color="auto"/>
          <w:color w:val="auto"/>
        </w:rPr>
        <w:t>Control</w:t>
      </w:r>
      <w:r>
        <w:rPr>
          <w:rFonts w:ascii="Arial" w:cs="Arial" w:eastAsia="Arial" w:hAnsi="Arial"/>
          <w:sz w:val="16"/>
          <w:szCs w:val="16"/>
          <w:color w:val="auto"/>
        </w:rPr>
        <w:t>” and its derivatives mean: (a) the legal, beneficial or equitable ownership, directly or indirectly, of (i) [**] or (ii) equity interests having the right to [**] or, in the event of dissolution, [**];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 and “</w:t>
      </w:r>
      <w:r>
        <w:rPr>
          <w:rFonts w:ascii="Arial" w:cs="Arial" w:eastAsia="Arial" w:hAnsi="Arial"/>
          <w:sz w:val="16"/>
          <w:szCs w:val="16"/>
          <w:u w:val="single" w:color="auto"/>
          <w:color w:val="auto"/>
        </w:rPr>
        <w:t>Entity</w:t>
      </w:r>
      <w:r>
        <w:rPr>
          <w:rFonts w:ascii="Arial" w:cs="Arial" w:eastAsia="Arial" w:hAnsi="Arial"/>
          <w:sz w:val="16"/>
          <w:szCs w:val="16"/>
          <w:color w:val="auto"/>
        </w:rPr>
        <w:t>” means a corporation, partnership, joint venture, trust, limited liability company, association or other organization or entity.</w:t>
      </w:r>
    </w:p>
    <w:p>
      <w:pPr>
        <w:spacing w:after="0" w:line="78" w:lineRule="exact"/>
        <w:rPr>
          <w:sz w:val="20"/>
          <w:szCs w:val="20"/>
          <w:color w:val="auto"/>
        </w:rPr>
      </w:pPr>
    </w:p>
    <w:p>
      <w:pPr>
        <w:ind w:left="1480" w:right="20" w:hanging="567"/>
        <w:spacing w:after="0" w:line="286" w:lineRule="auto"/>
        <w:tabs>
          <w:tab w:leader="none" w:pos="148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Subject to any legal obligation of confidentiality or applicable securities laws, Amdocs will provide AT&amp;T with notice at the earliest permissible time of Amdocs’ intention to make such a change of Control and facilitate AT&amp;T’s receipt of sufficient information about the Entity acquiring Control for AT&amp;T to choose to exercise its termination rights described in </w:t>
      </w:r>
      <w:r>
        <w:rPr>
          <w:rFonts w:ascii="Arial" w:cs="Arial" w:eastAsia="Arial" w:hAnsi="Arial"/>
          <w:sz w:val="17"/>
          <w:szCs w:val="17"/>
          <w:b w:val="1"/>
          <w:bCs w:val="1"/>
          <w:u w:val="single" w:color="auto"/>
          <w:color w:val="auto"/>
        </w:rPr>
        <w:t>Section 3.3 G 1</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1480" w:right="40" w:hanging="567"/>
        <w:spacing w:after="0" w:line="282" w:lineRule="auto"/>
        <w:tabs>
          <w:tab w:leader="none" w:pos="14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Any permitted assignee or successor in interest under this </w:t>
      </w:r>
      <w:r>
        <w:rPr>
          <w:rFonts w:ascii="Arial" w:cs="Arial" w:eastAsia="Arial" w:hAnsi="Arial"/>
          <w:sz w:val="18"/>
          <w:szCs w:val="18"/>
          <w:b w:val="1"/>
          <w:bCs w:val="1"/>
          <w:u w:val="single" w:color="auto"/>
          <w:color w:val="auto"/>
        </w:rPr>
        <w:t>Section 3.3 G</w:t>
      </w:r>
      <w:r>
        <w:rPr>
          <w:rFonts w:ascii="Arial" w:cs="Arial" w:eastAsia="Arial" w:hAnsi="Arial"/>
          <w:sz w:val="18"/>
          <w:szCs w:val="18"/>
          <w:color w:val="auto"/>
        </w:rPr>
        <w:t xml:space="preserve"> shall agree in writing to be bound by the terms and conditions of this Agreement.</w:t>
      </w:r>
    </w:p>
    <w:p>
      <w:pPr>
        <w:spacing w:after="0" w:line="67" w:lineRule="exact"/>
        <w:rPr>
          <w:rFonts w:ascii="Arial" w:cs="Arial" w:eastAsia="Arial" w:hAnsi="Arial"/>
          <w:sz w:val="18"/>
          <w:szCs w:val="18"/>
          <w:color w:val="auto"/>
        </w:rPr>
      </w:pPr>
    </w:p>
    <w:p>
      <w:pPr>
        <w:ind w:left="1480" w:right="80" w:hanging="567"/>
        <w:spacing w:after="0" w:line="282" w:lineRule="auto"/>
        <w:tabs>
          <w:tab w:leader="none" w:pos="14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Regardless of AT&amp;T’s consent or refusal to consent to an assignment under this </w:t>
      </w:r>
      <w:r>
        <w:rPr>
          <w:rFonts w:ascii="Arial" w:cs="Arial" w:eastAsia="Arial" w:hAnsi="Arial"/>
          <w:sz w:val="18"/>
          <w:szCs w:val="18"/>
          <w:b w:val="1"/>
          <w:bCs w:val="1"/>
          <w:u w:val="single" w:color="auto"/>
          <w:color w:val="auto"/>
        </w:rPr>
        <w:t>Section 3.3 G</w:t>
      </w:r>
      <w:r>
        <w:rPr>
          <w:rFonts w:ascii="Arial" w:cs="Arial" w:eastAsia="Arial" w:hAnsi="Arial"/>
          <w:sz w:val="18"/>
          <w:szCs w:val="18"/>
          <w:color w:val="auto"/>
        </w:rPr>
        <w:t>, Amdocs, or its successor in interest, shall continue to perform under the terms of the Agreement until such time as the Agreement terminates or expires.</w:t>
      </w:r>
    </w:p>
    <w:p>
      <w:pPr>
        <w:spacing w:after="0" w:line="67" w:lineRule="exact"/>
        <w:rPr>
          <w:rFonts w:ascii="Arial" w:cs="Arial" w:eastAsia="Arial" w:hAnsi="Arial"/>
          <w:sz w:val="18"/>
          <w:szCs w:val="18"/>
          <w:color w:val="auto"/>
        </w:rPr>
      </w:pPr>
    </w:p>
    <w:p>
      <w:pPr>
        <w:ind w:left="460" w:right="140" w:hanging="452"/>
        <w:spacing w:after="0" w:line="266" w:lineRule="auto"/>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Section 3.39, “AT&amp;T Supplier Information Security Requirements,” of </w:t>
      </w:r>
      <w:r>
        <w:rPr>
          <w:rFonts w:ascii="Arial" w:cs="Arial" w:eastAsia="Arial" w:hAnsi="Arial"/>
          <w:sz w:val="18"/>
          <w:szCs w:val="18"/>
          <w:b w:val="1"/>
          <w:bCs w:val="1"/>
          <w:color w:val="auto"/>
        </w:rPr>
        <w:t>ARTICLE III – GENERAL TERMS</w:t>
      </w:r>
      <w:r>
        <w:rPr>
          <w:rFonts w:ascii="Arial" w:cs="Arial" w:eastAsia="Arial" w:hAnsi="Arial"/>
          <w:sz w:val="18"/>
          <w:szCs w:val="18"/>
          <w:color w:val="auto"/>
        </w:rPr>
        <w:t xml:space="preserve"> is hereby deleted and replaced with the following 3.39, AT&amp;T Rules, Supplier Information Security Requirements and Limited Offshore Remote Access, which shall apply to all agreements between any AT&amp;T Entity and any Amdocs Entity:</w:t>
      </w:r>
    </w:p>
    <w:p>
      <w:pPr>
        <w:spacing w:after="0" w:line="6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3.39. AT&amp;T Rules, Supplier Information Security Requirements and Limited Offshore Remote Access</w:t>
      </w:r>
    </w:p>
    <w:p>
      <w:pPr>
        <w:spacing w:after="0" w:line="121"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Amdocs shall comply with AT&amp;T Rules, Supplier Information Security Requirements (SISR) and Limited Offshore Remote Access (LORA) as set forth in Appendix 8.</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Section 6.4, “Access to AT&amp;T Facilities,” of </w:t>
      </w:r>
      <w:r>
        <w:rPr>
          <w:rFonts w:ascii="Arial" w:cs="Arial" w:eastAsia="Arial" w:hAnsi="Arial"/>
          <w:sz w:val="18"/>
          <w:szCs w:val="18"/>
          <w:b w:val="1"/>
          <w:bCs w:val="1"/>
          <w:color w:val="auto"/>
        </w:rPr>
        <w:t>ARTICLE VI - ONGOING SUPPORT SERVICES,</w:t>
      </w:r>
      <w:r>
        <w:rPr>
          <w:rFonts w:ascii="Arial" w:cs="Arial" w:eastAsia="Arial" w:hAnsi="Arial"/>
          <w:sz w:val="18"/>
          <w:szCs w:val="18"/>
          <w:color w:val="auto"/>
        </w:rPr>
        <w:t xml:space="preserve"> is hereby deleted in its entirety.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4"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Section 6.12, “Electronic Privacy Policy,” of </w:t>
      </w:r>
      <w:r>
        <w:rPr>
          <w:rFonts w:ascii="Arial" w:cs="Arial" w:eastAsia="Arial" w:hAnsi="Arial"/>
          <w:sz w:val="18"/>
          <w:szCs w:val="18"/>
          <w:b w:val="1"/>
          <w:bCs w:val="1"/>
          <w:color w:val="auto"/>
        </w:rPr>
        <w:t>ARTICLE VI - ONGOING SUPPORT SERVICES,</w:t>
      </w:r>
      <w:r>
        <w:rPr>
          <w:rFonts w:ascii="Arial" w:cs="Arial" w:eastAsia="Arial" w:hAnsi="Arial"/>
          <w:sz w:val="18"/>
          <w:szCs w:val="18"/>
          <w:color w:val="auto"/>
        </w:rPr>
        <w:t xml:space="preserve"> is hereby deleted in its entirety.</w:t>
      </w:r>
    </w:p>
    <w:p>
      <w:pPr>
        <w:spacing w:after="0" w:line="130" w:lineRule="exact"/>
        <w:rPr>
          <w:rFonts w:ascii="Arial" w:cs="Arial" w:eastAsia="Arial" w:hAnsi="Arial"/>
          <w:sz w:val="18"/>
          <w:szCs w:val="18"/>
          <w:color w:val="auto"/>
        </w:rPr>
      </w:pPr>
    </w:p>
    <w:p>
      <w:pPr>
        <w:ind w:left="460" w:right="480" w:hanging="452"/>
        <w:spacing w:after="0" w:line="282" w:lineRule="auto"/>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 xml:space="preserve">Section 6.13, </w:t>
      </w:r>
      <w:r>
        <w:rPr>
          <w:rFonts w:ascii="Arial" w:cs="Arial" w:eastAsia="Arial" w:hAnsi="Arial"/>
          <w:sz w:val="18"/>
          <w:szCs w:val="18"/>
          <w:b w:val="1"/>
          <w:bCs w:val="1"/>
          <w:color w:val="auto"/>
        </w:rPr>
        <w:t>“</w:t>
      </w:r>
      <w:r>
        <w:rPr>
          <w:rFonts w:ascii="Arial" w:cs="Arial" w:eastAsia="Arial" w:hAnsi="Arial"/>
          <w:sz w:val="18"/>
          <w:szCs w:val="18"/>
          <w:color w:val="auto"/>
        </w:rPr>
        <w:t>Offshore Transfer or Processing of AT&amp;T Data,</w:t>
      </w:r>
      <w:r>
        <w:rPr>
          <w:rFonts w:ascii="Arial" w:cs="Arial" w:eastAsia="Arial" w:hAnsi="Arial"/>
          <w:sz w:val="18"/>
          <w:szCs w:val="18"/>
          <w:b w:val="1"/>
          <w:bCs w:val="1"/>
          <w:color w:val="auto"/>
        </w:rPr>
        <w:t>”</w:t>
      </w:r>
      <w:r>
        <w:rPr>
          <w:rFonts w:ascii="Arial" w:cs="Arial" w:eastAsia="Arial" w:hAnsi="Arial"/>
          <w:sz w:val="18"/>
          <w:szCs w:val="18"/>
          <w:color w:val="auto"/>
        </w:rPr>
        <w:t xml:space="preserve"> of </w:t>
      </w:r>
      <w:r>
        <w:rPr>
          <w:rFonts w:ascii="Arial" w:cs="Arial" w:eastAsia="Arial" w:hAnsi="Arial"/>
          <w:sz w:val="18"/>
          <w:szCs w:val="18"/>
          <w:b w:val="1"/>
          <w:bCs w:val="1"/>
          <w:color w:val="auto"/>
        </w:rPr>
        <w:t>ARTICLE VI - ONGOING SUPPORT SERVICES,</w:t>
      </w:r>
      <w:r>
        <w:rPr>
          <w:rFonts w:ascii="Arial" w:cs="Arial" w:eastAsia="Arial" w:hAnsi="Arial"/>
          <w:sz w:val="18"/>
          <w:szCs w:val="18"/>
          <w:color w:val="auto"/>
        </w:rPr>
        <w:t xml:space="preserve"> is hereby deleted in its entirety.</w:t>
      </w:r>
    </w:p>
    <w:p>
      <w:pPr>
        <w:spacing w:after="0" w:line="67" w:lineRule="exact"/>
        <w:rPr>
          <w:rFonts w:ascii="Arial" w:cs="Arial" w:eastAsia="Arial" w:hAnsi="Arial"/>
          <w:sz w:val="18"/>
          <w:szCs w:val="18"/>
          <w:b w:val="1"/>
          <w:bCs w:val="1"/>
          <w:color w:val="auto"/>
        </w:rPr>
      </w:pPr>
    </w:p>
    <w:p>
      <w:pPr>
        <w:ind w:left="460" w:hanging="452"/>
        <w:spacing w:after="0"/>
        <w:tabs>
          <w:tab w:leader="none" w:pos="4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Section 6.14 “Service Facilities/Location,” of </w:t>
      </w:r>
      <w:r>
        <w:rPr>
          <w:rFonts w:ascii="Arial" w:cs="Arial" w:eastAsia="Arial" w:hAnsi="Arial"/>
          <w:sz w:val="17"/>
          <w:szCs w:val="17"/>
          <w:b w:val="1"/>
          <w:bCs w:val="1"/>
          <w:color w:val="auto"/>
        </w:rPr>
        <w:t>ARTICLE VI - ONGOING SUPPORT SERVICES</w:t>
      </w:r>
      <w:r>
        <w:rPr>
          <w:rFonts w:ascii="Arial" w:cs="Arial" w:eastAsia="Arial" w:hAnsi="Arial"/>
          <w:sz w:val="17"/>
          <w:szCs w:val="17"/>
          <w:color w:val="auto"/>
        </w:rPr>
        <w:t xml:space="preserve"> is hereby deleted and replaced with the following</w:t>
      </w:r>
    </w:p>
    <w:p>
      <w:pPr>
        <w:spacing w:after="0" w:line="3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6.14, Offshore Work Permitted Under Specific Conditions, which shall apply to all agreements between any AT&amp;T Entity and any Amdocs Entity:</w:t>
      </w:r>
    </w:p>
    <w:p>
      <w:pPr>
        <w:spacing w:after="0" w:line="12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6.14  Offshore Work Permitted Under Specific Conditions</w:t>
      </w:r>
    </w:p>
    <w:p>
      <w:pPr>
        <w:spacing w:after="0" w:line="121" w:lineRule="exact"/>
        <w:rPr>
          <w:rFonts w:ascii="Arial" w:cs="Arial" w:eastAsia="Arial" w:hAnsi="Arial"/>
          <w:sz w:val="17"/>
          <w:szCs w:val="17"/>
          <w:color w:val="auto"/>
        </w:rPr>
      </w:pPr>
    </w:p>
    <w:p>
      <w:pPr>
        <w:ind w:left="460" w:right="40" w:firstLine="4"/>
        <w:spacing w:after="0" w:line="270" w:lineRule="auto"/>
        <w:tabs>
          <w:tab w:leader="none" w:pos="63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Supplier shall not perform any Services under this Agreement, nor allow such performance by any Subcontractor, at a location outside the United States (“Offshore Location”) unless AT&amp;T approves work to be performed by Supplier or a Subcontractor at such Offshore Location. In the event of such approval, the physical location where the work is to be performed the Services to be performed at such location; and, if applicable, the identity of any Subcontractor performing such work, shall be specifically set forth in Appendix K. Prior to making any additions or deletions to the physical locations or changes in Subcontractors performing work at an Offshore Location the Parties shall amend Appendix K. A change in the location where a Service is performed from one Offshore Location to another AT&amp;T approved Offshore Location shall not require an amendment to Appendix K. Remote access by Supplier employees or Subcontractor from an Offshore Location for the performance of Services shall be in accordance with Appendix 8 AT&amp;T Rules, Supplier Information Security Requirements (SISR) and Limited Offshore Remote Access (LORA). The requirements of this section shall be in addition to Sections 3.2, </w:t>
      </w:r>
      <w:r>
        <w:rPr>
          <w:rFonts w:ascii="Arial" w:cs="Arial" w:eastAsia="Arial" w:hAnsi="Arial"/>
          <w:sz w:val="17"/>
          <w:szCs w:val="17"/>
          <w:b w:val="1"/>
          <w:bCs w:val="1"/>
          <w:color w:val="auto"/>
        </w:rPr>
        <w:t>Amendments and Waivers</w:t>
      </w:r>
      <w:r>
        <w:rPr>
          <w:rFonts w:ascii="Arial" w:cs="Arial" w:eastAsia="Arial" w:hAnsi="Arial"/>
          <w:sz w:val="17"/>
          <w:szCs w:val="17"/>
          <w:color w:val="auto"/>
        </w:rPr>
        <w:t xml:space="preserve">, and 6.9 </w:t>
      </w:r>
      <w:r>
        <w:rPr>
          <w:rFonts w:ascii="Arial" w:cs="Arial" w:eastAsia="Arial" w:hAnsi="Arial"/>
          <w:sz w:val="17"/>
          <w:szCs w:val="17"/>
          <w:b w:val="1"/>
          <w:bCs w:val="1"/>
          <w:color w:val="auto"/>
        </w:rPr>
        <w:t>Work Done by Others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460" w:right="80" w:firstLine="4"/>
        <w:spacing w:after="0" w:line="259" w:lineRule="auto"/>
        <w:tabs>
          <w:tab w:leader="none" w:pos="6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AT&amp;T shall have the right to withdraw its consent to the performance of work at an Offshore Location at any time in AT&amp;T’s sole discretion for any reason, in which event the Parties shall assess cost impacts, timing, methodology and amend the Agreement to reflect any changes reasonably required to permit Supplier to continue to perform such work at a location within the United States and the Parties shall amend the Agreement and Appendix K accordingly.</w:t>
      </w:r>
    </w:p>
    <w:p>
      <w:pPr>
        <w:spacing w:after="0" w:line="78" w:lineRule="exact"/>
        <w:rPr>
          <w:rFonts w:ascii="Arial" w:cs="Arial" w:eastAsia="Arial" w:hAnsi="Arial"/>
          <w:sz w:val="18"/>
          <w:szCs w:val="18"/>
          <w:color w:val="auto"/>
        </w:rPr>
      </w:pPr>
    </w:p>
    <w:p>
      <w:pPr>
        <w:ind w:left="460" w:right="180" w:firstLine="4"/>
        <w:spacing w:after="0" w:line="342" w:lineRule="auto"/>
        <w:tabs>
          <w:tab w:leader="none" w:pos="63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Supplier’s compliance with this Section, and all Services performed in Offshore Locations with AT&amp;T’s consent, shall be subject to Section 3.27, Records and Audits. Supplier shall provide, and shall ensure all Subcontractors provide AT&amp;T with physical access to inspect all Offshore Locations.</w:t>
      </w:r>
    </w:p>
    <w:p>
      <w:pPr>
        <w:spacing w:after="0" w:line="15" w:lineRule="exact"/>
        <w:rPr>
          <w:rFonts w:ascii="Arial" w:cs="Arial" w:eastAsia="Arial" w:hAnsi="Arial"/>
          <w:sz w:val="16"/>
          <w:szCs w:val="16"/>
          <w:color w:val="auto"/>
        </w:rPr>
      </w:pPr>
    </w:p>
    <w:p>
      <w:pPr>
        <w:ind w:left="460" w:right="40" w:firstLine="4"/>
        <w:spacing w:after="0" w:line="264" w:lineRule="auto"/>
        <w:tabs>
          <w:tab w:leader="none" w:pos="6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To the extent Supplier interconnects with, or otherwise has access to, the AT&amp;T network, Supplier shall access, or establish network connections that would allow access, to the AT&amp;T network from an Offshore Location in compliance with Appendix 8, “AT&amp;T Rules, Supplier Information Security Requirements (SISR) and Limited Offshore Remote Access (LORA)” to the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05" w:name="page306"/>
    <w:bookmarkEnd w:id="30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81"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e. If Supplier or any Subcontractor without intending to circumvent the requirements of this Section, provides any Services under this Agreement in an Offshore Location without AT&amp;T’s prior written consent and fails to cease providing such Services within [**], such inadvertent provisioning and failure to timely cure within said [**] shall be a material breach of this Agreement and, in addition to any other legal rights or remedies available to AT&amp;T in law or in equity, AT&amp;T may immediately Cancel and/or Terminate this Agreement without cost, liability or penalty to AT&amp;T. Notwithstanding the foregoing, AT&amp;T agrees that Amdocs’ or a Subcontractor’s provision of the Services in an Offshore Location without AT&amp;T’s prior written consent on a transient basis (e.g., an Amdocs’ employee’s provision of Services from an airport while in travel status) shall be permitted and shall not be deemed to be a material breach of this Agreement.</w:t>
      </w:r>
    </w:p>
    <w:p>
      <w:pPr>
        <w:spacing w:after="0" w:line="8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f. When AT&amp;T has granted consent for Services to be performed in an Offshore Location, Supplier shall remain fully responsible for compliance with any foreign, federal, state or local law applicable to the Supplier’s provision of such Services regardless of whether the Service is being performed by Supplier or a Subcontractor. Nothing contained within this Agreement is intended to extend, nor does it extend, any rights or benefits to any Subcontractor, and no third party beneficiary right is intended or granted to any third party hereby.</w:t>
      </w:r>
    </w:p>
    <w:p>
      <w:pPr>
        <w:spacing w:after="0" w:line="88" w:lineRule="exact"/>
        <w:rPr>
          <w:sz w:val="20"/>
          <w:szCs w:val="20"/>
          <w:color w:val="auto"/>
        </w:rPr>
      </w:pPr>
    </w:p>
    <w:p>
      <w:pPr>
        <w:jc w:val="both"/>
        <w:ind w:left="460" w:right="20" w:hanging="452"/>
        <w:spacing w:after="0" w:line="266" w:lineRule="auto"/>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8, AT&amp;T Rules and Supplier Information Security Requirements, </w:t>
      </w:r>
      <w:r>
        <w:rPr>
          <w:rFonts w:ascii="Arial" w:cs="Arial" w:eastAsia="Arial" w:hAnsi="Arial"/>
          <w:sz w:val="18"/>
          <w:szCs w:val="18"/>
          <w:color w:val="auto"/>
        </w:rPr>
        <w:t>is hereby deleted in its entirety, and replaced with Appendix 8,</w:t>
      </w:r>
      <w:r>
        <w:rPr>
          <w:rFonts w:ascii="Arial" w:cs="Arial" w:eastAsia="Arial" w:hAnsi="Arial"/>
          <w:sz w:val="18"/>
          <w:szCs w:val="18"/>
          <w:b w:val="1"/>
          <w:bCs w:val="1"/>
          <w:color w:val="auto"/>
        </w:rPr>
        <w:t xml:space="preserve"> AT&amp;T Rules, Supplier Information Security Requirements and Limited Offshore Remote Access</w:t>
      </w:r>
      <w:r>
        <w:rPr>
          <w:rFonts w:ascii="Arial" w:cs="Arial" w:eastAsia="Arial" w:hAnsi="Arial"/>
          <w:sz w:val="18"/>
          <w:szCs w:val="18"/>
          <w:color w:val="auto"/>
        </w:rPr>
        <w:t>, attached herewith, which shall apply to all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any AT&amp;T Entity and any Amdocs Entity.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06" w:name="page307"/>
    <w:bookmarkEnd w:id="306"/>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Madson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Madson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rPr>
              <w:t>Title:  President</w:t>
            </w:r>
          </w:p>
        </w:tc>
        <w:tc>
          <w:tcPr>
            <w:tcW w:w="4200" w:type="dxa"/>
            <w:vAlign w:val="bottom"/>
            <w:tcBorders>
              <w:top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color w:val="auto"/>
              </w:rPr>
              <w:t>Date: 8-30-2010</w:t>
            </w:r>
          </w:p>
        </w:tc>
        <w:tc>
          <w:tcPr>
            <w:tcW w:w="0" w:type="dxa"/>
            <w:vAlign w:val="bottom"/>
          </w:tcPr>
          <w:p>
            <w:pPr>
              <w:spacing w:after="0" w:line="20" w:lineRule="exact"/>
              <w:rPr>
                <w:sz w:val="1"/>
                <w:szCs w:val="1"/>
                <w:color w:val="auto"/>
              </w:rPr>
            </w:pPr>
          </w:p>
        </w:tc>
      </w:tr>
      <w:tr>
        <w:trPr>
          <w:trHeight w:val="385"/>
        </w:trPr>
        <w:tc>
          <w:tcPr>
            <w:tcW w:w="5480" w:type="dxa"/>
            <w:vAlign w:val="bottom"/>
            <w:gridSpan w:val="4"/>
          </w:tcPr>
          <w:p>
            <w:pPr>
              <w:spacing w:after="0"/>
              <w:rPr>
                <w:sz w:val="20"/>
                <w:szCs w:val="20"/>
                <w:color w:val="auto"/>
              </w:rPr>
            </w:pPr>
            <w:r>
              <w:rPr>
                <w:rFonts w:ascii="Arial" w:cs="Arial" w:eastAsia="Arial" w:hAnsi="Arial"/>
                <w:sz w:val="18"/>
                <w:szCs w:val="18"/>
                <w:color w:val="auto"/>
              </w:rPr>
              <w:t>Date: 8-30-2010</w:t>
            </w:r>
          </w:p>
        </w:tc>
        <w:tc>
          <w:tcPr>
            <w:tcW w:w="57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Rules, Supplier Information Security Requirements and Limited Offshore Remote Access</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Appendix 8 of the Master Service Agreement No. 02026713 (the “Agreement”). Capitalized terms not defined in this Appendix have the meaning given in the Agreement. Any capitalized term not defined has its generally understood meaning in the context in which it is used in the IT industry.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Policies and Rules</w:t>
      </w:r>
    </w:p>
    <w:p>
      <w:pPr>
        <w:spacing w:after="0" w:line="135" w:lineRule="exact"/>
        <w:rPr>
          <w:sz w:val="20"/>
          <w:szCs w:val="20"/>
          <w:color w:val="auto"/>
        </w:rPr>
      </w:pPr>
    </w:p>
    <w:p>
      <w:pPr>
        <w:jc w:val="both"/>
        <w:ind w:left="900" w:right="200" w:hanging="446"/>
        <w:spacing w:after="0" w:line="312" w:lineRule="auto"/>
        <w:tabs>
          <w:tab w:leader="none" w:pos="9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During the performance of Services, representatives of Amdocs, including the Amdocs Personnel, (“Amdocs Representatives”) shall adhere to AT&amp;T Rules and policies, including but not limited to those specified in the AT&amp;T Code of Business Conduct, found on the following website: </w:t>
      </w:r>
      <w:r>
        <w:rPr>
          <w:rFonts w:ascii="Arial" w:cs="Arial" w:eastAsia="Arial" w:hAnsi="Arial"/>
          <w:sz w:val="16"/>
          <w:szCs w:val="16"/>
          <w:u w:val="single" w:color="auto"/>
          <w:color w:val="auto"/>
        </w:rPr>
        <w:t>http://www.att.com/gen/investor-relations?pid=5711</w:t>
      </w:r>
      <w:r>
        <w:rPr>
          <w:rFonts w:ascii="Arial" w:cs="Arial" w:eastAsia="Arial" w:hAnsi="Arial"/>
          <w:sz w:val="16"/>
          <w:szCs w:val="16"/>
          <w:color w:val="auto"/>
        </w:rPr>
        <w:t xml:space="preserve">, and to be reviewed once a year, all in accordance with </w:t>
      </w:r>
      <w:r>
        <w:rPr>
          <w:rFonts w:ascii="Arial" w:cs="Arial" w:eastAsia="Arial" w:hAnsi="Arial"/>
          <w:sz w:val="16"/>
          <w:szCs w:val="16"/>
          <w:b w:val="1"/>
          <w:bCs w:val="1"/>
          <w:u w:val="single" w:color="auto"/>
          <w:color w:val="auto"/>
        </w:rPr>
        <w:t>Appendix 8</w:t>
      </w:r>
      <w:r>
        <w:rPr>
          <w:rFonts w:ascii="Arial" w:cs="Arial" w:eastAsia="Arial" w:hAnsi="Arial"/>
          <w:sz w:val="16"/>
          <w:szCs w:val="16"/>
          <w:color w:val="auto"/>
        </w:rPr>
        <w:t xml:space="preserve"> of the Agreement.</w:t>
      </w:r>
    </w:p>
    <w:p>
      <w:pPr>
        <w:spacing w:after="0" w:line="52" w:lineRule="exact"/>
        <w:rPr>
          <w:rFonts w:ascii="Arial" w:cs="Arial" w:eastAsia="Arial" w:hAnsi="Arial"/>
          <w:sz w:val="16"/>
          <w:szCs w:val="16"/>
          <w:color w:val="auto"/>
        </w:rPr>
      </w:pPr>
    </w:p>
    <w:p>
      <w:pPr>
        <w:ind w:left="900" w:right="80" w:hanging="446"/>
        <w:spacing w:after="0" w:line="257" w:lineRule="auto"/>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Without limiting the Amdocs obligation in clause (a), Amdocs shall ensure that the personal conduct and comments in the workplace of Amdocs Representatives support a professional environment which is free of inappropriate behavior, language, jokes or actions which could be perceived as sexual harassment or as biased, demeaning, offensive, or derogatory to others based upon race, color, religion, national origin, sex, age, sexual orientation, marital status, veteran’s status or disability. Amdocs further agrees that Amdocs Representatives will refrain from words or conduct that is threatening to and/or disrespectful of others.</w:t>
      </w:r>
    </w:p>
    <w:p>
      <w:pPr>
        <w:spacing w:after="0" w:line="93" w:lineRule="exact"/>
        <w:rPr>
          <w:rFonts w:ascii="Arial" w:cs="Arial" w:eastAsia="Arial" w:hAnsi="Arial"/>
          <w:sz w:val="18"/>
          <w:szCs w:val="18"/>
          <w:color w:val="auto"/>
        </w:rPr>
      </w:pPr>
    </w:p>
    <w:p>
      <w:pPr>
        <w:ind w:left="900" w:right="40" w:hanging="446"/>
        <w:spacing w:after="0" w:line="271" w:lineRule="auto"/>
        <w:tabs>
          <w:tab w:leader="none" w:pos="90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Without limiting Amdocs’ obligations in clauses (a) and (b), if AT&amp;T provides Amdocs Representatives access to its computer systems, Amdocs agrees (i) to use such systems in a professional manner, (ii) to use such systems only for business purposes and solely for the purposes of performing Services under the Agreement, (iii) to use such systems in compliance with AT&amp;T’s applicable standards and guidelines for computer systems use, as outlined in AT&amp;T’s Security Policies and Procedures, and (iv) to use password devices, if applicable and if requested by AT&amp;T. Without limiting the foregoing, any access provided by AT&amp;T, or by virtue of the presence of Amdocs Representatives at AT&amp;T locations, including but not limited to access to intranet and internet services, shall not be used for personal purposes or for any purpose which is not directly related to the Services. Amdocs agrees that Amdocs Representatives must have a valid AT&amp;T business reason to access the intranet and/or the internet from within AT&amp;T’s private corporate network.</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Access</w:t>
      </w:r>
    </w:p>
    <w:p>
      <w:pPr>
        <w:spacing w:after="0" w:line="134" w:lineRule="exact"/>
        <w:rPr>
          <w:rFonts w:ascii="Arial" w:cs="Arial" w:eastAsia="Arial" w:hAnsi="Arial"/>
          <w:sz w:val="18"/>
          <w:szCs w:val="18"/>
          <w:b w:val="1"/>
          <w:bCs w:val="1"/>
          <w:color w:val="auto"/>
        </w:rPr>
      </w:pPr>
    </w:p>
    <w:p>
      <w:pPr>
        <w:ind w:left="900" w:right="20" w:hanging="446"/>
        <w:spacing w:after="0" w:line="273" w:lineRule="auto"/>
        <w:tabs>
          <w:tab w:leader="none" w:pos="9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When appropriate, Amdocs shall have reasonable access to AT&amp;T’s premises during normal business hours, and at such other times as may be agreed upon by the Parties, to enable Amdocs to perform its obligations under the Agreement. Amdocs shall coordinate such access with AT&amp;T’s designated representative prior to visiting such premises. If AT&amp;T requests Amdocs to discontinue furnishing any person provided by Amdocs from performing Services on AT&amp;T’s premises, in accordance with the terms and conditions of the Agreement, Amdocs shall immediately comply with such request. Such person shall leave AT&amp;T’s premises immediately and Amdocs shall not furnish such person again to perform Services on AT&amp;T’s premises without AT&amp;T’s written consent.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900" w:right="20" w:hanging="446"/>
        <w:spacing w:after="0" w:line="259"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AT&amp;T may require Amdocs or its Amdocs Representatives to exhibit identification credentials, which AT&amp;T may issue, to gain access to AT&amp;T’s premises for the performance of Services. If, for any reason, any Amdocs Representative is no longer performing such Services, Amdocs shall immediately inform AT&amp;T and promptly deliver to AT&amp;T such person’s identification credentials, if issued by AT&amp;T. Each Amdocs Personnel shall wear a badge indicating that he or she is not an employee of AT&amp;T.</w:t>
      </w:r>
    </w:p>
    <w:p>
      <w:pPr>
        <w:spacing w:after="0" w:line="92" w:lineRule="exact"/>
        <w:rPr>
          <w:rFonts w:ascii="Arial" w:cs="Arial" w:eastAsia="Arial" w:hAnsi="Arial"/>
          <w:sz w:val="18"/>
          <w:szCs w:val="18"/>
          <w:color w:val="auto"/>
        </w:rPr>
      </w:pPr>
    </w:p>
    <w:p>
      <w:pPr>
        <w:ind w:left="900" w:right="120" w:hanging="446"/>
        <w:spacing w:after="0" w:line="25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Amdocs shall ensure that Amdocs Representatives, while on or off AT&amp;T’s premises, will (i) perform Services which conform to the Specifications, (ii) protect AT&amp;T Data, buildings and structures, (iii) perform Services which do not interfere with AT&amp;T’s business operations, and (iv) perform such Services with care and due regard for the safety, convenience and protection of AT&amp;T, its employees, and its property and in full conformance with the policies specified in the </w:t>
      </w:r>
      <w:r>
        <w:rPr>
          <w:rFonts w:ascii="Arial" w:cs="Arial" w:eastAsia="Arial" w:hAnsi="Arial"/>
          <w:sz w:val="18"/>
          <w:szCs w:val="18"/>
          <w:i w:val="1"/>
          <w:iCs w:val="1"/>
          <w:color w:val="auto"/>
        </w:rPr>
        <w:t>AT&amp;T Code of Business Conduct,</w:t>
      </w:r>
      <w:r>
        <w:rPr>
          <w:rFonts w:ascii="Arial" w:cs="Arial" w:eastAsia="Arial" w:hAnsi="Arial"/>
          <w:sz w:val="18"/>
          <w:szCs w:val="18"/>
          <w:color w:val="auto"/>
        </w:rPr>
        <w:t xml:space="preserve"> which prohibits the possession of a weapon or an implement which can be used as a weapon.</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Amdocs shall ensure that all persons furnished by Amdocs work harmoniously with all others when on AT&amp;T’s premises.</w:t>
      </w:r>
    </w:p>
    <w:p>
      <w:pPr>
        <w:spacing w:after="0" w:line="130"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providing the Services, Amdocs may only use citizens of the United States (“US”) to access or display AT&amp;T Data, including Customer Information, for any Government Applications. AT&amp;T shall be responsible to identify for Amdocs any Application classified as a “Government Application.”</w:t>
      </w:r>
    </w:p>
    <w:p>
      <w:pPr>
        <w:spacing w:after="0" w:line="326"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AT&amp;T Supplier Information Security Requirements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following AT&amp;T Supplier Information Security Requirements (“Security Requirements”) apply to Amdocs, its Subcontractors, and each of their employees and/or temporary workers, contractors, vendors and/or agents who perform Services for, on behalf of, and/or through AT&amp;T (for the purpose of this Appendix, each or all “Supplier”) that include </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of the following</w:t>
      </w:r>
      <w:r>
        <w:rPr>
          <w:rFonts w:ascii="Arial" w:cs="Arial" w:eastAsia="Arial" w:hAnsi="Arial"/>
          <w:sz w:val="18"/>
          <w:szCs w:val="18"/>
          <w:b w:val="1"/>
          <w:bCs w:val="1"/>
          <w:color w:val="auto"/>
        </w:rPr>
        <w:t>:</w:t>
      </w:r>
    </w:p>
    <w:p>
      <w:pPr>
        <w:spacing w:after="0" w:line="73" w:lineRule="exact"/>
        <w:rPr>
          <w:sz w:val="20"/>
          <w:szCs w:val="20"/>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Supplier’s performance of Services that involve the collection, storage, handling, or disposal of AT&amp;T Data;</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Supplier-offered or -supported AT&amp;T branded services using non-AT&amp;T network and Information Resources (as defined below);</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Connectivity to AT&amp;T non-public networks and Information Resources (as defined below);</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Custom software development or software implementation; or</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specific performance or other equitable relief and [**] by Supplier to enforce the obligations in these Security Requirements, including those that survive Termination, Cancellation or expiration of this Agreement. The provisions of this Appendix shall not be deemed to, and shall not, limit any more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09" w:name="page310"/>
    <w:bookmarkEnd w:id="30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stringent security or other obligations of the Agreement. Section and paragraph headings contained in parentheses following paragraphs in the table, below, in this Appendix are for reference purposes only and are not to affect the meaning or interpretation of this Agreement.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AT&amp;T reserves the right to update or modify its Security Requirements from time to time as specified below. Upon notification by AT&amp;T of its need to modify the Security Requirements, Supplier agrees to promptly negotiate in good faith and execute an amendment to this Agreement to incorporate any such modification. Supplier acknowledges that AT&amp;T may require modifications to Security Requirements upon:</w:t>
      </w:r>
    </w:p>
    <w:p>
      <w:pPr>
        <w:spacing w:after="0" w:line="87"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Extension, or renewal of the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change in work scope or other substantive modification of the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Identification of a potential threat scenario.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3.1 Definitions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set forth or expanded herein, defined terms shall have the same meaning as set forth in the main body of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“AT&amp;T Network” </w:t>
      </w:r>
      <w:r>
        <w:rPr>
          <w:rFonts w:ascii="Arial" w:cs="Arial" w:eastAsia="Arial" w:hAnsi="Arial"/>
          <w:sz w:val="18"/>
          <w:szCs w:val="18"/>
          <w:color w:val="auto"/>
        </w:rPr>
        <w:t>is the internal, non-public AT&amp;T network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“AT&amp;T Systems” </w:t>
      </w:r>
      <w:r>
        <w:rPr>
          <w:rFonts w:ascii="Arial" w:cs="Arial" w:eastAsia="Arial" w:hAnsi="Arial"/>
          <w:sz w:val="18"/>
          <w:szCs w:val="18"/>
          <w:color w:val="auto"/>
        </w:rPr>
        <w:t>are the internal, non-public AT&amp;T systems and applications.</w:t>
      </w:r>
    </w:p>
    <w:p>
      <w:pPr>
        <w:spacing w:after="0" w:line="225" w:lineRule="exact"/>
        <w:rPr>
          <w:sz w:val="20"/>
          <w:szCs w:val="20"/>
          <w:color w:val="auto"/>
        </w:rPr>
      </w:pPr>
    </w:p>
    <w:p>
      <w:pPr>
        <w:ind w:left="460" w:right="300" w:hanging="437"/>
        <w:spacing w:after="0" w:line="282" w:lineRule="auto"/>
        <w:rPr>
          <w:sz w:val="20"/>
          <w:szCs w:val="20"/>
          <w:color w:val="auto"/>
        </w:rPr>
      </w:pPr>
      <w:r>
        <w:rPr>
          <w:rFonts w:ascii="Arial" w:cs="Arial" w:eastAsia="Arial" w:hAnsi="Arial"/>
          <w:sz w:val="18"/>
          <w:szCs w:val="18"/>
          <w:b w:val="1"/>
          <w:bCs w:val="1"/>
          <w:color w:val="auto"/>
        </w:rPr>
        <w:t xml:space="preserve">“Customer Facing System” </w:t>
      </w:r>
      <w:r>
        <w:rPr>
          <w:rFonts w:ascii="Arial" w:cs="Arial" w:eastAsia="Arial" w:hAnsi="Arial"/>
          <w:sz w:val="18"/>
          <w:szCs w:val="18"/>
          <w:color w:val="auto"/>
        </w:rPr>
        <w:t>means an Information Resource accessible from public networks which is intended for use by AT&amp;T’s customers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resides in a DMZ, as defined below, and where that DMZ:</w:t>
      </w:r>
    </w:p>
    <w:p>
      <w:pPr>
        <w:spacing w:after="0" w:line="71" w:lineRule="exact"/>
        <w:rPr>
          <w:sz w:val="20"/>
          <w:szCs w:val="20"/>
          <w:color w:val="auto"/>
        </w:rPr>
      </w:pPr>
    </w:p>
    <w:p>
      <w:pPr>
        <w:ind w:left="900" w:right="500" w:hanging="446"/>
        <w:spacing w:after="0" w:line="277"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Is protected by firewalls located between the Internet and the DMZ, between that DMZ and all other DMZs, and between the DMZ and the AT&amp;T intranet,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Prohibits incoming TELNET connections from public networks,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Prohibits incoming FTP connections from public networks except to specific systems known as “FTP drop boxes”.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Note: A Customer Facing System which also is used by AT&amp;T employees, contractors, vendors or suppliers to perform work on behalf of AT&amp;T is not considered a Customer Facing System when performing such work.</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“Demilitarized Zone” </w:t>
      </w:r>
      <w:r>
        <w:rPr>
          <w:rFonts w:ascii="Arial" w:cs="Arial" w:eastAsia="Arial" w:hAnsi="Arial"/>
          <w:sz w:val="17"/>
          <w:szCs w:val="17"/>
          <w:color w:val="auto"/>
        </w:rPr>
        <w:t>or</w:t>
      </w:r>
      <w:r>
        <w:rPr>
          <w:rFonts w:ascii="Arial" w:cs="Arial" w:eastAsia="Arial" w:hAnsi="Arial"/>
          <w:sz w:val="17"/>
          <w:szCs w:val="17"/>
          <w:b w:val="1"/>
          <w:bCs w:val="1"/>
          <w:color w:val="auto"/>
        </w:rPr>
        <w:t xml:space="preserve"> “DMZ” </w:t>
      </w:r>
      <w:r>
        <w:rPr>
          <w:rFonts w:ascii="Arial" w:cs="Arial" w:eastAsia="Arial" w:hAnsi="Arial"/>
          <w:sz w:val="17"/>
          <w:szCs w:val="17"/>
          <w:color w:val="auto"/>
        </w:rPr>
        <w:t>is a network or sub-network that sits between a trusted internal network, such as a corporate private LAN, and an untrusted</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 network, such as the public Internet. A DMZ helps prevent outside users from gaining direct access to internal Information Resources. The DMZ must be separated from the untrusted external network by use of a firewall and must be separated from the trusted internal network by use of another firewall. Inbound packets from the untrusted external network must terminate within the DMZ and must not be allowed to flow directly through to the trusted internal network. All inbound packets which flow to the trusted internal network must only originate within the DMZ. For additional clarification, see the diagram below; however, the written text shall control with respect to the interpretation of this definition.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658745" cy="14147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5874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460" w:hanging="437"/>
        <w:spacing w:after="0" w:line="282" w:lineRule="auto"/>
        <w:rPr>
          <w:sz w:val="20"/>
          <w:szCs w:val="20"/>
          <w:color w:val="auto"/>
        </w:rPr>
      </w:pPr>
      <w:r>
        <w:rPr>
          <w:rFonts w:ascii="Arial" w:cs="Arial" w:eastAsia="Arial" w:hAnsi="Arial"/>
          <w:sz w:val="18"/>
          <w:szCs w:val="18"/>
          <w:b w:val="1"/>
          <w:bCs w:val="1"/>
          <w:color w:val="auto"/>
        </w:rPr>
        <w:t xml:space="preserve">“Information Resources” </w:t>
      </w:r>
      <w:r>
        <w:rPr>
          <w:rFonts w:ascii="Arial" w:cs="Arial" w:eastAsia="Arial" w:hAnsi="Arial"/>
          <w:sz w:val="18"/>
          <w:szCs w:val="18"/>
          <w:color w:val="auto"/>
        </w:rPr>
        <w:t>means any systems, applications, and network elements, and the information stored, transmitted, or processed with these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conjunction with supporting AT&amp;T and/or used by Supplier in fulfillment of its obligations under this Agreement.</w:t>
      </w:r>
    </w:p>
    <w:p>
      <w:pPr>
        <w:spacing w:after="0" w:line="162" w:lineRule="exact"/>
        <w:rPr>
          <w:sz w:val="20"/>
          <w:szCs w:val="20"/>
          <w:color w:val="auto"/>
        </w:rPr>
      </w:pPr>
    </w:p>
    <w:p>
      <w:pPr>
        <w:ind w:left="460" w:right="100" w:hanging="437"/>
        <w:spacing w:after="0" w:line="261" w:lineRule="auto"/>
        <w:rPr>
          <w:sz w:val="20"/>
          <w:szCs w:val="20"/>
          <w:color w:val="auto"/>
        </w:rPr>
      </w:pPr>
      <w:r>
        <w:rPr>
          <w:rFonts w:ascii="Arial" w:cs="Arial" w:eastAsia="Arial" w:hAnsi="Arial"/>
          <w:sz w:val="18"/>
          <w:szCs w:val="18"/>
          <w:b w:val="1"/>
          <w:bCs w:val="1"/>
          <w:color w:val="auto"/>
        </w:rPr>
        <w:t xml:space="preserve">“Sensitive Personal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“SPI” </w:t>
      </w:r>
      <w:r>
        <w:rPr>
          <w:rFonts w:ascii="Arial" w:cs="Arial" w:eastAsia="Arial" w:hAnsi="Arial"/>
          <w:sz w:val="18"/>
          <w:szCs w:val="18"/>
          <w:color w:val="auto"/>
        </w:rPr>
        <w:t>means any information that could be used to uniquely identify, locate, or contact a single person (or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be exploited to steal the identity of an individual, commit fraud or perpetuate other crimes). Examples of SPI include, but are not limited to, social security numbers, national, state or province issued identification number, drivers license numbers, dates of birth, bank account numbers, and credit card numbers.</w:t>
      </w:r>
    </w:p>
    <w:p>
      <w:pPr>
        <w:spacing w:after="0" w:line="180" w:lineRule="exact"/>
        <w:rPr>
          <w:sz w:val="20"/>
          <w:szCs w:val="20"/>
          <w:color w:val="auto"/>
        </w:rPr>
      </w:pPr>
    </w:p>
    <w:p>
      <w:pPr>
        <w:ind w:left="460" w:right="300" w:hanging="437"/>
        <w:spacing w:after="0" w:line="266" w:lineRule="auto"/>
        <w:rPr>
          <w:sz w:val="20"/>
          <w:szCs w:val="20"/>
          <w:color w:val="auto"/>
        </w:rPr>
      </w:pPr>
      <w:r>
        <w:rPr>
          <w:rFonts w:ascii="Arial" w:cs="Arial" w:eastAsia="Arial" w:hAnsi="Arial"/>
          <w:sz w:val="18"/>
          <w:szCs w:val="18"/>
          <w:b w:val="1"/>
          <w:bCs w:val="1"/>
          <w:color w:val="auto"/>
        </w:rPr>
        <w:t xml:space="preserve">“Strong Encryption” </w:t>
      </w:r>
      <w:r>
        <w:rPr>
          <w:rFonts w:ascii="Arial" w:cs="Arial" w:eastAsia="Arial" w:hAnsi="Arial"/>
          <w:sz w:val="18"/>
          <w:szCs w:val="18"/>
          <w:color w:val="auto"/>
        </w:rPr>
        <w:t>means the use of encryption technologies with minimum key lengths of 128-bits for symmetric encryption and 1024-bits for</w:t>
      </w:r>
      <w:r>
        <w:rPr>
          <w:rFonts w:ascii="Arial" w:cs="Arial" w:eastAsia="Arial" w:hAnsi="Arial"/>
          <w:sz w:val="18"/>
          <w:szCs w:val="18"/>
          <w:b w:val="1"/>
          <w:bCs w:val="1"/>
          <w:color w:val="auto"/>
        </w:rPr>
        <w:t xml:space="preserve"> </w:t>
      </w:r>
      <w:r>
        <w:rPr>
          <w:rFonts w:ascii="Arial" w:cs="Arial" w:eastAsia="Arial" w:hAnsi="Arial"/>
          <w:sz w:val="18"/>
          <w:szCs w:val="18"/>
          <w:color w:val="auto"/>
        </w:rPr>
        <w:t>asymmetric encryption whose strength provides reasonable assurance that it will protect the encrypted information from unauthorized access, and is adequate to protect the confidentiality and privacy of the encrypted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Security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foregoing, Supplier shall:</w:t>
      </w:r>
    </w:p>
    <w:p>
      <w:pPr>
        <w:spacing w:after="0" w:line="131" w:lineRule="exact"/>
        <w:rPr>
          <w:sz w:val="20"/>
          <w:szCs w:val="20"/>
          <w:color w:val="auto"/>
        </w:rPr>
      </w:pPr>
    </w:p>
    <w:p>
      <w:pPr>
        <w:ind w:left="460" w:right="760" w:hanging="452"/>
        <w:spacing w:after="0" w:line="277" w:lineRule="auto"/>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Actively monitor industry resources (e.g., </w:t>
      </w:r>
      <w:r>
        <w:rPr>
          <w:rFonts w:ascii="Arial" w:cs="Arial" w:eastAsia="Arial" w:hAnsi="Arial"/>
          <w:sz w:val="18"/>
          <w:szCs w:val="18"/>
          <w:u w:val="single" w:color="auto"/>
          <w:color w:val="auto"/>
        </w:rPr>
        <w:t>www.cert.org</w:t>
      </w:r>
      <w:r>
        <w:rPr>
          <w:rFonts w:ascii="Arial" w:cs="Arial" w:eastAsia="Arial" w:hAnsi="Arial"/>
          <w:sz w:val="18"/>
          <w:szCs w:val="18"/>
          <w:color w:val="auto"/>
        </w:rPr>
        <w:t>, pertinent software vendor mailing lists &amp; websites, etc.) for timely notification of all applicable security alerts pertaining to the Supplier networks and Information Resources. (Security Alerts)</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Scan externally-facing Information Resources with applicable industry-standard security vulnerability scanning software (including, but not limited to, network, server, &amp; application scanning tools) [**]. (Externally-facing System Scanning)</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Scan internal Information Resources with applicable industry-standard security vulnerability scanning software (including, but not limited to, network, server, application &amp; database scanning tools) [**]. (Internal System Scanning)</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Upon AT&amp;T’s request, furnish to AT&amp;T its most current scanning results for Information Resources. (Sharing Scanning Results with AT&amp;T)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Deploy one or more Intrusion Detection Systems (IDS) in an active mode of operation. (Intrusion Detection Systems)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jc w:val="both"/>
        <w:ind w:left="460" w:right="140" w:hanging="452"/>
        <w:spacing w:after="0" w:line="312" w:lineRule="auto"/>
        <w:tabs>
          <w:tab w:leader="none" w:pos="4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Have and use a documented process to remediate security vulnerabilities in the Information Resources, including, but not limited to, those discovered through industry publications, vulnerability scanning, virus scanning, and the review of security logs, and apply appropriate security patches promptly with respect to the probability that such vulnerability can be, or is in the process of being, exploited. (Remediating/Patching Service Vulnerabilities)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Assign security administration responsibilities for configuring host operating systems to specific individuals. (Security Administration Responsibilities)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Ensure that its security staff has reasonable and necessary experience in information/network security. (Necessary Staff Experience)</w:t>
      </w:r>
    </w:p>
    <w:p>
      <w:pPr>
        <w:spacing w:after="0" w:line="130" w:lineRule="exact"/>
        <w:rPr>
          <w:rFonts w:ascii="Arial" w:cs="Arial" w:eastAsia="Arial" w:hAnsi="Arial"/>
          <w:sz w:val="18"/>
          <w:szCs w:val="18"/>
          <w:color w:val="auto"/>
        </w:rPr>
      </w:pPr>
    </w:p>
    <w:p>
      <w:pPr>
        <w:ind w:left="460" w:right="400" w:hanging="452"/>
        <w:spacing w:after="0" w:line="264"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Ensure that all of Supplier’s Information Resources are and remain ‘hardened’ including, but not limited to, removing or disabling unused network services (e.g., finger, rlogin, ftp, simple TCP/IP services, etc.) and installing a system firewall, TCP Wrappers or similar technology. (Hardened Systems)</w:t>
      </w:r>
    </w:p>
    <w:p>
      <w:pPr>
        <w:spacing w:after="0" w:line="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Change all default account names and/or default passwords in accordance with password requirements as set forth herein. (Changing default Account names and Passwords)</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Limit system administrator/root (or privileged, super user, or the like) access to host operating systems only to individuals requiring high-level access in the performance of their jobs. (Limit Super User Privileges)</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Require system administrators to restrict access by users to only the commands, data and Information Resources necessary for them to perform authorized functions. (Administrators to Restrict User Access)</w:t>
      </w:r>
    </w:p>
    <w:p>
      <w:pPr>
        <w:spacing w:after="0" w:line="75" w:lineRule="exact"/>
        <w:rPr>
          <w:rFonts w:ascii="Arial" w:cs="Arial" w:eastAsia="Arial" w:hAnsi="Arial"/>
          <w:sz w:val="18"/>
          <w:szCs w:val="18"/>
          <w:color w:val="auto"/>
        </w:rPr>
      </w:pPr>
    </w:p>
    <w:p>
      <w:pPr>
        <w:ind w:left="460" w:right="80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Ensure that all of Supplier’s networks and Information Resources are located in secure physical facilities with access limited and restricted to authorized individuals only. (Information Resources in Secure Facilities)</w:t>
      </w:r>
    </w:p>
    <w:p>
      <w:pPr>
        <w:spacing w:after="0" w:line="75" w:lineRule="exact"/>
        <w:rPr>
          <w:rFonts w:ascii="Arial" w:cs="Arial" w:eastAsia="Arial" w:hAnsi="Arial"/>
          <w:sz w:val="18"/>
          <w:szCs w:val="18"/>
          <w:color w:val="auto"/>
        </w:rPr>
      </w:pPr>
    </w:p>
    <w:p>
      <w:pPr>
        <w:ind w:left="460" w:right="60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networks and Information Resources used in connection with Supplier’s performance of its obligations under the Agreement. (Monitoring and Recording Access)</w:t>
      </w:r>
    </w:p>
    <w:p>
      <w:pPr>
        <w:spacing w:after="0" w:line="75"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When providing Internet-based services to AT&amp;T, protect AT&amp;T Data by the implementation of a network DMZ. Web servers providing service to AT&amp;T shall reside in the DMZ. Information Resources storing AT&amp;T Data (such as application and database servers) shall reside in a trusted internal network. (Internet Services Must Use DMZ)</w:t>
      </w:r>
    </w:p>
    <w:p>
      <w:pPr>
        <w:spacing w:after="0" w:line="86"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Upon AT&amp;T’s request, provide to AT&amp;T a logical network diagram detailing the Information Resources (including, but not limited to, firewalls, servers, etc.) that will support AT&amp;T. (Provision of Logical Network Diagram)</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Have a documented process and controls in place to detect and handle unauthorized attempts to access AT&amp;T Data. (Detection and Handling of Unauthorized Access).</w:t>
      </w:r>
    </w:p>
    <w:p>
      <w:pPr>
        <w:spacing w:after="0" w:line="75" w:lineRule="exact"/>
        <w:rPr>
          <w:rFonts w:ascii="Arial" w:cs="Arial" w:eastAsia="Arial" w:hAnsi="Arial"/>
          <w:sz w:val="18"/>
          <w:szCs w:val="18"/>
          <w:color w:val="auto"/>
        </w:rPr>
      </w:pPr>
    </w:p>
    <w:p>
      <w:pPr>
        <w:ind w:left="460" w:right="220" w:hanging="452"/>
        <w:spacing w:after="0" w:line="279" w:lineRule="auto"/>
        <w:tabs>
          <w:tab w:leader="none" w:pos="4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Use Strong Encryption for the transfer of AT&amp;T Data outside AT&amp;T- or Supplier-controlled facilities or when transmitting AT&amp;T Data over any untrusted network. (Note: This also applies to AT&amp;T Data contained in email, or the attachments embedded within the email, as the case may be. For greater clarity, if, for example, the text in an email does not contain AT&amp;T Data, but the embedded attachments within that email do contain AT&amp;T Data, then the embedded attachment, but not the email, needs to be encrypted.) (Encryption of Information in Transit)</w:t>
      </w:r>
    </w:p>
    <w:p>
      <w:pPr>
        <w:spacing w:after="0" w:line="76"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Require strong authentication (e.g., two factor token or digital certificates) for remote access or use of Information Resources. (Remote Access Authentication).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right="200" w:hanging="452"/>
        <w:spacing w:after="0" w:line="264"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Isolate AT&amp;T’s applications and Information from any other customer’s or Supplier’s own applications and information either by using physically separate servers or alternatively by using logical access controls where physical separation of servers is not implemented. (Separate AT&amp;T Data from non-AT&amp;T Data)</w:t>
      </w:r>
    </w:p>
    <w:p>
      <w:pPr>
        <w:spacing w:after="0" w:line="86" w:lineRule="exact"/>
        <w:rPr>
          <w:rFonts w:ascii="Arial" w:cs="Arial" w:eastAsia="Arial" w:hAnsi="Arial"/>
          <w:sz w:val="18"/>
          <w:szCs w:val="18"/>
          <w:color w:val="auto"/>
        </w:rPr>
      </w:pPr>
    </w:p>
    <w:p>
      <w:pPr>
        <w:ind w:left="460" w:right="840" w:hanging="452"/>
        <w:spacing w:after="0" w:line="277"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Have a documented procedure for the secure backup, transport storage, and disposal of AT&amp;T Data and, upon AT&amp;T’s request, provide such documented procedure to AT&amp;T. (Secure Backup, Transport, Storage and Disposal of AT&amp;T Data)</w:t>
      </w:r>
    </w:p>
    <w:p>
      <w:pPr>
        <w:spacing w:after="0" w:line="75" w:lineRule="exact"/>
        <w:rPr>
          <w:rFonts w:ascii="Arial" w:cs="Arial" w:eastAsia="Arial" w:hAnsi="Arial"/>
          <w:sz w:val="18"/>
          <w:szCs w:val="18"/>
          <w:color w:val="auto"/>
        </w:rPr>
      </w:pPr>
    </w:p>
    <w:p>
      <w:pPr>
        <w:ind w:left="460" w:right="200" w:hanging="452"/>
        <w:spacing w:after="0" w:line="257"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Amdocs will maintain and upon request provide the Business Continuity Plan for their operations associated with each Amdocs Facility, covering the Applications and Projects that are assigned to them by AT&amp;T, as set forth in this section at all times during the term of this Agreement. This Business Continuity Plan will ensure that Supplier can meet its contractual obligations under the Agreement, including the requirements of any applicable Statement of Work or Service Level Agreement. Upon AT&amp;T’s request, Supplier shall promptly update its business continuity plan to include a potential threat scenario. (Business Continuity Plan)</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Where physical and logical security of AT&amp;T SPI cannot be ensured, store AT&amp;T SPI using Strong Encryption. (Encryption at Rest / Storage)</w:t>
      </w:r>
    </w:p>
    <w:p>
      <w:pPr>
        <w:spacing w:after="0" w:line="142" w:lineRule="exact"/>
        <w:rPr>
          <w:rFonts w:ascii="Arial" w:cs="Arial" w:eastAsia="Arial" w:hAnsi="Arial"/>
          <w:sz w:val="17"/>
          <w:szCs w:val="17"/>
          <w:color w:val="auto"/>
        </w:rPr>
      </w:pPr>
    </w:p>
    <w:p>
      <w:pPr>
        <w:ind w:left="460" w:right="520" w:hanging="452"/>
        <w:spacing w:after="0" w:line="277"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Limit access to AT&amp;T Data, including, but not limited to, paper hard copies, only to authorized persons or systems. (Limit Access to AT&amp;T Data Regardless of Form)</w:t>
      </w:r>
    </w:p>
    <w:p>
      <w:pPr>
        <w:spacing w:after="0" w:line="75" w:lineRule="exact"/>
        <w:rPr>
          <w:rFonts w:ascii="Arial" w:cs="Arial" w:eastAsia="Arial" w:hAnsi="Arial"/>
          <w:sz w:val="18"/>
          <w:szCs w:val="18"/>
          <w:color w:val="auto"/>
        </w:rPr>
      </w:pPr>
    </w:p>
    <w:p>
      <w:pPr>
        <w:ind w:left="460" w:right="160" w:hanging="452"/>
        <w:spacing w:after="0" w:line="276"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Return or, at AT&amp;T’s option, destroy all AT&amp;T Data, including electronic and hard copies, within thirty (30) days after the sooner of: (a) expiration or Termination or Cancellation of the Agreement; (b) AT&amp;T’s request for the return of AT&amp;T Data; or (c) the date when Supplier (or its suppliers or representatives) no longer needs the AT&amp;T Data. In the event that AT&amp;T approves destruction as an alternative to returning the Information, then Supplier shall certify the destruction (e.g., degaussing, overwriting, performing a secure erase, performing a chip erase, shredding, cutting, punching holes, breaking, etc.) as rendering the AT&amp;T Data non-retrievable. (Return of AT&amp;T Data)</w:t>
      </w:r>
    </w:p>
    <w:p>
      <w:pPr>
        <w:spacing w:after="0" w:line="77" w:lineRule="exact"/>
        <w:rPr>
          <w:rFonts w:ascii="Arial" w:cs="Arial" w:eastAsia="Arial" w:hAnsi="Arial"/>
          <w:sz w:val="17"/>
          <w:szCs w:val="17"/>
          <w:color w:val="auto"/>
        </w:rPr>
      </w:pPr>
    </w:p>
    <w:p>
      <w:pPr>
        <w:ind w:left="460" w:right="20" w:hanging="452"/>
        <w:spacing w:after="0" w:line="259"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Unless otherwise instructed by AT&amp;T, when collecting, generating or creating Information for, through or on behalf of AT&amp;T or under the AT&amp;T brand, whenever practicable, label such Information as “AT&amp;T Proprietary Information” or, at a minimum, label AT&amp;T Data as “Confidential” or “Proprietary”. Supplier acknowledges that AT&amp;T Data shall remain AT&amp;T-owned Information irrespective of labeling or absence thereof. (Confidential or Proprietary Markings)</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Assign unique UserIDs to individual users. (Unique User IDs)</w:t>
      </w:r>
    </w:p>
    <w:p>
      <w:pPr>
        <w:spacing w:after="0" w:line="130" w:lineRule="exact"/>
        <w:rPr>
          <w:rFonts w:ascii="Arial" w:cs="Arial" w:eastAsia="Arial" w:hAnsi="Arial"/>
          <w:sz w:val="18"/>
          <w:szCs w:val="18"/>
          <w:color w:val="auto"/>
        </w:rPr>
      </w:pPr>
    </w:p>
    <w:p>
      <w:pPr>
        <w:jc w:val="both"/>
        <w:ind w:left="460" w:right="340" w:hanging="452"/>
        <w:spacing w:after="0" w:line="264"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Have and use a documented UserID Lifecycle Management process including, but not limited to, procedures for approved account creation, timely account removal, and account modification (e.g., changes to privileges, span of access, functions/roles) for all Information Resources and across all environments (e.g., production, test, development, etc.). (UserID Life Cycle Management)</w:t>
      </w:r>
    </w:p>
    <w:p>
      <w:pPr>
        <w:spacing w:after="0" w:line="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Enforce the rule of least privilege (i.e., limiting access to only the commands and Information necessary to perform authorized functions according to one’s job function). (Rule of Least Privilege)</w:t>
      </w:r>
    </w:p>
    <w:p>
      <w:pPr>
        <w:spacing w:after="0" w:line="75"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Limit failed login attempts to no more than [**] successive attempts and lock the user account upon reaching that limit. Access to the user account can be reactivated subsequently through a manual process requiring verification of the user’s identity or, where such capability exists, can be automatically reactivated after [**] from the last failed login attempt. (Limit Failed Logins)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jc w:val="both"/>
        <w:ind w:left="460" w:right="320" w:hanging="452"/>
        <w:spacing w:after="0" w:line="264" w:lineRule="auto"/>
        <w:tabs>
          <w:tab w:leader="none" w:pos="4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Terminate interactive sessions, or activate a secure, locking screensaver requiring authentication, after a period of inactivity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(Terminate Inactive Interactive Sessions)</w:t>
      </w:r>
    </w:p>
    <w:p>
      <w:pPr>
        <w:spacing w:after="0" w:line="86"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Require password expiration at regular intervals not to exceed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(Expire Passwords)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Use an authentication method based on the sensitivity of Information When passwords are used, they must meet these minimum requirements: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Passwords must be a minimum of [**] characters in length.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Passwords must contain characters from at least [**] of the these groupings: alpha, numeric, and special characters.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Passwords must not be the same as the UserID with which they are associated.</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Password construction must be complex and not contain names, dictionary words, combinations of words, or words with substitutions of numbers for letters, e.g., s3cur1ty.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Passwords must not contain repeating or sequential characters or numbers.</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i w:val="1"/>
          <w:iCs w:val="1"/>
          <w:color w:val="auto"/>
        </w:rPr>
        <w:t>Note: 1. When systems or applications do not enforce these password requirements, users and administrators must be instructed to comply with these password requirements when selecting passwords.</w:t>
      </w:r>
    </w:p>
    <w:p>
      <w:pPr>
        <w:spacing w:after="0" w:line="62" w:lineRule="exact"/>
        <w:rPr>
          <w:sz w:val="20"/>
          <w:szCs w:val="20"/>
          <w:color w:val="auto"/>
        </w:rPr>
      </w:pPr>
    </w:p>
    <w:p>
      <w:pPr>
        <w:ind w:left="460" w:right="120" w:firstLine="4"/>
        <w:spacing w:after="0" w:line="259" w:lineRule="auto"/>
        <w:tabs>
          <w:tab w:leader="none" w:pos="640" w:val="left"/>
        </w:tabs>
        <w:numPr>
          <w:ilvl w:val="1"/>
          <w:numId w:val="3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Applications housing more sensitive AT&amp;T Data, as identified by AT&amp;T, may require an authentication mechanism stronger than passwords and the authentication mechanism must be approved by AT&amp;T in advance in writing. Examples of stronger authentication methods include tokens, digital certificates, passphrases, and biometrics. </w:t>
      </w:r>
      <w:r>
        <w:rPr>
          <w:rFonts w:ascii="Arial" w:cs="Arial" w:eastAsia="Arial" w:hAnsi="Arial"/>
          <w:sz w:val="18"/>
          <w:szCs w:val="18"/>
          <w:i w:val="1"/>
          <w:iCs w:val="1"/>
          <w:u w:val="single" w:color="auto"/>
          <w:color w:val="auto"/>
        </w:rPr>
        <w:t>Exception</w:t>
      </w:r>
      <w:r>
        <w:rPr>
          <w:rFonts w:ascii="Arial" w:cs="Arial" w:eastAsia="Arial" w:hAnsi="Arial"/>
          <w:sz w:val="18"/>
          <w:szCs w:val="18"/>
          <w:i w:val="1"/>
          <w:iCs w:val="1"/>
          <w:color w:val="auto"/>
        </w:rPr>
        <w:t>: Where elsewhere authorized in writing by AT&amp;T, AT&amp;T customer usage of Customer Facing Systems may be exempted from this requirement. (Passwords and Construction Rules)</w:t>
      </w:r>
    </w:p>
    <w:p>
      <w:pPr>
        <w:spacing w:after="0" w:line="92" w:lineRule="exact"/>
        <w:rPr>
          <w:rFonts w:ascii="Arial" w:cs="Arial" w:eastAsia="Arial" w:hAnsi="Arial"/>
          <w:sz w:val="18"/>
          <w:szCs w:val="18"/>
          <w:i w:val="1"/>
          <w:iCs w:val="1"/>
          <w:color w:val="auto"/>
        </w:rPr>
      </w:pPr>
    </w:p>
    <w:p>
      <w:pPr>
        <w:ind w:left="460" w:right="320" w:hanging="452"/>
        <w:spacing w:after="0" w:line="277"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Use a secure method for the conveyance of authentication credentials (e.g., passwords) and authentication mechanisms (e.g., tokens or smart cards). (Use Secure Method to Convey UserIDs and Passwords)</w:t>
      </w:r>
    </w:p>
    <w:p>
      <w:pPr>
        <w:spacing w:after="0" w:line="75"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Display a warning or “no-trespassing” banner on applicable login screens or pages when in Supplier’s environment and not an AT&amp;T branded product or service.</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long version):</w:t>
      </w:r>
    </w:p>
    <w:p>
      <w:pPr>
        <w:spacing w:after="0" w:line="121"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This is an &lt;company name&gt; system, restricted to authorized individuals. This system is subject to monitoring. Unauthorized users, access, and/or modification will be prosecuted.</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(example short version):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&lt;company name&gt; authorized use ONLY, subject to monitoring. All other use prohibited.</w:t>
      </w:r>
    </w:p>
    <w:p>
      <w:pPr>
        <w:spacing w:after="0" w:line="117"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For AT&amp;T branded products or services or for software developed for AT&amp;T, the Supplier shall display a warning banner on login screens or pages provided by AT&amp;T. (Display Warning Banners)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Have current antivirus software installed and running to scan for and promptly remove viruses. (Scan and Remove Viruses)</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(Separate Production and Non-Production Information Resources)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Have a documented software change control process including back out procedures. (Software Change Control Process)</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AT&amp;T Data, have database transaction logging features enabled and retain database transaction logs for a minimum of [**] (Utilize Database Transaction Logging)</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For all software developed, used, furnished and/or supported under this Agreement, review such software to find and remediate security vulnerabilities during initial implementation and upon any modifications and updates. (Review Code for Vulnerabilities)</w:t>
      </w:r>
    </w:p>
    <w:p>
      <w:pPr>
        <w:spacing w:after="0" w:line="75" w:lineRule="exact"/>
        <w:rPr>
          <w:rFonts w:ascii="Arial" w:cs="Arial" w:eastAsia="Arial" w:hAnsi="Arial"/>
          <w:sz w:val="18"/>
          <w:szCs w:val="18"/>
          <w:color w:val="auto"/>
        </w:rPr>
      </w:pPr>
    </w:p>
    <w:p>
      <w:pPr>
        <w:ind w:left="460" w:right="820" w:hanging="452"/>
        <w:spacing w:after="0" w:line="264"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Perform quality assurance testing for the application functionality and security components (e.g., testing of authentication, authorization, and accounting functions, as well as any other activity designed to validate the security architecture) during initial implementation and upon any modifications and updates. (Quality Assurance Test Application and Security Vulnerabilities).</w:t>
      </w:r>
    </w:p>
    <w:p>
      <w:pPr>
        <w:spacing w:after="0" w:line="86"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Not store AT&amp;T SPI on removable media (</w:t>
      </w:r>
      <w:r>
        <w:rPr>
          <w:rFonts w:ascii="Arial" w:cs="Arial" w:eastAsia="Arial" w:hAnsi="Arial"/>
          <w:sz w:val="16"/>
          <w:szCs w:val="16"/>
          <w:i w:val="1"/>
          <w:iCs w:val="1"/>
          <w:color w:val="auto"/>
        </w:rPr>
        <w:t>e.g</w:t>
      </w:r>
      <w:r>
        <w:rPr>
          <w:rFonts w:ascii="Arial" w:cs="Arial" w:eastAsia="Arial" w:hAnsi="Arial"/>
          <w:sz w:val="16"/>
          <w:szCs w:val="16"/>
          <w:color w:val="auto"/>
        </w:rPr>
        <w:t>., USB flash drives, thumb drives, memory sticks, tapes, CDs, external hard drives) except: (a) for backup and data interchange purposes as allowed and required under contract and (b) using Strong Encryption. (Control SPI on Removable Media)</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Restrict access to any AT&amp;T SPI to authorized individuals. (Restrict Access to SPI)</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individuals.(Restrict Access to Security Logs)</w:t>
      </w:r>
    </w:p>
    <w:p>
      <w:pPr>
        <w:spacing w:after="0" w:line="130"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Review, on [**], security logs for anomalies and document and resolve all logged security problems in a timely manner. (Review Security Logs and Resolve Security Problems)</w:t>
      </w:r>
    </w:p>
    <w:p>
      <w:pPr>
        <w:spacing w:after="0" w:line="75" w:lineRule="exact"/>
        <w:rPr>
          <w:rFonts w:ascii="Arial" w:cs="Arial" w:eastAsia="Arial" w:hAnsi="Arial"/>
          <w:sz w:val="18"/>
          <w:szCs w:val="18"/>
          <w:color w:val="auto"/>
        </w:rPr>
      </w:pPr>
    </w:p>
    <w:p>
      <w:pPr>
        <w:ind w:left="460" w:right="140" w:hanging="452"/>
        <w:spacing w:after="0" w:line="286" w:lineRule="auto"/>
        <w:tabs>
          <w:tab w:leader="none" w:pos="4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Retain complete and accurate records relating to its performance of its obligations arising out of these Security Requirements and Supplier’s compliance herewith in a format that will permit audit for a period of [**], or longer as may be required pursuant to a court order or civil or regulatory proceeding. Notwithstanding the foregoing, Supplier shall only be required to maintain security logs for a [**]. (Retain Records)</w:t>
      </w:r>
    </w:p>
    <w:p>
      <w:pPr>
        <w:spacing w:after="0" w:line="70" w:lineRule="exact"/>
        <w:rPr>
          <w:rFonts w:ascii="Arial" w:cs="Arial" w:eastAsia="Arial" w:hAnsi="Arial"/>
          <w:sz w:val="17"/>
          <w:szCs w:val="17"/>
          <w:color w:val="auto"/>
        </w:rPr>
      </w:pPr>
    </w:p>
    <w:p>
      <w:pPr>
        <w:ind w:left="460" w:right="40" w:hanging="452"/>
        <w:spacing w:after="0" w:line="257"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Permit AT&amp;T to conduct an audit to verify Supplier’s compliance with the contractual obligations in connection with these AT&amp;T Supplier Information Security Requirements. Upon AT&amp;T’s request for audit, Supplier shall schedule a security audit to commence [**] from such request. In the event that AT&amp;T, in its sole discretion, deems that a security breach has occurred, Supplier shall schedule the audit to commence within [**] of AT&amp;T’s notice requiring an audit. This provision shall not be deemed to, and shall not, limit any more stringent audit obligations permitting the examination of Supplier’s records contained in the Agreement. (Audit Rights)</w:t>
      </w:r>
    </w:p>
    <w:p>
      <w:pPr>
        <w:spacing w:after="0" w:line="93" w:lineRule="exact"/>
        <w:rPr>
          <w:rFonts w:ascii="Arial" w:cs="Arial" w:eastAsia="Arial" w:hAnsi="Arial"/>
          <w:sz w:val="18"/>
          <w:szCs w:val="18"/>
          <w:color w:val="auto"/>
        </w:rPr>
      </w:pPr>
    </w:p>
    <w:p>
      <w:pPr>
        <w:ind w:left="460" w:right="140" w:hanging="452"/>
        <w:spacing w:after="0" w:line="312" w:lineRule="auto"/>
        <w:tabs>
          <w:tab w:leader="none" w:pos="4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of receipt of the audit report, provide AT&amp;T a written report outlining the corrective actions that Supplier has implemented or proposes to implement with the schedule and corrective action. Supplier shall update this report to AT&amp;T [**] reporting the status of all corrective actions through the date of implementation. Supplier shall implement all corrective actions [**] of Supplier’s receipt of the audit report. (Remediate Audit Findings).</w:t>
      </w:r>
    </w:p>
    <w:p>
      <w:pPr>
        <w:spacing w:after="0" w:line="52"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Have and use a documented procedure to follow in the event of an actual or suspected unauthorized intrusion or other security violation, including, but not limited to, a physical security or computer security incident (e.g., hacker activity or the introduction of a virus or malicious code), that involves Supplier in fulfillment of its obligations under this Agreement, which includes immediate notification to the AT&amp;T Computer Security Incident Response Team (ACSIRT).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ACSIRT 24 hour contact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right="140" w:hanging="452"/>
        <w:spacing w:after="0" w:line="257" w:lineRule="auto"/>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Provide AT&amp;T with regular status updates on any actual or suspected unauthorized intrusion or other security violation that involves Information Resources used in conjunction with supporting AT&amp;T and/or used by Supplier in fulfillment of its obligations under this Agreement, including but not limited to actions taken to resolve the incident, [**] for the duration of the incident, [**] of the closure of the incident, a written report describing the incident, actions taken by the Supplier during its response and the Supplier’s plans for future actions to prevent a similar incident from occurring. (Provide AT&amp;T Incident Response Status and Final Resolution)</w:t>
      </w:r>
    </w:p>
    <w:p>
      <w:pPr>
        <w:spacing w:after="0" w:line="93" w:lineRule="exact"/>
        <w:rPr>
          <w:rFonts w:ascii="Arial" w:cs="Arial" w:eastAsia="Arial" w:hAnsi="Arial"/>
          <w:sz w:val="18"/>
          <w:szCs w:val="18"/>
          <w:color w:val="auto"/>
        </w:rPr>
      </w:pPr>
    </w:p>
    <w:p>
      <w:pPr>
        <w:ind w:left="460" w:right="100" w:hanging="452"/>
        <w:spacing w:after="0" w:line="308" w:lineRule="auto"/>
        <w:tabs>
          <w:tab w:leader="none" w:pos="4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Ensure, prior to furnishing or development of custom software, that such software incorporates applicable AT&amp;T security requirements as documented by AT&amp;T in the business requirements for the applicable software. (Software Must Comply with AT&amp;T Security Requirements.)</w:t>
      </w:r>
    </w:p>
    <w:p>
      <w:pPr>
        <w:spacing w:after="0" w:line="51" w:lineRule="exact"/>
        <w:rPr>
          <w:rFonts w:ascii="Arial" w:cs="Arial" w:eastAsia="Arial" w:hAnsi="Arial"/>
          <w:sz w:val="17"/>
          <w:szCs w:val="17"/>
          <w:color w:val="auto"/>
        </w:rPr>
      </w:pPr>
    </w:p>
    <w:p>
      <w:pPr>
        <w:jc w:val="both"/>
        <w:ind w:left="460" w:right="40" w:hanging="452"/>
        <w:spacing w:after="0" w:line="264" w:lineRule="auto"/>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Ensure that all personnel, subcontractors or representatives performing work on any AT&amp;T Information Resources or the resources used to interconnect to AT&amp;T resources or the resources used to house AT&amp;T Data under this Agreement are in compliance with these Security Requirements. (All Work to Be In Compliance with SISR)</w:t>
      </w:r>
    </w:p>
    <w:p>
      <w:pPr>
        <w:spacing w:after="0" w:line="86"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At a minimum annually, review these Security Requirements to ensure that Supplier is in compliance with the requirements. (Periodically Review and Ensure Compliance with SISR)</w:t>
      </w:r>
    </w:p>
    <w:p>
      <w:pPr>
        <w:spacing w:after="0" w:line="75" w:lineRule="exact"/>
        <w:rPr>
          <w:rFonts w:ascii="Arial" w:cs="Arial" w:eastAsia="Arial" w:hAnsi="Arial"/>
          <w:sz w:val="18"/>
          <w:szCs w:val="18"/>
          <w:color w:val="auto"/>
        </w:rPr>
      </w:pPr>
    </w:p>
    <w:p>
      <w:pPr>
        <w:ind w:left="460" w:right="240" w:hanging="452"/>
        <w:spacing w:after="0" w:line="291" w:lineRule="auto"/>
        <w:tabs>
          <w:tab w:leader="none" w:pos="4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Return all AT&amp;T owned or provided access devices (including, but not limited to, SecurID</w:t>
      </w:r>
      <w:r>
        <w:rPr>
          <w:rFonts w:ascii="Arial" w:cs="Arial" w:eastAsia="Arial" w:hAnsi="Arial"/>
          <w:sz w:val="13"/>
          <w:szCs w:val="13"/>
          <w:color w:val="auto"/>
        </w:rPr>
        <w:t>®</w:t>
      </w:r>
      <w:r>
        <w:rPr>
          <w:rFonts w:ascii="Arial" w:cs="Arial" w:eastAsia="Arial" w:hAnsi="Arial"/>
          <w:sz w:val="16"/>
          <w:szCs w:val="16"/>
          <w:color w:val="auto"/>
        </w:rPr>
        <w:t xml:space="preserve"> tokens and/or software) as soon as practicable, but in no event [**] after the sooner of: (a) expiration, Termination, or Cancellation of the Agreement; (b) AT&amp;T’s request for the return of such property; or</w:t>
      </w:r>
    </w:p>
    <w:p>
      <w:pPr>
        <w:ind w:left="460"/>
        <w:spacing w:after="0"/>
        <w:rPr>
          <w:rFonts w:ascii="Arial" w:cs="Arial" w:eastAsia="Arial" w:hAnsi="Arial"/>
          <w:sz w:val="16"/>
          <w:szCs w:val="16"/>
          <w:color w:val="auto"/>
        </w:rPr>
      </w:pPr>
      <w:r>
        <w:rPr>
          <w:rFonts w:ascii="Arial" w:cs="Arial" w:eastAsia="Arial" w:hAnsi="Arial"/>
          <w:sz w:val="16"/>
          <w:szCs w:val="16"/>
          <w:color w:val="auto"/>
        </w:rPr>
        <w:t>(c) the date when Supplier (or its suppliers or representatives) no longer need such devices. (Return all AT&amp;T Owned or Provided Access Devices)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Connectivity Requirements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event Supplier has, or will be provided, connectivity (</w:t>
      </w:r>
      <w:r>
        <w:rPr>
          <w:rFonts w:ascii="Arial" w:cs="Arial" w:eastAsia="Arial" w:hAnsi="Arial"/>
          <w:sz w:val="18"/>
          <w:szCs w:val="18"/>
          <w:i w:val="1"/>
          <w:iCs w:val="1"/>
          <w:color w:val="auto"/>
        </w:rPr>
        <w:t>i.e.,</w:t>
      </w:r>
      <w:r>
        <w:rPr>
          <w:rFonts w:ascii="Arial" w:cs="Arial" w:eastAsia="Arial" w:hAnsi="Arial"/>
          <w:sz w:val="18"/>
          <w:szCs w:val="18"/>
          <w:color w:val="auto"/>
        </w:rPr>
        <w:t xml:space="preserve"> access to AT&amp;T’s or its customers’ networks) in conjunction with this Agreement, then, in addition to the foregoing, the following requirements shall apply to Supplier:</w:t>
      </w:r>
    </w:p>
    <w:p>
      <w:pPr>
        <w:spacing w:after="0" w:line="170" w:lineRule="exact"/>
        <w:rPr>
          <w:sz w:val="20"/>
          <w:szCs w:val="20"/>
          <w:color w:val="auto"/>
        </w:rPr>
      </w:pPr>
    </w:p>
    <w:p>
      <w:pPr>
        <w:jc w:val="both"/>
        <w:ind w:right="120" w:firstLine="8"/>
        <w:spacing w:after="0" w:line="273" w:lineRule="auto"/>
        <w:tabs>
          <w:tab w:leader="none" w:pos="180"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In the event that a data connection agreement, such as a “Master Data Connection Agreement,” “Data Connection Agreement,” and/or “Connection Supplement” (“DCA”) exists between the Parties, and incorporates this Agreement by reference, or is otherwise integrated with, or used to govern the Parties’ connectivity obligations under, this Agreement, such DCA is hereby superseded by the terms of these Security Requirements, effective as of the date these Security Requirements become effective under the Agreement, and the terms of such DCA are amended to require that the Security Requirements, and not the DCA, are controlling in the Agreement (as well as any agreements subordinate to this Agreement). Notwithstanding the foregoing, the DCA remains in full force and effect for all other agreements between the Parties to which it applies.</w:t>
      </w:r>
    </w:p>
    <w:p>
      <w:pPr>
        <w:spacing w:after="0" w:line="282" w:lineRule="exact"/>
        <w:rPr>
          <w:rFonts w:ascii="Arial" w:cs="Arial" w:eastAsia="Arial" w:hAnsi="Arial"/>
          <w:sz w:val="17"/>
          <w:szCs w:val="17"/>
          <w:b w:val="1"/>
          <w:bCs w:val="1"/>
          <w:color w:val="auto"/>
        </w:rPr>
      </w:pPr>
    </w:p>
    <w:p>
      <w:pPr>
        <w:ind w:left="180" w:hanging="172"/>
        <w:spacing w:after="0"/>
        <w:tabs>
          <w:tab w:leader="none" w:pos="18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Supplier shall:</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Use only the mutually agreed upon facilities and connection methodologies to interconnect AT&amp;T’s networks with Supplier’s networks and to provide access to the data for each connection.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Only establish interconnection to endpoint resources and/or end users outside the United States as specified in the Agreement.</w:t>
      </w:r>
    </w:p>
    <w:p>
      <w:pPr>
        <w:spacing w:after="0" w:line="15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ind w:left="260" w:right="400"/>
        <w:spacing w:after="0" w:line="261" w:lineRule="auto"/>
        <w:rPr>
          <w:sz w:val="20"/>
          <w:szCs w:val="20"/>
          <w:color w:val="auto"/>
        </w:rPr>
      </w:pPr>
      <w:r>
        <w:rPr>
          <w:rFonts w:ascii="Arial" w:cs="Arial" w:eastAsia="Arial" w:hAnsi="Arial"/>
          <w:sz w:val="18"/>
          <w:szCs w:val="18"/>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316" w:name="page317"/>
    <w:bookmarkEnd w:id="316"/>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 Provide AT&amp;T access to any Supplier facilities during normal business hours for the maintenance and support of any AT&amp;T equipment (e.g., router) used for the transmission of Information under this Agreement.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 Maintain logs of all sessions that pass through the Supplier’s perimeter security gateway. These session logs must include sufficiently detailed information to identify the end user or application, origination IP address, destination IP address, ports/service protocols used and duration of access. These session logs must be retained [**].</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 Use any AT&amp;T equipment provided under this Agreement only for the furnishing of those Services or functions explicitly defined in the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 Ensure that all Supplier interconnections to AT&amp;T pass through the designated AT&amp;T perimeter security gateway (e.g., firewall).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Ensure that Supplier interconnections to AT&amp;T terminate at a perimeter security gateway (e.g., firewall) at the Supplier end of the connection.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 addition to other rights set forth herein, AT&amp;T shall have the right to:</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Gather information relating to Supplier’s access to AT&amp;T’s networks, processing systems and applications. This information may be collected, retained and analyzed by AT&amp;T to identify potential security risks without further notice. This information may include trace files, statistics, network addresses, and the actual data or screens accessed or transferred.</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 AT&amp;T shall have the right to immediately suspend or terminate any interconnection if AT&amp;T, in its sole discretion, believes there has been a breach of security or unauthorized access to or misuse of AT&amp;T data facilities or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Offshore Information Technology Services Requirements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76" w:lineRule="exact"/>
        <w:rPr>
          <w:sz w:val="20"/>
          <w:szCs w:val="20"/>
          <w:color w:val="auto"/>
        </w:rPr>
      </w:pPr>
    </w:p>
    <w:p>
      <w:pPr>
        <w:ind w:left="460" w:right="40" w:hanging="452"/>
        <w:spacing w:after="0" w:line="277" w:lineRule="auto"/>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76" w:lineRule="exact"/>
        <w:rPr>
          <w:sz w:val="20"/>
          <w:szCs w:val="20"/>
          <w:color w:val="auto"/>
        </w:rPr>
      </w:pPr>
    </w:p>
    <w:p>
      <w:pPr>
        <w:ind w:left="460" w:right="460" w:hanging="452"/>
        <w:spacing w:after="0" w:line="277" w:lineRule="auto"/>
        <w:tabs>
          <w:tab w:leader="none" w:pos="4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62" w:lineRule="exact"/>
        <w:rPr>
          <w:rFonts w:ascii="Arial" w:cs="Arial" w:eastAsia="Arial" w:hAnsi="Arial"/>
          <w:sz w:val="18"/>
          <w:szCs w:val="18"/>
          <w:color w:val="auto"/>
        </w:rPr>
      </w:pPr>
    </w:p>
    <w:p>
      <w:pPr>
        <w:ind w:left="1660" w:hanging="168"/>
        <w:spacing w:after="0"/>
        <w:tabs>
          <w:tab w:leader="none" w:pos="16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17" w:lineRule="exact"/>
        <w:rPr>
          <w:rFonts w:ascii="Arial" w:cs="Arial" w:eastAsia="Arial" w:hAnsi="Arial"/>
          <w:sz w:val="18"/>
          <w:szCs w:val="18"/>
          <w:color w:val="auto"/>
        </w:rPr>
      </w:pPr>
    </w:p>
    <w:p>
      <w:pPr>
        <w:ind w:left="1680" w:hanging="188"/>
        <w:spacing w:after="0"/>
        <w:tabs>
          <w:tab w:leader="none" w:pos="16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17" w:lineRule="exact"/>
        <w:rPr>
          <w:rFonts w:ascii="Arial" w:cs="Arial" w:eastAsia="Arial" w:hAnsi="Arial"/>
          <w:sz w:val="18"/>
          <w:szCs w:val="18"/>
          <w:color w:val="auto"/>
        </w:rPr>
      </w:pPr>
    </w:p>
    <w:p>
      <w:pPr>
        <w:ind w:left="1660" w:hanging="168"/>
        <w:spacing w:after="0"/>
        <w:tabs>
          <w:tab w:leader="none" w:pos="16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17" w:lineRule="exact"/>
        <w:rPr>
          <w:rFonts w:ascii="Arial" w:cs="Arial" w:eastAsia="Arial" w:hAnsi="Arial"/>
          <w:sz w:val="18"/>
          <w:szCs w:val="18"/>
          <w:color w:val="auto"/>
        </w:rPr>
      </w:pPr>
    </w:p>
    <w:p>
      <w:pPr>
        <w:ind w:left="1680" w:hanging="188"/>
        <w:spacing w:after="0"/>
        <w:tabs>
          <w:tab w:leader="none" w:pos="16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17" w:lineRule="exact"/>
        <w:rPr>
          <w:rFonts w:ascii="Arial" w:cs="Arial" w:eastAsia="Arial" w:hAnsi="Arial"/>
          <w:sz w:val="18"/>
          <w:szCs w:val="18"/>
          <w:color w:val="auto"/>
        </w:rPr>
      </w:pPr>
    </w:p>
    <w:p>
      <w:pPr>
        <w:ind w:left="1660" w:hanging="168"/>
        <w:spacing w:after="0"/>
        <w:tabs>
          <w:tab w:leader="none" w:pos="16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17" w:lineRule="exact"/>
        <w:rPr>
          <w:rFonts w:ascii="Arial" w:cs="Arial" w:eastAsia="Arial" w:hAnsi="Arial"/>
          <w:sz w:val="18"/>
          <w:szCs w:val="18"/>
          <w:color w:val="auto"/>
        </w:rPr>
      </w:pPr>
    </w:p>
    <w:p>
      <w:pPr>
        <w:ind w:left="1640" w:hanging="148"/>
        <w:spacing w:after="0"/>
        <w:tabs>
          <w:tab w:leader="none" w:pos="16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17" w:lineRule="exact"/>
        <w:rPr>
          <w:rFonts w:ascii="Arial" w:cs="Arial" w:eastAsia="Arial" w:hAnsi="Arial"/>
          <w:sz w:val="18"/>
          <w:szCs w:val="18"/>
          <w:color w:val="auto"/>
        </w:rPr>
      </w:pPr>
    </w:p>
    <w:p>
      <w:pPr>
        <w:ind w:left="1680" w:hanging="188"/>
        <w:spacing w:after="0"/>
        <w:tabs>
          <w:tab w:leader="none" w:pos="16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right="320" w:hanging="452"/>
        <w:spacing w:after="0" w:line="264" w:lineRule="auto"/>
        <w:tabs>
          <w:tab w:leader="none" w:pos="4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87" w:lineRule="exact"/>
        <w:rPr>
          <w:sz w:val="20"/>
          <w:szCs w:val="20"/>
          <w:color w:val="auto"/>
        </w:rPr>
      </w:pPr>
    </w:p>
    <w:p>
      <w:pPr>
        <w:ind w:left="460" w:right="820" w:hanging="452"/>
        <w:spacing w:after="0" w:line="277" w:lineRule="auto"/>
        <w:tabs>
          <w:tab w:leader="none" w:pos="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76" w:lineRule="exact"/>
        <w:rPr>
          <w:sz w:val="20"/>
          <w:szCs w:val="20"/>
          <w:color w:val="auto"/>
        </w:rPr>
      </w:pPr>
    </w:p>
    <w:p>
      <w:pPr>
        <w:ind w:left="460" w:right="100" w:hanging="452"/>
        <w:spacing w:after="0" w:line="342" w:lineRule="auto"/>
        <w:tabs>
          <w:tab w:leader="none" w:pos="4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2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Track and approve changes to firewall rules is required and must be validated annually. Inappropriate firewall rules must be removed immediately.</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w:t>
      </w:r>
      <w:r>
        <w:rPr>
          <w:rFonts w:ascii="Arial" w:cs="Arial" w:eastAsia="Arial" w:hAnsi="Arial"/>
          <w:sz w:val="16"/>
          <w:szCs w:val="16"/>
          <w:color w:val="auto"/>
        </w:rPr>
        <w:t>Require a clean desk policy at the end of the day.</w:t>
      </w:r>
    </w:p>
    <w:p>
      <w:pPr>
        <w:spacing w:after="0" w:line="131" w:lineRule="exact"/>
        <w:rPr>
          <w:sz w:val="20"/>
          <w:szCs w:val="20"/>
          <w:color w:val="auto"/>
        </w:rPr>
      </w:pPr>
    </w:p>
    <w:p>
      <w:pPr>
        <w:jc w:val="both"/>
        <w:ind w:left="460" w:right="140" w:hanging="459"/>
        <w:spacing w:after="0" w:line="277" w:lineRule="auto"/>
        <w:tabs>
          <w:tab w:leader="none" w:pos="440" w:val="left"/>
        </w:tabs>
        <w:rPr>
          <w:sz w:val="20"/>
          <w:szCs w:val="20"/>
          <w:color w:val="auto"/>
        </w:rPr>
      </w:pPr>
      <w:r>
        <w:rPr>
          <w:rFonts w:ascii="Arial" w:cs="Arial" w:eastAsia="Arial" w:hAnsi="Arial"/>
          <w:sz w:val="18"/>
          <w:szCs w:val="18"/>
          <w:color w:val="auto"/>
        </w:rPr>
        <w:t>9A</w:t>
        <w:tab/>
        <w:t>Effective [**], all portable or removable media (such as CD, floppy and USB drives) will be removed or disabled to ensure that AT&amp;T Data cannot be downloaded and taken offsite.</w:t>
      </w:r>
    </w:p>
    <w:p>
      <w:pPr>
        <w:spacing w:after="0" w:line="76" w:lineRule="exact"/>
        <w:rPr>
          <w:sz w:val="20"/>
          <w:szCs w:val="20"/>
          <w:color w:val="auto"/>
        </w:rPr>
      </w:pPr>
    </w:p>
    <w:p>
      <w:pPr>
        <w:jc w:val="both"/>
        <w:ind w:left="460" w:right="140" w:hanging="459"/>
        <w:spacing w:after="0" w:line="264" w:lineRule="auto"/>
        <w:tabs>
          <w:tab w:leader="none" w:pos="440" w:val="left"/>
        </w:tabs>
        <w:rPr>
          <w:sz w:val="20"/>
          <w:szCs w:val="20"/>
          <w:color w:val="auto"/>
        </w:rPr>
      </w:pPr>
      <w:r>
        <w:rPr>
          <w:rFonts w:ascii="Arial" w:cs="Arial" w:eastAsia="Arial" w:hAnsi="Arial"/>
          <w:sz w:val="18"/>
          <w:szCs w:val="18"/>
          <w:color w:val="auto"/>
        </w:rPr>
        <w:t>9B</w:t>
        <w:tab/>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73" w:lineRule="exact"/>
        <w:rPr>
          <w:sz w:val="20"/>
          <w:szCs w:val="20"/>
          <w:color w:val="auto"/>
        </w:rPr>
      </w:pPr>
    </w:p>
    <w:p>
      <w:pPr>
        <w:ind w:left="680" w:hanging="216"/>
        <w:spacing w:after="0"/>
        <w:tabs>
          <w:tab w:leader="none" w:pos="6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communications over wireless networks must be transmitted via Virtual Private Network (VPN) session(s) using Strong Encryption.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17" w:lineRule="exact"/>
        <w:rPr>
          <w:rFonts w:ascii="Arial" w:cs="Arial" w:eastAsia="Arial" w:hAnsi="Arial"/>
          <w:sz w:val="18"/>
          <w:szCs w:val="18"/>
          <w:color w:val="auto"/>
        </w:rPr>
      </w:pPr>
    </w:p>
    <w:p>
      <w:pPr>
        <w:ind w:left="460" w:right="260" w:firstLine="4"/>
        <w:spacing w:after="0" w:line="277" w:lineRule="auto"/>
        <w:tabs>
          <w:tab w:leader="none" w:pos="77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Enable Media Access Control (MAC)-based filtering so that only specified wireless cards can communicate to the access point.</w:t>
      </w:r>
    </w:p>
    <w:p>
      <w:pPr>
        <w:spacing w:after="0" w:line="131" w:lineRule="exact"/>
        <w:rPr>
          <w:sz w:val="20"/>
          <w:szCs w:val="20"/>
          <w:color w:val="auto"/>
        </w:rPr>
      </w:pPr>
    </w:p>
    <w:p>
      <w:pPr>
        <w:ind w:left="460" w:right="480" w:hanging="452"/>
        <w:spacing w:after="0" w:line="277" w:lineRule="auto"/>
        <w:tabs>
          <w:tab w:leader="none" w:pos="4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Supplier must implement procedures to ensure that AT&amp;T Data is not downloaded and removed by Supplier, including at a minimum, searches of persons and their belongings when exiting AT&amp;T restricted areas and Supplier’s premises.</w:t>
      </w:r>
    </w:p>
    <w:p>
      <w:pPr>
        <w:spacing w:after="0" w:line="75" w:lineRule="exact"/>
        <w:rPr>
          <w:rFonts w:ascii="Arial" w:cs="Arial" w:eastAsia="Arial" w:hAnsi="Arial"/>
          <w:sz w:val="18"/>
          <w:szCs w:val="18"/>
          <w:color w:val="auto"/>
        </w:rPr>
      </w:pPr>
    </w:p>
    <w:p>
      <w:pPr>
        <w:jc w:val="both"/>
        <w:ind w:left="460" w:right="320" w:hanging="452"/>
        <w:spacing w:after="0" w:line="264" w:lineRule="auto"/>
        <w:tabs>
          <w:tab w:leader="none" w:pos="4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86" w:lineRule="exact"/>
        <w:rPr>
          <w:rFonts w:ascii="Arial" w:cs="Arial" w:eastAsia="Arial" w:hAnsi="Arial"/>
          <w:sz w:val="18"/>
          <w:szCs w:val="18"/>
          <w:color w:val="auto"/>
        </w:rPr>
      </w:pPr>
    </w:p>
    <w:p>
      <w:pPr>
        <w:ind w:left="460" w:right="260" w:hanging="452"/>
        <w:spacing w:after="0" w:line="279" w:lineRule="auto"/>
        <w:tabs>
          <w:tab w:leader="none" w:pos="4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 to ensure that the information is not removed from Supplier’s premises.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hanging="452"/>
        <w:spacing w:after="0" w:line="286" w:lineRule="auto"/>
        <w:tabs>
          <w:tab w:leader="none" w:pos="4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of persons and their belongings when exiting AT&amp;T restricted areas and Supplier’s premises.</w:t>
      </w:r>
    </w:p>
    <w:p>
      <w:pPr>
        <w:spacing w:after="0" w:line="70"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IDS audit logs must be retained [**] and offline for a period of at least [**].</w:t>
      </w:r>
    </w:p>
    <w:p>
      <w:pPr>
        <w:spacing w:after="0" w:line="131" w:lineRule="exact"/>
        <w:rPr>
          <w:sz w:val="20"/>
          <w:szCs w:val="20"/>
          <w:color w:val="auto"/>
        </w:rPr>
      </w:pPr>
    </w:p>
    <w:p>
      <w:pPr>
        <w:ind w:left="460" w:right="340" w:hanging="452"/>
        <w:spacing w:after="0" w:line="264" w:lineRule="auto"/>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Remote access to AT&amp;T Networks or AT&amp;T Data is prohibited. All work on AT&amp;T projects must be performed within the AT&amp;T restricted area on Supplier’s premises. Prior written exception to this prohibition must be obtained from the [**]). Supplier’s use of laptops offsite must have written approval from the [**]).</w:t>
      </w:r>
    </w:p>
    <w:p>
      <w:pPr>
        <w:spacing w:after="0" w:line="86" w:lineRule="exact"/>
        <w:rPr>
          <w:rFonts w:ascii="Arial" w:cs="Arial" w:eastAsia="Arial" w:hAnsi="Arial"/>
          <w:sz w:val="18"/>
          <w:szCs w:val="18"/>
          <w:color w:val="auto"/>
        </w:rPr>
      </w:pPr>
    </w:p>
    <w:p>
      <w:pPr>
        <w:jc w:val="both"/>
        <w:ind w:left="460" w:right="140" w:hanging="452"/>
        <w:spacing w:after="0" w:line="286" w:lineRule="auto"/>
        <w:tabs>
          <w:tab w:leader="none" w:pos="4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Randomly check Supplier-based email and internet-based email so that AT&amp;T Data is not sent to an unauthorized recipient. [**], Amdocs must check for the AT&amp;T Proprietary – Restricted and AT&amp;T Proprietary – Sensitive Personal Information markings in emails and attachments sent from Amdocs to non-AT&amp;T personnel outside. Any unauthorized transmissions must be reported by Amdocs in an email to the [**].</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460" w:right="20" w:hanging="452"/>
        <w:spacing w:after="0" w:line="297" w:lineRule="auto"/>
        <w:tabs>
          <w:tab w:leader="none" w:pos="4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To minimize the risk exposure to visiting AT&amp;T employees in locations that are of medium-high risk of terrorist attacks, adequate security measures are required to include (at a minimum) an enclosed property perimeter with controlled access at entrances, inspection program for people and cars, including delivery vehicles at the entrance, Supplier security personnel trained in surveillance and explosives detection, Supplier mailroom personnel trained in package screening procedures, deployment of security cameras connected to a central monitoring control room, random patrols of property, and restricted vehicle parking near buildings. The security plan should increase security measures as the threat level increases.</w:t>
      </w:r>
    </w:p>
    <w:p>
      <w:pPr>
        <w:spacing w:after="0" w:line="63"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460" w:right="20" w:hanging="452"/>
        <w:spacing w:after="0" w:line="273" w:lineRule="auto"/>
        <w:tabs>
          <w:tab w:leader="none" w:pos="4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Card key access lists and event logs must be reviewed by Supplier [**]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annually). Ensure that Supplier personnel surrender company identification, keys and access cards before leaving the premises when access to an area is no longer required or upon voluntarily or involuntarily ceasing to work for Supplier and that the access cards are deactivated. [**] should include employee, contractor and supplier termination records and any associated unauthorized access attempts in the event logs.</w:t>
      </w:r>
    </w:p>
    <w:p>
      <w:pPr>
        <w:spacing w:after="0" w:line="83" w:lineRule="exact"/>
        <w:rPr>
          <w:rFonts w:ascii="Arial" w:cs="Arial" w:eastAsia="Arial" w:hAnsi="Arial"/>
          <w:sz w:val="17"/>
          <w:szCs w:val="17"/>
          <w:color w:val="auto"/>
        </w:rPr>
      </w:pPr>
    </w:p>
    <w:p>
      <w:pPr>
        <w:ind w:left="460" w:right="120" w:hanging="452"/>
        <w:spacing w:after="0" w:line="342" w:lineRule="auto"/>
        <w:tabs>
          <w:tab w:leader="none" w:pos="4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Alarmed doors and monitored electronic systems are required to detect unauthorized access or access attempts with a plan to respond to and document incidents. [**] recorded video surveillance is required of the area where work on AT&amp;T projects is performed, including entry and exit points.</w:t>
      </w:r>
    </w:p>
    <w:p>
      <w:pPr>
        <w:spacing w:after="0" w:line="29"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annual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220"/>
        <w:spacing w:after="0" w:line="302" w:lineRule="auto"/>
        <w:rPr>
          <w:rFonts w:ascii="Arial" w:cs="Arial" w:eastAsia="Arial" w:hAnsi="Arial"/>
          <w:sz w:val="18"/>
          <w:szCs w:val="18"/>
          <w:color w:val="auto"/>
        </w:rPr>
      </w:pPr>
      <w:r>
        <w:rPr>
          <w:rFonts w:ascii="Arial" w:cs="Arial" w:eastAsia="Arial" w:hAnsi="Arial"/>
          <w:sz w:val="16"/>
          <w:szCs w:val="16"/>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59" w:lineRule="exact"/>
        <w:rPr>
          <w:rFonts w:ascii="Arial" w:cs="Arial" w:eastAsia="Arial" w:hAnsi="Arial"/>
          <w:sz w:val="18"/>
          <w:szCs w:val="18"/>
          <w:color w:val="auto"/>
        </w:rPr>
      </w:pPr>
    </w:p>
    <w:p>
      <w:pPr>
        <w:ind w:left="460" w:right="60" w:hanging="452"/>
        <w:spacing w:after="0" w:line="353" w:lineRule="auto"/>
        <w:tabs>
          <w:tab w:leader="none" w:pos="4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7"/>
          <w:szCs w:val="17"/>
          <w:b w:val="1"/>
          <w:bCs w:val="1"/>
          <w:color w:val="auto"/>
        </w:rPr>
        <w:t>AT&amp;T IT:OFFSHORE</w:t>
      </w:r>
      <w:r>
        <w:rPr>
          <w:rFonts w:ascii="Arial" w:cs="Arial" w:eastAsia="Arial" w:hAnsi="Arial"/>
          <w:sz w:val="17"/>
          <w:szCs w:val="17"/>
          <w:color w:val="auto"/>
        </w:rPr>
        <w:t xml:space="preserve"> organization and, as necessary, law enforcement. Information to be reported to the Executive Director of the IT:OFFSHORE organization would consist of at least:</w:t>
      </w:r>
    </w:p>
    <w:p>
      <w:pPr>
        <w:spacing w:after="0" w:line="15" w:lineRule="exact"/>
        <w:rPr>
          <w:rFonts w:ascii="Arial" w:cs="Arial" w:eastAsia="Arial" w:hAnsi="Arial"/>
          <w:sz w:val="17"/>
          <w:szCs w:val="17"/>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02026713.A.013</w:t>
      </w:r>
    </w:p>
    <w:p>
      <w:pPr>
        <w:spacing w:after="0" w:line="158" w:lineRule="exact"/>
        <w:rPr>
          <w:sz w:val="20"/>
          <w:szCs w:val="20"/>
          <w:color w:val="auto"/>
        </w:rPr>
      </w:pPr>
    </w:p>
    <w:p>
      <w:pPr>
        <w:ind w:left="460" w:right="100" w:hanging="452"/>
        <w:spacing w:after="0" w:line="264"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 exercise of Supplier’s recovery strategy must be conducted annually. [**] from the completion of a disaster recovery exercise by Amdocs, Amdocs will produce a documented conclusion with a corrective action plan and proposed committed timeframes for corrective action upon which the Parties will agree within [**] from receipt of the action plan.</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Failover processes and procedures are required to support AT&amp;T applications and these failover processes and procedures are exercised [**]</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Requirements for Offshore Information Technology Services Requiring Elevated Rights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7" w:lineRule="exact"/>
        <w:rPr>
          <w:sz w:val="20"/>
          <w:szCs w:val="20"/>
          <w:color w:val="auto"/>
        </w:rPr>
      </w:pPr>
    </w:p>
    <w:p>
      <w:pPr>
        <w:ind w:left="900" w:hanging="446"/>
        <w:spacing w:after="0" w:line="264" w:lineRule="auto"/>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8"/>
          <w:szCs w:val="18"/>
          <w:b w:val="1"/>
          <w:bCs w:val="1"/>
          <w:color w:val="auto"/>
        </w:rPr>
        <w:t>secure connection</w:t>
      </w:r>
      <w:r>
        <w:rPr>
          <w:rFonts w:ascii="Arial" w:cs="Arial" w:eastAsia="Arial" w:hAnsi="Arial"/>
          <w:sz w:val="18"/>
          <w:szCs w:val="18"/>
          <w:color w:val="auto"/>
        </w:rPr>
        <w:t xml:space="preserve"> (NOT the public Internet) as reviewed and approved by AT&amp;T’s Chief Security Office (CSO).</w:t>
      </w:r>
    </w:p>
    <w:p>
      <w:pPr>
        <w:spacing w:after="0" w:line="87" w:lineRule="exact"/>
        <w:rPr>
          <w:sz w:val="20"/>
          <w:szCs w:val="20"/>
          <w:color w:val="auto"/>
        </w:rPr>
      </w:pPr>
    </w:p>
    <w:p>
      <w:pPr>
        <w:ind w:left="900" w:right="80" w:hanging="446"/>
        <w:spacing w:after="0" w:line="286" w:lineRule="auto"/>
        <w:tabs>
          <w:tab w:leader="none" w:pos="9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57" w:lineRule="exact"/>
        <w:rPr>
          <w:rFonts w:ascii="Arial" w:cs="Arial" w:eastAsia="Arial" w:hAnsi="Arial"/>
          <w:sz w:val="17"/>
          <w:szCs w:val="17"/>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Logoffs.</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17" w:lineRule="exact"/>
        <w:rPr>
          <w:rFonts w:ascii="Arial" w:cs="Arial" w:eastAsia="Arial" w:hAnsi="Arial"/>
          <w:sz w:val="18"/>
          <w:szCs w:val="18"/>
          <w:color w:val="auto"/>
        </w:rPr>
      </w:pPr>
    </w:p>
    <w:p>
      <w:pPr>
        <w:ind w:left="1500" w:hanging="159"/>
        <w:spacing w:after="0"/>
        <w:tabs>
          <w:tab w:leader="none" w:pos="15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17" w:lineRule="exact"/>
        <w:rPr>
          <w:rFonts w:ascii="Arial" w:cs="Arial" w:eastAsia="Arial" w:hAnsi="Arial"/>
          <w:sz w:val="18"/>
          <w:szCs w:val="18"/>
          <w:color w:val="auto"/>
        </w:rPr>
      </w:pPr>
    </w:p>
    <w:p>
      <w:pPr>
        <w:ind w:left="1520" w:hanging="179"/>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17" w:lineRule="exact"/>
        <w:rPr>
          <w:rFonts w:ascii="Arial" w:cs="Arial" w:eastAsia="Arial" w:hAnsi="Arial"/>
          <w:sz w:val="18"/>
          <w:szCs w:val="18"/>
          <w:color w:val="auto"/>
        </w:rPr>
      </w:pPr>
    </w:p>
    <w:p>
      <w:pPr>
        <w:ind w:left="1480" w:hanging="139"/>
        <w:spacing w:after="0"/>
        <w:tabs>
          <w:tab w:leader="none" w:pos="14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 Failures for computer, program, communications, and operations.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 Starting and stopping of audit logging.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Security audit logs must be maintained [**] and offline for a [**].</w:t>
      </w:r>
    </w:p>
    <w:p>
      <w:pPr>
        <w:spacing w:after="0" w:line="131" w:lineRule="exact"/>
        <w:rPr>
          <w:sz w:val="20"/>
          <w:szCs w:val="20"/>
          <w:color w:val="auto"/>
        </w:rPr>
      </w:pPr>
    </w:p>
    <w:p>
      <w:pPr>
        <w:ind w:left="480" w:right="80" w:hanging="446"/>
        <w:spacing w:after="0" w:line="312" w:lineRule="auto"/>
        <w:tabs>
          <w:tab w:leader="none" w:pos="4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to be reported to the AT&amp;T-IT OCE would consist of at least:</w:t>
      </w:r>
    </w:p>
    <w:p>
      <w:pPr>
        <w:spacing w:after="0" w:line="131" w:lineRule="exact"/>
        <w:rPr>
          <w:sz w:val="20"/>
          <w:szCs w:val="20"/>
          <w:color w:val="auto"/>
        </w:rPr>
      </w:pPr>
    </w:p>
    <w:p>
      <w:pPr>
        <w:ind w:left="1060" w:hanging="44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1060" w:hanging="44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1060" w:hanging="44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1060" w:hanging="44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1060" w:hanging="446"/>
        <w:spacing w:after="0"/>
        <w:tabs>
          <w:tab w:leader="none" w:pos="10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480" w:hanging="446"/>
        <w:spacing w:after="0"/>
        <w:tabs>
          <w:tab w:leader="none" w:pos="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RESTRICTED – PROPRIETARY INFORMATION</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w:t>
      </w:r>
    </w:p>
    <w:p>
      <w:pPr>
        <w:spacing w:after="0" w:line="3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distribution within those companies or for distribution outside those companies, except by written agreement.</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660" w:top="274"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Offshore Remote Access (“LORA”) to AT&amp;T Systems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outlines the AT&amp;T requirements and procedures to which the Supplier must adhere for allowance of select pre-authorized offshore Supplier personnel to have remote access to AT&amp;T systems, for which the Supplier is already under contract with AT&amp;T to perform IT support services.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remote access program (the “Limited Offshore Remote Access”) set forth herein defines the program requirements and how the Supplier shall work with the AT&amp;T Offshore Compliance and Enablement organization to determine if Supplier can utilize the LORA for an existing or new information technology Services engagement. Examples of engagements where AT&amp;T will consider Supplier’s request for LORA would be a Work Order where offshore Supplier personnel are required to perform after-hours work monitoring support services and access AT&amp;T data.</w:t>
      </w:r>
    </w:p>
    <w:p>
      <w:pPr>
        <w:spacing w:after="0" w:line="291" w:lineRule="exact"/>
        <w:rPr>
          <w:sz w:val="20"/>
          <w:szCs w:val="20"/>
          <w:color w:val="auto"/>
        </w:rPr>
      </w:pPr>
    </w:p>
    <w:p>
      <w:pPr>
        <w:ind w:left="160" w:hanging="152"/>
        <w:spacing w:after="0"/>
        <w:tabs>
          <w:tab w:leader="none" w:pos="160" w:val="left"/>
        </w:tabs>
        <w:numPr>
          <w:ilvl w:val="0"/>
          <w:numId w:val="3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Definitions</w:t>
      </w:r>
    </w:p>
    <w:p>
      <w:pPr>
        <w:spacing w:after="0" w:line="130" w:lineRule="exact"/>
        <w:rPr>
          <w:rFonts w:ascii="Arial" w:cs="Arial" w:eastAsia="Arial" w:hAnsi="Arial"/>
          <w:sz w:val="18"/>
          <w:szCs w:val="18"/>
          <w:b w:val="1"/>
          <w:bCs w:val="1"/>
          <w:u w:val="single" w:color="auto"/>
          <w:color w:val="auto"/>
        </w:rPr>
      </w:pPr>
    </w:p>
    <w:p>
      <w:pPr>
        <w:ind w:left="900" w:right="480" w:hanging="446"/>
        <w:spacing w:after="0" w:line="266" w:lineRule="auto"/>
        <w:tabs>
          <w:tab w:leader="none" w:pos="900" w:val="left"/>
        </w:tabs>
        <w:numPr>
          <w:ilvl w:val="1"/>
          <w:numId w:val="342"/>
        </w:numPr>
        <w:rPr>
          <w:rFonts w:ascii="Arial" w:cs="Arial" w:eastAsia="Arial" w:hAnsi="Arial"/>
          <w:sz w:val="18"/>
          <w:szCs w:val="18"/>
          <w:color w:val="auto"/>
        </w:rPr>
      </w:pPr>
      <w:r>
        <w:rPr>
          <w:rFonts w:ascii="Arial" w:cs="Arial" w:eastAsia="Arial" w:hAnsi="Arial"/>
          <w:sz w:val="18"/>
          <w:szCs w:val="18"/>
          <w:b w:val="1"/>
          <w:bCs w:val="1"/>
          <w:color w:val="auto"/>
        </w:rPr>
        <w:t xml:space="preserve">AT&amp;T IT Offshore Compliance &amp; Enablement (IT OCE) </w:t>
      </w:r>
      <w:r>
        <w:rPr>
          <w:rFonts w:ascii="Arial" w:cs="Arial" w:eastAsia="Arial" w:hAnsi="Arial"/>
          <w:sz w:val="18"/>
          <w:szCs w:val="18"/>
          <w:color w:val="auto"/>
        </w:rPr>
        <w:t>– AT&amp;T Information Technology organization that manages oversight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Offshore Remote Access program. The IT OCE will serve as the front door and provide authorization to Supplier. IT OCE point of contact is identified below.</w:t>
      </w:r>
    </w:p>
    <w:p>
      <w:pPr>
        <w:spacing w:after="0" w:line="68" w:lineRule="exact"/>
        <w:rPr>
          <w:sz w:val="20"/>
          <w:szCs w:val="20"/>
          <w:color w:val="auto"/>
        </w:rPr>
      </w:pPr>
    </w:p>
    <w:p>
      <w:pPr>
        <w:ind w:left="920" w:right="60"/>
        <w:spacing w:after="0" w:line="270" w:lineRule="auto"/>
        <w:rPr>
          <w:sz w:val="20"/>
          <w:szCs w:val="20"/>
          <w:color w:val="auto"/>
        </w:rPr>
      </w:pPr>
      <w:r>
        <w:rPr>
          <w:rFonts w:ascii="Arial" w:cs="Arial" w:eastAsia="Arial" w:hAnsi="Arial"/>
          <w:sz w:val="17"/>
          <w:szCs w:val="17"/>
          <w:b w:val="1"/>
          <w:bCs w:val="1"/>
          <w:color w:val="auto"/>
        </w:rPr>
        <w:t>“AT&amp;T Proprietary – Restricted Information</w:t>
      </w:r>
      <w:r>
        <w:rPr>
          <w:rFonts w:ascii="Arial" w:cs="Arial" w:eastAsia="Arial" w:hAnsi="Arial"/>
          <w:sz w:val="17"/>
          <w:szCs w:val="17"/>
          <w:color w:val="auto"/>
        </w:rPr>
        <w:t>” or “</w:t>
      </w:r>
      <w:r>
        <w:rPr>
          <w:rFonts w:ascii="Arial" w:cs="Arial" w:eastAsia="Arial" w:hAnsi="Arial"/>
          <w:sz w:val="17"/>
          <w:szCs w:val="17"/>
          <w:b w:val="1"/>
          <w:bCs w:val="1"/>
          <w:color w:val="auto"/>
        </w:rPr>
        <w:t>Restricted Information</w:t>
      </w:r>
      <w:r>
        <w:rPr>
          <w:rFonts w:ascii="Arial" w:cs="Arial" w:eastAsia="Arial" w:hAnsi="Arial"/>
          <w:sz w:val="17"/>
          <w:szCs w:val="17"/>
          <w:color w:val="auto"/>
        </w:rPr>
        <w:t>” means: any Information that has a higher level of sensitivity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must be shared only among persons with a clear business need to know; or any Information that requires a high degree of protection by law and loss or unauthorized disclosure could require notification by AT&amp;T to government agencies, individuals or law enforcement; or any Information that if revealed widely could present an increased risk of compromising computer systems, fraud, or increased likelihood of disrupting business operations. Examples of Restricted Information include, but are not limited to, unpublished financial information, designs and development plans for new or improved products, services, or processes, Customer Proprietary Network Information (CPNI), marketing information including customer contact lists, software source code for business critical applications, other companies’ confidential information that is shared with AT&amp;T under contract or an NDA, internal AT&amp;T authentication credentials (e.g., passwords, PINs and password hint answers), and security and/or network information including: logs, engineering or architecture diagrams, configuration files, firewall rules, security incident reports, and vulnerability information.</w:t>
      </w:r>
    </w:p>
    <w:p>
      <w:pPr>
        <w:spacing w:after="0" w:line="83" w:lineRule="exact"/>
        <w:rPr>
          <w:sz w:val="20"/>
          <w:szCs w:val="20"/>
          <w:color w:val="auto"/>
        </w:rPr>
      </w:pPr>
    </w:p>
    <w:p>
      <w:pPr>
        <w:ind w:left="900" w:right="260" w:hanging="446"/>
        <w:spacing w:after="0" w:line="313" w:lineRule="auto"/>
        <w:tabs>
          <w:tab w:leader="none" w:pos="90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 xml:space="preserve">Limited Offshore Remote </w:t>
      </w:r>
      <w:r>
        <w:rPr>
          <w:rFonts w:ascii="Arial" w:cs="Arial" w:eastAsia="Arial" w:hAnsi="Arial"/>
          <w:sz w:val="17"/>
          <w:szCs w:val="17"/>
          <w:color w:val="auto"/>
        </w:rPr>
        <w:t>(“LORA”) - the ability, with prior AT&amp;T IT OCE approval, for an Offshore Supplier resource to connect to AT&amp;T</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via AT&amp;T client VPN from their Resource Home Location for the purposes of completing contracted work for AT&amp;T.</w:t>
      </w:r>
    </w:p>
    <w:p>
      <w:pPr>
        <w:spacing w:after="0" w:line="43" w:lineRule="exact"/>
        <w:rPr>
          <w:rFonts w:ascii="Arial" w:cs="Arial" w:eastAsia="Arial" w:hAnsi="Arial"/>
          <w:sz w:val="17"/>
          <w:szCs w:val="17"/>
          <w:color w:val="auto"/>
        </w:rPr>
      </w:pPr>
    </w:p>
    <w:p>
      <w:pPr>
        <w:ind w:left="900" w:right="100" w:hanging="446"/>
        <w:spacing w:after="0" w:line="347" w:lineRule="auto"/>
        <w:tabs>
          <w:tab w:leader="none" w:pos="9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Remote Access Laptop</w:t>
      </w:r>
      <w:r>
        <w:rPr>
          <w:rFonts w:ascii="Arial" w:cs="Arial" w:eastAsia="Arial" w:hAnsi="Arial"/>
          <w:sz w:val="16"/>
          <w:szCs w:val="16"/>
          <w:color w:val="auto"/>
        </w:rPr>
        <w:t>”- limited in use by Amdocs Management Band 3 (Group leader-management personnel) and above who support the AT&amp;T account, from the Amdocs facility, Resource Home Location or travel. There will be no transfer of or storage 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23" w:name="page324"/>
    <w:bookmarkEnd w:id="323"/>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77" w:lineRule="exact"/>
        <w:rPr>
          <w:sz w:val="20"/>
          <w:szCs w:val="20"/>
          <w:color w:val="auto"/>
        </w:rPr>
      </w:pPr>
    </w:p>
    <w:p>
      <w:pPr>
        <w:ind w:left="920" w:right="100"/>
        <w:spacing w:after="0" w:line="266" w:lineRule="auto"/>
        <w:rPr>
          <w:sz w:val="20"/>
          <w:szCs w:val="20"/>
          <w:color w:val="auto"/>
        </w:rPr>
      </w:pPr>
      <w:r>
        <w:rPr>
          <w:rFonts w:ascii="Arial" w:cs="Arial" w:eastAsia="Arial" w:hAnsi="Arial"/>
          <w:sz w:val="18"/>
          <w:szCs w:val="18"/>
          <w:color w:val="auto"/>
        </w:rPr>
        <w:t xml:space="preserve">SPI and </w:t>
      </w:r>
      <w:r>
        <w:rPr>
          <w:rFonts w:ascii="Arial" w:cs="Arial" w:eastAsia="Arial" w:hAnsi="Arial"/>
          <w:sz w:val="18"/>
          <w:szCs w:val="18"/>
          <w:b w:val="1"/>
          <w:bCs w:val="1"/>
          <w:color w:val="auto"/>
        </w:rPr>
        <w:t>AT&amp;T Proprietary – Restricted Information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Restricted Information</w:t>
      </w:r>
      <w:r>
        <w:rPr>
          <w:rFonts w:ascii="Arial" w:cs="Arial" w:eastAsia="Arial" w:hAnsi="Arial"/>
          <w:sz w:val="18"/>
          <w:szCs w:val="18"/>
          <w:color w:val="auto"/>
        </w:rPr>
        <w:t xml:space="preserve"> on this device. For clarity the only access to SPI and </w:t>
      </w:r>
      <w:r>
        <w:rPr>
          <w:rFonts w:ascii="Arial" w:cs="Arial" w:eastAsia="Arial" w:hAnsi="Arial"/>
          <w:sz w:val="18"/>
          <w:szCs w:val="18"/>
          <w:b w:val="1"/>
          <w:bCs w:val="1"/>
          <w:color w:val="auto"/>
        </w:rPr>
        <w:t>AT&amp;T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will be as defined in Article II #3 below, “</w:t>
      </w:r>
      <w:r>
        <w:rPr>
          <w:rFonts w:ascii="Arial" w:cs="Arial" w:eastAsia="Arial" w:hAnsi="Arial"/>
          <w:sz w:val="18"/>
          <w:szCs w:val="18"/>
          <w:b w:val="1"/>
          <w:bCs w:val="1"/>
          <w:color w:val="auto"/>
        </w:rPr>
        <w:t>Remote Access end-user for laptops without AT&amp;T Data requirements</w:t>
      </w:r>
      <w:r>
        <w:rPr>
          <w:rFonts w:ascii="Arial" w:cs="Arial" w:eastAsia="Arial" w:hAnsi="Arial"/>
          <w:sz w:val="18"/>
          <w:szCs w:val="18"/>
          <w:color w:val="auto"/>
        </w:rPr>
        <w:t>”.</w:t>
      </w:r>
    </w:p>
    <w:p>
      <w:pPr>
        <w:spacing w:after="0" w:line="82" w:lineRule="exact"/>
        <w:rPr>
          <w:sz w:val="20"/>
          <w:szCs w:val="20"/>
          <w:color w:val="auto"/>
        </w:rPr>
      </w:pPr>
    </w:p>
    <w:p>
      <w:pPr>
        <w:ind w:left="900" w:right="180" w:hanging="446"/>
        <w:spacing w:after="0" w:line="282"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b w:val="1"/>
          <w:bCs w:val="1"/>
          <w:color w:val="auto"/>
        </w:rPr>
        <w:t xml:space="preserve">Remote Access Laptop/Desktop </w:t>
      </w:r>
      <w:r>
        <w:rPr>
          <w:rFonts w:ascii="Arial" w:cs="Arial" w:eastAsia="Arial" w:hAnsi="Arial"/>
          <w:sz w:val="18"/>
          <w:szCs w:val="18"/>
          <w:color w:val="auto"/>
        </w:rPr>
        <w:t>– A Supplier-provided Laptop/Desktop which will be used by an approved Supplier resource for LORA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their home location.</w:t>
      </w:r>
    </w:p>
    <w:p>
      <w:pPr>
        <w:spacing w:after="0" w:line="67" w:lineRule="exact"/>
        <w:rPr>
          <w:rFonts w:ascii="Arial" w:cs="Arial" w:eastAsia="Arial" w:hAnsi="Arial"/>
          <w:sz w:val="18"/>
          <w:szCs w:val="18"/>
          <w:color w:val="auto"/>
        </w:rPr>
      </w:pPr>
    </w:p>
    <w:p>
      <w:pPr>
        <w:ind w:left="900" w:right="580" w:hanging="446"/>
        <w:spacing w:after="0" w:line="282"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b w:val="1"/>
          <w:bCs w:val="1"/>
          <w:color w:val="auto"/>
        </w:rPr>
        <w:t xml:space="preserve">Resource Home Location </w:t>
      </w:r>
      <w:r>
        <w:rPr>
          <w:rFonts w:ascii="Arial" w:cs="Arial" w:eastAsia="Arial" w:hAnsi="Arial"/>
          <w:sz w:val="18"/>
          <w:szCs w:val="18"/>
          <w:color w:val="auto"/>
        </w:rPr>
        <w:t>– The home residence of a Supplier resource. Each approved Supplier resource can have LORA from only one</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 Home Location.</w:t>
      </w:r>
    </w:p>
    <w:p>
      <w:pPr>
        <w:spacing w:after="0" w:line="67" w:lineRule="exact"/>
        <w:rPr>
          <w:rFonts w:ascii="Arial" w:cs="Arial" w:eastAsia="Arial" w:hAnsi="Arial"/>
          <w:sz w:val="18"/>
          <w:szCs w:val="18"/>
          <w:color w:val="auto"/>
        </w:rPr>
      </w:pPr>
    </w:p>
    <w:p>
      <w:pPr>
        <w:ind w:left="900" w:right="20" w:hanging="446"/>
        <w:spacing w:after="0" w:line="282"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b w:val="1"/>
          <w:bCs w:val="1"/>
          <w:color w:val="auto"/>
        </w:rPr>
        <w:t xml:space="preserve">Controlled and Audited Supplier Facility </w:t>
      </w:r>
      <w:r>
        <w:rPr>
          <w:rFonts w:ascii="Arial" w:cs="Arial" w:eastAsia="Arial" w:hAnsi="Arial"/>
          <w:sz w:val="18"/>
          <w:szCs w:val="18"/>
          <w:color w:val="auto"/>
        </w:rPr>
        <w:t>– The designated offshore Supplier work location, which is governed by controls specified by AT&amp;T.</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the Supplier resource’s primary work location.</w:t>
      </w:r>
    </w:p>
    <w:p>
      <w:pPr>
        <w:spacing w:after="0" w:line="67" w:lineRule="exact"/>
        <w:rPr>
          <w:rFonts w:ascii="Arial" w:cs="Arial" w:eastAsia="Arial" w:hAnsi="Arial"/>
          <w:sz w:val="18"/>
          <w:szCs w:val="18"/>
          <w:color w:val="auto"/>
        </w:rPr>
      </w:pPr>
    </w:p>
    <w:p>
      <w:pPr>
        <w:ind w:left="900" w:right="400" w:hanging="446"/>
        <w:spacing w:after="0" w:line="282"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b w:val="1"/>
          <w:bCs w:val="1"/>
          <w:color w:val="auto"/>
        </w:rPr>
        <w:t xml:space="preserve">Remote Access Solution </w:t>
      </w:r>
      <w:r>
        <w:rPr>
          <w:rFonts w:ascii="Arial" w:cs="Arial" w:eastAsia="Arial" w:hAnsi="Arial"/>
          <w:sz w:val="18"/>
          <w:szCs w:val="18"/>
          <w:color w:val="auto"/>
        </w:rPr>
        <w:t>– From the Resource Home Location, an approved Supplier resource will use a Remote Access Laptop/Desktop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to the AT&amp;T Secure VPN Gateway.</w:t>
      </w:r>
    </w:p>
    <w:p>
      <w:pPr>
        <w:spacing w:after="0" w:line="67" w:lineRule="exact"/>
        <w:rPr>
          <w:rFonts w:ascii="Arial" w:cs="Arial" w:eastAsia="Arial" w:hAnsi="Arial"/>
          <w:sz w:val="18"/>
          <w:szCs w:val="18"/>
          <w:color w:val="auto"/>
        </w:rPr>
      </w:pPr>
    </w:p>
    <w:p>
      <w:pPr>
        <w:ind w:left="900" w:right="40" w:hanging="446"/>
        <w:spacing w:after="0" w:line="282" w:lineRule="auto"/>
        <w:tabs>
          <w:tab w:leader="none" w:pos="900" w:val="left"/>
        </w:tabs>
        <w:numPr>
          <w:ilvl w:val="1"/>
          <w:numId w:val="344"/>
        </w:numPr>
        <w:rPr>
          <w:rFonts w:ascii="Arial" w:cs="Arial" w:eastAsia="Arial" w:hAnsi="Arial"/>
          <w:sz w:val="18"/>
          <w:szCs w:val="18"/>
          <w:color w:val="auto"/>
        </w:rPr>
      </w:pPr>
      <w:r>
        <w:rPr>
          <w:rFonts w:ascii="Arial" w:cs="Arial" w:eastAsia="Arial" w:hAnsi="Arial"/>
          <w:sz w:val="18"/>
          <w:szCs w:val="18"/>
          <w:b w:val="1"/>
          <w:bCs w:val="1"/>
          <w:color w:val="auto"/>
        </w:rPr>
        <w:t xml:space="preserve">Permanent Workstation/Virtual Workstation </w:t>
      </w:r>
      <w:r>
        <w:rPr>
          <w:rFonts w:ascii="Arial" w:cs="Arial" w:eastAsia="Arial" w:hAnsi="Arial"/>
          <w:sz w:val="18"/>
          <w:szCs w:val="18"/>
          <w:color w:val="auto"/>
        </w:rPr>
        <w:t>A laptop or desktop located in a controlled and audited Supplier facility that is used to access the</w:t>
      </w:r>
      <w:r>
        <w:rPr>
          <w:rFonts w:ascii="Arial" w:cs="Arial" w:eastAsia="Arial" w:hAnsi="Arial"/>
          <w:sz w:val="18"/>
          <w:szCs w:val="18"/>
          <w:b w:val="1"/>
          <w:bCs w:val="1"/>
          <w:color w:val="auto"/>
        </w:rPr>
        <w:t xml:space="preserve"> </w:t>
      </w:r>
      <w:r>
        <w:rPr>
          <w:rFonts w:ascii="Arial" w:cs="Arial" w:eastAsia="Arial" w:hAnsi="Arial"/>
          <w:sz w:val="18"/>
          <w:szCs w:val="18"/>
          <w:color w:val="auto"/>
        </w:rPr>
        <w:t>AT&amp;T network for contracted services.</w:t>
      </w:r>
    </w:p>
    <w:p>
      <w:pPr>
        <w:spacing w:after="0" w:line="269" w:lineRule="exact"/>
        <w:rPr>
          <w:rFonts w:ascii="Arial" w:cs="Arial" w:eastAsia="Arial" w:hAnsi="Arial"/>
          <w:sz w:val="18"/>
          <w:szCs w:val="18"/>
          <w:color w:val="auto"/>
        </w:rPr>
      </w:pPr>
    </w:p>
    <w:p>
      <w:pPr>
        <w:ind w:left="240" w:hanging="232"/>
        <w:spacing w:after="0"/>
        <w:tabs>
          <w:tab w:leader="none" w:pos="240" w:val="left"/>
        </w:tabs>
        <w:numPr>
          <w:ilvl w:val="0"/>
          <w:numId w:val="34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LORA requirements:</w:t>
      </w:r>
    </w:p>
    <w:p>
      <w:pPr>
        <w:spacing w:after="0" w:line="131" w:lineRule="exact"/>
        <w:rPr>
          <w:sz w:val="20"/>
          <w:szCs w:val="20"/>
          <w:color w:val="auto"/>
        </w:rPr>
      </w:pPr>
    </w:p>
    <w:p>
      <w:pPr>
        <w:ind w:left="900" w:hanging="446"/>
        <w:spacing w:after="0"/>
        <w:tabs>
          <w:tab w:leader="none" w:pos="90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 Supplier shall adhere to the following:</w:t>
      </w:r>
    </w:p>
    <w:p>
      <w:pPr>
        <w:spacing w:after="0" w:line="134"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individual LORA user shall be reviewed and either approved or denied [**] from receipt of written request to the AT&amp;T IT Offshore Compliance &amp; Enablement (IT OCE).</w:t>
      </w:r>
    </w:p>
    <w:p>
      <w:pPr>
        <w:spacing w:after="0" w:line="75" w:lineRule="exact"/>
        <w:rPr>
          <w:rFonts w:ascii="Arial" w:cs="Arial" w:eastAsia="Arial" w:hAnsi="Arial"/>
          <w:sz w:val="18"/>
          <w:szCs w:val="18"/>
          <w:color w:val="auto"/>
        </w:rPr>
      </w:pPr>
    </w:p>
    <w:p>
      <w:pPr>
        <w:ind w:left="1920" w:right="100" w:hanging="440"/>
        <w:spacing w:after="0" w:line="277" w:lineRule="auto"/>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individual LORA request must be linked with a specific statement of work covered under an existing or pending Work Order issued under a current Master Agreement between AT&amp;T and the Supplier.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Supplier is to maintain a history log of all requests for LORA.</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Supplier is to submit all new LORA requests to IT OCE, in a format specified by AT&amp;T.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IT OCE Sr. Technical Director or equivalent will approve or deny each request.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interface at the time of this document being implemented. This is subject to change by AT&amp;T.</w:t>
      </w:r>
    </w:p>
    <w:p>
      <w:pPr>
        <w:spacing w:after="0" w:line="130" w:lineRule="exact"/>
        <w:rPr>
          <w:rFonts w:ascii="Arial" w:cs="Arial" w:eastAsia="Arial" w:hAnsi="Arial"/>
          <w:sz w:val="18"/>
          <w:szCs w:val="18"/>
          <w:color w:val="auto"/>
        </w:rPr>
      </w:pPr>
    </w:p>
    <w:p>
      <w:pPr>
        <w:ind w:left="1920" w:right="360" w:hanging="440"/>
        <w:spacing w:after="0" w:line="277" w:lineRule="auto"/>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Supplier may also request AT&amp;T IT OCE approval for temporary remote access from a location other than the Resource Home Location.</w:t>
      </w:r>
    </w:p>
    <w:p>
      <w:pPr>
        <w:spacing w:after="0" w:line="75" w:lineRule="exact"/>
        <w:rPr>
          <w:rFonts w:ascii="Arial" w:cs="Arial" w:eastAsia="Arial" w:hAnsi="Arial"/>
          <w:sz w:val="18"/>
          <w:szCs w:val="18"/>
          <w:color w:val="auto"/>
        </w:rPr>
      </w:pPr>
    </w:p>
    <w:p>
      <w:pPr>
        <w:ind w:left="1920" w:right="40" w:hanging="440"/>
        <w:spacing w:after="0" w:line="264" w:lineRule="auto"/>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Resource Home Location shall be subject to voluntary inspection /verification, as agreed upon by the Parties, by Supplier or AT&amp;T representative if AT&amp;T information/resource is present. The Supplier resource must notify AT&amp;T/Supplier of any changes in Resource Home Location.</w:t>
      </w:r>
    </w:p>
    <w:p>
      <w:pPr>
        <w:spacing w:after="0" w:line="86" w:lineRule="exact"/>
        <w:rPr>
          <w:rFonts w:ascii="Arial" w:cs="Arial" w:eastAsia="Arial" w:hAnsi="Arial"/>
          <w:sz w:val="18"/>
          <w:szCs w:val="18"/>
          <w:color w:val="auto"/>
        </w:rPr>
      </w:pPr>
    </w:p>
    <w:p>
      <w:pPr>
        <w:ind w:left="1920" w:right="340" w:hanging="440"/>
        <w:spacing w:after="0" w:line="277" w:lineRule="auto"/>
        <w:tabs>
          <w:tab w:leader="none" w:pos="19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Amdocs will notify AT&amp;T immediately upon an Amdocs resource’s change in status that would no longer require them to have LORA.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820" w:right="100" w:hanging="446"/>
        <w:spacing w:after="0" w:line="277" w:lineRule="auto"/>
        <w:tabs>
          <w:tab w:leader="none" w:pos="8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and immediately upon approval, all offshore Supplier personnel approved for LORA must complete Supplier-provided compliance training, which shall include but not be limited to:</w:t>
      </w:r>
    </w:p>
    <w:p>
      <w:pPr>
        <w:spacing w:after="0" w:line="75" w:lineRule="exact"/>
        <w:rPr>
          <w:rFonts w:ascii="Arial" w:cs="Arial" w:eastAsia="Arial" w:hAnsi="Arial"/>
          <w:sz w:val="18"/>
          <w:szCs w:val="18"/>
          <w:color w:val="auto"/>
        </w:rPr>
      </w:pPr>
    </w:p>
    <w:p>
      <w:pPr>
        <w:ind w:left="1840" w:right="20" w:hanging="440"/>
        <w:spacing w:after="0" w:line="259" w:lineRule="auto"/>
        <w:tabs>
          <w:tab w:leader="none" w:pos="18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review of all of the requirements outlined in this Agreement that pertain to the end-users of the Remote Access Solution. The review shall include but not be limited to: the use of the Remote Access Solution from only a single Resource Home Location; the Remote Access Laptop theft/loss reporting requirements; and the prohibition of the use of the Remote Access Solution for anything other than responding to on-call situations.</w:t>
      </w:r>
    </w:p>
    <w:p>
      <w:pPr>
        <w:spacing w:after="0" w:line="92" w:lineRule="exact"/>
        <w:rPr>
          <w:rFonts w:ascii="Arial" w:cs="Arial" w:eastAsia="Arial" w:hAnsi="Arial"/>
          <w:sz w:val="18"/>
          <w:szCs w:val="18"/>
          <w:color w:val="auto"/>
        </w:rPr>
      </w:pPr>
    </w:p>
    <w:p>
      <w:pPr>
        <w:ind w:left="1840" w:hanging="440"/>
        <w:spacing w:after="0"/>
        <w:tabs>
          <w:tab w:leader="none" w:pos="184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 xml:space="preserve">Review of the following guidelines: </w:t>
      </w:r>
      <w:r>
        <w:rPr>
          <w:rFonts w:ascii="Arial" w:cs="Arial" w:eastAsia="Arial" w:hAnsi="Arial"/>
          <w:sz w:val="17"/>
          <w:szCs w:val="17"/>
          <w:u w:val="single" w:color="auto"/>
          <w:color w:val="auto"/>
        </w:rPr>
        <w:t>https://spsf05.web.att.com/sites/AssetProtection/APO/Investigations/LaptopThefts.aspx</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840" w:right="40" w:hanging="440"/>
        <w:spacing w:after="0" w:line="277" w:lineRule="auto"/>
        <w:tabs>
          <w:tab w:leader="none" w:pos="18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Upon AT&amp;T request, Supplier shall provide to the AT&amp;T IT Offshore Compliance &amp; Enablement (IT OCE) team confirmation that the above training has been completed annually and upon LORA approvals.</w:t>
      </w:r>
    </w:p>
    <w:p>
      <w:pPr>
        <w:spacing w:after="0" w:line="71" w:lineRule="exact"/>
        <w:rPr>
          <w:rFonts w:ascii="Arial" w:cs="Arial" w:eastAsia="Arial" w:hAnsi="Arial"/>
          <w:sz w:val="18"/>
          <w:szCs w:val="18"/>
          <w:color w:val="auto"/>
        </w:rPr>
      </w:pPr>
    </w:p>
    <w:p>
      <w:pPr>
        <w:ind w:left="820" w:right="80" w:hanging="446"/>
        <w:spacing w:after="0" w:line="282" w:lineRule="auto"/>
        <w:tabs>
          <w:tab w:leader="none" w:pos="820"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 xml:space="preserve">Management Remote Access Laptop with AT&amp;T Data other than SPI or </w:t>
      </w:r>
      <w:r>
        <w:rPr>
          <w:rFonts w:ascii="Arial" w:cs="Arial" w:eastAsia="Arial" w:hAnsi="Arial"/>
          <w:sz w:val="18"/>
          <w:szCs w:val="18"/>
          <w:color w:val="auto"/>
        </w:rPr>
        <w:t>AT&amp;T Proprietary – Restricted Information (“APRI”)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(“RI”) </w:t>
      </w:r>
      <w:r>
        <w:rPr>
          <w:rFonts w:ascii="Arial" w:cs="Arial" w:eastAsia="Arial" w:hAnsi="Arial"/>
          <w:sz w:val="18"/>
          <w:szCs w:val="18"/>
          <w:b w:val="1"/>
          <w:bCs w:val="1"/>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132080</wp:posOffset>
            </wp:positionV>
            <wp:extent cx="5574030" cy="1551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7403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Supplier shall adhere to the following:</w:t>
      </w:r>
    </w:p>
    <w:p>
      <w:pPr>
        <w:spacing w:after="0" w:line="131" w:lineRule="exact"/>
        <w:rPr>
          <w:sz w:val="20"/>
          <w:szCs w:val="20"/>
          <w:color w:val="auto"/>
        </w:rPr>
      </w:pPr>
    </w:p>
    <w:p>
      <w:pPr>
        <w:ind w:left="1840" w:right="640" w:hanging="440"/>
        <w:spacing w:after="0" w:line="277" w:lineRule="auto"/>
        <w:tabs>
          <w:tab w:leader="none" w:pos="18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Supplier shall designate, provide and support the Management Remote Access Laptop to be used from the Resource Home Location, Amdocs Facility and travel.</w:t>
      </w:r>
    </w:p>
    <w:p>
      <w:pPr>
        <w:spacing w:after="0" w:line="75" w:lineRule="exact"/>
        <w:rPr>
          <w:rFonts w:ascii="Arial" w:cs="Arial" w:eastAsia="Arial" w:hAnsi="Arial"/>
          <w:sz w:val="18"/>
          <w:szCs w:val="18"/>
          <w:color w:val="auto"/>
        </w:rPr>
      </w:pPr>
    </w:p>
    <w:p>
      <w:pPr>
        <w:ind w:left="1840" w:hanging="440"/>
        <w:spacing w:after="0"/>
        <w:tabs>
          <w:tab w:leader="none" w:pos="18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Management Remote Access Laptop shall have anti-virus and firewall software installed and operating.</w:t>
      </w:r>
    </w:p>
    <w:p>
      <w:pPr>
        <w:spacing w:after="0" w:line="130" w:lineRule="exact"/>
        <w:rPr>
          <w:rFonts w:ascii="Arial" w:cs="Arial" w:eastAsia="Arial" w:hAnsi="Arial"/>
          <w:sz w:val="18"/>
          <w:szCs w:val="18"/>
          <w:color w:val="auto"/>
        </w:rPr>
      </w:pPr>
    </w:p>
    <w:p>
      <w:pPr>
        <w:ind w:left="1840" w:right="40" w:hanging="440"/>
        <w:spacing w:after="0" w:line="277" w:lineRule="auto"/>
        <w:tabs>
          <w:tab w:leader="none" w:pos="18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configuration file that controls these settings required for LORA shall be read only for the user and editable only by authorized domain administrators (e.g., settings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274" w:right="239" w:bottom="1440" w:gutter="0" w:footer="0" w:header="0"/>
        </w:sectPr>
      </w:pPr>
    </w:p>
    <w:bookmarkStart w:id="325" w:name="page326"/>
    <w:bookmarkEnd w:id="325"/>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02026713.A.013</w:t>
      </w:r>
    </w:p>
    <w:p>
      <w:pPr>
        <w:spacing w:after="0" w:line="181" w:lineRule="exact"/>
        <w:rPr>
          <w:sz w:val="20"/>
          <w:szCs w:val="20"/>
          <w:color w:val="auto"/>
        </w:rPr>
      </w:pPr>
    </w:p>
    <w:p>
      <w:pPr>
        <w:ind w:left="1860" w:right="200"/>
        <w:spacing w:after="0" w:line="277" w:lineRule="auto"/>
        <w:rPr>
          <w:sz w:val="20"/>
          <w:szCs w:val="20"/>
          <w:color w:val="auto"/>
        </w:rPr>
      </w:pPr>
      <w:r>
        <w:rPr>
          <w:rFonts w:ascii="Arial" w:cs="Arial" w:eastAsia="Arial" w:hAnsi="Arial"/>
          <w:sz w:val="18"/>
          <w:szCs w:val="18"/>
          <w:color w:val="auto"/>
        </w:rPr>
        <w:t>that control full hard drive encryption, antivirus and [**], for application installations) or resources approved for LORA shall not have administrator rights on the Management Remote Access Laptop.</w:t>
      </w:r>
    </w:p>
    <w:p>
      <w:pPr>
        <w:spacing w:after="0" w:line="76" w:lineRule="exact"/>
        <w:rPr>
          <w:sz w:val="20"/>
          <w:szCs w:val="20"/>
          <w:color w:val="auto"/>
        </w:rPr>
      </w:pPr>
    </w:p>
    <w:p>
      <w:pPr>
        <w:ind w:left="1840" w:right="140" w:hanging="440"/>
        <w:spacing w:after="0" w:line="259" w:lineRule="auto"/>
        <w:tabs>
          <w:tab w:leader="none" w:pos="18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Management Remote Access Laptop shall have a full hard drive encryption solution, such as [**], installed and operating, with all data encrypted as long as the laptop is “locked” (screensaver has turned on) or the Management Remote Access Laptop is shut down.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ind w:left="1840" w:right="20" w:hanging="440"/>
        <w:spacing w:after="0" w:line="302" w:lineRule="auto"/>
        <w:tabs>
          <w:tab w:leader="none" w:pos="18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Management Remote Access Laptops with no [**] software or equivalent product installed must require both a password and biometric (i.e., thumb print scan) authentication for both logging into the device and “unlocking” the device (gaining control of the device after the screensaver has turned on). The configuration file that controls the above settings shall be read only for the user and editable only by authorized domain administrators. Amdocs will work in good faith to have this requirement implemented [**].</w:t>
      </w:r>
    </w:p>
    <w:p>
      <w:pPr>
        <w:spacing w:after="0" w:line="59" w:lineRule="exact"/>
        <w:rPr>
          <w:rFonts w:ascii="Arial" w:cs="Arial" w:eastAsia="Arial" w:hAnsi="Arial"/>
          <w:sz w:val="16"/>
          <w:szCs w:val="16"/>
          <w:color w:val="auto"/>
        </w:rPr>
      </w:pPr>
    </w:p>
    <w:p>
      <w:pPr>
        <w:ind w:left="1840" w:right="120" w:hanging="440"/>
        <w:spacing w:after="0" w:line="342" w:lineRule="auto"/>
        <w:tabs>
          <w:tab w:leader="none" w:pos="18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Password and/or biometric-protected screensavers must be set with the inactivity timeout set to [**] or less. The configuration file that controls the above settings shall be read only for the user and editable only by authorized domain administrators.</w:t>
      </w:r>
    </w:p>
    <w:p>
      <w:pPr>
        <w:spacing w:after="0" w:line="29" w:lineRule="exact"/>
        <w:rPr>
          <w:rFonts w:ascii="Arial" w:cs="Arial" w:eastAsia="Arial" w:hAnsi="Arial"/>
          <w:sz w:val="16"/>
          <w:szCs w:val="16"/>
          <w:color w:val="auto"/>
        </w:rPr>
      </w:pPr>
    </w:p>
    <w:p>
      <w:pPr>
        <w:ind w:left="1840" w:right="40" w:hanging="440"/>
        <w:spacing w:after="0" w:line="270" w:lineRule="auto"/>
        <w:tabs>
          <w:tab w:leader="none" w:pos="18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Each Management Remote Access Laptop shall have the [**] or equivalent product installed and operating [**], with the configuration file that controls the above settings set to be read only for the user and editable only by authorized domain administrators. Supplier shall initiate the [**] data wipe process for all lost or stolen laptops within [**] of the reported theft or loss of a Management Remote Access Laptop. Supplier is to notify [**] of a lost or stolen Management Remote Access Laptop within [**], including in such notification a description of AT&amp;T information that was on the Management Remote Access Laptop. Supplier shall provide full and proactive cooperation with any investigation related to AT&amp;T. In addition to Amdocs’ obligation to indemnify , in the event of such a loss of equipment, if it is determined that the lost equipment included personnel Information (personal data such as HR information, SSN, address, etc.) and the Supplier has failed to comply with the provisions of subsections b, c, d, e, and f, above the Supplier shall provide [**].</w:t>
      </w:r>
    </w:p>
    <w:p>
      <w:pPr>
        <w:spacing w:after="0" w:line="87" w:lineRule="exact"/>
        <w:rPr>
          <w:rFonts w:ascii="Arial" w:cs="Arial" w:eastAsia="Arial" w:hAnsi="Arial"/>
          <w:sz w:val="17"/>
          <w:szCs w:val="17"/>
          <w:color w:val="auto"/>
        </w:rPr>
      </w:pPr>
    </w:p>
    <w:p>
      <w:pPr>
        <w:ind w:left="1840" w:hanging="440"/>
        <w:spacing w:after="0"/>
        <w:tabs>
          <w:tab w:leader="none" w:pos="18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Management Remote Access Laptop shall only be able to [**] network at any one time.</w:t>
      </w:r>
    </w:p>
    <w:p>
      <w:pPr>
        <w:spacing w:after="0" w:line="130" w:lineRule="exact"/>
        <w:rPr>
          <w:rFonts w:ascii="Arial" w:cs="Arial" w:eastAsia="Arial" w:hAnsi="Arial"/>
          <w:sz w:val="18"/>
          <w:szCs w:val="18"/>
          <w:color w:val="auto"/>
        </w:rPr>
      </w:pPr>
    </w:p>
    <w:p>
      <w:pPr>
        <w:ind w:left="1840" w:right="80" w:hanging="440"/>
        <w:spacing w:after="0" w:line="264" w:lineRule="auto"/>
        <w:tabs>
          <w:tab w:leader="none" w:pos="18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Management Remote Access Laptops shall use either (i) a VPN connection to AT&amp;T through AT&amp;T’s approved Client VPN or (ii) another VPN connection to connect to the Supplier’s corporate network. The Management Remote Access Laptop may not use both (i) and (ii) at the same time or any other connection method(s).</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274"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1920" w:right="200" w:hanging="440"/>
        <w:spacing w:after="0" w:line="302" w:lineRule="auto"/>
        <w:tabs>
          <w:tab w:leader="none" w:pos="192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data and voice connection in the Resource Home Location and all associated costs shall be provided by the Supplier per the Supplier’s policy and will be either a wired or wireless connection. AT&amp;T will not be required to cover the charges for data and voice connections in the Resource Home Locations. Wired data connections are preferred. However, if the connection is wireless (e.g., WIFI or cellular wireless connection), the connection must be encrypted and adequately secured.</w:t>
      </w:r>
    </w:p>
    <w:p>
      <w:pPr>
        <w:spacing w:after="0" w:line="59" w:lineRule="exact"/>
        <w:rPr>
          <w:rFonts w:ascii="Arial" w:cs="Arial" w:eastAsia="Arial" w:hAnsi="Arial"/>
          <w:sz w:val="16"/>
          <w:szCs w:val="16"/>
          <w:color w:val="auto"/>
        </w:rPr>
      </w:pPr>
    </w:p>
    <w:p>
      <w:pPr>
        <w:ind w:left="1920" w:right="220" w:hanging="440"/>
        <w:spacing w:after="0" w:line="264" w:lineRule="auto"/>
        <w:tabs>
          <w:tab w:leader="none" w:pos="19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Supplier Laptops/Desktops shall be configured such that offshore Supplier personnel shall be unable to download or copy AT&amp;T Data to external devices through means such as disk drives, USB drives, writeable CDs, serial ports, etc. Such configuration settings shall be controlled centrally and editable only by authorized administrators.</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Except where expressly stated, all aforementioned software and hardware shall be provided by the Supplier.</w:t>
      </w:r>
    </w:p>
    <w:p>
      <w:pPr>
        <w:spacing w:after="0" w:line="130" w:lineRule="exact"/>
        <w:rPr>
          <w:rFonts w:ascii="Arial" w:cs="Arial" w:eastAsia="Arial" w:hAnsi="Arial"/>
          <w:sz w:val="18"/>
          <w:szCs w:val="18"/>
          <w:color w:val="auto"/>
        </w:rPr>
      </w:pPr>
    </w:p>
    <w:p>
      <w:pPr>
        <w:ind w:left="1920" w:right="400" w:hanging="440"/>
        <w:spacing w:after="0" w:line="277" w:lineRule="auto"/>
        <w:tabs>
          <w:tab w:leader="none" w:pos="19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Security audit logs shall be maintained by the Supplier to track system events, including login attempts, user sessions, logoffs, configuration changes, and other pertinent events and data. Logs shall be retained online for [**]</w:t>
      </w:r>
    </w:p>
    <w:p>
      <w:pPr>
        <w:spacing w:after="0" w:line="75" w:lineRule="exact"/>
        <w:rPr>
          <w:rFonts w:ascii="Arial" w:cs="Arial" w:eastAsia="Arial" w:hAnsi="Arial"/>
          <w:sz w:val="18"/>
          <w:szCs w:val="18"/>
          <w:color w:val="auto"/>
        </w:rPr>
      </w:pPr>
    </w:p>
    <w:p>
      <w:pPr>
        <w:ind w:left="1920" w:right="160" w:hanging="440"/>
        <w:spacing w:after="0" w:line="259" w:lineRule="auto"/>
        <w:tabs>
          <w:tab w:leader="none" w:pos="19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Each LORA user [**] for reviewing desktop and email by December 31, 2010. Upon LORA approval each LORA user will execute, review findings classified by [**] as “High” and remediate findings that are found to be SPI. Each LORA user will execute SPI Checker at least [**]. User must review entries in the output file written to the desktop [**] and are classified by [**] as “High”. Entries found to be SPI must be immediately deleted.</w:t>
      </w:r>
    </w:p>
    <w:p>
      <w:pPr>
        <w:spacing w:after="0" w:line="92" w:lineRule="exact"/>
        <w:rPr>
          <w:rFonts w:ascii="Arial" w:cs="Arial" w:eastAsia="Arial" w:hAnsi="Arial"/>
          <w:sz w:val="18"/>
          <w:szCs w:val="18"/>
          <w:color w:val="auto"/>
        </w:rPr>
      </w:pPr>
    </w:p>
    <w:p>
      <w:pPr>
        <w:ind w:left="1920" w:right="580" w:hanging="440"/>
        <w:spacing w:after="0" w:line="264" w:lineRule="auto"/>
        <w:tabs>
          <w:tab w:leader="none" w:pos="19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At all times, the Management Remote Access Laptop shall be kept in the possession of either the AT&amp;T-approved offshore Supplier resource to whom Supplier has assigned the device or Supplier personnel that are responsible for administering the LORA.</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Remote Access end-user for laptops without AT&amp;T Data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574030" cy="17754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7403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the extent approved by AT&amp;T’s Executive Director of the IT OCE, Amdocs Offshore Personnel may perform Services and access AT&amp;T Data on an as-needed basis (e.g., to perform after-hours contracted work for AT&amp;T only) from an authorized Resource Home Location with specifically designated and approved computers provided by Amdocs (each a “Remote Access Laptop”), subject to the following:</w:t>
      </w:r>
    </w:p>
    <w:p>
      <w:pPr>
        <w:spacing w:after="0" w:line="87"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Access to AT&amp;T Data by Offshore Personnel will be done only by: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First, accessing the Amdocs network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Second, from the Amdocs network, accessing the AT&amp;T network through a “Virtual Workstation”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820" w:right="2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Connection from the Amdocs network to the AT&amp;T network is defined by AT&amp;T. Currently this is done through a dedicated Business to Business (B2B) network connection.</w:t>
      </w:r>
    </w:p>
    <w:p>
      <w:pPr>
        <w:spacing w:after="0" w:line="75" w:lineRule="exact"/>
        <w:rPr>
          <w:rFonts w:ascii="Arial" w:cs="Arial" w:eastAsia="Arial" w:hAnsi="Arial"/>
          <w:sz w:val="18"/>
          <w:szCs w:val="18"/>
          <w:color w:val="auto"/>
        </w:rPr>
      </w:pPr>
    </w:p>
    <w:p>
      <w:pPr>
        <w:ind w:left="820" w:right="70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Remote Access Laptop will have Amdocs-provided anti-virus and firewall Software installed and operating in accordance with the Agreement.</w:t>
      </w:r>
    </w:p>
    <w:p>
      <w:pPr>
        <w:spacing w:after="0" w:line="75" w:lineRule="exact"/>
        <w:rPr>
          <w:rFonts w:ascii="Arial" w:cs="Arial" w:eastAsia="Arial" w:hAnsi="Arial"/>
          <w:sz w:val="18"/>
          <w:szCs w:val="18"/>
          <w:color w:val="auto"/>
        </w:rPr>
      </w:pPr>
    </w:p>
    <w:p>
      <w:pPr>
        <w:ind w:left="820" w:right="38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Remote Access Laptop will only access AT&amp;T Data through an Amdocs-provided VPN tunnel that is authenticated using a strong two-factor token solution.</w:t>
      </w:r>
    </w:p>
    <w:p>
      <w:pPr>
        <w:spacing w:after="0" w:line="75" w:lineRule="exact"/>
        <w:rPr>
          <w:rFonts w:ascii="Arial" w:cs="Arial" w:eastAsia="Arial" w:hAnsi="Arial"/>
          <w:sz w:val="18"/>
          <w:szCs w:val="18"/>
          <w:color w:val="auto"/>
        </w:rPr>
      </w:pPr>
    </w:p>
    <w:p>
      <w:pPr>
        <w:ind w:left="820" w:right="48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Remote Access Laptop will have an AT&amp;T-approved full hard drive encryption solution and Amdocs-provided anti-virus and firewall Software installed and operating in accordance with the Agreement.</w:t>
      </w:r>
    </w:p>
    <w:p>
      <w:pPr>
        <w:spacing w:after="0" w:line="75" w:lineRule="exact"/>
        <w:rPr>
          <w:rFonts w:ascii="Arial" w:cs="Arial" w:eastAsia="Arial" w:hAnsi="Arial"/>
          <w:sz w:val="18"/>
          <w:szCs w:val="18"/>
          <w:color w:val="auto"/>
        </w:rPr>
      </w:pPr>
    </w:p>
    <w:p>
      <w:pPr>
        <w:ind w:left="820" w:right="8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Amdocs will implement and enforce commercially reasonable password complexity requirements that are no less strict than those required under this Agreement.</w:t>
      </w:r>
    </w:p>
    <w:p>
      <w:pPr>
        <w:spacing w:after="0" w:line="75" w:lineRule="exact"/>
        <w:rPr>
          <w:rFonts w:ascii="Arial" w:cs="Arial" w:eastAsia="Arial" w:hAnsi="Arial"/>
          <w:sz w:val="18"/>
          <w:szCs w:val="18"/>
          <w:color w:val="auto"/>
        </w:rPr>
      </w:pPr>
    </w:p>
    <w:p>
      <w:pPr>
        <w:ind w:left="820" w:right="28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Microsoft (MS) Remote Desktop</w:t>
      </w:r>
      <w:r>
        <w:rPr>
          <w:rFonts w:ascii="Arial" w:cs="Arial" w:eastAsia="Arial" w:hAnsi="Arial"/>
          <w:sz w:val="15"/>
          <w:szCs w:val="15"/>
          <w:color w:val="auto"/>
        </w:rPr>
        <w:t>TM</w:t>
      </w:r>
      <w:r>
        <w:rPr>
          <w:rFonts w:ascii="Arial" w:cs="Arial" w:eastAsia="Arial" w:hAnsi="Arial"/>
          <w:sz w:val="18"/>
          <w:szCs w:val="18"/>
          <w:color w:val="auto"/>
        </w:rPr>
        <w:t xml:space="preserve"> , VPN Client, and/or Citrix ICA Client shall be installed, provided by and supported by Amdocs. Remote Desktop Protocol traffic must be encrypted. High encryption must be enabled (128 bit).</w:t>
      </w:r>
    </w:p>
    <w:p>
      <w:pPr>
        <w:spacing w:after="0" w:line="75" w:lineRule="exact"/>
        <w:rPr>
          <w:rFonts w:ascii="Arial" w:cs="Arial" w:eastAsia="Arial" w:hAnsi="Arial"/>
          <w:sz w:val="18"/>
          <w:szCs w:val="18"/>
          <w:color w:val="auto"/>
        </w:rPr>
      </w:pPr>
    </w:p>
    <w:p>
      <w:pPr>
        <w:ind w:left="820" w:hanging="446"/>
        <w:spacing w:after="0"/>
        <w:tabs>
          <w:tab w:leader="none" w:pos="82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Remote Access Laptops shall use either (i) a VPN connection to connect to the Permanent Workstation at the Approved Work Location(s) or</w:t>
      </w:r>
    </w:p>
    <w:p>
      <w:pPr>
        <w:spacing w:after="0" w:line="46" w:lineRule="exact"/>
        <w:rPr>
          <w:rFonts w:ascii="Arial" w:cs="Arial" w:eastAsia="Arial" w:hAnsi="Arial"/>
          <w:sz w:val="16"/>
          <w:szCs w:val="16"/>
          <w:color w:val="auto"/>
        </w:rPr>
      </w:pPr>
    </w:p>
    <w:p>
      <w:pPr>
        <w:ind w:left="820" w:right="60"/>
        <w:spacing w:after="0" w:line="255" w:lineRule="auto"/>
        <w:rPr>
          <w:rFonts w:ascii="Arial" w:cs="Arial" w:eastAsia="Arial" w:hAnsi="Arial"/>
          <w:sz w:val="16"/>
          <w:szCs w:val="16"/>
          <w:color w:val="auto"/>
        </w:rPr>
      </w:pPr>
      <w:r>
        <w:rPr>
          <w:rFonts w:ascii="Arial" w:cs="Arial" w:eastAsia="Arial" w:hAnsi="Arial"/>
          <w:sz w:val="18"/>
          <w:szCs w:val="18"/>
          <w:color w:val="auto"/>
        </w:rPr>
        <w:t>(ii) another VPN connection to connect to the Supplier’s corporate network or (iii) by connecting to the Virtual Workstation or Citrix server in an AT&amp;T or Amdocs facility, from the Amdocs network, using Microsoft Remote Laptop Connection or Citrix ICA Protocol. The Remote Access Laptop may not use both (i) and (ii) and (iii) at the same time or any other connection methods.</w:t>
      </w:r>
    </w:p>
    <w:p>
      <w:pPr>
        <w:spacing w:after="0" w:line="95" w:lineRule="exact"/>
        <w:rPr>
          <w:rFonts w:ascii="Arial" w:cs="Arial" w:eastAsia="Arial" w:hAnsi="Arial"/>
          <w:sz w:val="16"/>
          <w:szCs w:val="16"/>
          <w:color w:val="auto"/>
        </w:rPr>
      </w:pPr>
    </w:p>
    <w:p>
      <w:pPr>
        <w:ind w:left="820" w:right="140" w:hanging="446"/>
        <w:spacing w:after="0" w:line="264"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File transfer between the Remote Access Laptop and desktop shall be disabled by the Supplier. MS Remote Desktop and Citrix ICA Client shall be configured to disable download capability. The configuration file that controls the above settings shall be read only for the user and editable only by authorized domain administrators.</w:t>
      </w:r>
    </w:p>
    <w:p>
      <w:pPr>
        <w:spacing w:after="0" w:line="86" w:lineRule="exact"/>
        <w:rPr>
          <w:rFonts w:ascii="Arial" w:cs="Arial" w:eastAsia="Arial" w:hAnsi="Arial"/>
          <w:sz w:val="18"/>
          <w:szCs w:val="18"/>
          <w:color w:val="auto"/>
        </w:rPr>
      </w:pPr>
    </w:p>
    <w:p>
      <w:pPr>
        <w:ind w:left="820" w:right="16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Password screensavers on Remote Access Laptops must be set with the inactivity timeout set to [**] or less. The configuration file that controls the above settings shall be read only for the user and editable only by authorized domain administrators.</w:t>
      </w:r>
    </w:p>
    <w:p>
      <w:pPr>
        <w:spacing w:after="0" w:line="75" w:lineRule="exact"/>
        <w:rPr>
          <w:rFonts w:ascii="Arial" w:cs="Arial" w:eastAsia="Arial" w:hAnsi="Arial"/>
          <w:sz w:val="18"/>
          <w:szCs w:val="18"/>
          <w:color w:val="auto"/>
        </w:rPr>
      </w:pPr>
    </w:p>
    <w:p>
      <w:pPr>
        <w:ind w:left="820" w:right="80" w:hanging="446"/>
        <w:spacing w:after="0" w:line="277"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Security audit logs will be maintained by Amdocs to track system events, including login attempts, user sessions, logoffs, configuration changes, and other pertinent events and data.</w:t>
      </w:r>
    </w:p>
    <w:p>
      <w:pPr>
        <w:spacing w:after="0" w:line="75" w:lineRule="exact"/>
        <w:rPr>
          <w:rFonts w:ascii="Arial" w:cs="Arial" w:eastAsia="Arial" w:hAnsi="Arial"/>
          <w:sz w:val="18"/>
          <w:szCs w:val="18"/>
          <w:color w:val="auto"/>
        </w:rPr>
      </w:pPr>
    </w:p>
    <w:p>
      <w:pPr>
        <w:ind w:left="820" w:right="340" w:hanging="446"/>
        <w:spacing w:after="0" w:line="308" w:lineRule="auto"/>
        <w:tabs>
          <w:tab w:leader="none" w:pos="8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Virtual Workstations will be configured such that Offshore Amdocs Personnel will be unable to download or copy AT&amp;T Data to the Remote Access Device. Such configuration settings will be controlled centrally and editable only by authorized administrators.</w:t>
      </w:r>
    </w:p>
    <w:p>
      <w:pPr>
        <w:spacing w:after="0" w:line="51" w:lineRule="exact"/>
        <w:rPr>
          <w:rFonts w:ascii="Arial" w:cs="Arial" w:eastAsia="Arial" w:hAnsi="Arial"/>
          <w:sz w:val="17"/>
          <w:szCs w:val="17"/>
          <w:color w:val="auto"/>
        </w:rPr>
      </w:pPr>
    </w:p>
    <w:p>
      <w:pPr>
        <w:ind w:left="820" w:hanging="446"/>
        <w:spacing w:after="0"/>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Amdocs will be responsible for all costs associated with setting up the offshore remote access solution as described above.</w:t>
      </w:r>
    </w:p>
    <w:p>
      <w:pPr>
        <w:spacing w:after="0" w:line="130" w:lineRule="exact"/>
        <w:rPr>
          <w:rFonts w:ascii="Arial" w:cs="Arial" w:eastAsia="Arial" w:hAnsi="Arial"/>
          <w:sz w:val="18"/>
          <w:szCs w:val="18"/>
          <w:color w:val="auto"/>
        </w:rPr>
      </w:pPr>
    </w:p>
    <w:p>
      <w:pPr>
        <w:ind w:left="820" w:right="20" w:hanging="446"/>
        <w:spacing w:after="0" w:line="264" w:lineRule="auto"/>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Amdocs will review in the yearly Security Awareness training that Remote Access Laptops, with exception to technical support, are not permitted inside the Approved Work Location(s). This is to ensure that the Remote Access Laptop is never in a situation where AT&amp;T data could be downloaded onto it.</w:t>
      </w:r>
    </w:p>
    <w:p>
      <w:pPr>
        <w:spacing w:after="0" w:line="86" w:lineRule="exact"/>
        <w:rPr>
          <w:rFonts w:ascii="Arial" w:cs="Arial" w:eastAsia="Arial" w:hAnsi="Arial"/>
          <w:sz w:val="18"/>
          <w:szCs w:val="18"/>
          <w:color w:val="auto"/>
        </w:rPr>
      </w:pPr>
    </w:p>
    <w:p>
      <w:pPr>
        <w:ind w:left="820" w:hanging="446"/>
        <w:spacing w:after="0"/>
        <w:tabs>
          <w:tab w:leader="none" w:pos="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Permanent Workstations are not permitted to leave the Approved Work Location.</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320" w:top="273"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02026713.A.013</w:t>
      </w:r>
    </w:p>
    <w:p>
      <w:pPr>
        <w:spacing w:after="0" w:line="158" w:lineRule="exact"/>
        <w:rPr>
          <w:sz w:val="20"/>
          <w:szCs w:val="20"/>
          <w:color w:val="auto"/>
        </w:rPr>
      </w:pPr>
    </w:p>
    <w:p>
      <w:pPr>
        <w:ind w:left="820" w:right="460" w:hanging="446"/>
        <w:spacing w:after="0" w:line="277" w:lineRule="auto"/>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Offshore Supplier personnel approved by AT&amp;T for remote access may only utilize the Remote Access Solution from their Resource Home Location with exception to Section II.1.g Lora Requirements, General Requirements.</w:t>
      </w:r>
    </w:p>
    <w:p>
      <w:pPr>
        <w:spacing w:after="0" w:line="75" w:lineRule="exact"/>
        <w:rPr>
          <w:rFonts w:ascii="Arial" w:cs="Arial" w:eastAsia="Arial" w:hAnsi="Arial"/>
          <w:sz w:val="18"/>
          <w:szCs w:val="18"/>
          <w:color w:val="auto"/>
        </w:rPr>
      </w:pPr>
    </w:p>
    <w:p>
      <w:pPr>
        <w:ind w:left="820" w:hanging="446"/>
        <w:spacing w:after="0"/>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Offshore Supplier personnel shall only store their Remote Access Laptops in their Resource Home Locations.</w:t>
      </w:r>
    </w:p>
    <w:p>
      <w:pPr>
        <w:spacing w:after="0" w:line="130" w:lineRule="exact"/>
        <w:rPr>
          <w:rFonts w:ascii="Arial" w:cs="Arial" w:eastAsia="Arial" w:hAnsi="Arial"/>
          <w:sz w:val="18"/>
          <w:szCs w:val="18"/>
          <w:color w:val="auto"/>
        </w:rPr>
      </w:pPr>
    </w:p>
    <w:p>
      <w:pPr>
        <w:ind w:left="820" w:right="280" w:hanging="446"/>
        <w:spacing w:after="0" w:line="264" w:lineRule="auto"/>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Remote Access Solution shall only be used for AT&amp;T business purposes, and only for on-call and emergency situations. AT&amp;T will not approve the LORA for Supplier resources providing Services to AT&amp;T who are part or full time telecommuting and use of the Remote Access Solution as a primary disaster recovery solution is prohibited.</w:t>
      </w:r>
    </w:p>
    <w:p>
      <w:pPr>
        <w:spacing w:after="0" w:line="83" w:lineRule="exact"/>
        <w:rPr>
          <w:sz w:val="20"/>
          <w:szCs w:val="20"/>
          <w:color w:val="auto"/>
        </w:rPr>
      </w:pPr>
    </w:p>
    <w:p>
      <w:pPr>
        <w:ind w:left="820" w:hanging="446"/>
        <w:spacing w:after="0"/>
        <w:tabs>
          <w:tab w:leader="none" w:pos="82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Program:</w:t>
      </w:r>
    </w:p>
    <w:p>
      <w:pPr>
        <w:spacing w:after="0" w:line="134" w:lineRule="exact"/>
        <w:rPr>
          <w:rFonts w:ascii="Arial" w:cs="Arial" w:eastAsia="Arial" w:hAnsi="Arial"/>
          <w:sz w:val="18"/>
          <w:szCs w:val="18"/>
          <w:b w:val="1"/>
          <w:bCs w:val="1"/>
          <w:color w:val="auto"/>
        </w:rPr>
      </w:pPr>
    </w:p>
    <w:p>
      <w:pPr>
        <w:ind w:left="1400" w:hanging="567"/>
        <w:spacing w:after="0"/>
        <w:tabs>
          <w:tab w:leader="none" w:pos="140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Limited Remote Offshore Access program is subject to change as directed by AT&amp;T.</w:t>
      </w:r>
    </w:p>
    <w:p>
      <w:pPr>
        <w:spacing w:after="0" w:line="130" w:lineRule="exact"/>
        <w:rPr>
          <w:rFonts w:ascii="Arial" w:cs="Arial" w:eastAsia="Arial" w:hAnsi="Arial"/>
          <w:sz w:val="18"/>
          <w:szCs w:val="18"/>
          <w:color w:val="auto"/>
        </w:rPr>
      </w:pPr>
    </w:p>
    <w:p>
      <w:pPr>
        <w:ind w:left="1400" w:hanging="567"/>
        <w:spacing w:after="0"/>
        <w:tabs>
          <w:tab w:leader="none" w:pos="140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AT&amp;T reserves the right to cancel any approved Limited Remote Offshore Access requests upon written notice to the Supplier.</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320" w:top="273" w:right="23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40" w:type="dxa"/>
            <w:vAlign w:val="bottom"/>
            <w:gridSpan w:val="7"/>
          </w:tcPr>
          <w:p>
            <w:pPr>
              <w:ind w:left="3960"/>
              <w:spacing w:after="0"/>
              <w:rPr>
                <w:sz w:val="20"/>
                <w:szCs w:val="20"/>
                <w:color w:val="auto"/>
              </w:rPr>
            </w:pPr>
            <w:r>
              <w:rPr>
                <w:rFonts w:ascii="Arial" w:cs="Arial" w:eastAsia="Arial" w:hAnsi="Arial"/>
                <w:sz w:val="18"/>
                <w:szCs w:val="18"/>
                <w:color w:val="auto"/>
                <w:w w:val="90"/>
              </w:rPr>
              <w:t>Agreement Number 02026713.A.013</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40" w:type="dxa"/>
            <w:vAlign w:val="bottom"/>
            <w:gridSpan w:val="7"/>
          </w:tcPr>
          <w:p>
            <w:pPr>
              <w:ind w:left="460"/>
              <w:spacing w:after="0"/>
              <w:rPr>
                <w:sz w:val="20"/>
                <w:szCs w:val="20"/>
                <w:color w:val="auto"/>
              </w:rPr>
            </w:pPr>
            <w:r>
              <w:rPr>
                <w:rFonts w:ascii="Arial" w:cs="Arial" w:eastAsia="Arial" w:hAnsi="Arial"/>
                <w:sz w:val="18"/>
                <w:szCs w:val="18"/>
                <w:b w:val="1"/>
                <w:bCs w:val="1"/>
                <w:color w:val="auto"/>
              </w:rPr>
              <w:t>Appendix K</w:t>
            </w:r>
          </w:p>
        </w:tc>
        <w:tc>
          <w:tcPr>
            <w:tcW w:w="0" w:type="dxa"/>
            <w:vAlign w:val="bottom"/>
          </w:tcPr>
          <w:p>
            <w:pPr>
              <w:spacing w:after="0"/>
              <w:rPr>
                <w:sz w:val="1"/>
                <w:szCs w:val="1"/>
                <w:color w:val="auto"/>
              </w:rPr>
            </w:pPr>
          </w:p>
        </w:tc>
      </w:tr>
      <w:tr>
        <w:trPr>
          <w:trHeight w:val="378"/>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Country(ies) </w:t>
            </w:r>
            <w:r>
              <w:rPr>
                <w:rFonts w:ascii="Arial" w:cs="Arial" w:eastAsia="Arial" w:hAnsi="Arial"/>
                <w:sz w:val="14"/>
                <w:szCs w:val="14"/>
                <w:color w:val="auto"/>
                <w:w w:val="96"/>
              </w:rPr>
              <w:t>where</w:t>
            </w: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80" w:type="dxa"/>
            <w:vAlign w:val="bottom"/>
            <w:gridSpan w:val="6"/>
            <w:vMerge w:val="restart"/>
          </w:tcPr>
          <w:p>
            <w:pPr>
              <w:spacing w:after="0"/>
              <w:rPr>
                <w:sz w:val="20"/>
                <w:szCs w:val="20"/>
                <w:color w:val="auto"/>
              </w:rPr>
            </w:pPr>
            <w:r>
              <w:rPr>
                <w:rFonts w:ascii="Arial" w:cs="Arial" w:eastAsia="Arial" w:hAnsi="Arial"/>
                <w:sz w:val="14"/>
                <w:szCs w:val="14"/>
                <w:color w:val="auto"/>
              </w:rPr>
              <w:t xml:space="preserve">Name of </w:t>
            </w:r>
            <w:r>
              <w:rPr>
                <w:rFonts w:ascii="Arial" w:cs="Arial" w:eastAsia="Arial" w:hAnsi="Arial"/>
                <w:sz w:val="14"/>
                <w:szCs w:val="14"/>
                <w:b w:val="1"/>
                <w:bCs w:val="1"/>
                <w:color w:val="auto"/>
              </w:rPr>
              <w:t>Supplier /</w:t>
            </w:r>
          </w:p>
        </w:tc>
        <w:tc>
          <w:tcPr>
            <w:tcW w:w="0" w:type="dxa"/>
            <w:vAlign w:val="bottom"/>
          </w:tcPr>
          <w:p>
            <w:pPr>
              <w:spacing w:after="0"/>
              <w:rPr>
                <w:sz w:val="1"/>
                <w:szCs w:val="1"/>
                <w:color w:val="auto"/>
              </w:rPr>
            </w:pPr>
          </w:p>
        </w:tc>
      </w:tr>
      <w:tr>
        <w:trPr>
          <w:trHeight w:val="129"/>
        </w:trPr>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services are</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Services</w:t>
            </w:r>
          </w:p>
        </w:tc>
        <w:tc>
          <w:tcPr>
            <w:tcW w:w="516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line="135" w:lineRule="exact"/>
              <w:rPr>
                <w:sz w:val="20"/>
                <w:szCs w:val="20"/>
                <w:color w:val="auto"/>
              </w:rPr>
            </w:pPr>
            <w:r>
              <w:rPr>
                <w:rFonts w:ascii="Arial" w:cs="Arial" w:eastAsia="Arial" w:hAnsi="Arial"/>
                <w:sz w:val="14"/>
                <w:szCs w:val="14"/>
                <w:color w:val="auto"/>
                <w:w w:val="96"/>
              </w:rPr>
              <w:t>authorized by AT&amp;T</w:t>
            </w:r>
          </w:p>
        </w:tc>
        <w:tc>
          <w:tcPr>
            <w:tcW w:w="400" w:type="dxa"/>
            <w:vAlign w:val="bottom"/>
          </w:tcPr>
          <w:p>
            <w:pPr>
              <w:spacing w:after="0" w:line="20" w:lineRule="exact"/>
              <w:rPr>
                <w:sz w:val="1"/>
                <w:szCs w:val="1"/>
                <w:color w:val="auto"/>
              </w:rPr>
            </w:pPr>
          </w:p>
        </w:tc>
        <w:tc>
          <w:tcPr>
            <w:tcW w:w="3160" w:type="dxa"/>
            <w:vAlign w:val="bottom"/>
            <w:gridSpan w:val="2"/>
            <w:vMerge w:val="continu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160" w:type="dxa"/>
            <w:vAlign w:val="bottom"/>
            <w:gridSpan w:val="2"/>
            <w:vMerge w:val="continue"/>
          </w:tcPr>
          <w:p>
            <w:pPr>
              <w:spacing w:after="0"/>
              <w:rPr>
                <w:sz w:val="10"/>
                <w:szCs w:val="10"/>
                <w:color w:val="auto"/>
              </w:rPr>
            </w:pPr>
          </w:p>
        </w:tc>
        <w:tc>
          <w:tcPr>
            <w:tcW w:w="5160" w:type="dxa"/>
            <w:vAlign w:val="bottom"/>
          </w:tcPr>
          <w:p>
            <w:pPr>
              <w:spacing w:after="0"/>
              <w:rPr>
                <w:sz w:val="10"/>
                <w:szCs w:val="10"/>
                <w:color w:val="auto"/>
              </w:rPr>
            </w:pPr>
          </w:p>
        </w:tc>
        <w:tc>
          <w:tcPr>
            <w:tcW w:w="114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rPr>
              <w:t>Subcontractor</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gridSpan w:val="2"/>
          </w:tcPr>
          <w:p>
            <w:pPr>
              <w:spacing w:after="0" w:line="102" w:lineRule="exact"/>
              <w:rPr>
                <w:sz w:val="20"/>
                <w:szCs w:val="20"/>
                <w:color w:val="auto"/>
              </w:rPr>
            </w:pPr>
            <w:r>
              <w:rPr>
                <w:rFonts w:ascii="Arial" w:cs="Arial" w:eastAsia="Arial" w:hAnsi="Arial"/>
                <w:sz w:val="11"/>
                <w:szCs w:val="11"/>
                <w:color w:val="auto"/>
              </w:rPr>
              <w:t>to be performed</w:t>
            </w:r>
          </w:p>
        </w:tc>
        <w:tc>
          <w:tcPr>
            <w:tcW w:w="400" w:type="dxa"/>
            <w:vAlign w:val="bottom"/>
          </w:tcPr>
          <w:p>
            <w:pPr>
              <w:spacing w:after="0"/>
              <w:rPr>
                <w:sz w:val="10"/>
                <w:szCs w:val="10"/>
                <w:color w:val="auto"/>
              </w:rPr>
            </w:pPr>
          </w:p>
        </w:tc>
        <w:tc>
          <w:tcPr>
            <w:tcW w:w="270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color w:val="auto"/>
              </w:rPr>
              <w:t>to be performed at approved Physical Location</w:t>
            </w:r>
          </w:p>
        </w:tc>
        <w:tc>
          <w:tcPr>
            <w:tcW w:w="4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color w:val="auto"/>
              </w:rPr>
              <w:t>performing the</w:t>
            </w:r>
          </w:p>
        </w:tc>
        <w:tc>
          <w:tcPr>
            <w:tcW w:w="580" w:type="dxa"/>
            <w:vAlign w:val="bottom"/>
            <w:gridSpan w:val="3"/>
          </w:tcPr>
          <w:p>
            <w:pPr>
              <w:spacing w:after="0" w:line="102" w:lineRule="exact"/>
              <w:rPr>
                <w:sz w:val="20"/>
                <w:szCs w:val="20"/>
                <w:color w:val="auto"/>
              </w:rPr>
            </w:pPr>
            <w:r>
              <w:rPr>
                <w:rFonts w:ascii="Arial" w:cs="Arial" w:eastAsia="Arial" w:hAnsi="Arial"/>
                <w:sz w:val="11"/>
                <w:szCs w:val="11"/>
                <w:color w:val="auto"/>
              </w:rPr>
              <w:t>services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10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spacing w:after="0" w:line="20" w:lineRule="exact"/>
              <w:rPr>
                <w:sz w:val="1"/>
                <w:szCs w:val="1"/>
                <w:color w:val="auto"/>
              </w:rPr>
            </w:pPr>
          </w:p>
        </w:tc>
        <w:tc>
          <w:tcPr>
            <w:tcW w:w="5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2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310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color w:val="auto"/>
              </w:rPr>
              <w:t>Amdocs</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22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Cyprus</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w w:val="93"/>
              </w:rPr>
              <w:t>United Kingdom</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Amdocs</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700" w:type="dxa"/>
            <w:vAlign w:val="bottom"/>
            <w:gridSpan w:val="3"/>
          </w:tcPr>
          <w:p>
            <w:pPr>
              <w:ind w:left="5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15,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amended by Amendment No. 13 effective August 30, 2010, as amended by Amendment 14 effective November 22, 2010, (collectively, the “Agreement”); and</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desire to amend the Agreement as hereinafter set forth.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right="40" w:hanging="452"/>
        <w:spacing w:after="0" w:line="266" w:lineRule="auto"/>
        <w:tabs>
          <w:tab w:leader="none" w:pos="4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III - GENERAL TERMS </w:t>
      </w:r>
      <w:r>
        <w:rPr>
          <w:rFonts w:ascii="Arial" w:cs="Arial" w:eastAsia="Arial" w:hAnsi="Arial"/>
          <w:sz w:val="18"/>
          <w:szCs w:val="18"/>
          <w:color w:val="auto"/>
        </w:rPr>
        <w:t>is hereby amended to include the following new</w:t>
      </w:r>
      <w:r>
        <w:rPr>
          <w:rFonts w:ascii="Arial" w:cs="Arial" w:eastAsia="Arial" w:hAnsi="Arial"/>
          <w:sz w:val="18"/>
          <w:szCs w:val="18"/>
          <w:b w:val="1"/>
          <w:bCs w:val="1"/>
          <w:color w:val="auto"/>
        </w:rPr>
        <w:t xml:space="preserve"> Section 3.42 </w:t>
      </w:r>
      <w:r>
        <w:rPr>
          <w:rFonts w:ascii="Arial" w:cs="Arial" w:eastAsia="Arial" w:hAnsi="Arial"/>
          <w:sz w:val="18"/>
          <w:szCs w:val="18"/>
          <w:color w:val="auto"/>
        </w:rPr>
        <w:t>entitled “</w:t>
      </w:r>
      <w:r>
        <w:rPr>
          <w:rFonts w:ascii="Arial" w:cs="Arial" w:eastAsia="Arial" w:hAnsi="Arial"/>
          <w:sz w:val="18"/>
          <w:szCs w:val="18"/>
          <w:b w:val="1"/>
          <w:bCs w:val="1"/>
          <w:u w:val="single" w:color="auto"/>
          <w:color w:val="auto"/>
        </w:rPr>
        <w:t>Access to and Use of Information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Amdocs in AT&amp;T’s PRISM Tool</w:t>
      </w:r>
      <w:r>
        <w:rPr>
          <w:rFonts w:ascii="Arial" w:cs="Arial" w:eastAsia="Arial" w:hAnsi="Arial"/>
          <w:sz w:val="18"/>
          <w:szCs w:val="18"/>
          <w:color w:val="auto"/>
        </w:rPr>
        <w:t>”. The Parties further agree that the terms of</w:t>
      </w:r>
      <w:r>
        <w:rPr>
          <w:rFonts w:ascii="Arial" w:cs="Arial" w:eastAsia="Arial" w:hAnsi="Arial"/>
          <w:sz w:val="18"/>
          <w:szCs w:val="18"/>
          <w:b w:val="1"/>
          <w:bCs w:val="1"/>
          <w:color w:val="auto"/>
        </w:rPr>
        <w:t xml:space="preserve"> Section 3.42 </w:t>
      </w:r>
      <w:r>
        <w:rPr>
          <w:rFonts w:ascii="Arial" w:cs="Arial" w:eastAsia="Arial" w:hAnsi="Arial"/>
          <w:sz w:val="18"/>
          <w:szCs w:val="18"/>
          <w:color w:val="auto"/>
        </w:rPr>
        <w:t>shall apply to each agreement between any AT&amp;T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Amdocs Affiliate (collectively the “Agreements”).</w:t>
      </w:r>
    </w:p>
    <w:p>
      <w:pPr>
        <w:spacing w:after="0" w:line="6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3.42 </w:t>
      </w:r>
      <w:r>
        <w:rPr>
          <w:rFonts w:ascii="Arial" w:cs="Arial" w:eastAsia="Arial" w:hAnsi="Arial"/>
          <w:sz w:val="18"/>
          <w:szCs w:val="18"/>
          <w:b w:val="1"/>
          <w:bCs w:val="1"/>
          <w:u w:val="single" w:color="auto"/>
          <w:color w:val="auto"/>
        </w:rPr>
        <w:t>Access to and Use of Information of Amdocs in AT&amp;T’s “PRISM” Tool</w:t>
      </w:r>
    </w:p>
    <w:p>
      <w:pPr>
        <w:spacing w:after="0" w:line="121"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August 26, 2008, AT&amp;T deployed for use a new version of AT&amp;T’s “PRISM”, an IT management tool that serves as an electronic repository for certain information about various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Amendment and information contained therein is not for use or disclosure outside of AT&amp;T, its Affiliates, and third party representatives, and Amdocs except under written agreement by the contracting parties</w:t>
      </w:r>
    </w:p>
    <w:p>
      <w:pPr>
        <w:sectPr>
          <w:pgSz w:w="11900" w:h="16838" w:orient="portrait"/>
          <w:cols w:equalWidth="0" w:num="1">
            <w:col w:w="11420"/>
          </w:cols>
          <w:pgMar w:left="240" w:top="274" w:right="239" w:bottom="1440" w:gutter="0" w:footer="0" w:header="0"/>
        </w:sectPr>
      </w:pPr>
    </w:p>
    <w:bookmarkStart w:id="331" w:name="page332"/>
    <w:bookmarkEnd w:id="331"/>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02026713.A.015</w:t>
      </w:r>
    </w:p>
    <w:p>
      <w:pPr>
        <w:spacing w:after="0" w:line="181" w:lineRule="exact"/>
        <w:rPr>
          <w:sz w:val="20"/>
          <w:szCs w:val="20"/>
          <w:color w:val="auto"/>
        </w:rPr>
      </w:pPr>
    </w:p>
    <w:p>
      <w:pPr>
        <w:jc w:val="both"/>
        <w:ind w:left="460" w:right="80"/>
        <w:spacing w:after="0" w:line="302" w:lineRule="auto"/>
        <w:rPr>
          <w:sz w:val="20"/>
          <w:szCs w:val="20"/>
          <w:color w:val="auto"/>
        </w:rPr>
      </w:pPr>
      <w:r>
        <w:rPr>
          <w:rFonts w:ascii="Arial" w:cs="Arial" w:eastAsia="Arial" w:hAnsi="Arial"/>
          <w:sz w:val="16"/>
          <w:szCs w:val="16"/>
          <w:color w:val="auto"/>
        </w:rPr>
        <w:t>AT&amp;T software development projects, including the “artifacts” (i.e., work products) produced in the course of AT&amp;T-IT’s Unified Process (“</w:t>
      </w:r>
      <w:r>
        <w:rPr>
          <w:rFonts w:ascii="Arial" w:cs="Arial" w:eastAsia="Arial" w:hAnsi="Arial"/>
          <w:sz w:val="16"/>
          <w:szCs w:val="16"/>
          <w:u w:val="single" w:color="auto"/>
          <w:color w:val="auto"/>
        </w:rPr>
        <w:t>IT UP</w:t>
      </w:r>
      <w:r>
        <w:rPr>
          <w:rFonts w:ascii="Arial" w:cs="Arial" w:eastAsia="Arial" w:hAnsi="Arial"/>
          <w:sz w:val="16"/>
          <w:szCs w:val="16"/>
          <w:color w:val="auto"/>
        </w:rPr>
        <w:t>”) System Development Life Cycle. Certain information of Amdocs relating to software development that Amdocs may or will perform for AT&amp;T under the Agreements or other software development or maintenance projects that Amdocs may undertake for AT&amp;T under other agreements (or information derived therefrom) may be entered into and thereafter reside in PRISM. The Parties agree as follows with respect to such information:</w:t>
      </w:r>
    </w:p>
    <w:p>
      <w:pPr>
        <w:spacing w:after="0" w:line="46" w:lineRule="exact"/>
        <w:rPr>
          <w:sz w:val="20"/>
          <w:szCs w:val="20"/>
          <w:color w:val="auto"/>
        </w:rPr>
      </w:pPr>
    </w:p>
    <w:p>
      <w:pPr>
        <w:ind w:left="1100" w:hanging="179"/>
        <w:spacing w:after="0"/>
        <w:tabs>
          <w:tab w:leader="none" w:pos="11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 xml:space="preserve">Access to and use of </w:t>
      </w:r>
      <w:r>
        <w:rPr>
          <w:rFonts w:ascii="Arial" w:cs="Arial" w:eastAsia="Arial" w:hAnsi="Arial"/>
          <w:sz w:val="18"/>
          <w:szCs w:val="18"/>
          <w:i w:val="1"/>
          <w:iCs w:val="1"/>
          <w:u w:val="single" w:color="auto"/>
          <w:color w:val="auto"/>
        </w:rPr>
        <w:t>financial</w:t>
      </w:r>
      <w:r>
        <w:rPr>
          <w:rFonts w:ascii="Arial" w:cs="Arial" w:eastAsia="Arial" w:hAnsi="Arial"/>
          <w:sz w:val="18"/>
          <w:szCs w:val="18"/>
          <w:u w:val="single" w:color="auto"/>
          <w:color w:val="auto"/>
        </w:rPr>
        <w:t xml:space="preserve"> information of Amdocs</w:t>
      </w:r>
    </w:p>
    <w:p>
      <w:pPr>
        <w:spacing w:after="0" w:line="117" w:lineRule="exact"/>
        <w:rPr>
          <w:sz w:val="20"/>
          <w:szCs w:val="20"/>
          <w:color w:val="auto"/>
        </w:rPr>
      </w:pPr>
    </w:p>
    <w:p>
      <w:pPr>
        <w:ind w:left="920" w:right="20"/>
        <w:spacing w:after="0" w:line="270" w:lineRule="auto"/>
        <w:rPr>
          <w:sz w:val="20"/>
          <w:szCs w:val="20"/>
          <w:color w:val="auto"/>
        </w:rPr>
      </w:pPr>
      <w:r>
        <w:rPr>
          <w:rFonts w:ascii="Arial" w:cs="Arial" w:eastAsia="Arial" w:hAnsi="Arial"/>
          <w:sz w:val="17"/>
          <w:szCs w:val="17"/>
          <w:color w:val="auto"/>
        </w:rPr>
        <w:t xml:space="preserve">The only persons who will have access to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proprietary information of Amdocs in PRISM (e.g., information relating to the fees Amdocs charges AT&amp;T) are (i) AT&amp;T employees, and (ii) contractors of AT&amp;T subject to confidentiality obligations with AT&amp;T similar to those set forth in this Agreement to whom AT&amp;T has assigned an “IT Role”. The “IT Roles” currently include, but shall not be limited to, the following: Client Account Representative/Business Consultant, Lead Project Manager, Project Manager, Project Management Director, Governance Administrator, Governance Manager, Alternative Governance Manager, Strategic Initiative Owner, Strategic Initiative Alternate Owner, Strategic Initiative Designate, Budget Coordinator, PRISM Development, PRISM Testing, Administrator, Release Manager, Application Owner, Business Owner, Development Director, and Business Application Owner. AT&amp;T may change or add to these IT Roles as business needs require. Each such AT&amp;T employee, and each such contractor performing an IT Role, may access and use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proprietary information of Amdocs in connection with AT&amp;T’s receipt of Services from or AT&amp;T’s performance of obligations (including AT&amp;T’s performance of administrative obligations) with respect to Amdocs and for no other purpose.</w:t>
      </w:r>
    </w:p>
    <w:p>
      <w:pPr>
        <w:spacing w:after="0" w:line="70" w:lineRule="exact"/>
        <w:rPr>
          <w:sz w:val="20"/>
          <w:szCs w:val="20"/>
          <w:color w:val="auto"/>
        </w:rPr>
      </w:pPr>
    </w:p>
    <w:p>
      <w:pPr>
        <w:ind w:left="1100" w:hanging="179"/>
        <w:spacing w:after="0"/>
        <w:tabs>
          <w:tab w:leader="none" w:pos="11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 xml:space="preserve">Access to and use of </w:t>
      </w:r>
      <w:r>
        <w:rPr>
          <w:rFonts w:ascii="Arial" w:cs="Arial" w:eastAsia="Arial" w:hAnsi="Arial"/>
          <w:sz w:val="18"/>
          <w:szCs w:val="18"/>
          <w:i w:val="1"/>
          <w:iCs w:val="1"/>
          <w:u w:val="single" w:color="auto"/>
          <w:color w:val="auto"/>
        </w:rPr>
        <w:t>non-financial</w:t>
      </w:r>
      <w:r>
        <w:rPr>
          <w:rFonts w:ascii="Arial" w:cs="Arial" w:eastAsia="Arial" w:hAnsi="Arial"/>
          <w:sz w:val="18"/>
          <w:szCs w:val="18"/>
          <w:u w:val="single" w:color="auto"/>
          <w:color w:val="auto"/>
        </w:rPr>
        <w:t xml:space="preserve"> information of Amdocs</w:t>
      </w:r>
    </w:p>
    <w:p>
      <w:pPr>
        <w:spacing w:after="0" w:line="11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 xml:space="preserve">Users of PRISM, whether (i) AT&amp;T employees, or (ii)(a) contractors of AT&amp;T or (b) third parties (including other suppliers to AT&amp;T of software development services) subject, in the case of (ii)(a) and (b), to confidentiality obligations with AT&amp;T similar to those set forth in this Agreement, may access and use any </w:t>
      </w:r>
      <w:r>
        <w:rPr>
          <w:rFonts w:ascii="Arial" w:cs="Arial" w:eastAsia="Arial" w:hAnsi="Arial"/>
          <w:sz w:val="18"/>
          <w:szCs w:val="18"/>
          <w:i w:val="1"/>
          <w:iCs w:val="1"/>
          <w:color w:val="auto"/>
        </w:rPr>
        <w:t>non-financial</w:t>
      </w:r>
      <w:r>
        <w:rPr>
          <w:rFonts w:ascii="Arial" w:cs="Arial" w:eastAsia="Arial" w:hAnsi="Arial"/>
          <w:sz w:val="18"/>
          <w:szCs w:val="18"/>
          <w:color w:val="auto"/>
        </w:rPr>
        <w:t xml:space="preserve"> information relating to any AT&amp;T software development or maintenance project that Amdocs undertakes for AT&amp;T.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16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Amendment and information contained therein is not for use or disclosure outside of AT&amp;T, its Affiliates, and third party representatives, and Amdocs except under written agreement by the contracting parties</w:t>
      </w:r>
    </w:p>
    <w:p>
      <w:pPr>
        <w:sectPr>
          <w:pgSz w:w="11900" w:h="16838" w:orient="portrait"/>
          <w:cols w:equalWidth="0" w:num="1">
            <w:col w:w="11420"/>
          </w:cols>
          <w:pgMar w:left="240" w:top="274" w:right="239" w:bottom="1440" w:gutter="0" w:footer="0" w:header="0"/>
        </w:sectPr>
      </w:pPr>
    </w:p>
    <w:bookmarkStart w:id="332" w:name="page333"/>
    <w:bookmarkEnd w:id="33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02026713.A.015</w:t>
      </w:r>
    </w:p>
    <w:p>
      <w:pPr>
        <w:spacing w:after="0" w:line="17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Bryson Stucki</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Karin M. Hunt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/s/ Bryson Stucki</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Karen M. Hunt</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vMerge w:val="restart"/>
          </w:tcPr>
          <w:p>
            <w:pPr>
              <w:spacing w:after="0"/>
              <w:rPr>
                <w:sz w:val="20"/>
                <w:szCs w:val="20"/>
                <w:color w:val="auto"/>
              </w:rPr>
            </w:pPr>
            <w:r>
              <w:rPr>
                <w:rFonts w:ascii="Arial" w:cs="Arial" w:eastAsia="Arial" w:hAnsi="Arial"/>
                <w:sz w:val="18"/>
                <w:szCs w:val="18"/>
                <w:color w:val="auto"/>
              </w:rPr>
              <w:t>Senior Contract Manager</w:t>
            </w: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Title:  Director of Finance</w:t>
            </w:r>
          </w:p>
        </w:tc>
        <w:tc>
          <w:tcPr>
            <w:tcW w:w="800" w:type="dxa"/>
            <w:vAlign w:val="bottom"/>
            <w:gridSpan w:val="2"/>
            <w:vMerge w:val="continue"/>
          </w:tcPr>
          <w:p>
            <w:pPr>
              <w:spacing w:after="0"/>
              <w:rPr>
                <w:sz w:val="24"/>
                <w:szCs w:val="24"/>
                <w:color w:val="auto"/>
              </w:rPr>
            </w:pPr>
          </w:p>
        </w:tc>
        <w:tc>
          <w:tcPr>
            <w:tcW w:w="4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spacing w:after="0"/>
              <w:rPr>
                <w:sz w:val="20"/>
                <w:szCs w:val="20"/>
                <w:color w:val="auto"/>
              </w:rPr>
            </w:pPr>
            <w:r>
              <w:rPr>
                <w:rFonts w:ascii="Arial" w:cs="Arial" w:eastAsia="Arial" w:hAnsi="Arial"/>
                <w:sz w:val="18"/>
                <w:szCs w:val="18"/>
                <w:color w:val="auto"/>
              </w:rPr>
              <w:t>December 3, 2010</w:t>
            </w:r>
          </w:p>
        </w:tc>
        <w:tc>
          <w:tcPr>
            <w:tcW w:w="0" w:type="dxa"/>
            <w:vAlign w:val="bottom"/>
          </w:tcPr>
          <w:p>
            <w:pPr>
              <w:spacing w:after="0" w:line="20" w:lineRule="exact"/>
              <w:rPr>
                <w:sz w:val="1"/>
                <w:szCs w:val="1"/>
                <w:color w:val="auto"/>
              </w:rPr>
            </w:pPr>
          </w:p>
        </w:tc>
      </w:tr>
      <w:tr>
        <w:trPr>
          <w:trHeight w:val="390"/>
        </w:trPr>
        <w:tc>
          <w:tcPr>
            <w:tcW w:w="5480" w:type="dxa"/>
            <w:vAlign w:val="bottom"/>
            <w:gridSpan w:val="4"/>
          </w:tcPr>
          <w:p>
            <w:pPr>
              <w:spacing w:after="0"/>
              <w:rPr>
                <w:sz w:val="20"/>
                <w:szCs w:val="20"/>
                <w:color w:val="auto"/>
              </w:rPr>
            </w:pPr>
            <w:r>
              <w:rPr>
                <w:rFonts w:ascii="Arial" w:cs="Arial" w:eastAsia="Arial" w:hAnsi="Arial"/>
                <w:sz w:val="18"/>
                <w:szCs w:val="18"/>
                <w:color w:val="auto"/>
              </w:rPr>
              <w:t>Date: 12-3-2010</w:t>
            </w:r>
          </w:p>
        </w:tc>
        <w:tc>
          <w:tcPr>
            <w:tcW w:w="800" w:type="dxa"/>
            <w:vAlign w:val="bottom"/>
            <w:gridSpan w:val="2"/>
            <w:vMerge w:val="continue"/>
          </w:tcPr>
          <w:p>
            <w:pPr>
              <w:spacing w:after="0"/>
              <w:rPr>
                <w:sz w:val="24"/>
                <w:szCs w:val="24"/>
                <w:color w:val="auto"/>
              </w:rPr>
            </w:pPr>
          </w:p>
        </w:tc>
        <w:tc>
          <w:tcPr>
            <w:tcW w:w="4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Amendment and information contained therein is not for use or disclosure outside of AT&amp;T, its Affiliates, and third party representatives, and Amdocs except under written agreement by the contracting parties</w:t>
      </w:r>
    </w:p>
    <w:p>
      <w:pPr>
        <w:sectPr>
          <w:pgSz w:w="11900" w:h="16838" w:orient="portrait"/>
          <w:cols w:equalWidth="0" w:num="1">
            <w:col w:w="11420"/>
          </w:cols>
          <w:pgMar w:left="240" w:top="273" w:right="2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Reinstatement and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3" w:right="31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REINSTATEMENT AND AMENDMENT NO.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Reinstatement and Amendment No. 16,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(collectively, the “Agreement”); and</w:t>
      </w:r>
    </w:p>
    <w:p>
      <w:pPr>
        <w:spacing w:after="0" w:line="17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February 15, 2010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and to extend its term and to formalize the validity and continuation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its Effective Date of August 7, 2003;</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900" w:right="20" w:hanging="446"/>
        <w:spacing w:after="0" w:line="264" w:lineRule="auto"/>
        <w:tabs>
          <w:tab w:leader="none" w:pos="90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by them under the Agreement between the Prior Expiration Date and the date when this Amendment is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8" w:lineRule="exact"/>
        <w:rPr>
          <w:sz w:val="20"/>
          <w:szCs w:val="20"/>
          <w:color w:val="auto"/>
        </w:rPr>
      </w:pPr>
    </w:p>
    <w:p>
      <w:pPr>
        <w:ind w:left="900" w:right="680" w:hanging="446"/>
        <w:spacing w:after="0" w:line="277" w:lineRule="auto"/>
        <w:tabs>
          <w:tab w:leader="none" w:pos="900" w:val="left"/>
        </w:tabs>
        <w:numPr>
          <w:ilvl w:val="0"/>
          <w:numId w:val="359"/>
        </w:numPr>
        <w:rPr>
          <w:rFonts w:ascii="Arial" w:cs="Arial" w:eastAsia="Arial" w:hAnsi="Arial"/>
          <w:sz w:val="18"/>
          <w:szCs w:val="18"/>
          <w:b w:val="1"/>
          <w:bCs w:val="1"/>
          <w:color w:val="auto"/>
        </w:rPr>
      </w:pPr>
      <w:r>
        <w:rPr>
          <w:rFonts w:ascii="Arial" w:cs="Arial" w:eastAsia="Arial" w:hAnsi="Arial"/>
          <w:sz w:val="18"/>
          <w:szCs w:val="18"/>
          <w:color w:val="auto"/>
        </w:rPr>
        <w:t>For purposes of extending the term of the Agreement, Section 3.32, “Term of Agreement”, is deleted in its entirety and replaced with the following:</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3.32. Term of Agreement</w:t>
      </w:r>
    </w:p>
    <w:p>
      <w:pPr>
        <w:spacing w:after="0" w:line="121" w:lineRule="exact"/>
        <w:rPr>
          <w:sz w:val="20"/>
          <w:szCs w:val="20"/>
          <w:color w:val="auto"/>
        </w:rPr>
      </w:pPr>
    </w:p>
    <w:p>
      <w:pPr>
        <w:ind w:left="920" w:right="60"/>
        <w:spacing w:after="0" w:line="308" w:lineRule="auto"/>
        <w:rPr>
          <w:sz w:val="20"/>
          <w:szCs w:val="20"/>
          <w:color w:val="auto"/>
        </w:rPr>
      </w:pPr>
      <w:r>
        <w:rPr>
          <w:rFonts w:ascii="Arial" w:cs="Arial" w:eastAsia="Arial" w:hAnsi="Arial"/>
          <w:sz w:val="17"/>
          <w:szCs w:val="17"/>
          <w:color w:val="auto"/>
        </w:rPr>
        <w:t>This Agreement with an Effective Date of August 7, 2003, shall remain in effect for a term ending on May 15, 2011, unless earlier Terminated or Canceled as provided in this Agreement. The Parties may extend the term of this Agreement by agreement in writing.</w:t>
      </w:r>
    </w:p>
    <w:p>
      <w:pPr>
        <w:spacing w:after="0" w:line="48" w:lineRule="exact"/>
        <w:rPr>
          <w:sz w:val="20"/>
          <w:szCs w:val="20"/>
          <w:color w:val="auto"/>
        </w:rPr>
      </w:pPr>
    </w:p>
    <w:p>
      <w:pPr>
        <w:ind w:left="900" w:right="120" w:hanging="446"/>
        <w:spacing w:after="0" w:line="282" w:lineRule="auto"/>
        <w:tabs>
          <w:tab w:leader="none" w:pos="9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K </w:t>
      </w:r>
      <w:r>
        <w:rPr>
          <w:rFonts w:ascii="Arial" w:cs="Arial" w:eastAsia="Arial" w:hAnsi="Arial"/>
          <w:sz w:val="18"/>
          <w:szCs w:val="18"/>
          <w:color w:val="auto"/>
        </w:rPr>
        <w:t>is hereby deleted in its entirety and replaced with Appendix K, attached herewith, which shall apply to all agreements between any</w:t>
      </w:r>
      <w:r>
        <w:rPr>
          <w:rFonts w:ascii="Arial" w:cs="Arial" w:eastAsia="Arial" w:hAnsi="Arial"/>
          <w:sz w:val="18"/>
          <w:szCs w:val="18"/>
          <w:b w:val="1"/>
          <w:bCs w:val="1"/>
          <w:color w:val="auto"/>
        </w:rPr>
        <w:t xml:space="preserve"> </w:t>
      </w:r>
      <w:r>
        <w:rPr>
          <w:rFonts w:ascii="Arial" w:cs="Arial" w:eastAsia="Arial" w:hAnsi="Arial"/>
          <w:sz w:val="18"/>
          <w:szCs w:val="18"/>
          <w:color w:val="auto"/>
        </w:rPr>
        <w:t>AT&amp;T Entity and any Amdocs Entity.</w:t>
      </w:r>
    </w:p>
    <w:p>
      <w:pPr>
        <w:spacing w:after="0" w:line="67" w:lineRule="exact"/>
        <w:rPr>
          <w:rFonts w:ascii="Arial" w:cs="Arial" w:eastAsia="Arial" w:hAnsi="Arial"/>
          <w:sz w:val="18"/>
          <w:szCs w:val="18"/>
          <w:b w:val="1"/>
          <w:bCs w:val="1"/>
          <w:color w:val="auto"/>
        </w:rPr>
      </w:pPr>
    </w:p>
    <w:p>
      <w:pPr>
        <w:ind w:left="900" w:right="140" w:hanging="446"/>
        <w:spacing w:after="0" w:line="282" w:lineRule="auto"/>
        <w:tabs>
          <w:tab w:leader="none" w:pos="9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1.2(4), Vendor Expense Policy, </w:t>
      </w:r>
      <w:r>
        <w:rPr>
          <w:rFonts w:ascii="Arial" w:cs="Arial" w:eastAsia="Arial" w:hAnsi="Arial"/>
          <w:sz w:val="18"/>
          <w:szCs w:val="18"/>
          <w:color w:val="auto"/>
        </w:rPr>
        <w:t>which is attached to the Agreement, is deleted in its entirety and replaced with the revised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1.2(4) Vendor Expense Policy, which is attached hereto.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Reinstatement and Amendment to Agreement No. 02026713 to be executed, which may be in</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 counterparts, each of which will be deemed to be an original but all of which together shall constitute only one instrument, as of the date the last Party signs.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Madsen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Madsen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rPr>
              <w:t>Title:  President</w:t>
            </w:r>
          </w:p>
        </w:tc>
        <w:tc>
          <w:tcPr>
            <w:tcW w:w="4200" w:type="dxa"/>
            <w:vAlign w:val="bottom"/>
            <w:tcBorders>
              <w:top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color w:val="auto"/>
              </w:rPr>
              <w:t>Date: 2-24-2011</w:t>
            </w:r>
          </w:p>
        </w:tc>
        <w:tc>
          <w:tcPr>
            <w:tcW w:w="0" w:type="dxa"/>
            <w:vAlign w:val="bottom"/>
          </w:tcPr>
          <w:p>
            <w:pPr>
              <w:spacing w:after="0" w:line="20" w:lineRule="exact"/>
              <w:rPr>
                <w:sz w:val="1"/>
                <w:szCs w:val="1"/>
                <w:color w:val="auto"/>
              </w:rPr>
            </w:pPr>
          </w:p>
        </w:tc>
      </w:tr>
      <w:tr>
        <w:trPr>
          <w:trHeight w:val="385"/>
        </w:trPr>
        <w:tc>
          <w:tcPr>
            <w:tcW w:w="5480" w:type="dxa"/>
            <w:vAlign w:val="bottom"/>
            <w:gridSpan w:val="4"/>
          </w:tcPr>
          <w:p>
            <w:pPr>
              <w:spacing w:after="0"/>
              <w:rPr>
                <w:sz w:val="20"/>
                <w:szCs w:val="20"/>
                <w:color w:val="auto"/>
              </w:rPr>
            </w:pPr>
            <w:r>
              <w:rPr>
                <w:rFonts w:ascii="Arial" w:cs="Arial" w:eastAsia="Arial" w:hAnsi="Arial"/>
                <w:sz w:val="18"/>
                <w:szCs w:val="18"/>
                <w:color w:val="auto"/>
              </w:rPr>
              <w:t>Date: 2-25-2011</w:t>
            </w:r>
          </w:p>
        </w:tc>
        <w:tc>
          <w:tcPr>
            <w:tcW w:w="57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Appendix K</w:t>
      </w:r>
    </w:p>
    <w:p>
      <w:pPr>
        <w:sectPr>
          <w:pgSz w:w="11900" w:h="16838" w:orient="portrait"/>
          <w:cols w:equalWidth="0" w:num="1">
            <w:col w:w="11420"/>
          </w:cols>
          <w:pgMar w:left="240" w:top="274" w:right="239" w:bottom="1440" w:gutter="0" w:footer="0" w:header="0"/>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Country(ies) </w:t>
            </w:r>
            <w:r>
              <w:rPr>
                <w:rFonts w:ascii="Arial" w:cs="Arial" w:eastAsia="Arial" w:hAnsi="Arial"/>
                <w:sz w:val="14"/>
                <w:szCs w:val="14"/>
                <w:color w:val="auto"/>
              </w:rPr>
              <w:t>where</w:t>
            </w:r>
          </w:p>
        </w:tc>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15"/>
        </w:trPr>
        <w:tc>
          <w:tcPr>
            <w:tcW w:w="7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services are</w:t>
            </w:r>
          </w:p>
        </w:tc>
        <w:tc>
          <w:tcPr>
            <w:tcW w:w="1560" w:type="dxa"/>
            <w:vAlign w:val="bottom"/>
            <w:gridSpan w:val="2"/>
          </w:tcPr>
          <w:p>
            <w:pPr>
              <w:spacing w:after="0" w:line="115" w:lineRule="exact"/>
              <w:rPr>
                <w:sz w:val="20"/>
                <w:szCs w:val="20"/>
                <w:color w:val="auto"/>
              </w:rPr>
            </w:pPr>
            <w:r>
              <w:rPr>
                <w:rFonts w:ascii="Arial" w:cs="Arial" w:eastAsia="Arial" w:hAnsi="Arial"/>
                <w:sz w:val="13"/>
                <w:szCs w:val="13"/>
                <w:color w:val="auto"/>
              </w:rPr>
              <w:t>authorized by</w:t>
            </w: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29" w:lineRule="exact"/>
              <w:rPr>
                <w:sz w:val="20"/>
                <w:szCs w:val="20"/>
                <w:color w:val="auto"/>
              </w:rPr>
            </w:pPr>
            <w:r>
              <w:rPr>
                <w:rFonts w:ascii="Arial" w:cs="Arial" w:eastAsia="Arial" w:hAnsi="Arial"/>
                <w:sz w:val="14"/>
                <w:szCs w:val="14"/>
                <w:color w:val="auto"/>
              </w:rPr>
              <w:t>AT&amp;T to be performed</w:t>
            </w:r>
          </w:p>
        </w:tc>
        <w:tc>
          <w:tcPr>
            <w:tcW w:w="27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92"/>
              </w:rPr>
              <w:t>to be performed at approved Physical Location</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Name of </w:t>
      </w:r>
      <w:r>
        <w:rPr>
          <w:rFonts w:ascii="Arial" w:cs="Arial" w:eastAsia="Arial" w:hAnsi="Arial"/>
          <w:sz w:val="14"/>
          <w:szCs w:val="14"/>
          <w:b w:val="1"/>
          <w:bCs w:val="1"/>
          <w:u w:val="single" w:color="auto"/>
          <w:color w:val="auto"/>
        </w:rPr>
        <w:t>Supplier /</w:t>
      </w:r>
    </w:p>
    <w:p>
      <w:pPr>
        <w:spacing w:after="0" w:line="226" w:lineRule="auto"/>
        <w:rPr>
          <w:sz w:val="20"/>
          <w:szCs w:val="20"/>
          <w:color w:val="auto"/>
        </w:rPr>
      </w:pPr>
      <w:r>
        <w:rPr>
          <w:rFonts w:ascii="Arial" w:cs="Arial" w:eastAsia="Arial" w:hAnsi="Arial"/>
          <w:sz w:val="14"/>
          <w:szCs w:val="14"/>
          <w:b w:val="1"/>
          <w:bCs w:val="1"/>
          <w:u w:val="single" w:color="auto"/>
          <w:color w:val="auto"/>
        </w:rPr>
        <w:t>Subcontractor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performing the services</w:t>
      </w:r>
    </w:p>
    <w:p>
      <w:pPr>
        <w:spacing w:after="0" w:line="20" w:lineRule="exact"/>
        <w:rPr>
          <w:sz w:val="20"/>
          <w:szCs w:val="20"/>
          <w:color w:val="auto"/>
        </w:rPr>
      </w:pPr>
    </w:p>
    <w:p>
      <w:pPr>
        <w:sectPr>
          <w:pgSz w:w="11900" w:h="16838" w:orient="portrait"/>
          <w:cols w:equalWidth="0" w:num="2">
            <w:col w:w="9340" w:space="720"/>
            <w:col w:w="13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Brazil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275"/>
        </w:trPr>
        <w:tc>
          <w:tcPr>
            <w:tcW w:w="1780" w:type="dxa"/>
            <w:vAlign w:val="bottom"/>
          </w:tcPr>
          <w:p>
            <w:pPr>
              <w:spacing w:after="0"/>
              <w:rPr>
                <w:sz w:val="20"/>
                <w:szCs w:val="20"/>
                <w:color w:val="auto"/>
              </w:rPr>
            </w:pPr>
            <w:r>
              <w:rPr>
                <w:rFonts w:ascii="Arial" w:cs="Arial" w:eastAsia="Arial" w:hAnsi="Arial"/>
                <w:sz w:val="18"/>
                <w:szCs w:val="18"/>
                <w:color w:val="auto"/>
              </w:rPr>
              <w:t>Canada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Canada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Cyprus</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Israel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Israel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Israel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Israel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Israel</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rPr>
              <w:t>United Kingdom</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Amdocs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Philippines</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310"/>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Singapore</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UK</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UK</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India</w:t>
            </w:r>
          </w:p>
        </w:tc>
        <w:tc>
          <w:tcPr>
            <w:tcW w:w="8280" w:type="dxa"/>
            <w:vAlign w:val="bottom"/>
          </w:tcPr>
          <w:p>
            <w:pPr>
              <w:jc w:val="right"/>
              <w:ind w:right="73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type w:val="continuous"/>
        </w:sectPr>
      </w:pPr>
    </w:p>
    <w:bookmarkStart w:id="337" w:name="page338"/>
    <w:bookmarkEnd w:id="3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Vendor Expense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Inc. and Participating Companies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(Updated 1/3/2011)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spending money that is to be reimbursed, vendors must ensure that an AT&amp;T Company (“Company”) receives proper value in return.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Deviations from this VEP </w:t>
      </w:r>
      <w:r>
        <w:rPr>
          <w:rFonts w:ascii="Arial" w:cs="Arial" w:eastAsia="Arial" w:hAnsi="Arial"/>
          <w:sz w:val="18"/>
          <w:szCs w:val="18"/>
          <w:i w:val="1"/>
          <w:iCs w:val="1"/>
          <w:color w:val="auto"/>
        </w:rPr>
        <w:t>must be approved in writing</w:t>
      </w:r>
      <w:r>
        <w:rPr>
          <w:rFonts w:ascii="Arial" w:cs="Arial" w:eastAsia="Arial" w:hAnsi="Arial"/>
          <w:sz w:val="18"/>
          <w:szCs w:val="18"/>
          <w:color w:val="auto"/>
        </w:rPr>
        <w:t xml:space="preserve"> by the sponsoring Senior Manager or Officer of an AT&amp;T Company.</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Employees should refer to the Section entitled “Payments” in the Schedule of Authorizations for Affiliates of AT&amp;T Inc. for appropriate supplier invoice authorization approval levels.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Non-Reimbursable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Break-room supplies for the supplier, such as coffee, creamer, paper products, soft drinks, snack food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Car rental additional fees associated with high speed toll access programs and GPS devices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Lost luggage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suppliers cannot voucher lunch with each other simply to talk about AT&amp;T)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Office expenses of suppliers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PC, cell phone, and other supplier support expenses (unless specifically authorized in the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Phone usage on airline unless AT&amp;T business emergency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1460" w:right="180" w:hanging="547"/>
        <w:spacing w:after="0" w:line="264" w:lineRule="auto"/>
        <w:tabs>
          <w:tab w:leader="none" w:pos="14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Surcharges for providing fast service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related to delivery charges such as Fedex, UPS, etc.). AT&amp;T expects all suppliers to complete the terms of contracts in the shortest period practicable. Charges for shortening the timeframe in which contracts are fulfilled are not permissible.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8" w:lineRule="exact"/>
        <w:rPr>
          <w:sz w:val="20"/>
          <w:szCs w:val="20"/>
          <w:color w:val="auto"/>
        </w:rPr>
      </w:pPr>
    </w:p>
    <w:p>
      <w:pPr>
        <w:ind w:left="1460" w:hanging="547"/>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Tips for housekeeping and 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to 18% of cost of meal or services, excluding tax</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2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Responsibilities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Vendor’s Responsibility</w:t>
      </w:r>
    </w:p>
    <w:p>
      <w:pPr>
        <w:spacing w:after="0" w:line="121" w:lineRule="exact"/>
        <w:rPr>
          <w:sz w:val="20"/>
          <w:szCs w:val="20"/>
          <w:color w:val="auto"/>
        </w:rPr>
      </w:pPr>
    </w:p>
    <w:p>
      <w:pPr>
        <w:ind w:left="1500" w:right="120"/>
        <w:spacing w:after="0" w:line="264" w:lineRule="auto"/>
        <w:rPr>
          <w:sz w:val="20"/>
          <w:szCs w:val="20"/>
          <w:color w:val="auto"/>
        </w:rPr>
      </w:pPr>
      <w:r>
        <w:rPr>
          <w:rFonts w:ascii="Arial" w:cs="Arial" w:eastAsia="Arial" w:hAnsi="Arial"/>
          <w:sz w:val="18"/>
          <w:szCs w:val="18"/>
          <w:color w:val="auto"/>
        </w:rPr>
        <w:t>AT&amp;T’s sponsoring managers will ensure that vendors have been covered on this policy prior to incurring any expenditure. Vendors and their sponsoring AT&amp;T managers are responsible for clarifying any questions or uncertainties they may have relative to reimbursable business expenses.</w:t>
      </w:r>
    </w:p>
    <w:p>
      <w:pPr>
        <w:spacing w:after="0" w:line="69" w:lineRule="exact"/>
        <w:rPr>
          <w:sz w:val="20"/>
          <w:szCs w:val="20"/>
          <w:color w:val="auto"/>
        </w:rPr>
      </w:pPr>
    </w:p>
    <w:p>
      <w:pPr>
        <w:ind w:left="1500" w:right="60"/>
        <w:spacing w:after="0" w:line="314" w:lineRule="auto"/>
        <w:rPr>
          <w:sz w:val="20"/>
          <w:szCs w:val="20"/>
          <w:color w:val="auto"/>
        </w:rPr>
      </w:pPr>
      <w:r>
        <w:rPr>
          <w:rFonts w:ascii="Arial" w:cs="Arial" w:eastAsia="Arial" w:hAnsi="Arial"/>
          <w:sz w:val="16"/>
          <w:szCs w:val="16"/>
          <w:color w:val="auto"/>
        </w:rPr>
        <w:t xml:space="preserve">It is mandatory that financial transactions are recorded in a timely manner. </w:t>
      </w:r>
      <w:r>
        <w:rPr>
          <w:rFonts w:ascii="Arial" w:cs="Arial" w:eastAsia="Arial" w:hAnsi="Arial"/>
          <w:sz w:val="16"/>
          <w:szCs w:val="16"/>
          <w:b w:val="1"/>
          <w:bCs w:val="1"/>
          <w:color w:val="auto"/>
        </w:rPr>
        <w:t>Out-of-pocket business expense(s) for vendors that are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submitted for reimbursement </w:t>
      </w:r>
      <w:r>
        <w:rPr>
          <w:rFonts w:ascii="Arial" w:cs="Arial" w:eastAsia="Arial" w:hAnsi="Arial"/>
          <w:sz w:val="16"/>
          <w:szCs w:val="16"/>
          <w:color w:val="auto"/>
        </w:rPr>
        <w:t>within [**]</w:t>
      </w:r>
      <w:r>
        <w:rPr>
          <w:rFonts w:ascii="Arial" w:cs="Arial" w:eastAsia="Arial" w:hAnsi="Arial"/>
          <w:sz w:val="16"/>
          <w:szCs w:val="16"/>
          <w:b w:val="1"/>
          <w:bCs w:val="1"/>
          <w:color w:val="auto"/>
        </w:rPr>
        <w:t xml:space="preserve"> from the date incurred are considered non-reimbursable. </w:t>
      </w:r>
      <w:r>
        <w:rPr>
          <w:rFonts w:ascii="Arial" w:cs="Arial" w:eastAsia="Arial" w:hAnsi="Arial"/>
          <w:sz w:val="16"/>
          <w:szCs w:val="16"/>
          <w:color w:val="auto"/>
        </w:rPr>
        <w:t>Company managers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approving reimbursable expenses of vendors should ensure they are submitted and approved in a timely manner.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Travel Policy</w:t>
      </w:r>
    </w:p>
    <w:p>
      <w:pPr>
        <w:spacing w:after="0" w:line="121" w:lineRule="exact"/>
        <w:rPr>
          <w:sz w:val="20"/>
          <w:szCs w:val="20"/>
          <w:color w:val="auto"/>
        </w:rPr>
      </w:pPr>
    </w:p>
    <w:p>
      <w:pPr>
        <w:jc w:val="both"/>
        <w:ind w:left="1500" w:right="180"/>
        <w:spacing w:after="0" w:line="342" w:lineRule="auto"/>
        <w:rPr>
          <w:sz w:val="20"/>
          <w:szCs w:val="20"/>
          <w:color w:val="auto"/>
        </w:rPr>
      </w:pPr>
      <w:r>
        <w:rPr>
          <w:rFonts w:ascii="Arial" w:cs="Arial" w:eastAsia="Arial" w:hAnsi="Arial"/>
          <w:sz w:val="16"/>
          <w:szCs w:val="16"/>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16" w:lineRule="exact"/>
        <w:rPr>
          <w:sz w:val="20"/>
          <w:szCs w:val="20"/>
          <w:color w:val="auto"/>
        </w:rPr>
      </w:pPr>
    </w:p>
    <w:p>
      <w:pPr>
        <w:ind w:left="1500" w:right="16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Travel Authorization</w:t>
      </w:r>
    </w:p>
    <w:p>
      <w:pPr>
        <w:spacing w:after="0" w:line="121" w:lineRule="exact"/>
        <w:rPr>
          <w:sz w:val="20"/>
          <w:szCs w:val="20"/>
          <w:color w:val="auto"/>
        </w:rPr>
      </w:pPr>
    </w:p>
    <w:p>
      <w:pPr>
        <w:ind w:left="1500" w:right="34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Manager 3</w:t>
      </w:r>
      <w:r>
        <w:rPr>
          <w:rFonts w:ascii="Arial" w:cs="Arial" w:eastAsia="Arial" w:hAnsi="Arial"/>
          <w:sz w:val="15"/>
          <w:szCs w:val="15"/>
          <w:color w:val="auto"/>
        </w:rPr>
        <w:t>rd</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3.2 Travel Reservations</w:t>
      </w:r>
    </w:p>
    <w:p>
      <w:pPr>
        <w:spacing w:after="0" w:line="121" w:lineRule="exact"/>
        <w:rPr>
          <w:sz w:val="20"/>
          <w:szCs w:val="20"/>
          <w:color w:val="auto"/>
        </w:rPr>
      </w:pPr>
    </w:p>
    <w:p>
      <w:pPr>
        <w:ind w:left="1420" w:right="2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3.3 Travel Expense Reimbursement</w:t>
      </w:r>
    </w:p>
    <w:p>
      <w:pPr>
        <w:spacing w:after="0" w:line="121"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2300" w:hanging="441"/>
        <w:spacing w:after="0"/>
        <w:tabs>
          <w:tab w:leader="none" w:pos="230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Transportation (airfare or other commercial transportation, car rental, personal auto mileage, taxi and shuttle service)</w:t>
      </w:r>
    </w:p>
    <w:p>
      <w:pPr>
        <w:spacing w:after="0" w:line="142" w:lineRule="exact"/>
        <w:rPr>
          <w:rFonts w:ascii="Arial" w:cs="Arial" w:eastAsia="Arial" w:hAnsi="Arial"/>
          <w:sz w:val="17"/>
          <w:szCs w:val="17"/>
          <w:color w:val="auto"/>
        </w:rPr>
      </w:pPr>
    </w:p>
    <w:p>
      <w:pPr>
        <w:ind w:left="2300" w:hanging="441"/>
        <w:spacing w:after="0"/>
        <w:tabs>
          <w:tab w:leader="none" w:pos="23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26" w:lineRule="exact"/>
        <w:rPr>
          <w:rFonts w:ascii="Arial" w:cs="Arial" w:eastAsia="Arial" w:hAnsi="Arial"/>
          <w:sz w:val="18"/>
          <w:szCs w:val="18"/>
          <w:color w:val="auto"/>
        </w:rPr>
      </w:pPr>
    </w:p>
    <w:p>
      <w:pPr>
        <w:ind w:left="2300" w:right="560" w:hanging="441"/>
        <w:spacing w:after="0" w:line="266" w:lineRule="auto"/>
        <w:tabs>
          <w:tab w:leader="none" w:pos="23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72" w:lineRule="exact"/>
        <w:rPr>
          <w:sz w:val="20"/>
          <w:szCs w:val="20"/>
          <w:color w:val="auto"/>
        </w:rPr>
      </w:pPr>
    </w:p>
    <w:p>
      <w:pPr>
        <w:ind w:left="1420" w:right="46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3.4 Air Travel Arrangements</w:t>
      </w:r>
    </w:p>
    <w:p>
      <w:pPr>
        <w:spacing w:after="0" w:line="121" w:lineRule="exact"/>
        <w:rPr>
          <w:sz w:val="20"/>
          <w:szCs w:val="20"/>
          <w:color w:val="auto"/>
        </w:rPr>
      </w:pPr>
    </w:p>
    <w:p>
      <w:pPr>
        <w:jc w:val="both"/>
        <w:ind w:left="1420" w:right="2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travel at all times.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hours providing the relevant manager pre-approves.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3.5 Hotel Arrangements</w:t>
      </w:r>
    </w:p>
    <w:p>
      <w:pPr>
        <w:spacing w:after="0" w:line="117" w:lineRule="exact"/>
        <w:rPr>
          <w:sz w:val="20"/>
          <w:szCs w:val="20"/>
          <w:color w:val="auto"/>
        </w:rPr>
      </w:pPr>
    </w:p>
    <w:p>
      <w:pPr>
        <w:ind w:left="1420" w:right="20"/>
        <w:spacing w:after="0" w:line="292" w:lineRule="auto"/>
        <w:rPr>
          <w:sz w:val="20"/>
          <w:szCs w:val="20"/>
          <w:color w:val="auto"/>
        </w:rPr>
      </w:pPr>
      <w:r>
        <w:rPr>
          <w:rFonts w:ascii="Arial" w:cs="Arial" w:eastAsia="Arial" w:hAnsi="Arial"/>
          <w:sz w:val="16"/>
          <w:szCs w:val="16"/>
          <w:color w:val="auto"/>
        </w:rPr>
        <w:t>AT&amp;T has established Market-Based Room Rate Guideline</w:t>
      </w:r>
      <w:r>
        <w:rPr>
          <w:rFonts w:ascii="Arial" w:cs="Arial" w:eastAsia="Arial" w:hAnsi="Arial"/>
          <w:sz w:val="16"/>
          <w:szCs w:val="16"/>
          <w:b w:val="1"/>
          <w:bCs w:val="1"/>
          <w:color w:val="auto"/>
        </w:rPr>
        <w:t>s</w:t>
      </w:r>
      <w:r>
        <w:rPr>
          <w:rFonts w:ascii="Arial" w:cs="Arial" w:eastAsia="Arial" w:hAnsi="Arial"/>
          <w:sz w:val="16"/>
          <w:szCs w:val="16"/>
          <w:color w:val="auto"/>
        </w:rPr>
        <w:t xml:space="preserve"> for vendors to reference when making hotel reservations in the United States (see Addendum A). U.S. vendors traveling outside the U.S. should reference the GSA, Government Per Diem as a guide: </w:t>
      </w:r>
      <w:r>
        <w:rPr>
          <w:rFonts w:ascii="Arial" w:cs="Arial" w:eastAsia="Arial" w:hAnsi="Arial"/>
          <w:sz w:val="16"/>
          <w:szCs w:val="16"/>
          <w:u w:val="single" w:color="auto"/>
          <w:color w:val="auto"/>
        </w:rPr>
        <w:t>http://aoprals.state.gov/web920/per_diem.asp</w:t>
      </w:r>
      <w:r>
        <w:rPr>
          <w:rFonts w:ascii="Arial" w:cs="Arial" w:eastAsia="Arial" w:hAnsi="Arial"/>
          <w:sz w:val="16"/>
          <w:szCs w:val="16"/>
          <w:color w:val="auto"/>
        </w:rPr>
        <w:t>.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supplier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274" w:right="239" w:bottom="1440" w:gutter="0" w:footer="0" w:header="0"/>
        </w:sectPr>
      </w:pPr>
    </w:p>
    <w:bookmarkStart w:id="341" w:name="page342"/>
    <w:bookmarkEnd w:id="34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02026713.A.016</w:t>
      </w:r>
    </w:p>
    <w:p>
      <w:pPr>
        <w:spacing w:after="0" w:line="181" w:lineRule="exact"/>
        <w:rPr>
          <w:sz w:val="20"/>
          <w:szCs w:val="20"/>
          <w:color w:val="auto"/>
        </w:rPr>
      </w:pPr>
    </w:p>
    <w:p>
      <w:pPr>
        <w:ind w:left="1420" w:right="740"/>
        <w:spacing w:after="0" w:line="277" w:lineRule="auto"/>
        <w:rPr>
          <w:sz w:val="20"/>
          <w:szCs w:val="20"/>
          <w:color w:val="auto"/>
        </w:rPr>
      </w:pPr>
      <w:r>
        <w:rPr>
          <w:rFonts w:ascii="Arial" w:cs="Arial" w:eastAsia="Arial" w:hAnsi="Arial"/>
          <w:sz w:val="18"/>
          <w:szCs w:val="18"/>
          <w:color w:val="auto"/>
        </w:rPr>
        <w:t xml:space="preserve">There must be a </w:t>
      </w:r>
      <w:r>
        <w:rPr>
          <w:rFonts w:ascii="Arial" w:cs="Arial" w:eastAsia="Arial" w:hAnsi="Arial"/>
          <w:sz w:val="18"/>
          <w:szCs w:val="18"/>
          <w:u w:val="single" w:color="auto"/>
          <w:color w:val="auto"/>
        </w:rPr>
        <w:t>strong</w:t>
      </w:r>
      <w:r>
        <w:rPr>
          <w:rFonts w:ascii="Arial" w:cs="Arial" w:eastAsia="Arial" w:hAnsi="Arial"/>
          <w:sz w:val="18"/>
          <w:szCs w:val="18"/>
          <w:color w:val="auto"/>
        </w:rPr>
        <w:t xml:space="preserve"> business justification for incurring any cost for internet access, and a request for reimbursement must be accompanied by a detailed explanation regarding reason for charge.</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color w:val="auto"/>
        </w:rPr>
        <w:t>: Vendors must indicate the number of room nights on the transaction line when invoicing for reimbursement of hotel expenses.</w:t>
      </w:r>
    </w:p>
    <w:p>
      <w:pPr>
        <w:spacing w:after="0" w:line="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Copies of all hotel bills must be made available for any invoice containing lodging charges.</w:t>
      </w:r>
    </w:p>
    <w:p>
      <w:pPr>
        <w:spacing w:after="0" w:line="3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3.6 Ground Transportation</w:t>
      </w:r>
    </w:p>
    <w:p>
      <w:pPr>
        <w:spacing w:after="0" w:line="121"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79" w:lineRule="exact"/>
        <w:rPr>
          <w:sz w:val="20"/>
          <w:szCs w:val="20"/>
          <w:color w:val="auto"/>
        </w:rPr>
      </w:pPr>
    </w:p>
    <w:p>
      <w:pPr>
        <w:ind w:left="142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w:t>
      </w:r>
    </w:p>
    <w:p>
      <w:pPr>
        <w:spacing w:after="0" w:line="62" w:lineRule="exact"/>
        <w:rPr>
          <w:sz w:val="20"/>
          <w:szCs w:val="20"/>
          <w:color w:val="auto"/>
        </w:rPr>
      </w:pPr>
    </w:p>
    <w:p>
      <w:pPr>
        <w:ind w:left="1420" w:right="660"/>
        <w:spacing w:after="0" w:line="277" w:lineRule="auto"/>
        <w:rPr>
          <w:sz w:val="20"/>
          <w:szCs w:val="20"/>
          <w:color w:val="auto"/>
        </w:rPr>
      </w:pPr>
      <w:r>
        <w:rPr>
          <w:rFonts w:ascii="Arial" w:cs="Arial" w:eastAsia="Arial" w:hAnsi="Arial"/>
          <w:sz w:val="18"/>
          <w:szCs w:val="18"/>
          <w:color w:val="auto"/>
        </w:rPr>
        <w:t>Rental cars should be refueled before returning to the rental company, since gas purchased through the rental company carries an expensive refueling service charge.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3.7 Use of Personal Vehicle</w:t>
      </w:r>
    </w:p>
    <w:p>
      <w:pPr>
        <w:spacing w:after="0" w:line="121" w:lineRule="exact"/>
        <w:rPr>
          <w:sz w:val="20"/>
          <w:szCs w:val="20"/>
          <w:color w:val="auto"/>
        </w:rPr>
      </w:pPr>
    </w:p>
    <w:p>
      <w:pPr>
        <w:ind w:left="1420" w:right="260"/>
        <w:spacing w:after="0" w:line="277" w:lineRule="auto"/>
        <w:rPr>
          <w:sz w:val="20"/>
          <w:szCs w:val="20"/>
          <w:color w:val="auto"/>
        </w:rPr>
      </w:pPr>
      <w:r>
        <w:rPr>
          <w:rFonts w:ascii="Arial" w:cs="Arial" w:eastAsia="Arial" w:hAnsi="Arial"/>
          <w:sz w:val="18"/>
          <w:szCs w:val="18"/>
          <w:color w:val="auto"/>
        </w:rPr>
        <w:t>When use of personal vehicle is required, the current locally approved mileage rate for miles driven for the business portion of the trip should be the maximum used to determine the amount to be reimbursed.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3.8 Parking</w:t>
      </w:r>
    </w:p>
    <w:p>
      <w:pPr>
        <w:spacing w:after="0" w:line="121" w:lineRule="exact"/>
        <w:rPr>
          <w:sz w:val="20"/>
          <w:szCs w:val="20"/>
          <w:color w:val="auto"/>
        </w:rPr>
      </w:pPr>
    </w:p>
    <w:p>
      <w:pPr>
        <w:ind w:left="1420" w:right="4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3.9 Entertainment</w:t>
      </w:r>
    </w:p>
    <w:p>
      <w:pPr>
        <w:spacing w:after="0" w:line="121" w:lineRule="exact"/>
        <w:rPr>
          <w:sz w:val="20"/>
          <w:szCs w:val="20"/>
          <w:color w:val="auto"/>
        </w:rPr>
      </w:pPr>
    </w:p>
    <w:p>
      <w:pPr>
        <w:ind w:left="1420" w:right="2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1420" w:right="600"/>
        <w:spacing w:after="0" w:line="282" w:lineRule="auto"/>
        <w:rPr>
          <w:sz w:val="20"/>
          <w:szCs w:val="20"/>
          <w:color w:val="auto"/>
        </w:rPr>
      </w:pPr>
      <w:r>
        <w:rPr>
          <w:rFonts w:ascii="Arial" w:cs="Arial" w:eastAsia="Arial" w:hAnsi="Arial"/>
          <w:sz w:val="18"/>
          <w:szCs w:val="18"/>
          <w:color w:val="auto"/>
        </w:rPr>
        <w:t xml:space="preserve">Reasonable laundry charges during business trips of seven or more </w:t>
      </w:r>
      <w:r>
        <w:rPr>
          <w:rFonts w:ascii="Arial" w:cs="Arial" w:eastAsia="Arial" w:hAnsi="Arial"/>
          <w:sz w:val="18"/>
          <w:szCs w:val="18"/>
          <w:b w:val="1"/>
          <w:bCs w:val="1"/>
          <w:color w:val="auto"/>
        </w:rPr>
        <w:t>consecutive</w:t>
      </w:r>
      <w:r>
        <w:rPr>
          <w:rFonts w:ascii="Arial" w:cs="Arial" w:eastAsia="Arial" w:hAnsi="Arial"/>
          <w:sz w:val="18"/>
          <w:szCs w:val="18"/>
          <w:color w:val="auto"/>
        </w:rPr>
        <w:t xml:space="preserve"> nights are reimbursable based on actual expenses incurred.</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274"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3.11 Communications</w:t>
      </w:r>
    </w:p>
    <w:p>
      <w:pPr>
        <w:spacing w:after="0" w:line="135" w:lineRule="exact"/>
        <w:rPr>
          <w:sz w:val="20"/>
          <w:szCs w:val="20"/>
          <w:color w:val="auto"/>
        </w:rPr>
      </w:pPr>
    </w:p>
    <w:p>
      <w:pPr>
        <w:ind w:left="2300" w:right="160" w:hanging="441"/>
        <w:spacing w:after="0" w:line="277" w:lineRule="auto"/>
        <w:tabs>
          <w:tab w:leader="none" w:pos="2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actual cost of landline telephone calls for AT&amp;T business is reimbursable. The use of AT&amp;T products is required when available.</w:t>
      </w:r>
    </w:p>
    <w:p>
      <w:pPr>
        <w:spacing w:after="0" w:line="75" w:lineRule="exact"/>
        <w:rPr>
          <w:rFonts w:ascii="Arial" w:cs="Arial" w:eastAsia="Arial" w:hAnsi="Arial"/>
          <w:sz w:val="18"/>
          <w:szCs w:val="18"/>
          <w:color w:val="auto"/>
        </w:rPr>
      </w:pPr>
    </w:p>
    <w:p>
      <w:pPr>
        <w:ind w:left="2300" w:right="520" w:hanging="441"/>
        <w:spacing w:after="0" w:line="264" w:lineRule="auto"/>
        <w:tabs>
          <w:tab w:leader="none" w:pos="2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86" w:lineRule="exact"/>
        <w:rPr>
          <w:rFonts w:ascii="Arial" w:cs="Arial" w:eastAsia="Arial" w:hAnsi="Arial"/>
          <w:sz w:val="18"/>
          <w:szCs w:val="18"/>
          <w:color w:val="auto"/>
        </w:rPr>
      </w:pPr>
    </w:p>
    <w:p>
      <w:pPr>
        <w:ind w:left="2300" w:hanging="441"/>
        <w:spacing w:after="0"/>
        <w:tabs>
          <w:tab w:leader="none" w:pos="2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1420" w:right="240"/>
        <w:spacing w:after="0" w:line="255" w:lineRule="auto"/>
        <w:rPr>
          <w:sz w:val="20"/>
          <w:szCs w:val="20"/>
          <w:color w:val="auto"/>
        </w:rPr>
      </w:pPr>
      <w:r>
        <w:rPr>
          <w:rFonts w:ascii="Arial" w:cs="Arial" w:eastAsia="Arial" w:hAnsi="Arial"/>
          <w:sz w:val="18"/>
          <w:szCs w:val="18"/>
          <w:color w:val="auto"/>
        </w:rPr>
        <w:t>Vendors are expected to find reasonably priced dining alternatives. As a general rule, vendors are expected to spend [**] (or local currency equivalent) inclusive of tax and gratuity or to abide by the legally specified per diem applicable in the Vendor’s country.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85"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1420" w:right="120"/>
        <w:spacing w:after="0" w:line="342" w:lineRule="auto"/>
        <w:rPr>
          <w:sz w:val="20"/>
          <w:szCs w:val="20"/>
          <w:color w:val="auto"/>
        </w:rPr>
      </w:pPr>
      <w:r>
        <w:rPr>
          <w:rFonts w:ascii="Arial" w:cs="Arial" w:eastAsia="Arial" w:hAnsi="Arial"/>
          <w:sz w:val="16"/>
          <w:szCs w:val="16"/>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The Company assumes no responsibility for loss or damage to a vendor’s personal property during business functions or hours.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27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U.S. 2011 Hotel Room Rate Only Guidelines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This Chart applies to the U.S. locations. For Travel outside of the U.S., travelers should exercise prudent judgment and select reasonably priced hotels, based on local market conditions. Employees traveling outside the U.S. should reference the GSA, Government Per Diems as a guide. </w:t>
      </w:r>
      <w:r>
        <w:rPr>
          <w:rFonts w:ascii="Arial" w:cs="Arial" w:eastAsia="Arial" w:hAnsi="Arial"/>
          <w:sz w:val="18"/>
          <w:szCs w:val="18"/>
          <w:u w:val="single" w:color="auto"/>
          <w:color w:val="auto"/>
        </w:rPr>
        <w:t>http://aoprals.state.gov/web920/per_diem.asp</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***U.S. Cities not listed on this Hotel Room Rate Only Guideline Matrix, default to [**] nightly rate. On occasion an AT&amp;T Preferred Property may exceed the rate guideline for a season (s) </w:t>
      </w:r>
      <w:r>
        <w:rPr>
          <w:rFonts w:ascii="Arial" w:cs="Arial" w:eastAsia="Arial" w:hAnsi="Arial"/>
          <w:sz w:val="18"/>
          <w:szCs w:val="18"/>
          <w:i w:val="1"/>
          <w:iCs w:val="1"/>
          <w:color w:val="auto"/>
        </w:rPr>
        <w:t>or</w:t>
      </w:r>
      <w:r>
        <w:rPr>
          <w:rFonts w:ascii="Arial" w:cs="Arial" w:eastAsia="Arial" w:hAnsi="Arial"/>
          <w:sz w:val="18"/>
          <w:szCs w:val="18"/>
          <w:color w:val="auto"/>
        </w:rPr>
        <w:t xml:space="preserve"> particular city, but has been added due to demand within the market. However, if an alternate Preferred Property within the guideline is offered it should be accepted when available. You may select the Preferred Property that is over the Guideline if it is the option that is available, selecting the appropriate reason code.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St</w:t>
            </w: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w:t>
            </w: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4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City</w:t>
            </w: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w:t>
            </w: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2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Guideline</w:t>
            </w:r>
          </w:p>
        </w:tc>
        <w:tc>
          <w:tcPr>
            <w:tcW w:w="242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Guideline</w:t>
            </w:r>
          </w:p>
        </w:tc>
        <w:tc>
          <w:tcPr>
            <w:tcW w:w="248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Guideline</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Anchorage</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AK</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Plantation</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Edison</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NJ</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Fairbanks</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Port St. Lucie</w:t>
            </w:r>
          </w:p>
        </w:tc>
        <w:tc>
          <w:tcPr>
            <w:tcW w:w="480" w:type="dxa"/>
            <w:vAlign w:val="bottom"/>
            <w:gridSpan w:val="2"/>
          </w:tcPr>
          <w:p>
            <w:pPr>
              <w:spacing w:after="0"/>
              <w:rPr>
                <w:sz w:val="20"/>
                <w:szCs w:val="20"/>
                <w:color w:val="auto"/>
              </w:rPr>
            </w:pPr>
            <w:r>
              <w:rPr>
                <w:rFonts w:ascii="Arial" w:cs="Arial" w:eastAsia="Arial" w:hAnsi="Arial"/>
                <w:sz w:val="18"/>
                <w:szCs w:val="18"/>
                <w:color w:val="auto"/>
              </w:rPr>
              <w:t>FL</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Elizabeth</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Glennallen</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Augustine</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Fair Lawn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Ketchikan</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Sarasota</w:t>
            </w:r>
          </w:p>
        </w:tc>
        <w:tc>
          <w:tcPr>
            <w:tcW w:w="480" w:type="dxa"/>
            <w:vAlign w:val="bottom"/>
            <w:gridSpan w:val="2"/>
          </w:tcPr>
          <w:p>
            <w:pPr>
              <w:spacing w:after="0"/>
              <w:rPr>
                <w:sz w:val="20"/>
                <w:szCs w:val="20"/>
                <w:color w:val="auto"/>
              </w:rPr>
            </w:pPr>
            <w:r>
              <w:rPr>
                <w:rFonts w:ascii="Arial" w:cs="Arial" w:eastAsia="Arial" w:hAnsi="Arial"/>
                <w:sz w:val="18"/>
                <w:szCs w:val="18"/>
                <w:color w:val="auto"/>
              </w:rPr>
              <w:t>FL</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Florham Park</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Kodiak</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Iselin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Birmingham</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Tallahassee</w:t>
            </w:r>
          </w:p>
        </w:tc>
        <w:tc>
          <w:tcPr>
            <w:tcW w:w="480" w:type="dxa"/>
            <w:vAlign w:val="bottom"/>
            <w:gridSpan w:val="2"/>
          </w:tcPr>
          <w:p>
            <w:pPr>
              <w:spacing w:after="0"/>
              <w:rPr>
                <w:sz w:val="20"/>
                <w:szCs w:val="20"/>
                <w:color w:val="auto"/>
              </w:rPr>
            </w:pPr>
            <w:r>
              <w:rPr>
                <w:rFonts w:ascii="Arial" w:cs="Arial" w:eastAsia="Arial" w:hAnsi="Arial"/>
                <w:sz w:val="18"/>
                <w:szCs w:val="18"/>
                <w:color w:val="auto"/>
              </w:rPr>
              <w:t>FL</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Mahwah</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Decatur</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Tamarac</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Manahawkin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Florence</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Tampa</w:t>
            </w:r>
          </w:p>
        </w:tc>
        <w:tc>
          <w:tcPr>
            <w:tcW w:w="480" w:type="dxa"/>
            <w:vAlign w:val="bottom"/>
            <w:gridSpan w:val="2"/>
          </w:tcPr>
          <w:p>
            <w:pPr>
              <w:spacing w:after="0"/>
              <w:rPr>
                <w:sz w:val="20"/>
                <w:szCs w:val="20"/>
                <w:color w:val="auto"/>
              </w:rPr>
            </w:pPr>
            <w:r>
              <w:rPr>
                <w:rFonts w:ascii="Arial" w:cs="Arial" w:eastAsia="Arial" w:hAnsi="Arial"/>
                <w:sz w:val="18"/>
                <w:szCs w:val="18"/>
                <w:color w:val="auto"/>
              </w:rPr>
              <w:t>FL</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Morristown</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Hoover</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Palm Beach</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Newark</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Huntsville</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Alpharetta</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Paramus</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Montgomery</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Parsippany</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Mobile</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Augusta</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Piscataway</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Tuscaloosa</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Brunswick</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Princeton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Bryant</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Carrollton</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Ramsey</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Dorado</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Red Bank</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Fayetteville</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Dublin</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Saddle Brook</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Smith</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Duluth</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Saddle River</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Hardy</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Dunwoody</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Short Hills</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Little Rock</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Griffin</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Somerset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Mountain Home</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Lawrenceville</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Teaneck</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Littlerock</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Lithia Springs</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Tinton Falls</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Pine Bluff</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Norcross</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Warren</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Rogers</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Peachtree City</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West Orange</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Russellville</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Savannah</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Whippany</w:t>
            </w:r>
          </w:p>
        </w:tc>
        <w:tc>
          <w:tcPr>
            <w:tcW w:w="500" w:type="dxa"/>
            <w:vAlign w:val="bottom"/>
            <w:gridSpan w:val="2"/>
          </w:tcPr>
          <w:p>
            <w:pPr>
              <w:spacing w:after="0"/>
              <w:rPr>
                <w:sz w:val="20"/>
                <w:szCs w:val="20"/>
                <w:color w:val="auto"/>
              </w:rPr>
            </w:pPr>
            <w:r>
              <w:rPr>
                <w:rFonts w:ascii="Arial" w:cs="Arial" w:eastAsia="Arial" w:hAnsi="Arial"/>
                <w:sz w:val="18"/>
                <w:szCs w:val="18"/>
                <w:color w:val="auto"/>
              </w:rPr>
              <w:t>NJ</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Springdale</w:t>
            </w:r>
          </w:p>
        </w:tc>
        <w:tc>
          <w:tcPr>
            <w:tcW w:w="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Roswell</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Woodcliff Lake</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VanBuren</w:t>
            </w:r>
          </w:p>
        </w:tc>
        <w:tc>
          <w:tcPr>
            <w:tcW w:w="480" w:type="dxa"/>
            <w:vAlign w:val="bottom"/>
            <w:gridSpan w:val="2"/>
          </w:tcPr>
          <w:p>
            <w:pPr>
              <w:jc w:val="center"/>
              <w:ind w:right="220"/>
              <w:spacing w:after="0"/>
              <w:rPr>
                <w:sz w:val="20"/>
                <w:szCs w:val="20"/>
                <w:color w:val="auto"/>
              </w:rPr>
            </w:pPr>
            <w:r>
              <w:rPr>
                <w:rFonts w:ascii="Arial" w:cs="Arial" w:eastAsia="Arial" w:hAnsi="Arial"/>
                <w:sz w:val="18"/>
                <w:szCs w:val="18"/>
                <w:color w:val="auto"/>
              </w:rPr>
              <w: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Tifton</w:t>
            </w:r>
          </w:p>
        </w:tc>
        <w:tc>
          <w:tcPr>
            <w:tcW w:w="480" w:type="dxa"/>
            <w:vAlign w:val="bottom"/>
            <w:gridSpan w:val="2"/>
          </w:tcPr>
          <w:p>
            <w:pPr>
              <w:spacing w:after="0"/>
              <w:rPr>
                <w:sz w:val="20"/>
                <w:szCs w:val="20"/>
                <w:color w:val="auto"/>
              </w:rPr>
            </w:pPr>
            <w:r>
              <w:rPr>
                <w:rFonts w:ascii="Arial" w:cs="Arial" w:eastAsia="Arial" w:hAnsi="Arial"/>
                <w:sz w:val="18"/>
                <w:szCs w:val="18"/>
                <w:color w:val="auto"/>
              </w:rPr>
              <w:t>GA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Albuquerque</w:t>
            </w:r>
          </w:p>
        </w:tc>
        <w:tc>
          <w:tcPr>
            <w:tcW w:w="500" w:type="dxa"/>
            <w:vAlign w:val="bottom"/>
            <w:gridSpan w:val="2"/>
          </w:tcPr>
          <w:p>
            <w:pPr>
              <w:spacing w:after="0"/>
              <w:rPr>
                <w:sz w:val="20"/>
                <w:szCs w:val="20"/>
                <w:color w:val="auto"/>
              </w:rPr>
            </w:pPr>
            <w:r>
              <w:rPr>
                <w:rFonts w:ascii="Arial" w:cs="Arial" w:eastAsia="Arial" w:hAnsi="Arial"/>
                <w:sz w:val="18"/>
                <w:szCs w:val="18"/>
                <w:color w:val="auto"/>
              </w:rPr>
              <w:t>NM</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Honolulu</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Henderson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NV</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Mesa</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Kailua Kona</w:t>
            </w:r>
          </w:p>
        </w:tc>
        <w:tc>
          <w:tcPr>
            <w:tcW w:w="480" w:type="dxa"/>
            <w:vAlign w:val="bottom"/>
            <w:gridSpan w:val="2"/>
          </w:tcPr>
          <w:p>
            <w:pPr>
              <w:spacing w:after="0"/>
              <w:rPr>
                <w:sz w:val="20"/>
                <w:szCs w:val="20"/>
                <w:color w:val="auto"/>
              </w:rPr>
            </w:pPr>
            <w:r>
              <w:rPr>
                <w:rFonts w:ascii="Arial" w:cs="Arial" w:eastAsia="Arial" w:hAnsi="Arial"/>
                <w:sz w:val="18"/>
                <w:szCs w:val="18"/>
                <w:color w:val="auto"/>
              </w:rPr>
              <w:t>HI</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Las Vegas</w:t>
            </w:r>
          </w:p>
        </w:tc>
        <w:tc>
          <w:tcPr>
            <w:tcW w:w="500" w:type="dxa"/>
            <w:vAlign w:val="bottom"/>
            <w:gridSpan w:val="2"/>
          </w:tcPr>
          <w:p>
            <w:pPr>
              <w:spacing w:after="0"/>
              <w:rPr>
                <w:sz w:val="20"/>
                <w:szCs w:val="20"/>
                <w:color w:val="auto"/>
              </w:rPr>
            </w:pPr>
            <w:r>
              <w:rPr>
                <w:rFonts w:ascii="Arial" w:cs="Arial" w:eastAsia="Arial" w:hAnsi="Arial"/>
                <w:sz w:val="18"/>
                <w:szCs w:val="18"/>
                <w:color w:val="auto"/>
              </w:rPr>
              <w:t>NV</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Kihei</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Pahrump</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NV</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Rio Rico</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Waikoloa</w:t>
            </w:r>
          </w:p>
        </w:tc>
        <w:tc>
          <w:tcPr>
            <w:tcW w:w="480" w:type="dxa"/>
            <w:vAlign w:val="bottom"/>
            <w:gridSpan w:val="2"/>
          </w:tcPr>
          <w:p>
            <w:pPr>
              <w:spacing w:after="0"/>
              <w:rPr>
                <w:sz w:val="20"/>
                <w:szCs w:val="20"/>
                <w:color w:val="auto"/>
              </w:rPr>
            </w:pPr>
            <w:r>
              <w:rPr>
                <w:rFonts w:ascii="Arial" w:cs="Arial" w:eastAsia="Arial" w:hAnsi="Arial"/>
                <w:sz w:val="18"/>
                <w:szCs w:val="18"/>
                <w:color w:val="auto"/>
              </w:rPr>
              <w:t>HI</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Albany</w:t>
            </w:r>
          </w:p>
        </w:tc>
        <w:tc>
          <w:tcPr>
            <w:tcW w:w="50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Scottsdale</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Desmoines</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Brooklyn</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Tempe</w:t>
            </w:r>
          </w:p>
        </w:tc>
        <w:tc>
          <w:tcPr>
            <w:tcW w:w="480" w:type="dxa"/>
            <w:vAlign w:val="bottom"/>
            <w:gridSpan w:val="2"/>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Johnston</w:t>
            </w:r>
          </w:p>
        </w:tc>
        <w:tc>
          <w:tcPr>
            <w:tcW w:w="480" w:type="dxa"/>
            <w:vAlign w:val="bottom"/>
            <w:gridSpan w:val="2"/>
          </w:tcPr>
          <w:p>
            <w:pPr>
              <w:spacing w:after="0"/>
              <w:rPr>
                <w:sz w:val="20"/>
                <w:szCs w:val="20"/>
                <w:color w:val="auto"/>
              </w:rPr>
            </w:pPr>
            <w:r>
              <w:rPr>
                <w:rFonts w:ascii="Arial" w:cs="Arial" w:eastAsia="Arial" w:hAnsi="Arial"/>
                <w:sz w:val="18"/>
                <w:szCs w:val="18"/>
                <w:color w:val="auto"/>
              </w:rPr>
              <w:t>IA</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tcPr>
          <w:p>
            <w:pPr>
              <w:ind w:left="160"/>
              <w:spacing w:after="0"/>
              <w:rPr>
                <w:sz w:val="20"/>
                <w:szCs w:val="20"/>
                <w:color w:val="auto"/>
              </w:rPr>
            </w:pPr>
            <w:r>
              <w:rPr>
                <w:rFonts w:ascii="Arial" w:cs="Arial" w:eastAsia="Arial" w:hAnsi="Arial"/>
                <w:sz w:val="18"/>
                <w:szCs w:val="18"/>
                <w:color w:val="auto"/>
              </w:rPr>
              <w:t>Cheektowaga</w:t>
            </w:r>
          </w:p>
        </w:tc>
        <w:tc>
          <w:tcPr>
            <w:tcW w:w="500" w:type="dxa"/>
            <w:vAlign w:val="bottom"/>
            <w:gridSpan w:val="2"/>
          </w:tcPr>
          <w:p>
            <w:pPr>
              <w:spacing w:after="0"/>
              <w:rPr>
                <w:sz w:val="20"/>
                <w:szCs w:val="20"/>
                <w:color w:val="auto"/>
              </w:rPr>
            </w:pPr>
            <w:r>
              <w:rPr>
                <w:rFonts w:ascii="Arial" w:cs="Arial" w:eastAsia="Arial" w:hAnsi="Arial"/>
                <w:sz w:val="18"/>
                <w:szCs w:val="18"/>
                <w:color w:val="auto"/>
              </w:rPr>
              <w:t>NY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Tucson</w:t>
            </w:r>
          </w:p>
        </w:tc>
        <w:tc>
          <w:tcPr>
            <w:tcW w:w="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AZ</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Urbandale</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Fishkill</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80" w:type="dxa"/>
            <w:vAlign w:val="bottom"/>
            <w:gridSpan w:val="3"/>
          </w:tcPr>
          <w:p>
            <w:pPr>
              <w:ind w:left="1000"/>
              <w:spacing w:after="0"/>
              <w:rPr>
                <w:sz w:val="20"/>
                <w:szCs w:val="20"/>
                <w:color w:val="auto"/>
              </w:rPr>
            </w:pPr>
            <w:r>
              <w:rPr>
                <w:rFonts w:ascii="Arial" w:cs="Arial" w:eastAsia="Arial" w:hAnsi="Arial"/>
                <w:sz w:val="18"/>
                <w:szCs w:val="18"/>
                <w:color w:val="auto"/>
                <w:w w:val="90"/>
              </w:rPr>
              <w:t>Agreement Number 02026713.A.016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Yuma</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AZ</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Ammon</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Jamaica</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Anaheim</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Idaho Falls</w:t>
            </w:r>
          </w:p>
        </w:tc>
        <w:tc>
          <w:tcPr>
            <w:tcW w:w="1080" w:type="dxa"/>
            <w:vAlign w:val="bottom"/>
          </w:tcPr>
          <w:p>
            <w:pPr>
              <w:ind w:left="760"/>
              <w:spacing w:after="0"/>
              <w:rPr>
                <w:sz w:val="20"/>
                <w:szCs w:val="20"/>
                <w:color w:val="auto"/>
              </w:rPr>
            </w:pPr>
            <w:r>
              <w:rPr>
                <w:rFonts w:ascii="Arial" w:cs="Arial" w:eastAsia="Arial" w:hAnsi="Arial"/>
                <w:sz w:val="18"/>
                <w:szCs w:val="18"/>
                <w:color w:val="auto"/>
              </w:rPr>
              <w:t>ID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New York</w:t>
            </w:r>
          </w:p>
        </w:tc>
        <w:tc>
          <w:tcPr>
            <w:tcW w:w="1120" w:type="dxa"/>
            <w:vAlign w:val="bottom"/>
          </w:tcPr>
          <w:p>
            <w:pPr>
              <w:ind w:left="760"/>
              <w:spacing w:after="0"/>
              <w:rPr>
                <w:sz w:val="20"/>
                <w:szCs w:val="20"/>
                <w:color w:val="auto"/>
              </w:rPr>
            </w:pPr>
            <w:r>
              <w:rPr>
                <w:rFonts w:ascii="Arial" w:cs="Arial" w:eastAsia="Arial" w:hAnsi="Arial"/>
                <w:sz w:val="18"/>
                <w:szCs w:val="18"/>
                <w:color w:val="auto"/>
              </w:rPr>
              <w:t>NY</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Buena Park</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Alsip</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Plainview</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Burbank</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Arlington Heights</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Rochester</w:t>
            </w:r>
          </w:p>
        </w:tc>
        <w:tc>
          <w:tcPr>
            <w:tcW w:w="1120" w:type="dxa"/>
            <w:vAlign w:val="bottom"/>
          </w:tcPr>
          <w:p>
            <w:pPr>
              <w:ind w:left="760"/>
              <w:spacing w:after="0"/>
              <w:rPr>
                <w:sz w:val="20"/>
                <w:szCs w:val="20"/>
                <w:color w:val="auto"/>
              </w:rPr>
            </w:pPr>
            <w:r>
              <w:rPr>
                <w:rFonts w:ascii="Arial" w:cs="Arial" w:eastAsia="Arial" w:hAnsi="Arial"/>
                <w:sz w:val="18"/>
                <w:szCs w:val="18"/>
                <w:color w:val="auto"/>
              </w:rPr>
              <w:t>NY</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Burlingame</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Barrington</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Rockville Center</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Carlsbad</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Bedford Park</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Syracuse</w:t>
            </w:r>
          </w:p>
        </w:tc>
        <w:tc>
          <w:tcPr>
            <w:tcW w:w="1120" w:type="dxa"/>
            <w:vAlign w:val="bottom"/>
          </w:tcPr>
          <w:p>
            <w:pPr>
              <w:ind w:left="760"/>
              <w:spacing w:after="0"/>
              <w:rPr>
                <w:sz w:val="20"/>
                <w:szCs w:val="20"/>
                <w:color w:val="auto"/>
              </w:rPr>
            </w:pPr>
            <w:r>
              <w:rPr>
                <w:rFonts w:ascii="Arial" w:cs="Arial" w:eastAsia="Arial" w:hAnsi="Arial"/>
                <w:sz w:val="18"/>
                <w:szCs w:val="18"/>
                <w:color w:val="auto"/>
              </w:rPr>
              <w:t>NY</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Cerritos</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Bourbonnais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Tarrytown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Chico</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Champaign</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Vestal</w:t>
            </w:r>
          </w:p>
        </w:tc>
        <w:tc>
          <w:tcPr>
            <w:tcW w:w="1120" w:type="dxa"/>
            <w:vAlign w:val="bottom"/>
          </w:tcPr>
          <w:p>
            <w:pPr>
              <w:ind w:left="760"/>
              <w:spacing w:after="0"/>
              <w:rPr>
                <w:sz w:val="20"/>
                <w:szCs w:val="20"/>
                <w:color w:val="auto"/>
              </w:rPr>
            </w:pPr>
            <w:r>
              <w:rPr>
                <w:rFonts w:ascii="Arial" w:cs="Arial" w:eastAsia="Arial" w:hAnsi="Arial"/>
                <w:sz w:val="18"/>
                <w:szCs w:val="18"/>
                <w:color w:val="auto"/>
              </w:rPr>
              <w:t>NY</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City of Industry</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Chicago</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Harrison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Clovis</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Danville</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White Plains</w:t>
            </w:r>
          </w:p>
        </w:tc>
        <w:tc>
          <w:tcPr>
            <w:tcW w:w="1120" w:type="dxa"/>
            <w:vAlign w:val="bottom"/>
          </w:tcPr>
          <w:p>
            <w:pPr>
              <w:ind w:left="760"/>
              <w:spacing w:after="0"/>
              <w:rPr>
                <w:sz w:val="20"/>
                <w:szCs w:val="20"/>
                <w:color w:val="auto"/>
              </w:rPr>
            </w:pPr>
            <w:r>
              <w:rPr>
                <w:rFonts w:ascii="Arial" w:cs="Arial" w:eastAsia="Arial" w:hAnsi="Arial"/>
                <w:sz w:val="18"/>
                <w:szCs w:val="18"/>
                <w:color w:val="auto"/>
              </w:rPr>
              <w:t>NY</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Concord</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Des Plaines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Woodbury</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NY</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Coronado</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Downers Grove</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Beachwood</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Costa Mesa</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Elk Grove</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Boardman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Cupertino</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Elmhurst</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Centerville</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Del Mar</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Fairview Heights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Cleveland</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Dublin</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Gurnee</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Columbus</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El Segundo</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Hoffman Estates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Dayton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Emeryville</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Lincolnshire</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Dublin</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Escondido</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Lisle</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Fairborn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Eureka</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Lombard</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Independence</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Garden Grove</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Naperville</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Mayfield Village</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Glendale (North)</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Northbrook</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North Olmsted</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Hawthorne</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Oakbrook</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Orange Village</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Hayward</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Ofallon</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Perrysburg</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Hollywood</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Palatine</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Poland</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Irvine</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Rockford</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Reynoldsburg</w:t>
            </w:r>
          </w:p>
        </w:tc>
        <w:tc>
          <w:tcPr>
            <w:tcW w:w="1120" w:type="dxa"/>
            <w:vAlign w:val="bottom"/>
          </w:tcPr>
          <w:p>
            <w:pPr>
              <w:ind w:left="760"/>
              <w:spacing w:after="0"/>
              <w:rPr>
                <w:sz w:val="20"/>
                <w:szCs w:val="20"/>
                <w:color w:val="auto"/>
              </w:rPr>
            </w:pPr>
            <w:r>
              <w:rPr>
                <w:rFonts w:ascii="Arial" w:cs="Arial" w:eastAsia="Arial" w:hAnsi="Arial"/>
                <w:sz w:val="18"/>
                <w:szCs w:val="18"/>
                <w:color w:val="auto"/>
              </w:rPr>
              <w:t>OH</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La Jolla</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Rolling Meadows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Richfield</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OH</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Livermore</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Rosemont</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Oklahoma City</w:t>
            </w:r>
          </w:p>
        </w:tc>
        <w:tc>
          <w:tcPr>
            <w:tcW w:w="1120" w:type="dxa"/>
            <w:vAlign w:val="bottom"/>
          </w:tcPr>
          <w:p>
            <w:pPr>
              <w:ind w:left="760"/>
              <w:spacing w:after="0"/>
              <w:rPr>
                <w:sz w:val="20"/>
                <w:szCs w:val="20"/>
                <w:color w:val="auto"/>
              </w:rPr>
            </w:pPr>
            <w:r>
              <w:rPr>
                <w:rFonts w:ascii="Arial" w:cs="Arial" w:eastAsia="Arial" w:hAnsi="Arial"/>
                <w:sz w:val="18"/>
                <w:szCs w:val="18"/>
                <w:color w:val="auto"/>
              </w:rPr>
              <w:t>OK</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Long Beach</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Schaumburg</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Owasso</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OK</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Los Angeles</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Springfield</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Ponca City</w:t>
            </w:r>
          </w:p>
        </w:tc>
        <w:tc>
          <w:tcPr>
            <w:tcW w:w="1120" w:type="dxa"/>
            <w:vAlign w:val="bottom"/>
          </w:tcPr>
          <w:p>
            <w:pPr>
              <w:ind w:left="760"/>
              <w:spacing w:after="0"/>
              <w:rPr>
                <w:sz w:val="20"/>
                <w:szCs w:val="20"/>
                <w:color w:val="auto"/>
              </w:rPr>
            </w:pPr>
            <w:r>
              <w:rPr>
                <w:rFonts w:ascii="Arial" w:cs="Arial" w:eastAsia="Arial" w:hAnsi="Arial"/>
                <w:sz w:val="18"/>
                <w:szCs w:val="18"/>
                <w:color w:val="auto"/>
              </w:rPr>
              <w:t>OK</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Merced</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Tinley Park</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Coos Bay</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OR</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Milpitas</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Vernon Hills</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Lake Oswego</w:t>
            </w:r>
          </w:p>
        </w:tc>
        <w:tc>
          <w:tcPr>
            <w:tcW w:w="1120" w:type="dxa"/>
            <w:vAlign w:val="bottom"/>
          </w:tcPr>
          <w:p>
            <w:pPr>
              <w:ind w:left="760"/>
              <w:spacing w:after="0"/>
              <w:rPr>
                <w:sz w:val="20"/>
                <w:szCs w:val="20"/>
                <w:color w:val="auto"/>
              </w:rPr>
            </w:pPr>
            <w:r>
              <w:rPr>
                <w:rFonts w:ascii="Arial" w:cs="Arial" w:eastAsia="Arial" w:hAnsi="Arial"/>
                <w:sz w:val="18"/>
                <w:szCs w:val="18"/>
                <w:color w:val="auto"/>
              </w:rPr>
              <w:t>OR</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Modesto</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Westmont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IL</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Portland</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OR</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Montebello</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Willowbrook</w:t>
            </w:r>
          </w:p>
        </w:tc>
        <w:tc>
          <w:tcPr>
            <w:tcW w:w="1080" w:type="dxa"/>
            <w:vAlign w:val="bottom"/>
          </w:tcPr>
          <w:p>
            <w:pPr>
              <w:ind w:left="760"/>
              <w:spacing w:after="0"/>
              <w:rPr>
                <w:sz w:val="20"/>
                <w:szCs w:val="20"/>
                <w:color w:val="auto"/>
              </w:rPr>
            </w:pPr>
            <w:r>
              <w:rPr>
                <w:rFonts w:ascii="Arial" w:cs="Arial" w:eastAsia="Arial" w:hAnsi="Arial"/>
                <w:sz w:val="18"/>
                <w:szCs w:val="18"/>
                <w:color w:val="auto"/>
              </w:rPr>
              <w:t>IL</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Tigard</w:t>
            </w:r>
          </w:p>
        </w:tc>
        <w:tc>
          <w:tcPr>
            <w:tcW w:w="1120" w:type="dxa"/>
            <w:vAlign w:val="bottom"/>
          </w:tcPr>
          <w:p>
            <w:pPr>
              <w:ind w:left="760"/>
              <w:spacing w:after="0"/>
              <w:rPr>
                <w:sz w:val="20"/>
                <w:szCs w:val="20"/>
                <w:color w:val="auto"/>
              </w:rPr>
            </w:pPr>
            <w:r>
              <w:rPr>
                <w:rFonts w:ascii="Arial" w:cs="Arial" w:eastAsia="Arial" w:hAnsi="Arial"/>
                <w:sz w:val="18"/>
                <w:szCs w:val="18"/>
                <w:color w:val="auto"/>
              </w:rPr>
              <w:t>OR</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Monterey</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Bloomington</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Allentown</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Mountain View</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Carmel</w:t>
            </w:r>
          </w:p>
        </w:tc>
        <w:tc>
          <w:tcPr>
            <w:tcW w:w="1080" w:type="dxa"/>
            <w:vAlign w:val="bottom"/>
          </w:tcPr>
          <w:p>
            <w:pPr>
              <w:ind w:left="760"/>
              <w:spacing w:after="0"/>
              <w:rPr>
                <w:sz w:val="20"/>
                <w:szCs w:val="20"/>
                <w:color w:val="auto"/>
              </w:rPr>
            </w:pPr>
            <w:r>
              <w:rPr>
                <w:rFonts w:ascii="Arial" w:cs="Arial" w:eastAsia="Arial" w:hAnsi="Arial"/>
                <w:sz w:val="18"/>
                <w:szCs w:val="18"/>
                <w:color w:val="auto"/>
              </w:rPr>
              <w:t>IN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Audubon</w:t>
            </w:r>
          </w:p>
        </w:tc>
        <w:tc>
          <w:tcPr>
            <w:tcW w:w="1120" w:type="dxa"/>
            <w:vAlign w:val="bottom"/>
          </w:tcPr>
          <w:p>
            <w:pPr>
              <w:ind w:left="76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Napa</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Columbus</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Bensalem</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Newark</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Indianapolis</w:t>
            </w:r>
          </w:p>
        </w:tc>
        <w:tc>
          <w:tcPr>
            <w:tcW w:w="1080" w:type="dxa"/>
            <w:vAlign w:val="bottom"/>
          </w:tcPr>
          <w:p>
            <w:pPr>
              <w:ind w:left="760"/>
              <w:spacing w:after="0"/>
              <w:rPr>
                <w:sz w:val="20"/>
                <w:szCs w:val="20"/>
                <w:color w:val="auto"/>
              </w:rPr>
            </w:pPr>
            <w:r>
              <w:rPr>
                <w:rFonts w:ascii="Arial" w:cs="Arial" w:eastAsia="Arial" w:hAnsi="Arial"/>
                <w:sz w:val="18"/>
                <w:szCs w:val="18"/>
                <w:color w:val="auto"/>
              </w:rPr>
              <w:t>IN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Berwyn</w:t>
            </w:r>
          </w:p>
        </w:tc>
        <w:tc>
          <w:tcPr>
            <w:tcW w:w="1120" w:type="dxa"/>
            <w:vAlign w:val="bottom"/>
          </w:tcPr>
          <w:p>
            <w:pPr>
              <w:ind w:left="76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Newport Beach</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Muncie</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Coraopolis</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Oakland</w:t>
            </w:r>
          </w:p>
        </w:tc>
        <w:tc>
          <w:tcPr>
            <w:tcW w:w="1280" w:type="dxa"/>
            <w:vAlign w:val="bottom"/>
          </w:tcPr>
          <w:p>
            <w:pPr>
              <w:ind w:left="94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South Bend</w:t>
            </w:r>
          </w:p>
        </w:tc>
        <w:tc>
          <w:tcPr>
            <w:tcW w:w="1080" w:type="dxa"/>
            <w:vAlign w:val="bottom"/>
          </w:tcPr>
          <w:p>
            <w:pPr>
              <w:ind w:left="760"/>
              <w:spacing w:after="0"/>
              <w:rPr>
                <w:sz w:val="20"/>
                <w:szCs w:val="20"/>
                <w:color w:val="auto"/>
              </w:rPr>
            </w:pPr>
            <w:r>
              <w:rPr>
                <w:rFonts w:ascii="Arial" w:cs="Arial" w:eastAsia="Arial" w:hAnsi="Arial"/>
                <w:sz w:val="18"/>
                <w:szCs w:val="18"/>
                <w:color w:val="auto"/>
              </w:rPr>
              <w:t>IN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Essington</w:t>
            </w:r>
          </w:p>
        </w:tc>
        <w:tc>
          <w:tcPr>
            <w:tcW w:w="1120" w:type="dxa"/>
            <w:vAlign w:val="bottom"/>
          </w:tcPr>
          <w:p>
            <w:pPr>
              <w:ind w:left="76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Merriam</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KS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Glen Mills</w:t>
            </w:r>
          </w:p>
        </w:tc>
        <w:tc>
          <w:tcPr>
            <w:tcW w:w="1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40" w:type="dxa"/>
            <w:vAlign w:val="bottom"/>
            <w:gridSpan w:val="3"/>
          </w:tcPr>
          <w:p>
            <w:pPr>
              <w:ind w:left="960"/>
              <w:spacing w:after="0"/>
              <w:rPr>
                <w:sz w:val="20"/>
                <w:szCs w:val="20"/>
                <w:color w:val="auto"/>
              </w:rPr>
            </w:pPr>
            <w:r>
              <w:rPr>
                <w:rFonts w:ascii="Arial" w:cs="Arial" w:eastAsia="Arial" w:hAnsi="Arial"/>
                <w:sz w:val="18"/>
                <w:szCs w:val="18"/>
                <w:color w:val="auto"/>
                <w:w w:val="90"/>
              </w:rPr>
              <w:t>Agreement Number 02026713.A.016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Orange</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Overland Park</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KS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Harrisburg</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Palo Alto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Shawnee</w:t>
            </w:r>
          </w:p>
        </w:tc>
        <w:tc>
          <w:tcPr>
            <w:tcW w:w="1120" w:type="dxa"/>
            <w:vAlign w:val="bottom"/>
          </w:tcPr>
          <w:p>
            <w:pPr>
              <w:ind w:left="740"/>
              <w:spacing w:after="0"/>
              <w:rPr>
                <w:sz w:val="20"/>
                <w:szCs w:val="20"/>
                <w:color w:val="auto"/>
              </w:rPr>
            </w:pPr>
            <w:r>
              <w:rPr>
                <w:rFonts w:ascii="Arial" w:cs="Arial" w:eastAsia="Arial" w:hAnsi="Arial"/>
                <w:sz w:val="18"/>
                <w:szCs w:val="18"/>
                <w:color w:val="auto"/>
              </w:rPr>
              <w:t>KS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King of Prussia</w:t>
            </w:r>
          </w:p>
        </w:tc>
        <w:tc>
          <w:tcPr>
            <w:tcW w:w="1120" w:type="dxa"/>
            <w:vAlign w:val="bottom"/>
          </w:tcPr>
          <w:p>
            <w:pPr>
              <w:ind w:left="78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Pasadena</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Topeka</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KS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Langhorn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Petaluma</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Wichita</w:t>
            </w:r>
          </w:p>
        </w:tc>
        <w:tc>
          <w:tcPr>
            <w:tcW w:w="1120" w:type="dxa"/>
            <w:vAlign w:val="bottom"/>
          </w:tcPr>
          <w:p>
            <w:pPr>
              <w:ind w:left="740"/>
              <w:spacing w:after="0"/>
              <w:rPr>
                <w:sz w:val="20"/>
                <w:szCs w:val="20"/>
                <w:color w:val="auto"/>
              </w:rPr>
            </w:pPr>
            <w:r>
              <w:rPr>
                <w:rFonts w:ascii="Arial" w:cs="Arial" w:eastAsia="Arial" w:hAnsi="Arial"/>
                <w:sz w:val="18"/>
                <w:szCs w:val="18"/>
                <w:color w:val="auto"/>
              </w:rPr>
              <w:t>KS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Philadelphia</w:t>
            </w:r>
          </w:p>
        </w:tc>
        <w:tc>
          <w:tcPr>
            <w:tcW w:w="1120" w:type="dxa"/>
            <w:vAlign w:val="bottom"/>
          </w:tcPr>
          <w:p>
            <w:pPr>
              <w:ind w:left="78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Pleasanton</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Covington</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KY</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Pittsburgh</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Redondo Beach</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Louisville</w:t>
            </w:r>
          </w:p>
        </w:tc>
        <w:tc>
          <w:tcPr>
            <w:tcW w:w="1120" w:type="dxa"/>
            <w:vAlign w:val="bottom"/>
          </w:tcPr>
          <w:p>
            <w:pPr>
              <w:ind w:left="740"/>
              <w:spacing w:after="0"/>
              <w:rPr>
                <w:sz w:val="20"/>
                <w:szCs w:val="20"/>
                <w:color w:val="auto"/>
              </w:rPr>
            </w:pPr>
            <w:r>
              <w:rPr>
                <w:rFonts w:ascii="Arial" w:cs="Arial" w:eastAsia="Arial" w:hAnsi="Arial"/>
                <w:sz w:val="18"/>
                <w:szCs w:val="18"/>
                <w:color w:val="auto"/>
              </w:rPr>
              <w:t>KY</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Wayne</w:t>
            </w:r>
          </w:p>
        </w:tc>
        <w:tc>
          <w:tcPr>
            <w:tcW w:w="1120" w:type="dxa"/>
            <w:vAlign w:val="bottom"/>
          </w:tcPr>
          <w:p>
            <w:pPr>
              <w:ind w:left="780"/>
              <w:spacing w:after="0"/>
              <w:rPr>
                <w:sz w:val="20"/>
                <w:szCs w:val="20"/>
                <w:color w:val="auto"/>
              </w:rPr>
            </w:pPr>
            <w:r>
              <w:rPr>
                <w:rFonts w:ascii="Arial" w:cs="Arial" w:eastAsia="Arial" w:hAnsi="Arial"/>
                <w:sz w:val="18"/>
                <w:szCs w:val="18"/>
                <w:color w:val="auto"/>
              </w:rPr>
              <w:t>PA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Redwood City</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Baton Rouge</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LA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Lincoln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Riverside</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Covington</w:t>
            </w:r>
          </w:p>
        </w:tc>
        <w:tc>
          <w:tcPr>
            <w:tcW w:w="1120" w:type="dxa"/>
            <w:vAlign w:val="bottom"/>
          </w:tcPr>
          <w:p>
            <w:pPr>
              <w:ind w:left="740"/>
              <w:spacing w:after="0"/>
              <w:rPr>
                <w:sz w:val="20"/>
                <w:szCs w:val="20"/>
                <w:color w:val="auto"/>
              </w:rPr>
            </w:pPr>
            <w:r>
              <w:rPr>
                <w:rFonts w:ascii="Arial" w:cs="Arial" w:eastAsia="Arial" w:hAnsi="Arial"/>
                <w:sz w:val="18"/>
                <w:szCs w:val="18"/>
                <w:color w:val="auto"/>
              </w:rPr>
              <w:t>LA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Providence</w:t>
            </w:r>
          </w:p>
        </w:tc>
        <w:tc>
          <w:tcPr>
            <w:tcW w:w="1120" w:type="dxa"/>
            <w:vAlign w:val="bottom"/>
          </w:tcPr>
          <w:p>
            <w:pPr>
              <w:ind w:left="780"/>
              <w:spacing w:after="0"/>
              <w:rPr>
                <w:sz w:val="20"/>
                <w:szCs w:val="20"/>
                <w:color w:val="auto"/>
              </w:rPr>
            </w:pPr>
            <w:r>
              <w:rPr>
                <w:rFonts w:ascii="Arial" w:cs="Arial" w:eastAsia="Arial" w:hAnsi="Arial"/>
                <w:sz w:val="18"/>
                <w:szCs w:val="18"/>
                <w:color w:val="auto"/>
              </w:rPr>
              <w:t>RI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Rocklin</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 Place</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LA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Anderson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SC</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Rohnert Park</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Metairie</w:t>
            </w:r>
          </w:p>
        </w:tc>
        <w:tc>
          <w:tcPr>
            <w:tcW w:w="1120" w:type="dxa"/>
            <w:vAlign w:val="bottom"/>
          </w:tcPr>
          <w:p>
            <w:pPr>
              <w:ind w:left="740"/>
              <w:spacing w:after="0"/>
              <w:rPr>
                <w:sz w:val="20"/>
                <w:szCs w:val="20"/>
                <w:color w:val="auto"/>
              </w:rPr>
            </w:pPr>
            <w:r>
              <w:rPr>
                <w:rFonts w:ascii="Arial" w:cs="Arial" w:eastAsia="Arial" w:hAnsi="Arial"/>
                <w:sz w:val="18"/>
                <w:szCs w:val="18"/>
                <w:color w:val="auto"/>
              </w:rPr>
              <w:t>LA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Charleston</w:t>
            </w:r>
          </w:p>
        </w:tc>
        <w:tc>
          <w:tcPr>
            <w:tcW w:w="1120" w:type="dxa"/>
            <w:vAlign w:val="bottom"/>
          </w:tcPr>
          <w:p>
            <w:pPr>
              <w:ind w:left="780"/>
              <w:spacing w:after="0"/>
              <w:rPr>
                <w:sz w:val="20"/>
                <w:szCs w:val="20"/>
                <w:color w:val="auto"/>
              </w:rPr>
            </w:pPr>
            <w:r>
              <w:rPr>
                <w:rFonts w:ascii="Arial" w:cs="Arial" w:eastAsia="Arial" w:hAnsi="Arial"/>
                <w:sz w:val="18"/>
                <w:szCs w:val="18"/>
                <w:color w:val="auto"/>
              </w:rPr>
              <w:t>SC</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Rosemead</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Orleans</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LA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Duncan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SC</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Sacramento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Boston</w:t>
            </w:r>
          </w:p>
        </w:tc>
        <w:tc>
          <w:tcPr>
            <w:tcW w:w="1120" w:type="dxa"/>
            <w:vAlign w:val="bottom"/>
          </w:tcPr>
          <w:p>
            <w:pPr>
              <w:ind w:left="740"/>
              <w:spacing w:after="0"/>
              <w:rPr>
                <w:sz w:val="20"/>
                <w:szCs w:val="20"/>
                <w:color w:val="auto"/>
              </w:rPr>
            </w:pPr>
            <w:r>
              <w:rPr>
                <w:rFonts w:ascii="Arial" w:cs="Arial" w:eastAsia="Arial" w:hAnsi="Arial"/>
                <w:sz w:val="18"/>
                <w:szCs w:val="18"/>
                <w:color w:val="auto"/>
              </w:rPr>
              <w:t>MA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Florence</w:t>
            </w:r>
          </w:p>
        </w:tc>
        <w:tc>
          <w:tcPr>
            <w:tcW w:w="1120" w:type="dxa"/>
            <w:vAlign w:val="bottom"/>
          </w:tcPr>
          <w:p>
            <w:pPr>
              <w:ind w:left="780"/>
              <w:spacing w:after="0"/>
              <w:rPr>
                <w:sz w:val="20"/>
                <w:szCs w:val="20"/>
                <w:color w:val="auto"/>
              </w:rPr>
            </w:pPr>
            <w:r>
              <w:rPr>
                <w:rFonts w:ascii="Arial" w:cs="Arial" w:eastAsia="Arial" w:hAnsi="Arial"/>
                <w:sz w:val="18"/>
                <w:szCs w:val="18"/>
                <w:color w:val="auto"/>
              </w:rPr>
              <w:t>SC</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Salinas</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Burlington</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Hilton Head</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SC</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Carlos</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Cambridge</w:t>
            </w:r>
          </w:p>
        </w:tc>
        <w:tc>
          <w:tcPr>
            <w:tcW w:w="1120" w:type="dxa"/>
            <w:vAlign w:val="bottom"/>
          </w:tcPr>
          <w:p>
            <w:pPr>
              <w:ind w:left="740"/>
              <w:spacing w:after="0"/>
              <w:rPr>
                <w:sz w:val="20"/>
                <w:szCs w:val="20"/>
                <w:color w:val="auto"/>
              </w:rPr>
            </w:pPr>
            <w:r>
              <w:rPr>
                <w:rFonts w:ascii="Arial" w:cs="Arial" w:eastAsia="Arial" w:hAnsi="Arial"/>
                <w:sz w:val="18"/>
                <w:szCs w:val="18"/>
                <w:color w:val="auto"/>
              </w:rPr>
              <w:t>MA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Myrtle Beach</w:t>
            </w:r>
          </w:p>
        </w:tc>
        <w:tc>
          <w:tcPr>
            <w:tcW w:w="1120" w:type="dxa"/>
            <w:vAlign w:val="bottom"/>
          </w:tcPr>
          <w:p>
            <w:pPr>
              <w:ind w:left="780"/>
              <w:spacing w:after="0"/>
              <w:rPr>
                <w:sz w:val="20"/>
                <w:szCs w:val="20"/>
                <w:color w:val="auto"/>
              </w:rPr>
            </w:pPr>
            <w:r>
              <w:rPr>
                <w:rFonts w:ascii="Arial" w:cs="Arial" w:eastAsia="Arial" w:hAnsi="Arial"/>
                <w:sz w:val="18"/>
                <w:szCs w:val="18"/>
                <w:color w:val="auto"/>
              </w:rPr>
              <w:t>SC</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 Diego</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Dedham</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Brentwood</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TN</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Francisco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Framingham</w:t>
            </w:r>
          </w:p>
        </w:tc>
        <w:tc>
          <w:tcPr>
            <w:tcW w:w="1120" w:type="dxa"/>
            <w:vAlign w:val="bottom"/>
          </w:tcPr>
          <w:p>
            <w:pPr>
              <w:ind w:left="740"/>
              <w:spacing w:after="0"/>
              <w:rPr>
                <w:sz w:val="20"/>
                <w:szCs w:val="20"/>
                <w:color w:val="auto"/>
              </w:rPr>
            </w:pPr>
            <w:r>
              <w:rPr>
                <w:rFonts w:ascii="Arial" w:cs="Arial" w:eastAsia="Arial" w:hAnsi="Arial"/>
                <w:sz w:val="18"/>
                <w:szCs w:val="18"/>
                <w:color w:val="auto"/>
              </w:rPr>
              <w:t>MA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Crossville</w:t>
            </w:r>
          </w:p>
        </w:tc>
        <w:tc>
          <w:tcPr>
            <w:tcW w:w="1120" w:type="dxa"/>
            <w:vAlign w:val="bottom"/>
          </w:tcPr>
          <w:p>
            <w:pPr>
              <w:ind w:left="780"/>
              <w:spacing w:after="0"/>
              <w:rPr>
                <w:sz w:val="20"/>
                <w:szCs w:val="20"/>
                <w:color w:val="auto"/>
              </w:rPr>
            </w:pPr>
            <w:r>
              <w:rPr>
                <w:rFonts w:ascii="Arial" w:cs="Arial" w:eastAsia="Arial" w:hAnsi="Arial"/>
                <w:sz w:val="18"/>
                <w:szCs w:val="18"/>
                <w:color w:val="auto"/>
              </w:rPr>
              <w:t>TN</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 Gabriel</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Lowell</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Franklin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TN</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Jose</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Marlborough</w:t>
            </w:r>
          </w:p>
        </w:tc>
        <w:tc>
          <w:tcPr>
            <w:tcW w:w="1120" w:type="dxa"/>
            <w:vAlign w:val="bottom"/>
          </w:tcPr>
          <w:p>
            <w:pPr>
              <w:ind w:left="740"/>
              <w:spacing w:after="0"/>
              <w:rPr>
                <w:sz w:val="20"/>
                <w:szCs w:val="20"/>
                <w:color w:val="auto"/>
              </w:rPr>
            </w:pPr>
            <w:r>
              <w:rPr>
                <w:rFonts w:ascii="Arial" w:cs="Arial" w:eastAsia="Arial" w:hAnsi="Arial"/>
                <w:sz w:val="18"/>
                <w:szCs w:val="18"/>
                <w:color w:val="auto"/>
              </w:rPr>
              <w:t>MA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Jackson</w:t>
            </w:r>
          </w:p>
        </w:tc>
        <w:tc>
          <w:tcPr>
            <w:tcW w:w="1120" w:type="dxa"/>
            <w:vAlign w:val="bottom"/>
          </w:tcPr>
          <w:p>
            <w:pPr>
              <w:ind w:left="780"/>
              <w:spacing w:after="0"/>
              <w:rPr>
                <w:sz w:val="20"/>
                <w:szCs w:val="20"/>
                <w:color w:val="auto"/>
              </w:rPr>
            </w:pPr>
            <w:r>
              <w:rPr>
                <w:rFonts w:ascii="Arial" w:cs="Arial" w:eastAsia="Arial" w:hAnsi="Arial"/>
                <w:sz w:val="18"/>
                <w:szCs w:val="18"/>
                <w:color w:val="auto"/>
              </w:rPr>
              <w:t>TN</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 Luis Obispo</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Natick</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Johnson City</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TN</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Mateo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Stoughton</w:t>
            </w:r>
          </w:p>
        </w:tc>
        <w:tc>
          <w:tcPr>
            <w:tcW w:w="1120" w:type="dxa"/>
            <w:vAlign w:val="bottom"/>
          </w:tcPr>
          <w:p>
            <w:pPr>
              <w:ind w:left="740"/>
              <w:spacing w:after="0"/>
              <w:rPr>
                <w:sz w:val="20"/>
                <w:szCs w:val="20"/>
                <w:color w:val="auto"/>
              </w:rPr>
            </w:pPr>
            <w:r>
              <w:rPr>
                <w:rFonts w:ascii="Arial" w:cs="Arial" w:eastAsia="Arial" w:hAnsi="Arial"/>
                <w:sz w:val="18"/>
                <w:szCs w:val="18"/>
                <w:color w:val="auto"/>
              </w:rPr>
              <w:t>MA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Knoxville</w:t>
            </w:r>
          </w:p>
        </w:tc>
        <w:tc>
          <w:tcPr>
            <w:tcW w:w="1120" w:type="dxa"/>
            <w:vAlign w:val="bottom"/>
          </w:tcPr>
          <w:p>
            <w:pPr>
              <w:ind w:left="780"/>
              <w:spacing w:after="0"/>
              <w:rPr>
                <w:sz w:val="20"/>
                <w:szCs w:val="20"/>
                <w:color w:val="auto"/>
              </w:rPr>
            </w:pPr>
            <w:r>
              <w:rPr>
                <w:rFonts w:ascii="Arial" w:cs="Arial" w:eastAsia="Arial" w:hAnsi="Arial"/>
                <w:sz w:val="18"/>
                <w:szCs w:val="18"/>
                <w:color w:val="auto"/>
              </w:rPr>
              <w:t>TN</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 Rafael</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Baltimore</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Memphis</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TN</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Ramon</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Bethesda</w:t>
            </w:r>
          </w:p>
        </w:tc>
        <w:tc>
          <w:tcPr>
            <w:tcW w:w="1120" w:type="dxa"/>
            <w:vAlign w:val="bottom"/>
          </w:tcPr>
          <w:p>
            <w:pPr>
              <w:ind w:left="740"/>
              <w:spacing w:after="0"/>
              <w:rPr>
                <w:sz w:val="20"/>
                <w:szCs w:val="20"/>
                <w:color w:val="auto"/>
              </w:rPr>
            </w:pPr>
            <w:r>
              <w:rPr>
                <w:rFonts w:ascii="Arial" w:cs="Arial" w:eastAsia="Arial" w:hAnsi="Arial"/>
                <w:sz w:val="18"/>
                <w:szCs w:val="18"/>
                <w:color w:val="auto"/>
              </w:rPr>
              <w:t>MD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Nashville</w:t>
            </w:r>
          </w:p>
        </w:tc>
        <w:tc>
          <w:tcPr>
            <w:tcW w:w="1120" w:type="dxa"/>
            <w:vAlign w:val="bottom"/>
          </w:tcPr>
          <w:p>
            <w:pPr>
              <w:ind w:left="780"/>
              <w:spacing w:after="0"/>
              <w:rPr>
                <w:sz w:val="20"/>
                <w:szCs w:val="20"/>
                <w:color w:val="auto"/>
              </w:rPr>
            </w:pPr>
            <w:r>
              <w:rPr>
                <w:rFonts w:ascii="Arial" w:cs="Arial" w:eastAsia="Arial" w:hAnsi="Arial"/>
                <w:sz w:val="18"/>
                <w:szCs w:val="18"/>
                <w:color w:val="auto"/>
              </w:rPr>
              <w:t>TN</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Santa Ana</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Columbia</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Addison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Santa Clara</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Greenbelt</w:t>
            </w:r>
          </w:p>
        </w:tc>
        <w:tc>
          <w:tcPr>
            <w:tcW w:w="1120" w:type="dxa"/>
            <w:vAlign w:val="bottom"/>
          </w:tcPr>
          <w:p>
            <w:pPr>
              <w:ind w:left="740"/>
              <w:spacing w:after="0"/>
              <w:rPr>
                <w:sz w:val="20"/>
                <w:szCs w:val="20"/>
                <w:color w:val="auto"/>
              </w:rPr>
            </w:pPr>
            <w:r>
              <w:rPr>
                <w:rFonts w:ascii="Arial" w:cs="Arial" w:eastAsia="Arial" w:hAnsi="Arial"/>
                <w:sz w:val="18"/>
                <w:szCs w:val="18"/>
                <w:color w:val="auto"/>
              </w:rPr>
              <w:t>MD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Arlington</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Santa Monica</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Hanover</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Austin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Santa Rosa</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Linthicum</w:t>
            </w:r>
          </w:p>
        </w:tc>
        <w:tc>
          <w:tcPr>
            <w:tcW w:w="1120" w:type="dxa"/>
            <w:vAlign w:val="bottom"/>
          </w:tcPr>
          <w:p>
            <w:pPr>
              <w:ind w:left="740"/>
              <w:spacing w:after="0"/>
              <w:rPr>
                <w:sz w:val="20"/>
                <w:szCs w:val="20"/>
                <w:color w:val="auto"/>
              </w:rPr>
            </w:pPr>
            <w:r>
              <w:rPr>
                <w:rFonts w:ascii="Arial" w:cs="Arial" w:eastAsia="Arial" w:hAnsi="Arial"/>
                <w:sz w:val="18"/>
                <w:szCs w:val="18"/>
                <w:color w:val="auto"/>
              </w:rPr>
              <w:t>MD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Beaumont</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Sherman Oaks</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Linthicum Heights</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MD</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Corpus Christi</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South San Francisco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Portland</w:t>
            </w:r>
          </w:p>
        </w:tc>
        <w:tc>
          <w:tcPr>
            <w:tcW w:w="1120" w:type="dxa"/>
            <w:vAlign w:val="bottom"/>
          </w:tcPr>
          <w:p>
            <w:pPr>
              <w:ind w:left="740"/>
              <w:spacing w:after="0"/>
              <w:rPr>
                <w:sz w:val="20"/>
                <w:szCs w:val="20"/>
                <w:color w:val="auto"/>
              </w:rPr>
            </w:pPr>
            <w:r>
              <w:rPr>
                <w:rFonts w:ascii="Arial" w:cs="Arial" w:eastAsia="Arial" w:hAnsi="Arial"/>
                <w:sz w:val="18"/>
                <w:szCs w:val="18"/>
                <w:color w:val="auto"/>
              </w:rPr>
              <w:t>ME</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Dallas</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Stevenson Ranch</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Battlecreek</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 Paso</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Stockton</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Canton</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Frisco</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Susanville</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Detroit</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Ft. Worth</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Temecula</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Farmington Hills</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Houston</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Thousand Oaks</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Holland</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Irving</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Torrance</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Lansing</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McAllen</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Ukiah</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Marquette</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Midland</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Universal City</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Novi</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Plano</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Valencia</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 Huron</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Richardson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Van Nuys</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Romulus</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San Antonio</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Walnut Creek</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Southfield</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Texarkana</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Watsonville</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Walker</w:t>
            </w:r>
          </w:p>
        </w:tc>
        <w:tc>
          <w:tcPr>
            <w:tcW w:w="1120" w:type="dxa"/>
            <w:vAlign w:val="bottom"/>
          </w:tcPr>
          <w:p>
            <w:pPr>
              <w:ind w:left="740"/>
              <w:spacing w:after="0"/>
              <w:rPr>
                <w:sz w:val="20"/>
                <w:szCs w:val="20"/>
                <w:color w:val="auto"/>
              </w:rPr>
            </w:pPr>
            <w:r>
              <w:rPr>
                <w:rFonts w:ascii="Arial" w:cs="Arial" w:eastAsia="Arial" w:hAnsi="Arial"/>
                <w:sz w:val="18"/>
                <w:szCs w:val="18"/>
                <w:color w:val="auto"/>
              </w:rPr>
              <w:t>MI</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Waxahachie</w:t>
            </w:r>
          </w:p>
        </w:tc>
        <w:tc>
          <w:tcPr>
            <w:tcW w:w="1120" w:type="dxa"/>
            <w:vAlign w:val="bottom"/>
          </w:tcPr>
          <w:p>
            <w:pPr>
              <w:ind w:left="780"/>
              <w:spacing w:after="0"/>
              <w:rPr>
                <w:sz w:val="20"/>
                <w:szCs w:val="20"/>
                <w:color w:val="auto"/>
              </w:rPr>
            </w:pPr>
            <w:r>
              <w:rPr>
                <w:rFonts w:ascii="Arial" w:cs="Arial" w:eastAsia="Arial" w:hAnsi="Arial"/>
                <w:sz w:val="18"/>
                <w:szCs w:val="18"/>
                <w:color w:val="auto"/>
              </w:rPr>
              <w:t>TX</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West Lake Village</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Warren</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MI</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Woodlands</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TX</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West Sacramento</w:t>
            </w:r>
          </w:p>
        </w:tc>
        <w:tc>
          <w:tcPr>
            <w:tcW w:w="1160" w:type="dxa"/>
            <w:vAlign w:val="bottom"/>
          </w:tcPr>
          <w:p>
            <w:pPr>
              <w:ind w:left="82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ind w:left="100"/>
              <w:spacing w:after="0"/>
              <w:rPr>
                <w:sz w:val="20"/>
                <w:szCs w:val="20"/>
                <w:color w:val="auto"/>
              </w:rPr>
            </w:pPr>
            <w:r>
              <w:rPr>
                <w:rFonts w:ascii="Arial" w:cs="Arial" w:eastAsia="Arial" w:hAnsi="Arial"/>
                <w:sz w:val="18"/>
                <w:szCs w:val="18"/>
                <w:color w:val="auto"/>
              </w:rPr>
              <w:t>Baxter</w:t>
            </w:r>
          </w:p>
        </w:tc>
        <w:tc>
          <w:tcPr>
            <w:tcW w:w="1120" w:type="dxa"/>
            <w:vAlign w:val="bottom"/>
          </w:tcPr>
          <w:p>
            <w:pPr>
              <w:ind w:left="740"/>
              <w:spacing w:after="0"/>
              <w:rPr>
                <w:sz w:val="20"/>
                <w:szCs w:val="20"/>
                <w:color w:val="auto"/>
              </w:rPr>
            </w:pPr>
            <w:r>
              <w:rPr>
                <w:rFonts w:ascii="Arial" w:cs="Arial" w:eastAsia="Arial" w:hAnsi="Arial"/>
                <w:sz w:val="18"/>
                <w:szCs w:val="18"/>
                <w:color w:val="auto"/>
              </w:rPr>
              <w:t>MN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Salt Lake City</w:t>
            </w:r>
          </w:p>
        </w:tc>
        <w:tc>
          <w:tcPr>
            <w:tcW w:w="1120" w:type="dxa"/>
            <w:vAlign w:val="bottom"/>
          </w:tcPr>
          <w:p>
            <w:pPr>
              <w:ind w:left="780"/>
              <w:spacing w:after="0"/>
              <w:rPr>
                <w:sz w:val="20"/>
                <w:szCs w:val="20"/>
                <w:color w:val="auto"/>
              </w:rPr>
            </w:pPr>
            <w:r>
              <w:rPr>
                <w:rFonts w:ascii="Arial" w:cs="Arial" w:eastAsia="Arial" w:hAnsi="Arial"/>
                <w:sz w:val="18"/>
                <w:szCs w:val="18"/>
                <w:color w:val="auto"/>
              </w:rPr>
              <w:t>UT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20" w:type="dxa"/>
            <w:vAlign w:val="bottom"/>
            <w:gridSpan w:val="3"/>
          </w:tcPr>
          <w:p>
            <w:pPr>
              <w:ind w:left="1040"/>
              <w:spacing w:after="0"/>
              <w:rPr>
                <w:sz w:val="20"/>
                <w:szCs w:val="20"/>
                <w:color w:val="auto"/>
              </w:rPr>
            </w:pPr>
            <w:r>
              <w:rPr>
                <w:rFonts w:ascii="Arial" w:cs="Arial" w:eastAsia="Arial" w:hAnsi="Arial"/>
                <w:sz w:val="18"/>
                <w:szCs w:val="18"/>
                <w:color w:val="auto"/>
                <w:w w:val="90"/>
              </w:rPr>
              <w:t>Agreement Number 02026713.A.016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Willits</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Bloomington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MN</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Alexandria</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Woodland</w:t>
            </w:r>
          </w:p>
        </w:tc>
        <w:tc>
          <w:tcPr>
            <w:tcW w:w="1120" w:type="dxa"/>
            <w:vAlign w:val="bottom"/>
          </w:tcPr>
          <w:p>
            <w:pPr>
              <w:ind w:left="780"/>
              <w:spacing w:after="0"/>
              <w:rPr>
                <w:sz w:val="20"/>
                <w:szCs w:val="20"/>
                <w:color w:val="auto"/>
              </w:rPr>
            </w:pPr>
            <w:r>
              <w:rPr>
                <w:rFonts w:ascii="Arial" w:cs="Arial" w:eastAsia="Arial" w:hAnsi="Arial"/>
                <w:sz w:val="18"/>
                <w:szCs w:val="18"/>
                <w:color w:val="auto"/>
              </w:rPr>
              <w:t>CA</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Edina</w:t>
            </w:r>
          </w:p>
        </w:tc>
        <w:tc>
          <w:tcPr>
            <w:tcW w:w="1140" w:type="dxa"/>
            <w:vAlign w:val="bottom"/>
          </w:tcPr>
          <w:p>
            <w:pPr>
              <w:ind w:left="760"/>
              <w:spacing w:after="0"/>
              <w:rPr>
                <w:sz w:val="20"/>
                <w:szCs w:val="20"/>
                <w:color w:val="auto"/>
              </w:rPr>
            </w:pPr>
            <w:r>
              <w:rPr>
                <w:rFonts w:ascii="Arial" w:cs="Arial" w:eastAsia="Arial" w:hAnsi="Arial"/>
                <w:sz w:val="18"/>
                <w:szCs w:val="18"/>
                <w:color w:val="auto"/>
              </w:rPr>
              <w:t>MN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Arlington</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Yorba Linda</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CA</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Minneapolis</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MN</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Charlottesville</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Aurora</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St. Paul</w:t>
            </w:r>
          </w:p>
        </w:tc>
        <w:tc>
          <w:tcPr>
            <w:tcW w:w="1140" w:type="dxa"/>
            <w:vAlign w:val="bottom"/>
          </w:tcPr>
          <w:p>
            <w:pPr>
              <w:ind w:left="760"/>
              <w:spacing w:after="0"/>
              <w:rPr>
                <w:sz w:val="20"/>
                <w:szCs w:val="20"/>
                <w:color w:val="auto"/>
              </w:rPr>
            </w:pPr>
            <w:r>
              <w:rPr>
                <w:rFonts w:ascii="Arial" w:cs="Arial" w:eastAsia="Arial" w:hAnsi="Arial"/>
                <w:sz w:val="18"/>
                <w:szCs w:val="18"/>
                <w:color w:val="auto"/>
              </w:rPr>
              <w:t>MN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Chantilly</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Boulder</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Bridgeton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Chester</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Colorado Springs</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Columbia</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Dulles</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Denver</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Fenton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Fairfax</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Englewood</w:t>
            </w:r>
          </w:p>
        </w:tc>
        <w:tc>
          <w:tcPr>
            <w:tcW w:w="1120" w:type="dxa"/>
            <w:vAlign w:val="bottom"/>
          </w:tcPr>
          <w:p>
            <w:pPr>
              <w:ind w:left="780"/>
              <w:spacing w:after="0"/>
              <w:rPr>
                <w:sz w:val="20"/>
                <w:szCs w:val="20"/>
                <w:color w:val="auto"/>
              </w:rPr>
            </w:pPr>
            <w:r>
              <w:rPr>
                <w:rFonts w:ascii="Arial" w:cs="Arial" w:eastAsia="Arial" w:hAnsi="Arial"/>
                <w:sz w:val="18"/>
                <w:szCs w:val="18"/>
                <w:color w:val="auto"/>
              </w:rPr>
              <w:t>CO</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Festus</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Falls Church</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Greenwood Village</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Joplin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Glen Allen</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Glastonbury</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Kansas City</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Hampton</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Meriden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Kirkwood</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Herndon</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New Haven</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Lees Summit</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Norfolk</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New London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Maryland Heights</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Richmond</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Rocky Hill</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Saint Charles</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Sandston</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Stamford</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Saint Louis</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MO</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Sterling</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Wallingford</w:t>
            </w:r>
          </w:p>
        </w:tc>
        <w:tc>
          <w:tcPr>
            <w:tcW w:w="1120" w:type="dxa"/>
            <w:vAlign w:val="bottom"/>
          </w:tcPr>
          <w:p>
            <w:pPr>
              <w:ind w:left="780"/>
              <w:spacing w:after="0"/>
              <w:rPr>
                <w:sz w:val="20"/>
                <w:szCs w:val="20"/>
                <w:color w:val="auto"/>
              </w:rPr>
            </w:pPr>
            <w:r>
              <w:rPr>
                <w:rFonts w:ascii="Arial" w:cs="Arial" w:eastAsia="Arial" w:hAnsi="Arial"/>
                <w:sz w:val="18"/>
                <w:szCs w:val="18"/>
                <w:color w:val="auto"/>
              </w:rPr>
              <w:t>CT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Springfield</w:t>
            </w:r>
          </w:p>
        </w:tc>
        <w:tc>
          <w:tcPr>
            <w:tcW w:w="1140" w:type="dxa"/>
            <w:vAlign w:val="bottom"/>
          </w:tcPr>
          <w:p>
            <w:pPr>
              <w:ind w:left="760"/>
              <w:spacing w:after="0"/>
              <w:rPr>
                <w:sz w:val="20"/>
                <w:szCs w:val="20"/>
                <w:color w:val="auto"/>
              </w:rPr>
            </w:pPr>
            <w:r>
              <w:rPr>
                <w:rFonts w:ascii="Arial" w:cs="Arial" w:eastAsia="Arial" w:hAnsi="Arial"/>
                <w:sz w:val="18"/>
                <w:szCs w:val="18"/>
                <w:color w:val="auto"/>
              </w:rPr>
              <w:t>MO</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Tysons Corner</w:t>
            </w:r>
          </w:p>
        </w:tc>
        <w:tc>
          <w:tcPr>
            <w:tcW w:w="1240" w:type="dxa"/>
            <w:vAlign w:val="bottom"/>
          </w:tcPr>
          <w:p>
            <w:pPr>
              <w:ind w:left="840"/>
              <w:spacing w:after="0"/>
              <w:rPr>
                <w:sz w:val="20"/>
                <w:szCs w:val="20"/>
                <w:color w:val="auto"/>
              </w:rPr>
            </w:pPr>
            <w:r>
              <w:rPr>
                <w:rFonts w:ascii="Arial" w:cs="Arial" w:eastAsia="Arial" w:hAnsi="Arial"/>
                <w:sz w:val="18"/>
                <w:szCs w:val="18"/>
                <w:color w:val="auto"/>
              </w:rPr>
              <w:t>VA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DC</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Jackson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Vienna</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Wilmington</w:t>
            </w:r>
          </w:p>
        </w:tc>
        <w:tc>
          <w:tcPr>
            <w:tcW w:w="1120" w:type="dxa"/>
            <w:vAlign w:val="bottom"/>
          </w:tcPr>
          <w:p>
            <w:pPr>
              <w:ind w:left="780"/>
              <w:spacing w:after="0"/>
              <w:rPr>
                <w:sz w:val="20"/>
                <w:szCs w:val="20"/>
                <w:color w:val="auto"/>
              </w:rPr>
            </w:pPr>
            <w:r>
              <w:rPr>
                <w:rFonts w:ascii="Arial" w:cs="Arial" w:eastAsia="Arial" w:hAnsi="Arial"/>
                <w:sz w:val="18"/>
                <w:szCs w:val="18"/>
                <w:color w:val="auto"/>
              </w:rPr>
              <w:t>DE</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McComb</w:t>
            </w:r>
          </w:p>
        </w:tc>
        <w:tc>
          <w:tcPr>
            <w:tcW w:w="1140" w:type="dxa"/>
            <w:vAlign w:val="bottom"/>
          </w:tcPr>
          <w:p>
            <w:pPr>
              <w:ind w:left="760"/>
              <w:spacing w:after="0"/>
              <w:rPr>
                <w:sz w:val="20"/>
                <w:szCs w:val="20"/>
                <w:color w:val="auto"/>
              </w:rPr>
            </w:pPr>
            <w:r>
              <w:rPr>
                <w:rFonts w:ascii="Arial" w:cs="Arial" w:eastAsia="Arial" w:hAnsi="Arial"/>
                <w:sz w:val="18"/>
                <w:szCs w:val="18"/>
                <w:color w:val="auto"/>
              </w:rPr>
              <w:t>MS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Bellevue</w:t>
            </w:r>
          </w:p>
        </w:tc>
        <w:tc>
          <w:tcPr>
            <w:tcW w:w="1240" w:type="dxa"/>
            <w:vAlign w:val="bottom"/>
          </w:tcPr>
          <w:p>
            <w:pPr>
              <w:ind w:left="840"/>
              <w:spacing w:after="0"/>
              <w:rPr>
                <w:sz w:val="20"/>
                <w:szCs w:val="20"/>
                <w:color w:val="auto"/>
              </w:rPr>
            </w:pPr>
            <w:r>
              <w:rPr>
                <w:rFonts w:ascii="Arial" w:cs="Arial" w:eastAsia="Arial" w:hAnsi="Arial"/>
                <w:sz w:val="18"/>
                <w:szCs w:val="18"/>
                <w:color w:val="auto"/>
              </w:rPr>
              <w:t>WA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Altamonte Springs</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Natchez</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Bothell</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Aventura</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Ocean Springs</w:t>
            </w:r>
          </w:p>
        </w:tc>
        <w:tc>
          <w:tcPr>
            <w:tcW w:w="1140" w:type="dxa"/>
            <w:vAlign w:val="bottom"/>
          </w:tcPr>
          <w:p>
            <w:pPr>
              <w:ind w:left="760"/>
              <w:spacing w:after="0"/>
              <w:rPr>
                <w:sz w:val="20"/>
                <w:szCs w:val="20"/>
                <w:color w:val="auto"/>
              </w:rPr>
            </w:pPr>
            <w:r>
              <w:rPr>
                <w:rFonts w:ascii="Arial" w:cs="Arial" w:eastAsia="Arial" w:hAnsi="Arial"/>
                <w:sz w:val="18"/>
                <w:szCs w:val="18"/>
                <w:color w:val="auto"/>
              </w:rPr>
              <w:t>MS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Kirkland</w:t>
            </w:r>
          </w:p>
        </w:tc>
        <w:tc>
          <w:tcPr>
            <w:tcW w:w="1240" w:type="dxa"/>
            <w:vAlign w:val="bottom"/>
          </w:tcPr>
          <w:p>
            <w:pPr>
              <w:ind w:left="840"/>
              <w:spacing w:after="0"/>
              <w:rPr>
                <w:sz w:val="20"/>
                <w:szCs w:val="20"/>
                <w:color w:val="auto"/>
              </w:rPr>
            </w:pPr>
            <w:r>
              <w:rPr>
                <w:rFonts w:ascii="Arial" w:cs="Arial" w:eastAsia="Arial" w:hAnsi="Arial"/>
                <w:sz w:val="18"/>
                <w:szCs w:val="18"/>
                <w:color w:val="auto"/>
              </w:rPr>
              <w:t>WA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Boca Raton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Pearl</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Lynnwood</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Boynton Beach</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Ridgeland</w:t>
            </w:r>
          </w:p>
        </w:tc>
        <w:tc>
          <w:tcPr>
            <w:tcW w:w="1140" w:type="dxa"/>
            <w:vAlign w:val="bottom"/>
          </w:tcPr>
          <w:p>
            <w:pPr>
              <w:ind w:left="760"/>
              <w:spacing w:after="0"/>
              <w:rPr>
                <w:sz w:val="20"/>
                <w:szCs w:val="20"/>
                <w:color w:val="auto"/>
              </w:rPr>
            </w:pPr>
            <w:r>
              <w:rPr>
                <w:rFonts w:ascii="Arial" w:cs="Arial" w:eastAsia="Arial" w:hAnsi="Arial"/>
                <w:sz w:val="18"/>
                <w:szCs w:val="18"/>
                <w:color w:val="auto"/>
              </w:rPr>
              <w:t>MS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Redmond</w:t>
            </w:r>
          </w:p>
        </w:tc>
        <w:tc>
          <w:tcPr>
            <w:tcW w:w="1240" w:type="dxa"/>
            <w:vAlign w:val="bottom"/>
          </w:tcPr>
          <w:p>
            <w:pPr>
              <w:ind w:left="840"/>
              <w:spacing w:after="0"/>
              <w:rPr>
                <w:sz w:val="20"/>
                <w:szCs w:val="20"/>
                <w:color w:val="auto"/>
              </w:rPr>
            </w:pPr>
            <w:r>
              <w:rPr>
                <w:rFonts w:ascii="Arial" w:cs="Arial" w:eastAsia="Arial" w:hAnsi="Arial"/>
                <w:sz w:val="18"/>
                <w:szCs w:val="18"/>
                <w:color w:val="auto"/>
              </w:rPr>
              <w:t>WA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Dania Beach</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Tupelo</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MS</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Seattle</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Fort Lauderdale</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Asheville</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Spokane</w:t>
            </w:r>
          </w:p>
        </w:tc>
        <w:tc>
          <w:tcPr>
            <w:tcW w:w="1240" w:type="dxa"/>
            <w:vAlign w:val="bottom"/>
          </w:tcPr>
          <w:p>
            <w:pPr>
              <w:ind w:left="840"/>
              <w:spacing w:after="0"/>
              <w:rPr>
                <w:sz w:val="20"/>
                <w:szCs w:val="20"/>
                <w:color w:val="auto"/>
              </w:rPr>
            </w:pPr>
            <w:r>
              <w:rPr>
                <w:rFonts w:ascii="Arial" w:cs="Arial" w:eastAsia="Arial" w:hAnsi="Arial"/>
                <w:sz w:val="18"/>
                <w:szCs w:val="18"/>
                <w:color w:val="auto"/>
              </w:rPr>
              <w:t>WA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Fort Meyers</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Carolina Beach</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Tacoma</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Jacksonville</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Charlotte</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Tukwila</w:t>
            </w:r>
          </w:p>
        </w:tc>
        <w:tc>
          <w:tcPr>
            <w:tcW w:w="1240" w:type="dxa"/>
            <w:vAlign w:val="bottom"/>
          </w:tcPr>
          <w:p>
            <w:pPr>
              <w:ind w:left="840"/>
              <w:spacing w:after="0"/>
              <w:rPr>
                <w:sz w:val="20"/>
                <w:szCs w:val="20"/>
                <w:color w:val="auto"/>
              </w:rPr>
            </w:pPr>
            <w:r>
              <w:rPr>
                <w:rFonts w:ascii="Arial" w:cs="Arial" w:eastAsia="Arial" w:hAnsi="Arial"/>
                <w:sz w:val="18"/>
                <w:szCs w:val="18"/>
                <w:color w:val="auto"/>
              </w:rPr>
              <w:t>WA</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Kendall</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Durham</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Woodinville</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WA</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Key Largo/Tavernier</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Gastonia</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Green Bay</w:t>
            </w:r>
          </w:p>
        </w:tc>
        <w:tc>
          <w:tcPr>
            <w:tcW w:w="1240" w:type="dxa"/>
            <w:vAlign w:val="bottom"/>
          </w:tcPr>
          <w:p>
            <w:pPr>
              <w:ind w:left="840"/>
              <w:spacing w:after="0"/>
              <w:rPr>
                <w:sz w:val="20"/>
                <w:szCs w:val="20"/>
                <w:color w:val="auto"/>
              </w:rPr>
            </w:pPr>
            <w:r>
              <w:rPr>
                <w:rFonts w:ascii="Arial" w:cs="Arial" w:eastAsia="Arial" w:hAnsi="Arial"/>
                <w:sz w:val="18"/>
                <w:szCs w:val="18"/>
                <w:color w:val="auto"/>
              </w:rPr>
              <w:t>WI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Key West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Goldsboro</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Kenosha</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Lake City</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Greensboro</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Kimberly</w:t>
            </w:r>
          </w:p>
        </w:tc>
        <w:tc>
          <w:tcPr>
            <w:tcW w:w="1240" w:type="dxa"/>
            <w:vAlign w:val="bottom"/>
          </w:tcPr>
          <w:p>
            <w:pPr>
              <w:ind w:left="840"/>
              <w:spacing w:after="0"/>
              <w:rPr>
                <w:sz w:val="20"/>
                <w:szCs w:val="20"/>
                <w:color w:val="auto"/>
              </w:rPr>
            </w:pPr>
            <w:r>
              <w:rPr>
                <w:rFonts w:ascii="Arial" w:cs="Arial" w:eastAsia="Arial" w:hAnsi="Arial"/>
                <w:sz w:val="18"/>
                <w:szCs w:val="18"/>
                <w:color w:val="auto"/>
              </w:rPr>
              <w:t>WI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Lake Mary</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Morrisville</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Madison</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Lakeland</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Raleigh</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Milwaukee</w:t>
            </w:r>
          </w:p>
        </w:tc>
        <w:tc>
          <w:tcPr>
            <w:tcW w:w="1240" w:type="dxa"/>
            <w:vAlign w:val="bottom"/>
          </w:tcPr>
          <w:p>
            <w:pPr>
              <w:ind w:left="840"/>
              <w:spacing w:after="0"/>
              <w:rPr>
                <w:sz w:val="20"/>
                <w:szCs w:val="20"/>
                <w:color w:val="auto"/>
              </w:rPr>
            </w:pPr>
            <w:r>
              <w:rPr>
                <w:rFonts w:ascii="Arial" w:cs="Arial" w:eastAsia="Arial" w:hAnsi="Arial"/>
                <w:sz w:val="18"/>
                <w:szCs w:val="18"/>
                <w:color w:val="auto"/>
              </w:rPr>
              <w:t>WI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Marathon</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Shelby</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Mukwonago</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Maitland</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Wilmington</w:t>
            </w:r>
          </w:p>
        </w:tc>
        <w:tc>
          <w:tcPr>
            <w:tcW w:w="1140" w:type="dxa"/>
            <w:vAlign w:val="bottom"/>
          </w:tcPr>
          <w:p>
            <w:pPr>
              <w:ind w:left="760"/>
              <w:spacing w:after="0"/>
              <w:rPr>
                <w:sz w:val="20"/>
                <w:szCs w:val="20"/>
                <w:color w:val="auto"/>
              </w:rPr>
            </w:pPr>
            <w:r>
              <w:rPr>
                <w:rFonts w:ascii="Arial" w:cs="Arial" w:eastAsia="Arial" w:hAnsi="Arial"/>
                <w:sz w:val="18"/>
                <w:szCs w:val="18"/>
                <w:color w:val="auto"/>
              </w:rPr>
              <w:t>NC</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Oshkosh</w:t>
            </w:r>
          </w:p>
        </w:tc>
        <w:tc>
          <w:tcPr>
            <w:tcW w:w="1240" w:type="dxa"/>
            <w:vAlign w:val="bottom"/>
          </w:tcPr>
          <w:p>
            <w:pPr>
              <w:ind w:left="840"/>
              <w:spacing w:after="0"/>
              <w:rPr>
                <w:sz w:val="20"/>
                <w:szCs w:val="20"/>
                <w:color w:val="auto"/>
              </w:rPr>
            </w:pPr>
            <w:r>
              <w:rPr>
                <w:rFonts w:ascii="Arial" w:cs="Arial" w:eastAsia="Arial" w:hAnsi="Arial"/>
                <w:sz w:val="18"/>
                <w:szCs w:val="18"/>
                <w:color w:val="auto"/>
              </w:rPr>
              <w:t>WI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Melbourne</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Winston Salem</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NC</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Pewaukee</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Miami</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Omaha</w:t>
            </w:r>
          </w:p>
        </w:tc>
        <w:tc>
          <w:tcPr>
            <w:tcW w:w="1140" w:type="dxa"/>
            <w:vAlign w:val="bottom"/>
          </w:tcPr>
          <w:p>
            <w:pPr>
              <w:ind w:left="760"/>
              <w:spacing w:after="0"/>
              <w:rPr>
                <w:sz w:val="20"/>
                <w:szCs w:val="20"/>
                <w:color w:val="auto"/>
              </w:rPr>
            </w:pPr>
            <w:r>
              <w:rPr>
                <w:rFonts w:ascii="Arial" w:cs="Arial" w:eastAsia="Arial" w:hAnsi="Arial"/>
                <w:sz w:val="18"/>
                <w:szCs w:val="18"/>
                <w:color w:val="auto"/>
              </w:rPr>
              <w:t>NE</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Waukesha</w:t>
            </w:r>
          </w:p>
        </w:tc>
        <w:tc>
          <w:tcPr>
            <w:tcW w:w="1240" w:type="dxa"/>
            <w:vAlign w:val="bottom"/>
          </w:tcPr>
          <w:p>
            <w:pPr>
              <w:ind w:left="840"/>
              <w:spacing w:after="0"/>
              <w:rPr>
                <w:sz w:val="20"/>
                <w:szCs w:val="20"/>
                <w:color w:val="auto"/>
              </w:rPr>
            </w:pPr>
            <w:r>
              <w:rPr>
                <w:rFonts w:ascii="Arial" w:cs="Arial" w:eastAsia="Arial" w:hAnsi="Arial"/>
                <w:sz w:val="18"/>
                <w:szCs w:val="18"/>
                <w:color w:val="auto"/>
              </w:rPr>
              <w:t>WI</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Miami Beach</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Basking Ridge</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NJ</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Wauwatosa</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Orlando</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Bernardsville</w:t>
            </w:r>
          </w:p>
        </w:tc>
        <w:tc>
          <w:tcPr>
            <w:tcW w:w="1140" w:type="dxa"/>
            <w:vAlign w:val="bottom"/>
          </w:tcPr>
          <w:p>
            <w:pPr>
              <w:ind w:left="760"/>
              <w:spacing w:after="0"/>
              <w:rPr>
                <w:sz w:val="20"/>
                <w:szCs w:val="20"/>
                <w:color w:val="auto"/>
              </w:rPr>
            </w:pPr>
            <w:r>
              <w:rPr>
                <w:rFonts w:ascii="Arial" w:cs="Arial" w:eastAsia="Arial" w:hAnsi="Arial"/>
                <w:sz w:val="18"/>
                <w:szCs w:val="18"/>
                <w:color w:val="auto"/>
              </w:rPr>
              <w:t>NJ</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Beckley</w:t>
            </w:r>
          </w:p>
        </w:tc>
        <w:tc>
          <w:tcPr>
            <w:tcW w:w="1240" w:type="dxa"/>
            <w:vAlign w:val="bottom"/>
          </w:tcPr>
          <w:p>
            <w:pPr>
              <w:ind w:left="840"/>
              <w:spacing w:after="0"/>
              <w:rPr>
                <w:sz w:val="20"/>
                <w:szCs w:val="20"/>
                <w:color w:val="auto"/>
              </w:rPr>
            </w:pPr>
            <w:r>
              <w:rPr>
                <w:rFonts w:ascii="Arial" w:cs="Arial" w:eastAsia="Arial" w:hAnsi="Arial"/>
                <w:sz w:val="18"/>
                <w:szCs w:val="18"/>
                <w:color w:val="auto"/>
              </w:rPr>
              <w:t>WV</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Palm Beach</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Bridgewater</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NJ</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Charleston</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WV</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Panama City</w:t>
            </w:r>
          </w:p>
        </w:tc>
        <w:tc>
          <w:tcPr>
            <w:tcW w:w="1120" w:type="dxa"/>
            <w:vAlign w:val="bottom"/>
          </w:tcPr>
          <w:p>
            <w:pPr>
              <w:ind w:left="780"/>
              <w:spacing w:after="0"/>
              <w:rPr>
                <w:sz w:val="20"/>
                <w:szCs w:val="20"/>
                <w:color w:val="auto"/>
              </w:rPr>
            </w:pPr>
            <w:r>
              <w:rPr>
                <w:rFonts w:ascii="Arial" w:cs="Arial" w:eastAsia="Arial" w:hAnsi="Arial"/>
                <w:sz w:val="18"/>
                <w:szCs w:val="18"/>
                <w:color w:val="auto"/>
              </w:rPr>
              <w:t>FL</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Cranbury</w:t>
            </w:r>
          </w:p>
        </w:tc>
        <w:tc>
          <w:tcPr>
            <w:tcW w:w="1140" w:type="dxa"/>
            <w:vAlign w:val="bottom"/>
          </w:tcPr>
          <w:p>
            <w:pPr>
              <w:ind w:left="760"/>
              <w:spacing w:after="0"/>
              <w:rPr>
                <w:sz w:val="20"/>
                <w:szCs w:val="20"/>
                <w:color w:val="auto"/>
              </w:rPr>
            </w:pPr>
            <w:r>
              <w:rPr>
                <w:rFonts w:ascii="Arial" w:cs="Arial" w:eastAsia="Arial" w:hAnsi="Arial"/>
                <w:sz w:val="18"/>
                <w:szCs w:val="18"/>
                <w:color w:val="auto"/>
              </w:rPr>
              <w:t>NJ</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ind w:left="100"/>
              <w:spacing w:after="0"/>
              <w:rPr>
                <w:sz w:val="20"/>
                <w:szCs w:val="20"/>
                <w:color w:val="auto"/>
              </w:rPr>
            </w:pPr>
            <w:r>
              <w:rPr>
                <w:rFonts w:ascii="Arial" w:cs="Arial" w:eastAsia="Arial" w:hAnsi="Arial"/>
                <w:sz w:val="18"/>
                <w:szCs w:val="18"/>
                <w:color w:val="auto"/>
              </w:rPr>
              <w:t>Hurricane</w:t>
            </w:r>
          </w:p>
        </w:tc>
        <w:tc>
          <w:tcPr>
            <w:tcW w:w="1240" w:type="dxa"/>
            <w:vAlign w:val="bottom"/>
          </w:tcPr>
          <w:p>
            <w:pPr>
              <w:ind w:left="840"/>
              <w:spacing w:after="0"/>
              <w:rPr>
                <w:sz w:val="20"/>
                <w:szCs w:val="20"/>
                <w:color w:val="auto"/>
              </w:rPr>
            </w:pPr>
            <w:r>
              <w:rPr>
                <w:rFonts w:ascii="Arial" w:cs="Arial" w:eastAsia="Arial" w:hAnsi="Arial"/>
                <w:sz w:val="18"/>
                <w:szCs w:val="18"/>
                <w:color w:val="auto"/>
              </w:rPr>
              <w:t>WV</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Pensacola</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FL</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Eatontown</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NJ</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3" w:right="3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21,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and as amended by Amendment No. 20 effective June 28, 2012 (collectively, the “Agreement”) and</w:t>
      </w:r>
    </w:p>
    <w:p>
      <w:pPr>
        <w:spacing w:after="0" w:line="17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 and</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A new Section 2.51, “AT&amp;T Data,” is hereby added to </w:t>
      </w:r>
      <w:r>
        <w:rPr>
          <w:rFonts w:ascii="Arial" w:cs="Arial" w:eastAsia="Arial" w:hAnsi="Arial"/>
          <w:sz w:val="18"/>
          <w:szCs w:val="18"/>
          <w:b w:val="1"/>
          <w:bCs w:val="1"/>
          <w:color w:val="auto"/>
        </w:rPr>
        <w:t>ARTICLE II - DEFINITIONS</w:t>
      </w:r>
      <w:r>
        <w:rPr>
          <w:rFonts w:ascii="Arial" w:cs="Arial" w:eastAsia="Arial" w:hAnsi="Arial"/>
          <w:sz w:val="18"/>
          <w:szCs w:val="18"/>
          <w:color w:val="auto"/>
        </w:rPr>
        <w:t xml:space="preserve"> as follows:</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b w:val="1"/>
          <w:bCs w:val="1"/>
          <w:color w:val="auto"/>
        </w:rPr>
        <w:t xml:space="preserve">2.51  “AT&amp;T Data” </w:t>
      </w:r>
      <w:r>
        <w:rPr>
          <w:rFonts w:ascii="Arial" w:cs="Arial" w:eastAsia="Arial" w:hAnsi="Arial"/>
          <w:sz w:val="17"/>
          <w:szCs w:val="17"/>
          <w:color w:val="auto"/>
        </w:rPr>
        <w:t>means any data or information of AT&amp;T, and any data or information of the customers of AT&amp;T, that is provided to or obtained</w:t>
      </w:r>
    </w:p>
    <w:p>
      <w:pPr>
        <w:spacing w:after="0" w:line="38" w:lineRule="exact"/>
        <w:rPr>
          <w:rFonts w:ascii="Arial" w:cs="Arial" w:eastAsia="Arial" w:hAnsi="Arial"/>
          <w:sz w:val="18"/>
          <w:szCs w:val="18"/>
          <w:color w:val="auto"/>
        </w:rPr>
      </w:pPr>
    </w:p>
    <w:p>
      <w:pPr>
        <w:ind w:left="900" w:right="640"/>
        <w:spacing w:after="0" w:line="323" w:lineRule="auto"/>
        <w:rPr>
          <w:rFonts w:ascii="Arial" w:cs="Arial" w:eastAsia="Arial" w:hAnsi="Arial"/>
          <w:sz w:val="18"/>
          <w:szCs w:val="18"/>
          <w:color w:val="auto"/>
        </w:rPr>
      </w:pPr>
      <w:r>
        <w:rPr>
          <w:rFonts w:ascii="Arial" w:cs="Arial" w:eastAsia="Arial" w:hAnsi="Arial"/>
          <w:sz w:val="16"/>
          <w:szCs w:val="16"/>
          <w:color w:val="auto"/>
        </w:rPr>
        <w:t>by Amdocs in the performance of its obligations under this Agreement, including Customer Information, user identification numbers and passwords provided for access or use of AT&amp;T Software, Equipment or Systems, data and information with respect to the businesses,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9" w:name="page350"/>
    <w:bookmarkEnd w:id="34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02026713.A.021</w:t>
      </w:r>
    </w:p>
    <w:p>
      <w:pPr>
        <w:spacing w:after="0" w:line="181"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customer, operations, facilities, products, rates, regulatory compliance, competitors, consumer markets, assets, expenditures, mergers, acquisitions, divestitures, billings, collections, revenues and finances of AT&amp;T. “AT&amp;T Data” also means any data or information created, generated, collected or processed by Amdocs in the performance of its obligations under this Agreement, including data processing input and output, service level measurements, asset information, third party service and product agreements, contract charges and retained and pass-through expenses.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G. O’Brien</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Madsen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G. O’Brien</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Madsen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Title:  Treasurer</w:t>
            </w:r>
          </w:p>
        </w:tc>
        <w:tc>
          <w:tcPr>
            <w:tcW w:w="4200" w:type="dxa"/>
            <w:vAlign w:val="bottom"/>
            <w:tcBorders>
              <w:top w:val="single" w:sz="8" w:color="auto"/>
            </w:tcBorders>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spacing w:after="0"/>
              <w:rPr>
                <w:sz w:val="20"/>
                <w:szCs w:val="20"/>
                <w:color w:val="auto"/>
              </w:rPr>
            </w:pPr>
            <w:r>
              <w:rPr>
                <w:rFonts w:ascii="Arial" w:cs="Arial" w:eastAsia="Arial" w:hAnsi="Arial"/>
                <w:sz w:val="18"/>
                <w:szCs w:val="18"/>
                <w:color w:val="auto"/>
              </w:rPr>
              <w:t>July 20, 2012</w:t>
            </w:r>
          </w:p>
        </w:tc>
        <w:tc>
          <w:tcPr>
            <w:tcW w:w="0" w:type="dxa"/>
            <w:vAlign w:val="bottom"/>
          </w:tcPr>
          <w:p>
            <w:pPr>
              <w:spacing w:after="0" w:line="20" w:lineRule="exact"/>
              <w:rPr>
                <w:sz w:val="1"/>
                <w:szCs w:val="1"/>
                <w:color w:val="auto"/>
              </w:rPr>
            </w:pPr>
          </w:p>
        </w:tc>
      </w:tr>
      <w:tr>
        <w:trPr>
          <w:trHeight w:val="390"/>
        </w:trPr>
        <w:tc>
          <w:tcPr>
            <w:tcW w:w="5480" w:type="dxa"/>
            <w:vAlign w:val="bottom"/>
            <w:gridSpan w:val="4"/>
          </w:tcPr>
          <w:p>
            <w:pPr>
              <w:spacing w:after="0"/>
              <w:rPr>
                <w:sz w:val="20"/>
                <w:szCs w:val="20"/>
                <w:color w:val="auto"/>
              </w:rPr>
            </w:pPr>
            <w:r>
              <w:rPr>
                <w:rFonts w:ascii="Arial" w:cs="Arial" w:eastAsia="Arial" w:hAnsi="Arial"/>
                <w:sz w:val="18"/>
                <w:szCs w:val="18"/>
                <w:color w:val="auto"/>
              </w:rPr>
              <w:t>Date: 7-23-2012</w:t>
            </w:r>
          </w:p>
        </w:tc>
        <w:tc>
          <w:tcPr>
            <w:tcW w:w="800" w:type="dxa"/>
            <w:vAlign w:val="bottom"/>
            <w:gridSpan w:val="2"/>
            <w:vMerge w:val="continue"/>
          </w:tcPr>
          <w:p>
            <w:pPr>
              <w:spacing w:after="0"/>
              <w:rPr>
                <w:sz w:val="24"/>
                <w:szCs w:val="24"/>
                <w:color w:val="auto"/>
              </w:rPr>
            </w:pPr>
          </w:p>
        </w:tc>
        <w:tc>
          <w:tcPr>
            <w:tcW w:w="4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25,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(collectively, the “Agreement”) and</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in accordance with Amendment 24 is set to expire by its terms on March 31, 2013 (the “Prior Expiration Date”); and</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extend its term and to formalize the validity and continuation of the Agreement since its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August 7, 2003;</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2" w:name="page353"/>
    <w:bookmarkEnd w:id="35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460" w:right="200" w:hanging="452"/>
        <w:spacing w:after="0" w:line="277" w:lineRule="auto"/>
        <w:tabs>
          <w:tab w:leader="none" w:pos="46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The Agreement is extended as set forth below; and the Agreement shall be deemed to have been in effect continuously since the Agreement Effective Date.</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For purposes of extending the term of the Agreement, Section 3.32, “Term of Agreement”, is deleted in its entirety and replaced with the following:</w:t>
      </w:r>
    </w:p>
    <w:p>
      <w:pPr>
        <w:spacing w:after="0" w:line="34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7"/>
          <w:szCs w:val="17"/>
          <w:b w:val="1"/>
          <w:bCs w:val="1"/>
          <w:color w:val="auto"/>
        </w:rPr>
      </w:pPr>
    </w:p>
    <w:p>
      <w:pPr>
        <w:ind w:left="460" w:right="50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This Agreement with an Effective Date of August 7, 2003, shall remain in effect for a term ending on June 30, 2013, unless earlier Terminated or Canceled as provided in this Agreement. The Parties may extend the term of this Agreement by agreement in writing.</w:t>
      </w:r>
    </w:p>
    <w:p>
      <w:pPr>
        <w:spacing w:after="0" w:line="51" w:lineRule="exact"/>
        <w:rPr>
          <w:rFonts w:ascii="Arial" w:cs="Arial" w:eastAsia="Arial" w:hAnsi="Arial"/>
          <w:sz w:val="17"/>
          <w:szCs w:val="17"/>
          <w:b w:val="1"/>
          <w:bCs w:val="1"/>
          <w:color w:val="auto"/>
        </w:rPr>
      </w:pPr>
    </w:p>
    <w:p>
      <w:pPr>
        <w:ind w:left="460" w:right="20" w:hanging="452"/>
        <w:spacing w:after="0" w:line="277" w:lineRule="auto"/>
        <w:tabs>
          <w:tab w:leader="none" w:pos="46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For purposes of changing payment terms of the Agreement, Section 3.16.B, “Invoicing and Payment”, is hereby deleted in its entirety and replaced with the following:</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Section 3.16.B Invoicing and Payment</w:t>
      </w:r>
    </w:p>
    <w:p>
      <w:pPr>
        <w:spacing w:after="0" w:line="121" w:lineRule="exact"/>
        <w:rPr>
          <w:rFonts w:ascii="Arial" w:cs="Arial" w:eastAsia="Arial" w:hAnsi="Arial"/>
          <w:sz w:val="18"/>
          <w:szCs w:val="18"/>
          <w:b w:val="1"/>
          <w:bCs w:val="1"/>
          <w:color w:val="auto"/>
        </w:rPr>
      </w:pPr>
    </w:p>
    <w:p>
      <w:pPr>
        <w:ind w:left="4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invoice shall specify in detail, where applicable (1) quantities of each ordered item, (2) unit prices of each ordered item, (3) the estimated amount of tax per item, (4) any relevant item and commodity codes known to Amdocs, (5) total amounts for each item, (6) total estimated amount of applicable sales or use taxes, (7) discounts, (8) shipping charges, and (9) total amount due. AT&amp;T shall pay Supplier in accordance with the prices set forth in this Agreement [**] of the date of receipt of the invoice. Payment for Material or Services not conforming to the Specifications (in the event of payments due upon Acceptance), and portions of any invoice in dispute, may be withheld by AT&amp;T until such problem has been resolved in accordance with the escalation and arbitration mechanisms described in Sections 4.7. If AT&amp;T disputes any invoice rendered or amount paid, AT&amp;T shall promptly so notify Supplier. The Parties shall use their best efforts to resolve such dispute expeditiously, including escalation in accordance with Section 4.7 (A), if necessary.</w:t>
      </w:r>
    </w:p>
    <w:p>
      <w:pPr>
        <w:spacing w:after="0" w:line="192"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term “Leadership Council” and all references thereto are deleted throughout the Agreement and associated Amendments, and where the Parties so agree in an applicable Work Order, is replaced by Section 4.7.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53" w:name="page354"/>
    <w:bookmarkEnd w:id="353"/>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Michael Saeger</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Phillip S. Castle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Michael Saeger</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Phillip S. Castle</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w w:val="99"/>
              </w:rPr>
              <w:t>Title:  Treasurer</w:t>
            </w:r>
          </w:p>
        </w:tc>
        <w:tc>
          <w:tcPr>
            <w:tcW w:w="4200" w:type="dxa"/>
            <w:vAlign w:val="bottom"/>
            <w:tcBorders>
              <w:top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color w:val="auto"/>
              </w:rPr>
              <w:t>Date: 3-22-2013</w:t>
            </w:r>
          </w:p>
        </w:tc>
        <w:tc>
          <w:tcPr>
            <w:tcW w:w="0" w:type="dxa"/>
            <w:vAlign w:val="bottom"/>
          </w:tcPr>
          <w:p>
            <w:pPr>
              <w:spacing w:after="0" w:line="20" w:lineRule="exact"/>
              <w:rPr>
                <w:sz w:val="1"/>
                <w:szCs w:val="1"/>
                <w:color w:val="auto"/>
              </w:rPr>
            </w:pPr>
          </w:p>
        </w:tc>
      </w:tr>
      <w:tr>
        <w:trPr>
          <w:trHeight w:val="385"/>
        </w:trPr>
        <w:tc>
          <w:tcPr>
            <w:tcW w:w="5480" w:type="dxa"/>
            <w:vAlign w:val="bottom"/>
            <w:gridSpan w:val="4"/>
          </w:tcPr>
          <w:p>
            <w:pPr>
              <w:spacing w:after="0"/>
              <w:rPr>
                <w:sz w:val="20"/>
                <w:szCs w:val="20"/>
                <w:color w:val="auto"/>
              </w:rPr>
            </w:pPr>
            <w:r>
              <w:rPr>
                <w:rFonts w:ascii="Arial" w:cs="Arial" w:eastAsia="Arial" w:hAnsi="Arial"/>
                <w:sz w:val="18"/>
                <w:szCs w:val="18"/>
                <w:color w:val="auto"/>
              </w:rPr>
              <w:t>Date: 3-22-2013</w:t>
            </w:r>
          </w:p>
        </w:tc>
        <w:tc>
          <w:tcPr>
            <w:tcW w:w="57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26,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and as amended by Amendment No. 25 effective March 22, 2013 (collectively, the “Agreement”) 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900" w:right="100" w:hanging="446"/>
        <w:spacing w:after="0" w:line="277" w:lineRule="auto"/>
        <w:tabs>
          <w:tab w:leader="none" w:pos="90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any Work Order or Order that was executed pursuant to the Agreement prior to March 22, 2013, the Parties agree that the payment terms for any invoices issued by Amdocs to AT&amp;T [**], shall be [**].</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56" w:name="page357"/>
    <w:bookmarkEnd w:id="356"/>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Madsen</w:t>
            </w:r>
          </w:p>
        </w:tc>
      </w:tr>
      <w:tr>
        <w:trPr>
          <w:trHeight w:val="20"/>
        </w:trPr>
        <w:tc>
          <w:tcPr>
            <w:tcW w:w="3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Madsen</w:t>
            </w:r>
          </w:p>
        </w:tc>
      </w:tr>
      <w:tr>
        <w:trPr>
          <w:trHeight w:val="331"/>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President</w:t>
            </w:r>
          </w:p>
        </w:tc>
        <w:tc>
          <w:tcPr>
            <w:tcW w:w="4200" w:type="dxa"/>
            <w:vAlign w:val="bottom"/>
            <w:tcBorders>
              <w:top w:val="single" w:sz="8" w:color="auto"/>
              <w:bottom w:val="single" w:sz="8" w:color="auto"/>
            </w:tcBorders>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Title:  Senior Contract Manager</w:t>
            </w:r>
          </w:p>
        </w:tc>
      </w:tr>
      <w:tr>
        <w:trPr>
          <w:trHeight w:val="412"/>
        </w:trPr>
        <w:tc>
          <w:tcPr>
            <w:tcW w:w="500" w:type="dxa"/>
            <w:vAlign w:val="bottom"/>
            <w:gridSpan w:val="2"/>
          </w:tcPr>
          <w:p>
            <w:pPr>
              <w:spacing w:after="0"/>
              <w:rPr>
                <w:sz w:val="20"/>
                <w:szCs w:val="20"/>
                <w:color w:val="auto"/>
              </w:rPr>
            </w:pPr>
            <w:r>
              <w:rPr>
                <w:rFonts w:ascii="Arial" w:cs="Arial" w:eastAsia="Arial" w:hAnsi="Arial"/>
                <w:sz w:val="18"/>
                <w:szCs w:val="18"/>
                <w:color w:val="auto"/>
              </w:rPr>
              <w:t>Date:</w:t>
            </w:r>
          </w:p>
        </w:tc>
        <w:tc>
          <w:tcPr>
            <w:tcW w:w="780" w:type="dxa"/>
            <w:vAlign w:val="bottom"/>
          </w:tcPr>
          <w:p>
            <w:pPr>
              <w:spacing w:after="0"/>
              <w:rPr>
                <w:sz w:val="20"/>
                <w:szCs w:val="20"/>
                <w:color w:val="auto"/>
              </w:rPr>
            </w:pPr>
            <w:r>
              <w:rPr>
                <w:rFonts w:ascii="Arial" w:cs="Arial" w:eastAsia="Arial" w:hAnsi="Arial"/>
                <w:sz w:val="18"/>
                <w:szCs w:val="18"/>
                <w:color w:val="auto"/>
                <w:w w:val="94"/>
              </w:rPr>
              <w:t>4/10/2013</w:t>
            </w:r>
          </w:p>
        </w:tc>
        <w:tc>
          <w:tcPr>
            <w:tcW w:w="4200" w:type="dxa"/>
            <w:vAlign w:val="bottom"/>
          </w:tcPr>
          <w:p>
            <w:pPr>
              <w:spacing w:after="0"/>
              <w:rPr>
                <w:sz w:val="24"/>
                <w:szCs w:val="24"/>
                <w:color w:val="auto"/>
              </w:rPr>
            </w:pP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Date: 4-9-2013</w:t>
            </w: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Reinstatement and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REINSTATEMENT AND AMENDMENT NO. 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Reinstatement and Amendment No. 27,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AT&amp;T and Amdocs are parties to that certain Agreement No. 02026713 for Software and Professional Services, dated as of August 7, 2003,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as amended by Amendment No. 25 effective March 22, 2013; and as amended by Amendment No. 26 effective April 10, 2013 (collectively, the “Agreement”) and</w:t>
      </w:r>
    </w:p>
    <w:p>
      <w:pPr>
        <w:spacing w:after="0" w:line="16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Software Systems Limited and AT&amp;T have entered into that certain Agreement No. 03032360.A.003 pursuant to which AT&amp;T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obtain a license to use Amdocs’ Software;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June 30, 2013 (the “Prior Expiration Date”); and</w:t>
      </w:r>
    </w:p>
    <w:p>
      <w:pPr>
        <w:spacing w:after="0" w:line="22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9" w:name="page360"/>
    <w:bookmarkEnd w:id="35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02026713.A.027</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and to extend its term and to formalize the validity and continuation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its Effective Date of August 7, 2003;</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900" w:right="20" w:hanging="446"/>
        <w:spacing w:after="0" w:line="264" w:lineRule="auto"/>
        <w:tabs>
          <w:tab w:leader="none" w:pos="900"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by them under the Agreement between the Prior Expiration Date and the date when this Amendment is effective.</w:t>
      </w:r>
    </w:p>
    <w:p>
      <w:pPr>
        <w:spacing w:after="0" w:line="86" w:lineRule="exact"/>
        <w:rPr>
          <w:rFonts w:ascii="Arial" w:cs="Arial" w:eastAsia="Arial" w:hAnsi="Arial"/>
          <w:sz w:val="18"/>
          <w:szCs w:val="18"/>
          <w:b w:val="1"/>
          <w:bCs w:val="1"/>
          <w:color w:val="auto"/>
        </w:rPr>
      </w:pPr>
    </w:p>
    <w:p>
      <w:pPr>
        <w:ind w:left="900" w:right="680" w:hanging="446"/>
        <w:spacing w:after="0" w:line="277" w:lineRule="auto"/>
        <w:tabs>
          <w:tab w:leader="none" w:pos="900" w:val="left"/>
        </w:tabs>
        <w:numPr>
          <w:ilvl w:val="0"/>
          <w:numId w:val="368"/>
        </w:numPr>
        <w:rPr>
          <w:rFonts w:ascii="Arial" w:cs="Arial" w:eastAsia="Arial" w:hAnsi="Arial"/>
          <w:sz w:val="18"/>
          <w:szCs w:val="18"/>
          <w:b w:val="1"/>
          <w:bCs w:val="1"/>
          <w:color w:val="auto"/>
        </w:rPr>
      </w:pPr>
      <w:r>
        <w:rPr>
          <w:rFonts w:ascii="Arial" w:cs="Arial" w:eastAsia="Arial" w:hAnsi="Arial"/>
          <w:sz w:val="18"/>
          <w:szCs w:val="18"/>
          <w:color w:val="auto"/>
        </w:rPr>
        <w:t>For purposes of extending the term of the Agreement, Section 3.32, “Term of Agreement”, is deleted in its entirety and replaced with the following:</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3.32. Term of Agreement</w:t>
      </w:r>
    </w:p>
    <w:p>
      <w:pPr>
        <w:spacing w:after="0" w:line="121" w:lineRule="exact"/>
        <w:rPr>
          <w:sz w:val="20"/>
          <w:szCs w:val="20"/>
          <w:color w:val="auto"/>
        </w:rPr>
      </w:pPr>
    </w:p>
    <w:p>
      <w:pPr>
        <w:ind w:left="920" w:right="660"/>
        <w:spacing w:after="0" w:line="342" w:lineRule="auto"/>
        <w:rPr>
          <w:sz w:val="20"/>
          <w:szCs w:val="20"/>
          <w:color w:val="auto"/>
        </w:rPr>
      </w:pPr>
      <w:r>
        <w:rPr>
          <w:rFonts w:ascii="Arial" w:cs="Arial" w:eastAsia="Arial" w:hAnsi="Arial"/>
          <w:sz w:val="16"/>
          <w:szCs w:val="16"/>
          <w:color w:val="auto"/>
        </w:rPr>
        <w:t>This Agreement with an Effective Date of August 7, 2003, shall remain in effect for a term ending on September 30, 2013, unless earlier Terminated or Canceled as provided in this Agreement. The Parties may extend the term of this Agreement by agreement in writing.</w:t>
      </w:r>
    </w:p>
    <w:p>
      <w:pPr>
        <w:spacing w:after="0" w:line="29" w:lineRule="exact"/>
        <w:rPr>
          <w:sz w:val="20"/>
          <w:szCs w:val="20"/>
          <w:color w:val="auto"/>
        </w:rPr>
      </w:pPr>
    </w:p>
    <w:p>
      <w:pPr>
        <w:ind w:left="900" w:hanging="446"/>
        <w:spacing w:after="0"/>
        <w:tabs>
          <w:tab w:leader="none" w:pos="900" w:val="left"/>
        </w:tabs>
        <w:numPr>
          <w:ilvl w:val="0"/>
          <w:numId w:val="369"/>
        </w:numPr>
        <w:rPr>
          <w:rFonts w:ascii="Arial" w:cs="Arial" w:eastAsia="Arial" w:hAnsi="Arial"/>
          <w:sz w:val="17"/>
          <w:szCs w:val="17"/>
          <w:b w:val="1"/>
          <w:bCs w:val="1"/>
          <w:color w:val="auto"/>
        </w:rPr>
      </w:pPr>
      <w:r>
        <w:rPr>
          <w:rFonts w:ascii="Arial" w:cs="Arial" w:eastAsia="Arial" w:hAnsi="Arial"/>
          <w:sz w:val="17"/>
          <w:szCs w:val="17"/>
          <w:color w:val="auto"/>
        </w:rPr>
        <w:t>For purposes of changing AT&amp;T Data definitions, Section 2.51, “AT&amp;T Data”, is deleted in its entirety and replaced with the following:</w:t>
      </w:r>
    </w:p>
    <w:p>
      <w:pPr>
        <w:spacing w:after="0" w:line="34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2.51 “AT&amp;T Data”</w:t>
      </w:r>
    </w:p>
    <w:p>
      <w:pPr>
        <w:spacing w:after="0" w:line="121" w:lineRule="exact"/>
        <w:rPr>
          <w:sz w:val="20"/>
          <w:szCs w:val="20"/>
          <w:color w:val="auto"/>
        </w:rPr>
      </w:pPr>
    </w:p>
    <w:p>
      <w:pPr>
        <w:ind w:left="920"/>
        <w:spacing w:after="0" w:line="283" w:lineRule="auto"/>
        <w:rPr>
          <w:sz w:val="20"/>
          <w:szCs w:val="20"/>
          <w:color w:val="auto"/>
        </w:rPr>
      </w:pPr>
      <w:r>
        <w:rPr>
          <w:rFonts w:ascii="Arial" w:cs="Arial" w:eastAsia="Arial" w:hAnsi="Arial"/>
          <w:sz w:val="16"/>
          <w:szCs w:val="16"/>
          <w:color w:val="auto"/>
        </w:rPr>
        <w:t>“AT&amp;T Data” means any data or information (i) of AT&amp;T or its customers, that is disclosed or provided to Supplier by, or otherwise obtained by Supplier from, AT&amp;T or its customers, including Customer Information and customer proprietary network information (as that term is defined in Section 222 of the Communications Act of 1934, as amended, 47 U.S.C. §222), as well as data and information with respect to the businesses, customers, operations, networks, systems, facilities, products, rates, regulatory compliance, competitors, consumer markets, assets, expenditures, mergers, acquisitions, divestitures, billings, collections, revenues and finances of AT&amp;T; and (ii) not supplied by AT&amp;T or its customers, but created, generated, collected or harvested by Supplier either (a) in furtherance of this Agreement or an Order hereunder or (b) as a result of Supplier having access to AT&amp;T infrastructure, systems, data, hardware, software or processes (for example, through data processing input and output, service level measurements, or ascertainment of network and system information). Notwithstanding the foregoing, the Parties agree that “AT&amp;T Data” shall (1) not be deemed to include material or software (A)(I) created or owned by Amdocs prior to execution of this Agreement or</w:t>
      </w:r>
    </w:p>
    <w:p>
      <w:pPr>
        <w:spacing w:after="0" w:line="7" w:lineRule="exact"/>
        <w:rPr>
          <w:sz w:val="20"/>
          <w:szCs w:val="20"/>
          <w:color w:val="auto"/>
        </w:rPr>
      </w:pPr>
    </w:p>
    <w:p>
      <w:pPr>
        <w:ind w:left="920" w:right="120" w:firstLine="1"/>
        <w:spacing w:after="0" w:line="254" w:lineRule="auto"/>
        <w:tabs>
          <w:tab w:leader="none" w:pos="120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provided under license from third parties by Amdocs prior to execution of this Agreement or (III) created by Amdocs or third parties after execution of this Agreement for a client other than AT&amp;T or (B) that Supplier owns in accordance with this Agreement or as agreed by the Parties in a Work Order, and (2) be deemed to include material or software that is derived from the performance and operation of AT&amp;T Data or AT&amp;T Proprietary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02026713.A.027</w:t>
      </w:r>
    </w:p>
    <w:p>
      <w:pPr>
        <w:spacing w:after="0" w:line="158" w:lineRule="exact"/>
        <w:rPr>
          <w:sz w:val="20"/>
          <w:szCs w:val="20"/>
          <w:color w:val="auto"/>
        </w:rPr>
      </w:pPr>
    </w:p>
    <w:p>
      <w:pPr>
        <w:ind w:left="820" w:hanging="446"/>
        <w:spacing w:after="0"/>
        <w:tabs>
          <w:tab w:leader="none" w:pos="820" w:val="left"/>
        </w:tabs>
        <w:numPr>
          <w:ilvl w:val="0"/>
          <w:numId w:val="371"/>
        </w:numPr>
        <w:rPr>
          <w:rFonts w:ascii="Arial" w:cs="Arial" w:eastAsia="Arial" w:hAnsi="Arial"/>
          <w:sz w:val="18"/>
          <w:szCs w:val="18"/>
          <w:b w:val="1"/>
          <w:bCs w:val="1"/>
          <w:color w:val="auto"/>
        </w:rPr>
      </w:pPr>
      <w:r>
        <w:rPr>
          <w:rFonts w:ascii="Arial" w:cs="Arial" w:eastAsia="Arial" w:hAnsi="Arial"/>
          <w:sz w:val="18"/>
          <w:szCs w:val="18"/>
          <w:color w:val="auto"/>
        </w:rPr>
        <w:t>For purposes of adding AT&amp;T Derived Data definitions, Section 2.52, “AT&amp;T Derived Data”, is being added as follows: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2.52 “AT&amp;T Derived Data”</w:t>
      </w:r>
    </w:p>
    <w:p>
      <w:pPr>
        <w:spacing w:after="0" w:line="121" w:lineRule="exact"/>
        <w:rPr>
          <w:sz w:val="20"/>
          <w:szCs w:val="20"/>
          <w:color w:val="auto"/>
        </w:rPr>
      </w:pPr>
    </w:p>
    <w:p>
      <w:pPr>
        <w:ind w:left="840" w:right="20"/>
        <w:spacing w:after="0" w:line="257" w:lineRule="auto"/>
        <w:rPr>
          <w:sz w:val="20"/>
          <w:szCs w:val="20"/>
          <w:color w:val="auto"/>
        </w:rPr>
      </w:pPr>
      <w:r>
        <w:rPr>
          <w:rFonts w:ascii="Arial" w:cs="Arial" w:eastAsia="Arial" w:hAnsi="Arial"/>
          <w:sz w:val="18"/>
          <w:szCs w:val="18"/>
          <w:color w:val="auto"/>
        </w:rPr>
        <w:t>“AT&amp;T Derived Data” means any data or information that is a result of or modification of, adaption, revision, translation, abridgement, condensation, compilation, evaluation, expansion, or any other recasting or processing of the AT&amp;T Data, for example, as a result of Supplier’s observation, analysis, or visualization of AT&amp;T Data arising out of the performance of Supplier’s obligations. Notwithstanding the foregoing, the Parties agree that “AT&amp;T Derived Data” shall not be deemed to include Supplier’s material or software that does not constitute AT&amp;T Data as set forth in Subsection 1 above.</w:t>
      </w:r>
    </w:p>
    <w:p>
      <w:pPr>
        <w:spacing w:after="0" w:line="94" w:lineRule="exact"/>
        <w:rPr>
          <w:sz w:val="20"/>
          <w:szCs w:val="20"/>
          <w:color w:val="auto"/>
        </w:rPr>
      </w:pPr>
    </w:p>
    <w:p>
      <w:pPr>
        <w:ind w:left="820" w:right="380" w:hanging="446"/>
        <w:spacing w:after="0" w:line="277" w:lineRule="auto"/>
        <w:tabs>
          <w:tab w:leader="none" w:pos="820"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For purposes of addressing Ownership of AT&amp;T Data and AT&amp;T Derived Data, Section 3.37 “Ownership of AT&amp;T Data and AT&amp;T Derived Data”, is being added as follows:</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3.37 “Ownership of AT&amp;T Data and AT&amp;T Derived Data”</w:t>
      </w:r>
    </w:p>
    <w:p>
      <w:pPr>
        <w:spacing w:after="0" w:line="135" w:lineRule="exact"/>
        <w:rPr>
          <w:sz w:val="20"/>
          <w:szCs w:val="20"/>
          <w:color w:val="auto"/>
        </w:rPr>
      </w:pPr>
    </w:p>
    <w:p>
      <w:pPr>
        <w:ind w:left="1400" w:right="20" w:hanging="567"/>
        <w:spacing w:after="0" w:line="268" w:lineRule="auto"/>
        <w:tabs>
          <w:tab w:leader="none" w:pos="14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AT&amp;T Data is the property of AT&amp;T. To the extent needed to perfect AT&amp;T’s ownership in AT&amp;T Data, Supplier hereby assigns all right, title and interest in AT&amp;T Data to AT&amp;T. No transfer of title in AT&amp;T Data is implied or shall occur under this Agreement. AT&amp;T grants to Supplier and its approved subcontractors a license to access, use, and copy the AT&amp;T Data, with no right to grant sublicenses, solely for the performance of Supplier’s obligations during the Term of this Agreement and solely in compliance with AT&amp;T’s privacy policies, including obligations relating to Customer Information as set forth in the Agreement. Supplier shall promptly return AT&amp;T Data, at no cost to AT&amp;T, and in the format and on the media prescribed by AT&amp;T (i) at any time at AT&amp;T’s request, regardless of the expiration or termination of this Agreement, (ii) at the expiration or termination of this Agreement, or (iii) with respect to particular AT&amp;T Data, whenever such data is no longer needed by Supplier to perform its obligations under this Agreement. AT&amp;T Data shall not be (a) utilized by Supplier for any purpose other than as required to fulfill its obligations under this Agreement, (b) sold, assigned, leased, commercially exploited or otherwise provided to or accessed by third parties, whether by or on behalf of Supplier, (c) withheld from AT&amp;T by Supplier, or (d) used by Supplier to assert any lien or other right against or to it. Supplier shall promptly notify AT&amp;T if Supplier believes that any use of AT&amp;T Data by Supplier contemplated under this Agreement or to be undertaken as part of the performance of this Agreement is inconsistent with the preceding sentence.</w:t>
      </w:r>
    </w:p>
    <w:p>
      <w:pPr>
        <w:spacing w:after="0" w:line="93" w:lineRule="exact"/>
        <w:rPr>
          <w:rFonts w:ascii="Arial" w:cs="Arial" w:eastAsia="Arial" w:hAnsi="Arial"/>
          <w:sz w:val="17"/>
          <w:szCs w:val="17"/>
          <w:color w:val="auto"/>
        </w:rPr>
      </w:pPr>
    </w:p>
    <w:p>
      <w:pPr>
        <w:jc w:val="both"/>
        <w:ind w:left="1400" w:right="460" w:hanging="567"/>
        <w:spacing w:after="0" w:line="286" w:lineRule="auto"/>
        <w:tabs>
          <w:tab w:leader="none" w:pos="14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AT&amp;T shall own all right, title and interest to the AT&amp;T Derived Data. To the extent needed to perfect AT&amp;T’s ownership in AT&amp;T Derived Data, Supplier hereby assigns all right, title and interest in AT&amp;T Derived Data to AT&amp;T. AT&amp;T grants to Supplier and its approved subcontractors a license to access, use, and copy the AT&amp;T Derived Data, with</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273" w:right="239" w:bottom="1440" w:gutter="0" w:footer="0" w:header="0"/>
        </w:sectPr>
      </w:pPr>
    </w:p>
    <w:bookmarkStart w:id="361" w:name="page362"/>
    <w:bookmarkEnd w:id="36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02026713.A.027</w:t>
      </w:r>
    </w:p>
    <w:p>
      <w:pPr>
        <w:spacing w:after="0" w:line="181" w:lineRule="exact"/>
        <w:rPr>
          <w:sz w:val="20"/>
          <w:szCs w:val="20"/>
          <w:color w:val="auto"/>
        </w:rPr>
      </w:pPr>
    </w:p>
    <w:p>
      <w:pPr>
        <w:ind w:left="1400" w:right="40"/>
        <w:spacing w:after="0" w:line="253" w:lineRule="auto"/>
        <w:rPr>
          <w:sz w:val="20"/>
          <w:szCs w:val="20"/>
          <w:color w:val="auto"/>
        </w:rPr>
      </w:pPr>
      <w:r>
        <w:rPr>
          <w:rFonts w:ascii="Arial" w:cs="Arial" w:eastAsia="Arial" w:hAnsi="Arial"/>
          <w:sz w:val="18"/>
          <w:szCs w:val="18"/>
          <w:color w:val="auto"/>
        </w:rPr>
        <w:t>no right to grant sublicenses (except to an approved Supplier subcontractor), solely for the performance of Supplier’s obligations during the Term of this Agreement and solely in compliance with AT&amp;T’s privacy policies, including obligations relating to Customer Information. Supplier shall deliver AT&amp;T Derived Data in the format, on the media and in the timing prescribed by AT&amp;T. Such delivery shall be at no cost to AT&amp;T unless the format, media, or timing prescribed by AT&amp;T for delivery would cause Supplier to incur substantial additional costs, in which case Supplier shall so notify AT&amp;T and the Parties shall negotiate in good faith to determine whether the format, media, or timing can be changed to avoid Supplier’s incurring such costs or to determine whether AT&amp;T is willing to reimburse Supplier for such costs. If the Parties fail to agree, the Parties agree to use the Dispute Resolution procedures in the Agreement to resolve the dispute. For the avoidance of doubt, Supplier shall not create or develop AT&amp;T Derived Data after the expiration or termination of this Agreement.</w:t>
      </w:r>
    </w:p>
    <w:p>
      <w:pPr>
        <w:spacing w:after="0" w:line="103" w:lineRule="exact"/>
        <w:rPr>
          <w:sz w:val="20"/>
          <w:szCs w:val="20"/>
          <w:color w:val="auto"/>
        </w:rPr>
      </w:pPr>
    </w:p>
    <w:p>
      <w:pPr>
        <w:ind w:left="1400" w:hanging="567"/>
        <w:spacing w:after="0" w:line="291" w:lineRule="auto"/>
        <w:tabs>
          <w:tab w:leader="none" w:pos="140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provisions of this Section 3.37 shall apply (i) to all AT&amp;T Data and AT&amp;T Derived Data disclosed or otherwise provided to, or created, developed, modified, recast or processed by, Supplier on or after the Effective Date of this Agreement should AT&amp;T request such AT&amp;T Data and AT&amp;T Derived Data and (ii) to all AT&amp;T Data and AT&amp;T Derived Data disclosed or otherwise provided to, or created, developed, modified, recast or processed by Supplier after the effective date of this Amendment No. 27 as part of the Services provided to AT&amp;T under any Work Order that was in effect on the Effective Date of Amendment No.27. Supplier’s obligation to return AT&amp;T Data and AT&amp;T Derived Data upon AT&amp;T’s request shall survive the expiration or termination of this Agreement, but shall not apply to AT&amp;T Data and AT&amp;T Derived Data which, at the time of AT&amp;T’s request for return, is no longer retained by or on behalf of Supplier.</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sectPr>
      </w:pPr>
    </w:p>
    <w:bookmarkStart w:id="362" w:name="page363"/>
    <w:bookmarkEnd w:id="36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02026713.A.027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Reinstatement and Amendment to Agreement No. 02026713 to be executed, which may be in</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 counterparts, each of which will be deemed to be an original but all of which together shall constitute only one instrument, as of the date the last Party signs.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Amdocs, Inc.</w:t>
            </w:r>
          </w:p>
        </w:tc>
        <w:tc>
          <w:tcPr>
            <w:tcW w:w="5760" w:type="dxa"/>
            <w:vAlign w:val="bottom"/>
            <w:gridSpan w:val="3"/>
          </w:tcPr>
          <w:p>
            <w:pPr>
              <w:ind w:left="30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By: /s/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By: /s/ Beverly J. Madsen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80" w:type="dxa"/>
            <w:vAlign w:val="bottom"/>
            <w:gridSpan w:val="4"/>
          </w:tcPr>
          <w:p>
            <w:pPr>
              <w:spacing w:after="0"/>
              <w:rPr>
                <w:sz w:val="20"/>
                <w:szCs w:val="20"/>
                <w:color w:val="auto"/>
              </w:rPr>
            </w:pPr>
            <w:r>
              <w:rPr>
                <w:rFonts w:ascii="Arial" w:cs="Arial" w:eastAsia="Arial" w:hAnsi="Arial"/>
                <w:sz w:val="18"/>
                <w:szCs w:val="18"/>
                <w:color w:val="auto"/>
              </w:rPr>
              <w:t>Printed Name:   Thomas C. Drury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Printed Name:   Beverly J. Madsen</w:t>
            </w:r>
          </w:p>
        </w:tc>
        <w:tc>
          <w:tcPr>
            <w:tcW w:w="0" w:type="dxa"/>
            <w:vAlign w:val="bottom"/>
          </w:tcPr>
          <w:p>
            <w:pPr>
              <w:spacing w:after="0"/>
              <w:rPr>
                <w:sz w:val="1"/>
                <w:szCs w:val="1"/>
                <w:color w:val="auto"/>
              </w:rPr>
            </w:pPr>
          </w:p>
        </w:tc>
      </w:tr>
      <w:tr>
        <w:trPr>
          <w:trHeight w:val="331"/>
        </w:trPr>
        <w:tc>
          <w:tcPr>
            <w:tcW w:w="1280" w:type="dxa"/>
            <w:vAlign w:val="bottom"/>
            <w:gridSpan w:val="3"/>
          </w:tcPr>
          <w:p>
            <w:pPr>
              <w:spacing w:after="0"/>
              <w:rPr>
                <w:sz w:val="20"/>
                <w:szCs w:val="20"/>
                <w:color w:val="auto"/>
              </w:rPr>
            </w:pPr>
            <w:r>
              <w:rPr>
                <w:rFonts w:ascii="Arial" w:cs="Arial" w:eastAsia="Arial" w:hAnsi="Arial"/>
                <w:sz w:val="18"/>
                <w:szCs w:val="18"/>
                <w:color w:val="auto"/>
              </w:rPr>
              <w:t>Title:  President</w:t>
            </w:r>
          </w:p>
        </w:tc>
        <w:tc>
          <w:tcPr>
            <w:tcW w:w="4200" w:type="dxa"/>
            <w:vAlign w:val="bottom"/>
            <w:tcBorders>
              <w:top w:val="single" w:sz="8" w:color="auto"/>
            </w:tcBorders>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Contract Manager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spacing w:after="0"/>
              <w:rPr>
                <w:sz w:val="20"/>
                <w:szCs w:val="20"/>
                <w:color w:val="auto"/>
              </w:rPr>
            </w:pPr>
            <w:r>
              <w:rPr>
                <w:rFonts w:ascii="Arial" w:cs="Arial" w:eastAsia="Arial" w:hAnsi="Arial"/>
                <w:sz w:val="18"/>
                <w:szCs w:val="18"/>
                <w:color w:val="auto"/>
              </w:rPr>
              <w:t>July 17, 2013</w:t>
            </w:r>
          </w:p>
        </w:tc>
        <w:tc>
          <w:tcPr>
            <w:tcW w:w="0" w:type="dxa"/>
            <w:vAlign w:val="bottom"/>
          </w:tcPr>
          <w:p>
            <w:pPr>
              <w:spacing w:after="0" w:line="20" w:lineRule="exact"/>
              <w:rPr>
                <w:sz w:val="1"/>
                <w:szCs w:val="1"/>
                <w:color w:val="auto"/>
              </w:rPr>
            </w:pPr>
          </w:p>
        </w:tc>
      </w:tr>
      <w:tr>
        <w:trPr>
          <w:trHeight w:val="390"/>
        </w:trPr>
        <w:tc>
          <w:tcPr>
            <w:tcW w:w="5480" w:type="dxa"/>
            <w:vAlign w:val="bottom"/>
            <w:gridSpan w:val="4"/>
          </w:tcPr>
          <w:p>
            <w:pPr>
              <w:spacing w:after="0"/>
              <w:rPr>
                <w:sz w:val="20"/>
                <w:szCs w:val="20"/>
                <w:color w:val="auto"/>
              </w:rPr>
            </w:pPr>
            <w:r>
              <w:rPr>
                <w:rFonts w:ascii="Arial" w:cs="Arial" w:eastAsia="Arial" w:hAnsi="Arial"/>
                <w:sz w:val="18"/>
                <w:szCs w:val="18"/>
                <w:color w:val="auto"/>
              </w:rPr>
              <w:t>Date: 7-19-2013</w:t>
            </w:r>
          </w:p>
        </w:tc>
        <w:tc>
          <w:tcPr>
            <w:tcW w:w="800" w:type="dxa"/>
            <w:vAlign w:val="bottom"/>
            <w:gridSpan w:val="2"/>
            <w:vMerge w:val="continue"/>
          </w:tcPr>
          <w:p>
            <w:pPr>
              <w:spacing w:after="0"/>
              <w:rPr>
                <w:sz w:val="24"/>
                <w:szCs w:val="24"/>
                <w:color w:val="auto"/>
              </w:rPr>
            </w:pPr>
          </w:p>
        </w:tc>
        <w:tc>
          <w:tcPr>
            <w:tcW w:w="4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30,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AT&amp;T and Amdocs are parties to that certain Agreement No. 02026713 for Software and Professional Services, dated as of August 7, 2003,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as amended by Amendment No. 25 effective March 22, 2013; as amended by Amendment No. 26 effective April 10, 2013; as amended by Amendment No. 27 effective July 19, 2013; as amended by Amendment No. 28 effective September 30, 2013; and as amended by Amendment No. 29 effective February 28, 2014 (collectively, the “Agreement”) 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September 30, 2014, unless earlier Terminated or Canceled as provided in this Agreement. The Parties may extend the term of this Agreement by agreement in writing.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4" w:lineRule="exact"/>
        <w:rPr>
          <w:sz w:val="20"/>
          <w:szCs w:val="20"/>
          <w:color w:val="auto"/>
        </w:rPr>
      </w:pPr>
    </w:p>
    <w:p>
      <w:pPr>
        <w:ind w:left="460" w:right="120" w:hanging="452"/>
        <w:spacing w:after="0" w:line="282" w:lineRule="auto"/>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Section 3, “AT&amp;T Supplier Information Security Requirements”, of Appendix 8</w:t>
      </w:r>
      <w:r>
        <w:rPr>
          <w:rFonts w:ascii="Arial" w:cs="Arial" w:eastAsia="Arial" w:hAnsi="Arial"/>
          <w:sz w:val="18"/>
          <w:szCs w:val="18"/>
          <w:color w:val="auto"/>
        </w:rPr>
        <w:t>,</w:t>
      </w:r>
      <w:r>
        <w:rPr>
          <w:rFonts w:ascii="Arial" w:cs="Arial" w:eastAsia="Arial" w:hAnsi="Arial"/>
          <w:sz w:val="18"/>
          <w:szCs w:val="18"/>
          <w:b w:val="1"/>
          <w:bCs w:val="1"/>
          <w:color w:val="auto"/>
        </w:rPr>
        <w:t xml:space="preserve"> “AT&amp;T Rules, Supplier Information Security Requirements and Limited Offshore Remote Access”</w:t>
      </w:r>
      <w:r>
        <w:rPr>
          <w:rFonts w:ascii="Arial" w:cs="Arial" w:eastAsia="Arial" w:hAnsi="Arial"/>
          <w:sz w:val="18"/>
          <w:szCs w:val="18"/>
          <w:color w:val="auto"/>
        </w:rPr>
        <w:t>, is deleted in its entirety and replaced with the following:</w:t>
      </w:r>
    </w:p>
    <w:p>
      <w:pPr>
        <w:spacing w:after="0" w:line="310"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AT&amp;T Supplier Information Security Requirements</w:t>
      </w:r>
    </w:p>
    <w:p>
      <w:pPr>
        <w:spacing w:after="0" w:line="121" w:lineRule="exact"/>
        <w:rPr>
          <w:sz w:val="20"/>
          <w:szCs w:val="20"/>
          <w:color w:val="auto"/>
        </w:rPr>
      </w:pPr>
    </w:p>
    <w:p>
      <w:pPr>
        <w:ind w:left="460" w:right="260"/>
        <w:spacing w:after="0" w:line="286" w:lineRule="auto"/>
        <w:rPr>
          <w:sz w:val="20"/>
          <w:szCs w:val="20"/>
          <w:color w:val="auto"/>
        </w:rPr>
      </w:pPr>
      <w:r>
        <w:rPr>
          <w:rFonts w:ascii="Arial" w:cs="Arial" w:eastAsia="Arial" w:hAnsi="Arial"/>
          <w:sz w:val="17"/>
          <w:szCs w:val="17"/>
          <w:color w:val="auto"/>
        </w:rPr>
        <w:t xml:space="preserve">The following AT&amp;T Supplier Information Security Requirements (“Security Requirements”) apply to Amdocs, its affiliates, its Subcontractors, and each of their employees and/or temporary workers, contractors, vendors and/or agents who perform any Services for, on behalf of, and/or through AT&amp;T and/or any other obligations (for the purpose of this Appendix, each or all “Supplier”) that include </w:t>
      </w:r>
      <w:r>
        <w:rPr>
          <w:rFonts w:ascii="Arial" w:cs="Arial" w:eastAsia="Arial" w:hAnsi="Arial"/>
          <w:sz w:val="17"/>
          <w:szCs w:val="17"/>
          <w:b w:val="1"/>
          <w:bCs w:val="1"/>
          <w:u w:val="single" w:color="auto"/>
          <w:color w:val="auto"/>
        </w:rPr>
        <w:t>any</w:t>
      </w:r>
      <w:r>
        <w:rPr>
          <w:rFonts w:ascii="Arial" w:cs="Arial" w:eastAsia="Arial" w:hAnsi="Arial"/>
          <w:sz w:val="17"/>
          <w:szCs w:val="17"/>
          <w:color w:val="auto"/>
        </w:rPr>
        <w:t xml:space="preserve"> of the following</w:t>
      </w:r>
      <w:r>
        <w:rPr>
          <w:rFonts w:ascii="Arial" w:cs="Arial" w:eastAsia="Arial" w:hAnsi="Arial"/>
          <w:sz w:val="17"/>
          <w:szCs w:val="17"/>
          <w:b w:val="1"/>
          <w:bCs w:val="1"/>
          <w:color w:val="auto"/>
        </w:rPr>
        <w:t>:</w:t>
      </w:r>
    </w:p>
    <w:p>
      <w:pPr>
        <w:spacing w:after="0" w:line="71" w:lineRule="exact"/>
        <w:rPr>
          <w:sz w:val="20"/>
          <w:szCs w:val="20"/>
          <w:color w:val="auto"/>
        </w:rPr>
      </w:pPr>
    </w:p>
    <w:p>
      <w:pPr>
        <w:ind w:left="1480" w:hanging="567"/>
        <w:spacing w:after="0"/>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Supplier’s performance of Services that involve the collection, storage, handling, or disposal of AT&amp;T’s Information;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Supplier-offered or -supported AT&amp;T branded services using non-AT&amp;T Information Resources (as defined below);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 (as defined below);</w:t>
      </w:r>
    </w:p>
    <w:p>
      <w:pPr>
        <w:spacing w:after="0" w:line="13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Custom Software development pursuant to Section 3.33 to the Master Services Agreement No. 02026713 to the extent produced or developed by or on behalf of Supplier, or forming part of any software pursuant to the Agreement to which these Security Requirements are attached (including under any statement of work, exhibit, order or other document under, subordinate to, or referencing this Agreement) for the development of which AT&amp;T has been charged monies; or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117"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specific performance or other equitable relief and be reimbursed the costs (including reasonable attorney’s fees) by Supplier to enforce the obligations in these Security Requirements, including those that survive Termination, Cancellation or expiration of this Agreement. The provisions of this Appendix shall not be deemed to, and shall not, limit any more stringent security or other obligations of the Agreement. Section and paragraph headings contained in parentheses following paragraphs in the table, below, in this Appendix are for reference purposes only and are not to affect the meaning or interpretation of this Agreement.</w:t>
      </w:r>
    </w:p>
    <w:p>
      <w:pPr>
        <w:spacing w:after="0" w:line="59" w:lineRule="exact"/>
        <w:rPr>
          <w:sz w:val="20"/>
          <w:szCs w:val="20"/>
          <w:color w:val="auto"/>
        </w:rPr>
      </w:pPr>
    </w:p>
    <w:p>
      <w:pPr>
        <w:ind w:left="460" w:right="160"/>
        <w:spacing w:after="0" w:line="286" w:lineRule="auto"/>
        <w:rPr>
          <w:sz w:val="20"/>
          <w:szCs w:val="20"/>
          <w:color w:val="auto"/>
        </w:rPr>
      </w:pPr>
      <w:r>
        <w:rPr>
          <w:rFonts w:ascii="Arial" w:cs="Arial" w:eastAsia="Arial" w:hAnsi="Arial"/>
          <w:sz w:val="17"/>
          <w:szCs w:val="17"/>
          <w:color w:val="auto"/>
        </w:rPr>
        <w:t>AT&amp;T reserves the right to update or modify its Security Requirements from time to time. Upon notification by AT&amp;T of its need to modify the Security Requirements, Supplier agrees to promptly negotiate in good faith and expedite execution of an amendment to this Agreement to incorporate any such modification. Supplier acknowledges that AT&amp;T may require modifications to Security Requirements:</w:t>
      </w:r>
    </w:p>
    <w:p>
      <w:pPr>
        <w:spacing w:after="0" w:line="71" w:lineRule="exact"/>
        <w:rPr>
          <w:sz w:val="20"/>
          <w:szCs w:val="20"/>
          <w:color w:val="auto"/>
        </w:rPr>
      </w:pPr>
    </w:p>
    <w:p>
      <w:pPr>
        <w:ind w:left="900" w:hanging="446"/>
        <w:spacing w:after="0"/>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Upon extension or renewal of the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Upon any change in work scope or other substantive modification of the Agreement;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At such time that AT&amp;T deems necessary.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3.1 Definitions: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Unless otherwise set forth or expanded herein, defined terms shall have the same meaning as set forth in the main body of the Agreement.</w:t>
      </w:r>
    </w:p>
    <w:p>
      <w:pPr>
        <w:spacing w:after="0" w:line="233" w:lineRule="exact"/>
        <w:rPr>
          <w:sz w:val="20"/>
          <w:szCs w:val="20"/>
          <w:color w:val="auto"/>
        </w:rPr>
      </w:pPr>
    </w:p>
    <w:p>
      <w:pPr>
        <w:ind w:left="840" w:right="340" w:hanging="419"/>
        <w:spacing w:after="0" w:line="282" w:lineRule="auto"/>
        <w:rPr>
          <w:sz w:val="20"/>
          <w:szCs w:val="20"/>
          <w:color w:val="auto"/>
        </w:rPr>
      </w:pPr>
      <w:r>
        <w:rPr>
          <w:rFonts w:ascii="Arial" w:cs="Arial" w:eastAsia="Arial" w:hAnsi="Arial"/>
          <w:sz w:val="18"/>
          <w:szCs w:val="18"/>
          <w:b w:val="1"/>
          <w:bCs w:val="1"/>
          <w:color w:val="auto"/>
        </w:rPr>
        <w:t xml:space="preserve">“Customer Facing System” </w:t>
      </w:r>
      <w:r>
        <w:rPr>
          <w:rFonts w:ascii="Arial" w:cs="Arial" w:eastAsia="Arial" w:hAnsi="Arial"/>
          <w:sz w:val="18"/>
          <w:szCs w:val="18"/>
          <w:color w:val="auto"/>
        </w:rPr>
        <w:t>means an Information Resource accessible from public networks, intended for use by AT&amp;T and/or its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resides in a Demilitarized Zone (DMZ), as defined below, and where that DMZ:</w:t>
      </w:r>
    </w:p>
    <w:p>
      <w:pPr>
        <w:spacing w:after="0" w:line="71" w:lineRule="exact"/>
        <w:rPr>
          <w:sz w:val="20"/>
          <w:szCs w:val="20"/>
          <w:color w:val="auto"/>
        </w:rPr>
      </w:pPr>
    </w:p>
    <w:p>
      <w:pPr>
        <w:ind w:left="1840" w:right="40" w:hanging="440"/>
        <w:spacing w:after="0" w:line="277" w:lineRule="auto"/>
        <w:tabs>
          <w:tab w:leader="none" w:pos="18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Is protected by firewalls located between the Internet and the DMZ, between that DMZ and all other DMZs, and between the DMZ and the AT&amp;T intranet,</w:t>
      </w:r>
    </w:p>
    <w:p>
      <w:pPr>
        <w:spacing w:after="0" w:line="75" w:lineRule="exact"/>
        <w:rPr>
          <w:rFonts w:ascii="Arial" w:cs="Arial" w:eastAsia="Arial" w:hAnsi="Arial"/>
          <w:sz w:val="18"/>
          <w:szCs w:val="18"/>
          <w:color w:val="auto"/>
        </w:rPr>
      </w:pPr>
    </w:p>
    <w:p>
      <w:pPr>
        <w:ind w:left="1840" w:hanging="440"/>
        <w:spacing w:after="0"/>
        <w:tabs>
          <w:tab w:leader="none" w:pos="18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Prohibits incoming TELNET connections from public networks, and</w:t>
      </w:r>
    </w:p>
    <w:p>
      <w:pPr>
        <w:spacing w:after="0" w:line="130" w:lineRule="exact"/>
        <w:rPr>
          <w:rFonts w:ascii="Arial" w:cs="Arial" w:eastAsia="Arial" w:hAnsi="Arial"/>
          <w:sz w:val="18"/>
          <w:szCs w:val="18"/>
          <w:color w:val="auto"/>
        </w:rPr>
      </w:pPr>
    </w:p>
    <w:p>
      <w:pPr>
        <w:ind w:left="1840" w:right="60" w:hanging="440"/>
        <w:spacing w:after="0" w:line="277" w:lineRule="auto"/>
        <w:tabs>
          <w:tab w:leader="none" w:pos="18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Prohibits incoming File Transfer Protocol (FTP) connections from public networks except to specific systems known as “FTP drop boxes”.</w:t>
      </w:r>
    </w:p>
    <w:p>
      <w:pPr>
        <w:spacing w:after="0" w:line="62"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color w:val="auto"/>
        </w:rPr>
        <w:t>Note: A Customer Facing System which also is used by AT&amp;T employees, contractors, vendors or suppliers to perform work on behalf of AT&amp;T is not considered a Customer Facing System when performing such work.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“CPNI” </w:t>
      </w:r>
      <w:r>
        <w:rPr>
          <w:rFonts w:ascii="Arial" w:cs="Arial" w:eastAsia="Arial" w:hAnsi="Arial"/>
          <w:sz w:val="17"/>
          <w:szCs w:val="17"/>
          <w:color w:val="auto"/>
        </w:rPr>
        <w:t>(Customer Proprietary Network Information) as that term is defined in the Telecommunications Act of 1996, 47 U.S.C. §222 (h)(1).</w:t>
      </w:r>
    </w:p>
    <w:p>
      <w:pPr>
        <w:spacing w:after="0" w:line="237" w:lineRule="exact"/>
        <w:rPr>
          <w:sz w:val="20"/>
          <w:szCs w:val="20"/>
          <w:color w:val="auto"/>
        </w:rPr>
      </w:pPr>
    </w:p>
    <w:p>
      <w:pPr>
        <w:ind w:left="840" w:right="20" w:hanging="419"/>
        <w:spacing w:after="0" w:line="258" w:lineRule="auto"/>
        <w:rPr>
          <w:sz w:val="20"/>
          <w:szCs w:val="20"/>
          <w:color w:val="auto"/>
        </w:rPr>
      </w:pPr>
      <w:r>
        <w:rPr>
          <w:rFonts w:ascii="Arial" w:cs="Arial" w:eastAsia="Arial" w:hAnsi="Arial"/>
          <w:sz w:val="18"/>
          <w:szCs w:val="18"/>
          <w:b w:val="1"/>
          <w:bCs w:val="1"/>
          <w:color w:val="auto"/>
        </w:rPr>
        <w:t xml:space="preserve">“Demilitarized Zone” </w:t>
      </w:r>
      <w:r>
        <w:rPr>
          <w:rFonts w:ascii="Arial" w:cs="Arial" w:eastAsia="Arial" w:hAnsi="Arial"/>
          <w:sz w:val="18"/>
          <w:szCs w:val="18"/>
          <w:color w:val="auto"/>
        </w:rPr>
        <w:t>or</w:t>
      </w:r>
      <w:r>
        <w:rPr>
          <w:rFonts w:ascii="Arial" w:cs="Arial" w:eastAsia="Arial" w:hAnsi="Arial"/>
          <w:sz w:val="18"/>
          <w:szCs w:val="18"/>
          <w:b w:val="1"/>
          <w:bCs w:val="1"/>
          <w:color w:val="auto"/>
        </w:rPr>
        <w:t xml:space="preserve"> “DMZ” </w:t>
      </w:r>
      <w:r>
        <w:rPr>
          <w:rFonts w:ascii="Arial" w:cs="Arial" w:eastAsia="Arial" w:hAnsi="Arial"/>
          <w:sz w:val="18"/>
          <w:szCs w:val="18"/>
          <w:color w:val="auto"/>
        </w:rPr>
        <w:t>is a network or sub-network that sits between a trusted internal network, such as a corporate private Local Area</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(LAN), and an untrusted external network, such as the public Internet. A DMZ helps prevent outside users from gaining direct access to internal Information Resources. Inbound packets from the untrusted external network must terminate within the DMZ and must not be allowed to flow directly through to the trusted internal network. All inbound packets which flow to the trusted internal network must only originate within the DMZ.</w:t>
      </w:r>
    </w:p>
    <w:p>
      <w:pPr>
        <w:spacing w:after="0" w:line="80" w:lineRule="exact"/>
        <w:rPr>
          <w:sz w:val="20"/>
          <w:szCs w:val="20"/>
          <w:color w:val="auto"/>
        </w:rPr>
      </w:pPr>
    </w:p>
    <w:p>
      <w:pPr>
        <w:ind w:left="840" w:right="220"/>
        <w:spacing w:after="0" w:line="277" w:lineRule="auto"/>
        <w:rPr>
          <w:sz w:val="20"/>
          <w:szCs w:val="20"/>
          <w:color w:val="auto"/>
        </w:rPr>
      </w:pPr>
      <w:r>
        <w:rPr>
          <w:rFonts w:ascii="Arial" w:cs="Arial" w:eastAsia="Arial" w:hAnsi="Arial"/>
          <w:sz w:val="18"/>
          <w:szCs w:val="18"/>
          <w:color w:val="auto"/>
        </w:rPr>
        <w:t>The DMZ must be separated from the untrusted external network by use of a Security Gateway and must be separated from the trusted internal network by use of either:</w:t>
      </w:r>
    </w:p>
    <w:p>
      <w:pPr>
        <w:spacing w:after="0" w:line="76" w:lineRule="exact"/>
        <w:rPr>
          <w:sz w:val="20"/>
          <w:szCs w:val="20"/>
          <w:color w:val="auto"/>
        </w:rPr>
      </w:pPr>
    </w:p>
    <w:p>
      <w:pPr>
        <w:ind w:left="2300" w:hanging="441"/>
        <w:spacing w:after="0"/>
        <w:tabs>
          <w:tab w:leader="none" w:pos="23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another Security Gateway, or</w:t>
      </w:r>
    </w:p>
    <w:p>
      <w:pPr>
        <w:spacing w:after="0" w:line="130" w:lineRule="exact"/>
        <w:rPr>
          <w:rFonts w:ascii="Arial" w:cs="Arial" w:eastAsia="Arial" w:hAnsi="Arial"/>
          <w:sz w:val="18"/>
          <w:szCs w:val="18"/>
          <w:color w:val="auto"/>
        </w:rPr>
      </w:pPr>
    </w:p>
    <w:p>
      <w:pPr>
        <w:ind w:left="2300" w:right="100" w:hanging="441"/>
        <w:spacing w:after="0" w:line="259" w:lineRule="auto"/>
        <w:tabs>
          <w:tab w:leader="none" w:pos="23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same Security Gateway used to separate the DMZ from the untrusted external network, in which case the Security Gateway must ensure that packets received from the untrusted external network are either immediately deleted or if not deleted are routed only to the DMZ with no other processing of such inbound packets performed other than possibly writing the packets to a log.</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273"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must only be located within the trusted internal network:</w:t>
      </w:r>
    </w:p>
    <w:p>
      <w:pPr>
        <w:spacing w:after="0" w:line="131" w:lineRule="exact"/>
        <w:rPr>
          <w:sz w:val="20"/>
          <w:szCs w:val="20"/>
          <w:color w:val="auto"/>
        </w:rPr>
      </w:pPr>
    </w:p>
    <w:p>
      <w:pPr>
        <w:ind w:left="2300" w:hanging="441"/>
        <w:spacing w:after="0"/>
        <w:tabs>
          <w:tab w:leader="none" w:pos="2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of AT&amp;T’s Sensitive Personal Information (SPI) stored without the use of Strong Encryption,</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official record copy of information to be accessed from requests originating from the untrusted external network,</w:t>
      </w:r>
    </w:p>
    <w:p>
      <w:pPr>
        <w:spacing w:after="0" w:line="142" w:lineRule="exact"/>
        <w:rPr>
          <w:rFonts w:ascii="Arial" w:cs="Arial" w:eastAsia="Arial" w:hAnsi="Arial"/>
          <w:sz w:val="17"/>
          <w:szCs w:val="17"/>
          <w:color w:val="auto"/>
        </w:rPr>
      </w:pPr>
    </w:p>
    <w:p>
      <w:pPr>
        <w:ind w:left="2300" w:right="540" w:hanging="441"/>
        <w:spacing w:after="0" w:line="277" w:lineRule="auto"/>
        <w:tabs>
          <w:tab w:leader="none" w:pos="2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official record copy of information to be modified as the result of requests originating from the untrusted external network,</w:t>
      </w:r>
    </w:p>
    <w:p>
      <w:pPr>
        <w:spacing w:after="0" w:line="75" w:lineRule="exact"/>
        <w:rPr>
          <w:rFonts w:ascii="Arial" w:cs="Arial" w:eastAsia="Arial" w:hAnsi="Arial"/>
          <w:sz w:val="18"/>
          <w:szCs w:val="18"/>
          <w:color w:val="auto"/>
        </w:rPr>
      </w:pPr>
    </w:p>
    <w:p>
      <w:pPr>
        <w:ind w:left="2300" w:hanging="441"/>
        <w:spacing w:after="0"/>
        <w:tabs>
          <w:tab w:leader="none" w:pos="2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Database servers,</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All exported logs, and</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Development environments and source code.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must not be located within the DMZ:</w:t>
      </w:r>
    </w:p>
    <w:p>
      <w:pPr>
        <w:spacing w:after="0" w:line="131" w:lineRule="exact"/>
        <w:rPr>
          <w:sz w:val="20"/>
          <w:szCs w:val="20"/>
          <w:color w:val="auto"/>
        </w:rPr>
      </w:pPr>
    </w:p>
    <w:p>
      <w:pPr>
        <w:ind w:left="2300" w:hanging="441"/>
        <w:spacing w:after="0"/>
        <w:tabs>
          <w:tab w:leader="none" w:pos="23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Authentication credentials not protected by the use of Strong Encryption.</w:t>
      </w:r>
    </w:p>
    <w:p>
      <w:pPr>
        <w:spacing w:after="0" w:line="221" w:lineRule="exact"/>
        <w:rPr>
          <w:sz w:val="20"/>
          <w:szCs w:val="20"/>
          <w:color w:val="auto"/>
        </w:rPr>
      </w:pPr>
    </w:p>
    <w:p>
      <w:pPr>
        <w:ind w:left="840" w:right="280" w:hanging="419"/>
        <w:spacing w:after="0" w:line="313" w:lineRule="auto"/>
        <w:rPr>
          <w:sz w:val="20"/>
          <w:szCs w:val="20"/>
          <w:color w:val="auto"/>
        </w:rPr>
      </w:pPr>
      <w:r>
        <w:rPr>
          <w:rFonts w:ascii="Arial" w:cs="Arial" w:eastAsia="Arial" w:hAnsi="Arial"/>
          <w:sz w:val="17"/>
          <w:szCs w:val="17"/>
          <w:b w:val="1"/>
          <w:bCs w:val="1"/>
          <w:color w:val="auto"/>
        </w:rPr>
        <w:t xml:space="preserve">“Incident Management Process” </w:t>
      </w:r>
      <w:r>
        <w:rPr>
          <w:rFonts w:ascii="Arial" w:cs="Arial" w:eastAsia="Arial" w:hAnsi="Arial"/>
          <w:sz w:val="17"/>
          <w:szCs w:val="17"/>
          <w:color w:val="auto"/>
        </w:rPr>
        <w:t>is a Supplier-developed documented procedure to be followed in the event of an actual or suspected attack upon,</w:t>
      </w:r>
      <w:r>
        <w:rPr>
          <w:rFonts w:ascii="Arial" w:cs="Arial" w:eastAsia="Arial" w:hAnsi="Arial"/>
          <w:sz w:val="17"/>
          <w:szCs w:val="17"/>
          <w:b w:val="1"/>
          <w:bCs w:val="1"/>
          <w:color w:val="auto"/>
        </w:rPr>
        <w:t xml:space="preserve"> </w:t>
      </w:r>
      <w:r>
        <w:rPr>
          <w:rFonts w:ascii="Arial" w:cs="Arial" w:eastAsia="Arial" w:hAnsi="Arial"/>
          <w:sz w:val="17"/>
          <w:szCs w:val="17"/>
          <w:color w:val="auto"/>
        </w:rPr>
        <w:t>intrusion upon, unauthorized access to, loss of, or other breach involving AT&amp;T’s Information Resources.</w:t>
      </w:r>
    </w:p>
    <w:p>
      <w:pPr>
        <w:spacing w:after="0" w:line="138" w:lineRule="exact"/>
        <w:rPr>
          <w:sz w:val="20"/>
          <w:szCs w:val="20"/>
          <w:color w:val="auto"/>
        </w:rPr>
      </w:pPr>
    </w:p>
    <w:p>
      <w:pPr>
        <w:ind w:left="840" w:right="120" w:hanging="419"/>
        <w:spacing w:after="0" w:line="266" w:lineRule="auto"/>
        <w:rPr>
          <w:sz w:val="20"/>
          <w:szCs w:val="20"/>
          <w:color w:val="auto"/>
        </w:rPr>
      </w:pPr>
      <w:r>
        <w:rPr>
          <w:rFonts w:ascii="Arial" w:cs="Arial" w:eastAsia="Arial" w:hAnsi="Arial"/>
          <w:sz w:val="18"/>
          <w:szCs w:val="18"/>
          <w:b w:val="1"/>
          <w:bCs w:val="1"/>
          <w:color w:val="auto"/>
        </w:rPr>
        <w:t xml:space="preserve">“Information Resources” </w:t>
      </w:r>
      <w:r>
        <w:rPr>
          <w:rFonts w:ascii="Arial" w:cs="Arial" w:eastAsia="Arial" w:hAnsi="Arial"/>
          <w:sz w:val="18"/>
          <w:szCs w:val="18"/>
          <w:color w:val="auto"/>
        </w:rPr>
        <w:t>means systems, applications, networks, network elements and other computing and information storage devices,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smart phones, tablets, and USB memory sticks, and AT&amp;T’s Information stored, transmitted, or processed with these resources in conjunction with supporting AT&amp;T and/or used by Supplier in fulfillment of its obligations under this Agreement.</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 xml:space="preserve">“Location Based Information” </w:t>
      </w:r>
      <w:r>
        <w:rPr>
          <w:rFonts w:ascii="Arial" w:cs="Arial" w:eastAsia="Arial" w:hAnsi="Arial"/>
          <w:sz w:val="17"/>
          <w:szCs w:val="17"/>
          <w:color w:val="auto"/>
        </w:rPr>
        <w:t>or</w:t>
      </w:r>
      <w:r>
        <w:rPr>
          <w:rFonts w:ascii="Arial" w:cs="Arial" w:eastAsia="Arial" w:hAnsi="Arial"/>
          <w:sz w:val="17"/>
          <w:szCs w:val="17"/>
          <w:b w:val="1"/>
          <w:bCs w:val="1"/>
          <w:color w:val="auto"/>
        </w:rPr>
        <w:t xml:space="preserve"> “LBI” </w:t>
      </w:r>
      <w:r>
        <w:rPr>
          <w:rFonts w:ascii="Arial" w:cs="Arial" w:eastAsia="Arial" w:hAnsi="Arial"/>
          <w:sz w:val="17"/>
          <w:szCs w:val="17"/>
          <w:color w:val="auto"/>
        </w:rPr>
        <w:t>means information that identifies the current or past location of a specific individual’s mobile device. LBI</w:t>
      </w:r>
    </w:p>
    <w:p>
      <w:pPr>
        <w:spacing w:after="0" w:line="39" w:lineRule="exact"/>
        <w:rPr>
          <w:sz w:val="20"/>
          <w:szCs w:val="20"/>
          <w:color w:val="auto"/>
        </w:rPr>
      </w:pPr>
    </w:p>
    <w:p>
      <w:pPr>
        <w:ind w:left="840" w:right="40"/>
        <w:spacing w:after="0" w:line="270" w:lineRule="auto"/>
        <w:rPr>
          <w:sz w:val="20"/>
          <w:szCs w:val="20"/>
          <w:color w:val="auto"/>
        </w:rPr>
      </w:pPr>
      <w:r>
        <w:rPr>
          <w:rFonts w:ascii="Arial" w:cs="Arial" w:eastAsia="Arial" w:hAnsi="Arial"/>
          <w:sz w:val="17"/>
          <w:szCs w:val="17"/>
          <w:color w:val="auto"/>
        </w:rPr>
        <w:t>contains two factors both of which must be present and able to be associated with each other. These two factors are: (1) a mobile device’s physical location (e.g. a map address, or latitude and longitude together with altitude where known) derived from the mobile device through activities such as GPS (Global Positioning System ) or network connectivity rather than as a result of user action (e.g. revealing location in the content of an email or SMS text message), and (2) an individual’s identity derived from a unique identifier assigned to that mobile device such as customer name, MSISDN (Mobile Subscriber Integrated Services Digital Network-Number), IMSI (International Mobile Subscriber Identity), IMEI (International Mobile Station Equipment Identity) or ICCID (Integrated Circuit Card Identifier).</w:t>
      </w:r>
    </w:p>
    <w:p>
      <w:pPr>
        <w:spacing w:after="0" w:line="175" w:lineRule="exact"/>
        <w:rPr>
          <w:sz w:val="20"/>
          <w:szCs w:val="20"/>
          <w:color w:val="auto"/>
        </w:rPr>
      </w:pPr>
    </w:p>
    <w:p>
      <w:pPr>
        <w:ind w:left="840" w:right="120" w:hanging="419"/>
        <w:spacing w:after="0" w:line="289" w:lineRule="auto"/>
        <w:rPr>
          <w:sz w:val="20"/>
          <w:szCs w:val="20"/>
          <w:color w:val="auto"/>
        </w:rPr>
      </w:pPr>
      <w:r>
        <w:rPr>
          <w:rFonts w:ascii="Arial" w:cs="Arial" w:eastAsia="Arial" w:hAnsi="Arial"/>
          <w:sz w:val="17"/>
          <w:szCs w:val="17"/>
          <w:b w:val="1"/>
          <w:bCs w:val="1"/>
          <w:color w:val="auto"/>
        </w:rPr>
        <w:t xml:space="preserve">“Mobile and Portable Devices” </w:t>
      </w:r>
      <w:r>
        <w:rPr>
          <w:rFonts w:ascii="Arial" w:cs="Arial" w:eastAsia="Arial" w:hAnsi="Arial"/>
          <w:sz w:val="17"/>
          <w:szCs w:val="17"/>
          <w:color w:val="auto"/>
        </w:rPr>
        <w:t>means mobile and/or portable computers, devices, media and systems capable of being easily carried, moved,</w:t>
      </w:r>
      <w:r>
        <w:rPr>
          <w:rFonts w:ascii="Arial" w:cs="Arial" w:eastAsia="Arial" w:hAnsi="Arial"/>
          <w:sz w:val="17"/>
          <w:szCs w:val="17"/>
          <w:b w:val="1"/>
          <w:bCs w:val="1"/>
          <w:color w:val="auto"/>
        </w:rPr>
        <w:t xml:space="preserve"> </w:t>
      </w:r>
      <w:r>
        <w:rPr>
          <w:rFonts w:ascii="Arial" w:cs="Arial" w:eastAsia="Arial" w:hAnsi="Arial"/>
          <w:sz w:val="17"/>
          <w:szCs w:val="17"/>
          <w:color w:val="auto"/>
        </w:rPr>
        <w:t>transported or conveyed that are used in connection with the Agreement. Examples of such devices include laptop computers, tablets, USB hard drives, USB memory sticks, Personal Digital Assistants (PDAs), and wireless phones, such as smartphones.</w:t>
      </w:r>
    </w:p>
    <w:p>
      <w:pPr>
        <w:spacing w:after="0" w:line="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4" w:right="239" w:bottom="1440" w:gutter="0" w:footer="0" w:header="0"/>
        </w:sectPr>
      </w:pPr>
    </w:p>
    <w:bookmarkStart w:id="368" w:name="page369"/>
    <w:bookmarkEnd w:id="368"/>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77" w:lineRule="exact"/>
        <w:rPr>
          <w:sz w:val="20"/>
          <w:szCs w:val="20"/>
          <w:color w:val="auto"/>
        </w:rPr>
      </w:pPr>
    </w:p>
    <w:p>
      <w:pPr>
        <w:ind w:left="920" w:right="480" w:hanging="419"/>
        <w:spacing w:after="0" w:line="282" w:lineRule="auto"/>
        <w:rPr>
          <w:sz w:val="20"/>
          <w:szCs w:val="20"/>
          <w:color w:val="auto"/>
        </w:rPr>
      </w:pPr>
      <w:r>
        <w:rPr>
          <w:rFonts w:ascii="Arial" w:cs="Arial" w:eastAsia="Arial" w:hAnsi="Arial"/>
          <w:sz w:val="18"/>
          <w:szCs w:val="18"/>
          <w:b w:val="1"/>
          <w:bCs w:val="1"/>
          <w:color w:val="auto"/>
        </w:rPr>
        <w:t xml:space="preserve">“Nonpublic Information Resources” </w:t>
      </w:r>
      <w:r>
        <w:rPr>
          <w:rFonts w:ascii="Arial" w:cs="Arial" w:eastAsia="Arial" w:hAnsi="Arial"/>
          <w:sz w:val="18"/>
          <w:szCs w:val="18"/>
          <w:color w:val="auto"/>
        </w:rPr>
        <w:t>means those Information Resources used under the Agreement to which access is restricted and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gained without proper authorization and identification.</w:t>
      </w:r>
    </w:p>
    <w:p>
      <w:pPr>
        <w:spacing w:after="0" w:line="162" w:lineRule="exact"/>
        <w:rPr>
          <w:sz w:val="20"/>
          <w:szCs w:val="20"/>
          <w:color w:val="auto"/>
        </w:rPr>
      </w:pPr>
    </w:p>
    <w:p>
      <w:pPr>
        <w:ind w:left="920" w:right="60" w:hanging="419"/>
        <w:spacing w:after="0" w:line="255" w:lineRule="auto"/>
        <w:rPr>
          <w:sz w:val="20"/>
          <w:szCs w:val="20"/>
          <w:color w:val="auto"/>
        </w:rPr>
      </w:pPr>
      <w:r>
        <w:rPr>
          <w:rFonts w:ascii="Arial" w:cs="Arial" w:eastAsia="Arial" w:hAnsi="Arial"/>
          <w:sz w:val="18"/>
          <w:szCs w:val="18"/>
          <w:b w:val="1"/>
          <w:bCs w:val="1"/>
          <w:color w:val="auto"/>
        </w:rPr>
        <w:t xml:space="preserve">“Sensitive Personal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“SPI” </w:t>
      </w:r>
      <w:r>
        <w:rPr>
          <w:rFonts w:ascii="Arial" w:cs="Arial" w:eastAsia="Arial" w:hAnsi="Arial"/>
          <w:sz w:val="18"/>
          <w:szCs w:val="18"/>
          <w:color w:val="auto"/>
        </w:rPr>
        <w:t>means any information that: (a) requires a high degree of protection by law and where loss or</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unauthorized disclosure would require notification by AT&amp;T to government agencies, individuals or law enforcement, and (b) any information that, if made public, could expose individuals to a risk of physical harm, fraud, or identity theft. Examples of SPI include, but are not limited to, social security numbers, national government, such as passport and visa numbers, state- or province-issued identification numbers, driver’s license numbers, dates of birth, bank account numbers, credit card numbers, customer authentication credentials, Protected Health Information (PHI) as defined by the Health Insurance Portability and Accountability Act (HIPAA) and Location Based Information (LBI) (as defined above). Note: Authentication credentials, encryption keys, and encryption passwords used to protect Sensitive Personal Information are themselves classified as Sensitive Personal Information.</w:t>
      </w:r>
    </w:p>
    <w:p>
      <w:pPr>
        <w:spacing w:after="0" w:line="185" w:lineRule="exact"/>
        <w:rPr>
          <w:sz w:val="20"/>
          <w:szCs w:val="20"/>
          <w:color w:val="auto"/>
        </w:rPr>
      </w:pPr>
    </w:p>
    <w:p>
      <w:pPr>
        <w:ind w:left="920" w:right="280" w:hanging="419"/>
        <w:spacing w:after="0" w:line="314" w:lineRule="auto"/>
        <w:rPr>
          <w:sz w:val="20"/>
          <w:szCs w:val="20"/>
          <w:color w:val="auto"/>
        </w:rPr>
      </w:pPr>
      <w:r>
        <w:rPr>
          <w:rFonts w:ascii="Arial" w:cs="Arial" w:eastAsia="Arial" w:hAnsi="Arial"/>
          <w:sz w:val="16"/>
          <w:szCs w:val="16"/>
          <w:b w:val="1"/>
          <w:bCs w:val="1"/>
          <w:color w:val="auto"/>
        </w:rPr>
        <w:t xml:space="preserve">“Security Gateway” </w:t>
      </w:r>
      <w:r>
        <w:rPr>
          <w:rFonts w:ascii="Arial" w:cs="Arial" w:eastAsia="Arial" w:hAnsi="Arial"/>
          <w:sz w:val="16"/>
          <w:szCs w:val="16"/>
          <w:color w:val="auto"/>
        </w:rPr>
        <w:t>means a set of control mechanisms between two or more networks having different trust levels which filter and log traffic</w:t>
      </w:r>
      <w:r>
        <w:rPr>
          <w:rFonts w:ascii="Arial" w:cs="Arial" w:eastAsia="Arial" w:hAnsi="Arial"/>
          <w:sz w:val="16"/>
          <w:szCs w:val="16"/>
          <w:b w:val="1"/>
          <w:bCs w:val="1"/>
          <w:color w:val="auto"/>
        </w:rPr>
        <w:t xml:space="preserve"> </w:t>
      </w:r>
      <w:r>
        <w:rPr>
          <w:rFonts w:ascii="Arial" w:cs="Arial" w:eastAsia="Arial" w:hAnsi="Arial"/>
          <w:sz w:val="16"/>
          <w:szCs w:val="16"/>
          <w:color w:val="auto"/>
        </w:rPr>
        <w:t>passing, or attempting to pass, between networks, and the associated administrative and management servers. Examples of Security Gateways include firewalls, firewall management servers, hop boxes, session border controllers, proxy servers, and intrusion prevention devices.</w:t>
      </w:r>
    </w:p>
    <w:p>
      <w:pPr>
        <w:spacing w:after="0" w:line="142" w:lineRule="exact"/>
        <w:rPr>
          <w:sz w:val="20"/>
          <w:szCs w:val="20"/>
          <w:color w:val="auto"/>
        </w:rPr>
      </w:pPr>
    </w:p>
    <w:p>
      <w:pPr>
        <w:jc w:val="both"/>
        <w:ind w:left="920" w:right="380" w:hanging="419"/>
        <w:spacing w:after="0" w:line="266" w:lineRule="auto"/>
        <w:rPr>
          <w:sz w:val="20"/>
          <w:szCs w:val="20"/>
          <w:color w:val="auto"/>
        </w:rPr>
      </w:pPr>
      <w:r>
        <w:rPr>
          <w:rFonts w:ascii="Arial" w:cs="Arial" w:eastAsia="Arial" w:hAnsi="Arial"/>
          <w:sz w:val="18"/>
          <w:szCs w:val="18"/>
          <w:b w:val="1"/>
          <w:bCs w:val="1"/>
          <w:color w:val="auto"/>
        </w:rPr>
        <w:t xml:space="preserve">“Strong Authentication” </w:t>
      </w:r>
      <w:r>
        <w:rPr>
          <w:rFonts w:ascii="Arial" w:cs="Arial" w:eastAsia="Arial" w:hAnsi="Arial"/>
          <w:sz w:val="18"/>
          <w:szCs w:val="18"/>
          <w:color w:val="auto"/>
        </w:rPr>
        <w:t>means the use of authentication mechanisms and authentication methodologies stronger than the passwords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Requirement 34 herein. Examples of Strong Authentication mechanisms and methodologies include digital certificates, two-factor authentication, and one-time passwords.</w:t>
      </w:r>
    </w:p>
    <w:p>
      <w:pPr>
        <w:spacing w:after="0" w:line="176" w:lineRule="exact"/>
        <w:rPr>
          <w:sz w:val="20"/>
          <w:szCs w:val="20"/>
          <w:color w:val="auto"/>
        </w:rPr>
      </w:pPr>
    </w:p>
    <w:p>
      <w:pPr>
        <w:ind w:left="920" w:right="20" w:hanging="419"/>
        <w:spacing w:after="0" w:line="277" w:lineRule="auto"/>
        <w:rPr>
          <w:sz w:val="20"/>
          <w:szCs w:val="20"/>
          <w:color w:val="auto"/>
        </w:rPr>
      </w:pPr>
      <w:r>
        <w:rPr>
          <w:rFonts w:ascii="Arial" w:cs="Arial" w:eastAsia="Arial" w:hAnsi="Arial"/>
          <w:sz w:val="17"/>
          <w:szCs w:val="17"/>
          <w:b w:val="1"/>
          <w:bCs w:val="1"/>
          <w:color w:val="auto"/>
        </w:rPr>
        <w:t xml:space="preserve">“Strong Encryption” </w:t>
      </w:r>
      <w:r>
        <w:rPr>
          <w:rFonts w:ascii="Arial" w:cs="Arial" w:eastAsia="Arial" w:hAnsi="Arial"/>
          <w:sz w:val="17"/>
          <w:szCs w:val="17"/>
          <w:color w:val="auto"/>
        </w:rPr>
        <w:t>means the use of encryption technologies with minimum key lengths of 128-bits for symmetric encryption and 1024-bits for</w:t>
      </w:r>
      <w:r>
        <w:rPr>
          <w:rFonts w:ascii="Arial" w:cs="Arial" w:eastAsia="Arial" w:hAnsi="Arial"/>
          <w:sz w:val="17"/>
          <w:szCs w:val="17"/>
          <w:b w:val="1"/>
          <w:bCs w:val="1"/>
          <w:color w:val="auto"/>
        </w:rPr>
        <w:t xml:space="preserve"> </w:t>
      </w:r>
      <w:r>
        <w:rPr>
          <w:rFonts w:ascii="Arial" w:cs="Arial" w:eastAsia="Arial" w:hAnsi="Arial"/>
          <w:sz w:val="17"/>
          <w:szCs w:val="17"/>
          <w:color w:val="auto"/>
        </w:rPr>
        <w:t>asymmetric encryption whose strength provides reasonable assurance that it will protect the encrypted information from unauthorized access, and is adequate to protect the confidentiality and privacy of the encrypted information, and which incorporates a documented procedure approved by the Supplier’s appropriate management level, for the management of the encryption keys and associated processes adequate to protect the confidentiality and privacy of the keys and passwords used as inputs to the encryption algorithm.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Security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foregoing, Supplier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System Security</w:t>
      </w:r>
    </w:p>
    <w:p>
      <w:pPr>
        <w:spacing w:after="0" w:line="135" w:lineRule="exact"/>
        <w:rPr>
          <w:sz w:val="20"/>
          <w:szCs w:val="20"/>
          <w:color w:val="auto"/>
        </w:rPr>
      </w:pPr>
    </w:p>
    <w:p>
      <w:pPr>
        <w:ind w:left="460" w:right="320" w:hanging="452"/>
        <w:spacing w:after="0" w:line="277" w:lineRule="auto"/>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Actively monitor industry resources (e.g., </w:t>
      </w:r>
      <w:r>
        <w:rPr>
          <w:rFonts w:ascii="Arial" w:cs="Arial" w:eastAsia="Arial" w:hAnsi="Arial"/>
          <w:sz w:val="18"/>
          <w:szCs w:val="18"/>
          <w:u w:val="single" w:color="auto"/>
          <w:color w:val="auto"/>
        </w:rPr>
        <w:t>www.cert.org</w:t>
      </w:r>
      <w:r>
        <w:rPr>
          <w:rFonts w:ascii="Arial" w:cs="Arial" w:eastAsia="Arial" w:hAnsi="Arial"/>
          <w:sz w:val="18"/>
          <w:szCs w:val="18"/>
          <w:color w:val="auto"/>
        </w:rPr>
        <w:t>, pertinent software vendor mailing lists &amp; websites) for timely notification of all applicable security alerts pertaining to Supplier’s Information Resources. (Security Alerts)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340" w:hanging="452"/>
        <w:spacing w:after="0" w:line="286" w:lineRule="auto"/>
        <w:tabs>
          <w:tab w:leader="none" w:pos="4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If commercially available and to the extent practicable, [**], and in addition immediately following all significant changes and upgrades, scan externally-facing Information Resources, including, but not limited to, networks, servers, &amp; applications, with applicable industry-standard security vulnerability scanning software to uncover security vulnerabilities. (Externally-facing System Scanning)</w:t>
      </w:r>
    </w:p>
    <w:p>
      <w:pPr>
        <w:spacing w:after="0" w:line="70" w:lineRule="exact"/>
        <w:rPr>
          <w:rFonts w:ascii="Arial" w:cs="Arial" w:eastAsia="Arial" w:hAnsi="Arial"/>
          <w:sz w:val="17"/>
          <w:szCs w:val="17"/>
          <w:color w:val="auto"/>
        </w:rPr>
      </w:pPr>
    </w:p>
    <w:p>
      <w:pPr>
        <w:ind w:left="460" w:right="140" w:hanging="452"/>
        <w:spacing w:after="0" w:line="276" w:lineRule="auto"/>
        <w:tabs>
          <w:tab w:leader="none" w:pos="4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If commercially available and to the extent practicable, [**], and in addition immediately following all significant changes and upgrades, scan internal Information Resources, including, but not limited to, networks, servers, applications &amp; databases, with applicable industry-standard security vulnerability scanning software to uncover security vulnerabilities, ensure that such Information Resources are properly hardened as documented in Security Requirement 9 below, and identify any unauthorized wireless networks, unless documented policies and processes are in place to proactively prevent the creation of unauthorized wireless networks. (Internal System Scanning)</w:t>
      </w:r>
    </w:p>
    <w:p>
      <w:pPr>
        <w:spacing w:after="0" w:line="77" w:lineRule="exact"/>
        <w:rPr>
          <w:rFonts w:ascii="Arial" w:cs="Arial" w:eastAsia="Arial" w:hAnsi="Arial"/>
          <w:sz w:val="17"/>
          <w:szCs w:val="17"/>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 environments where such technology is commercially available and to the extent practicable, deploy one or more Intrusion Detection Systems (IDS) , Intrusion Prevention Systems (IPS), or Intrusion Detection and Prevention Systems (IDP) in an active mode of operation that monitors all traffic entering and leaving Information Resources in conjunction with the Agreement. (Intrusion Detection Systems)</w:t>
      </w:r>
    </w:p>
    <w:p>
      <w:pPr>
        <w:spacing w:after="0" w:line="86" w:lineRule="exact"/>
        <w:rPr>
          <w:rFonts w:ascii="Arial" w:cs="Arial" w:eastAsia="Arial" w:hAnsi="Arial"/>
          <w:sz w:val="18"/>
          <w:szCs w:val="18"/>
          <w:color w:val="auto"/>
        </w:rPr>
      </w:pPr>
    </w:p>
    <w:p>
      <w:pPr>
        <w:jc w:val="both"/>
        <w:ind w:left="460" w:right="140" w:hanging="452"/>
        <w:spacing w:after="0" w:line="312" w:lineRule="auto"/>
        <w:tabs>
          <w:tab w:leader="none" w:pos="4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Have and use a documented process to remediate security vulnerabilities in the Information Resources, including, but not limited to, those discovered through industry publications, vulnerability scanning, virus scanning, and the review of security logs, and apply appropriate security patches promptly with respect to the probability that such vulnerability can be or is in the process of being exploited. (Remediating/Patching Service Vulnerabilities)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Assign security administration responsibilities for configuring host operating systems to specific individuals. (Security Administration Responsibilities)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Ensure that its information security staff has reasonable and necessary experience in information and network security. (Necessary Staff Experience)</w:t>
      </w:r>
    </w:p>
    <w:p>
      <w:pPr>
        <w:spacing w:after="0" w:line="153" w:lineRule="exact"/>
        <w:rPr>
          <w:rFonts w:ascii="Arial" w:cs="Arial" w:eastAsia="Arial" w:hAnsi="Arial"/>
          <w:sz w:val="16"/>
          <w:szCs w:val="16"/>
          <w:color w:val="auto"/>
        </w:rPr>
      </w:pPr>
    </w:p>
    <w:p>
      <w:pPr>
        <w:ind w:left="460" w:right="20" w:hanging="452"/>
        <w:spacing w:after="0" w:line="312" w:lineRule="auto"/>
        <w:tabs>
          <w:tab w:leader="none" w:pos="4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If commercially available and to the extent practicable, ensure that all of Supplier’s Information Resources are and remain ‘hardened’ including, but not limited to, removing or disabling unused network services (e.g., finger, rlogin, ftp, and simple Transmission Control Protocol/Internet Protocol (TCP/IP) services) and installing a system firewall, Transmission Control Protocol (TCP) wrappers or similar technology. (Hardened Systems)</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Change all default account names and/or default passwords. (Changing Default Account Names and Passwords)</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Limit system administrator (also known as root, privileged, or super user) access to operating systems intended for use by multiple users only to individuals requiring such high-level access in the performance of their jobs. (Limit Super User Privileges)</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Require application, database, network and system administrators to restrict access by users to only the commands, data and Information Resources necessary for them to perform authorized functions. (Administrators to Restrict User Access)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Physical Security</w:t>
      </w:r>
    </w:p>
    <w:p>
      <w:pPr>
        <w:spacing w:after="0" w:line="135" w:lineRule="exact"/>
        <w:rPr>
          <w:sz w:val="20"/>
          <w:szCs w:val="20"/>
          <w:color w:val="auto"/>
        </w:rPr>
      </w:pPr>
    </w:p>
    <w:p>
      <w:pPr>
        <w:ind w:left="460" w:right="220" w:hanging="452"/>
        <w:spacing w:after="0" w:line="277"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Ensure that all of Supplier’s Information Resources intended for use by multiple users are located in secure physical facilities with access limited and restricted to authorized individuals only. (Information Resources in Secure Facilities)</w:t>
      </w:r>
    </w:p>
    <w:p>
      <w:pPr>
        <w:spacing w:after="0" w:line="75"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Monitor and record, for audit purposes, access to the physical facilities containing Information Resources intended for use by multiple users used in connection with Supplier’s performance of its obligations under the Agreement. (Monitoring and Recording Access)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Network Security</w:t>
      </w:r>
    </w:p>
    <w:p>
      <w:pPr>
        <w:spacing w:after="0" w:line="135" w:lineRule="exact"/>
        <w:rPr>
          <w:sz w:val="20"/>
          <w:szCs w:val="20"/>
          <w:color w:val="auto"/>
        </w:rPr>
      </w:pPr>
    </w:p>
    <w:p>
      <w:pPr>
        <w:ind w:left="460" w:right="80" w:hanging="452"/>
        <w:spacing w:after="0" w:line="264" w:lineRule="auto"/>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When providing Internet-based services to AT&amp;T, protect AT&amp;T’s Information by the implementation of a network DMZ. Web servers providing service to AT&amp;T shall reside in the DMZ. Information Resources storing AT&amp;T’s Information (such as application and database servers) shall reside in a trusted internal network. (Internet Services Must Use DMZ)</w:t>
      </w:r>
    </w:p>
    <w:p>
      <w:pPr>
        <w:spacing w:after="0" w:line="8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Upon AT&amp;T’s request, provide to AT&amp;T a logical network diagram documenting the Information Resources (including, but not limited to, Security Gateways, servers, etc.) that will support AT&amp;T. (Provision of Logical Network Diagram)</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Have a documented process and controls in place to detect and handle unauthorized attempts to access AT&amp;T’s Information. (Detection and Handling of Unauthorized Access).</w:t>
      </w:r>
    </w:p>
    <w:p>
      <w:pPr>
        <w:spacing w:after="0" w:line="75" w:lineRule="exact"/>
        <w:rPr>
          <w:rFonts w:ascii="Arial" w:cs="Arial" w:eastAsia="Arial" w:hAnsi="Arial"/>
          <w:sz w:val="18"/>
          <w:szCs w:val="18"/>
          <w:color w:val="auto"/>
        </w:rPr>
      </w:pPr>
    </w:p>
    <w:p>
      <w:pPr>
        <w:ind w:left="920" w:right="60" w:hanging="912"/>
        <w:spacing w:after="0" w:line="277" w:lineRule="auto"/>
        <w:tabs>
          <w:tab w:leader="none" w:pos="47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a.Use Strong Encryption for the transfer of AT&amp;T’s Information outside of AT&amp;T-controlled or Supplier-controlled networks or when transmitting AT&amp;T’s Information over any untrusted network.</w:t>
      </w:r>
    </w:p>
    <w:p>
      <w:pPr>
        <w:spacing w:after="0" w:line="76" w:lineRule="exact"/>
        <w:rPr>
          <w:sz w:val="20"/>
          <w:szCs w:val="20"/>
          <w:color w:val="auto"/>
        </w:rPr>
      </w:pPr>
    </w:p>
    <w:p>
      <w:pPr>
        <w:ind w:left="900" w:right="440" w:hanging="446"/>
        <w:spacing w:after="0" w:line="277" w:lineRule="auto"/>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Additionally, [**], always use Strong Encryption to protect AT&amp;T’s SPI when transmitted over any AT&amp;T-controlled or Supplier-controlled network.</w:t>
      </w:r>
    </w:p>
    <w:p>
      <w:pPr>
        <w:spacing w:after="0" w:line="62"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(Note: This also applies to AT&amp;T’s Information contained in email, or the attachments embedded within the email, as the case may be. For greater clarity, if, for example, the text in an email does not contain AT&amp;T’s Information, but the embedded attachments within that email do contain AT&amp;T’s Information, then the embedded attachments, but not the email, need to be encrypted.) (Encryption of Information in Transit)</w:t>
      </w:r>
    </w:p>
    <w:p>
      <w:pPr>
        <w:spacing w:after="0" w:line="71"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Require strong authentication for any remote access use of Nonpublic Information Resources. (Remote Access Authentication)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Security</w:t>
      </w:r>
    </w:p>
    <w:p>
      <w:pPr>
        <w:spacing w:after="0" w:line="135" w:lineRule="exact"/>
        <w:rPr>
          <w:sz w:val="20"/>
          <w:szCs w:val="20"/>
          <w:color w:val="auto"/>
        </w:rPr>
      </w:pPr>
    </w:p>
    <w:p>
      <w:pPr>
        <w:ind w:left="460" w:right="80" w:hanging="452"/>
        <w:spacing w:after="0" w:line="264" w:lineRule="auto"/>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Isolate AT&amp;T’s applications and AT&amp;T’s Information from any other customer’s or Supplier’s own applications and information either by using physically separate servers or alternatively by using logical access controls where physical separation of servers is not implemented. (Separate AT&amp;T’s Information from non-AT&amp;T Information)</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Have documented procedures for the secure backup and recovery of AT&amp;T’s Information which shall include, at a minimum, procedures for the transport, storage, and disposal of the backup copies of AT&amp;T’s Information and, upon AT&amp;T’s request, provide such documented procedures to AT&amp;T. (Secure Backup, Transport, Storage and Disposal of AT&amp;T’s Information)</w:t>
      </w:r>
    </w:p>
    <w:p>
      <w:pPr>
        <w:spacing w:after="0" w:line="86" w:lineRule="exact"/>
        <w:rPr>
          <w:rFonts w:ascii="Arial" w:cs="Arial" w:eastAsia="Arial" w:hAnsi="Arial"/>
          <w:sz w:val="18"/>
          <w:szCs w:val="18"/>
          <w:color w:val="auto"/>
        </w:rPr>
      </w:pPr>
    </w:p>
    <w:p>
      <w:pPr>
        <w:ind w:left="460" w:right="60" w:hanging="452"/>
        <w:spacing w:after="0" w:line="279" w:lineRule="auto"/>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Maintain and, upon AT&amp;T’s request, furnish to AT&amp;T a documented business continuity plan that ensures that Supplier can meet its contractual obligations under the Agreement, including the requirements of any applicable Statement of Work or Service Level Agreement. Such plan shall include the requirement that the included procedures be regularly tested in accordance with Supplier’s documented risk management plan. Supplier shall promptly review its business continuity plan to address additional threat scenarios. (Business Continuity Plan)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Use Strong Encryption to protect AT&amp;T’s SPI when stored. (Encryption of SPI at Rest/Storage)</w:t>
      </w:r>
    </w:p>
    <w:p>
      <w:pPr>
        <w:spacing w:after="0" w:line="13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Limit access to AT&amp;T’s Information, including, but not limited to, paper hard copies, only to authorized persons or systems. (Limit Access to AT&amp;T’s Information Regardless of Form)</w:t>
      </w:r>
    </w:p>
    <w:p>
      <w:pPr>
        <w:spacing w:after="0" w:line="75" w:lineRule="exact"/>
        <w:rPr>
          <w:rFonts w:ascii="Arial" w:cs="Arial" w:eastAsia="Arial" w:hAnsi="Arial"/>
          <w:sz w:val="18"/>
          <w:szCs w:val="18"/>
          <w:color w:val="auto"/>
        </w:rPr>
      </w:pPr>
    </w:p>
    <w:p>
      <w:pPr>
        <w:ind w:left="460" w:right="420" w:hanging="452"/>
        <w:spacing w:after="0" w:line="302" w:lineRule="auto"/>
        <w:tabs>
          <w:tab w:leader="none" w:pos="4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Be compliant with government- and generally known industry-mandated information security standards to the extent applicable to the Services provided by Supplier. (Examples of such standards include, but are not limited to, the Payment Card Industry-Data Security Standards (PCI-DSS), National Automated Clearing House Associates (NACHA) Rules, and Electronic Data Interchange (EDI) standards, and the information security requirements documented within laws, such as HIPAA.) (Compliance with Industry and Government Requirements)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In the event any such government- or industry-mandated information security standards cause Amdocs to incur additional costs to be compliant, [**]</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At no additional charge to AT&amp;T: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Upon AT&amp;T’s request, provide copies of any of AT&amp;T’s Information to AT&amp;T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Return, or, at AT&amp;T’s option, destroy all of AT&amp;T’s Information, including electronic and hard copies, [**] after the sooner of:</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expiration or Termination of the Agreement;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AT&amp;T’s request for the return of AT&amp;T’s Information;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the date when Supplier no longer needs AT&amp;T’s Information to perform Services under the Agreement.</w:t>
      </w:r>
    </w:p>
    <w:p>
      <w:pPr>
        <w:spacing w:after="0" w:line="130"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event that AT&amp;T approves destruction as an alternative to returning AT&amp;T’s Information, then certify in writing the destruction (e.g., degaussing, overwriting, performing a secure erase, performing a chip erase, shredding, cutting, punching holes, breaking, etc.) as rendering the AT&amp;T’s Information non-retrievable.</w:t>
      </w:r>
    </w:p>
    <w:p>
      <w:pPr>
        <w:spacing w:after="0" w:line="86"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 xml:space="preserve">In the event that Supplier needs to retain copies of AT&amp;T’s Information [**]either the expiration or Termination of the Agreement, or AT&amp;T’s request for the return or destruction of AT&amp;T’s Information, Supplier shall be allowed to retain such copies when elsewhere agreed to in writing with AT&amp;T. </w:t>
      </w:r>
      <w:r>
        <w:rPr>
          <w:rFonts w:ascii="Arial" w:cs="Arial" w:eastAsia="Arial" w:hAnsi="Arial"/>
          <w:sz w:val="18"/>
          <w:szCs w:val="18"/>
          <w:u w:val="single" w:color="auto"/>
          <w:color w:val="auto"/>
        </w:rPr>
        <w:t>Exception</w:t>
      </w:r>
      <w:r>
        <w:rPr>
          <w:rFonts w:ascii="Arial" w:cs="Arial" w:eastAsia="Arial" w:hAnsi="Arial"/>
          <w:sz w:val="18"/>
          <w:szCs w:val="18"/>
          <w:color w:val="auto"/>
        </w:rPr>
        <w:t>: Copies of AT&amp;T’s Information retained as part of a backup-and-recovery, business continuity or disaster recovery process may be retained for [**] the expiration or Termination of the Agreement without obtaining agreement in writing from AT&amp;T allowing such retention provided that all such copies are destroyed within [**] of creation. (Return of AT&amp;T’s Information)</w:t>
      </w:r>
    </w:p>
    <w:p>
      <w:pPr>
        <w:spacing w:after="0" w:line="98" w:lineRule="exact"/>
        <w:rPr>
          <w:rFonts w:ascii="Arial" w:cs="Arial" w:eastAsia="Arial" w:hAnsi="Arial"/>
          <w:sz w:val="18"/>
          <w:szCs w:val="18"/>
          <w:color w:val="auto"/>
        </w:rPr>
      </w:pPr>
    </w:p>
    <w:p>
      <w:pPr>
        <w:ind w:left="460" w:right="240" w:hanging="452"/>
        <w:spacing w:after="0" w:line="264"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Unless otherwise instructed by AT&amp;T in writing, when collecting, generating or creating Information for, through or on behalf of AT&amp;T or under the AT&amp;T brand, ensure that such Information shall be AT&amp;T’s Information and, whenever practicable, label such Information of AT&amp;T as “AT&amp;T Proprietary Information” or, at a minimum, label AT&amp;T’s Information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72" w:name="page373"/>
    <w:bookmarkEnd w:id="372"/>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8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“Confidential” or “Proprietary”. Supplier acknowledges that AT&amp;T’s Information shall remain AT&amp;T-owned Information irrespective of labeling or absence thereof. (Confidential or Proprietary Markings)</w:t>
      </w:r>
    </w:p>
    <w:p>
      <w:pPr>
        <w:spacing w:after="0" w:line="76"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Assign unique UserIDs to individual users. (Unique User IDs)</w:t>
      </w:r>
    </w:p>
    <w:p>
      <w:pPr>
        <w:spacing w:after="0" w:line="130" w:lineRule="exact"/>
        <w:rPr>
          <w:rFonts w:ascii="Arial" w:cs="Arial" w:eastAsia="Arial" w:hAnsi="Arial"/>
          <w:sz w:val="18"/>
          <w:szCs w:val="18"/>
          <w:color w:val="auto"/>
        </w:rPr>
      </w:pPr>
    </w:p>
    <w:p>
      <w:pPr>
        <w:jc w:val="both"/>
        <w:ind w:left="460" w:right="300" w:hanging="452"/>
        <w:spacing w:after="0" w:line="259"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Have and use a documented UserID Lifecycle Management process including, but not limited to, procedures for approved account creation, timely account removal, and account modification (e.g., changes to privileges, span of access, functions/roles) for all Information Resources and across all environments (e.g., production, test, development, etc.). Such process shall include review of access privileges and account validity to be performed [**]. (UserID Life Cycle Management)</w:t>
      </w:r>
    </w:p>
    <w:p>
      <w:pPr>
        <w:spacing w:after="0" w:line="92"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Enforce the rule of least privilege (i.e., limiting access to only the commands and Information Resources necessary to perform authorized functions according to one’s job function). (Rule of Least Privilege)</w:t>
      </w:r>
    </w:p>
    <w:p>
      <w:pPr>
        <w:spacing w:after="0" w:line="7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Limit failed login attempts to no more than [**] successive attempts and lock the user account upon reaching that limit. Access to the user account can be reactivated subsequently through a manual process requiring verification of the user’s identity or, where such capability exists, can be automatically reactivated after [**] from the last failed login attempt.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(Limit Failed Logins)</w:t>
      </w:r>
    </w:p>
    <w:p>
      <w:pPr>
        <w:spacing w:after="0" w:line="92" w:lineRule="exact"/>
        <w:rPr>
          <w:rFonts w:ascii="Arial" w:cs="Arial" w:eastAsia="Arial" w:hAnsi="Arial"/>
          <w:sz w:val="18"/>
          <w:szCs w:val="18"/>
          <w:color w:val="auto"/>
        </w:rPr>
      </w:pPr>
    </w:p>
    <w:p>
      <w:pPr>
        <w:jc w:val="both"/>
        <w:ind w:left="460" w:right="320" w:hanging="452"/>
        <w:spacing w:after="0" w:line="264"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Terminate interactive sessions, or activate a secure, locking screensaver requiring authentication, after a period of inactivity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(Terminate Inactive Interactive Sessions)</w:t>
      </w:r>
    </w:p>
    <w:p>
      <w:pPr>
        <w:spacing w:after="0" w:line="86"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Require password expiration at regular intervals not to exceed [**].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this requirement. (Expire Passwords)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131" w:lineRule="exact"/>
        <w:rPr>
          <w:sz w:val="20"/>
          <w:szCs w:val="20"/>
          <w:color w:val="auto"/>
        </w:rPr>
      </w:pPr>
    </w:p>
    <w:p>
      <w:pPr>
        <w:ind w:left="900" w:right="360" w:hanging="446"/>
        <w:spacing w:after="0" w:line="277" w:lineRule="auto"/>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Use an authentication method based on the sensitivity of AT&amp;T’s Information. Whenever authentication credentials are stored, Supplier shall protect them using Strong Encryption.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When passwords are used, they shall be complex and shall at least meet the following password construction requirements: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Be a minimum of six (6) characters in length.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Contain characters from at least two (2) of these groupings: alphabetic, numeric, and special characters.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Passwords must not contain repeating or sequential characters or numbers.</w:t>
      </w:r>
    </w:p>
    <w:p>
      <w:pPr>
        <w:spacing w:after="0" w:line="117"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 customer usage of Customer Facing Systems may be exempted from the password construction requirements.</w:t>
      </w:r>
    </w:p>
    <w:p>
      <w:pPr>
        <w:spacing w:after="0" w:line="76" w:lineRule="exact"/>
        <w:rPr>
          <w:sz w:val="20"/>
          <w:szCs w:val="20"/>
          <w:color w:val="auto"/>
        </w:rPr>
      </w:pPr>
    </w:p>
    <w:p>
      <w:pPr>
        <w:ind w:left="900" w:right="100" w:hanging="446"/>
        <w:spacing w:after="0" w:line="312" w:lineRule="auto"/>
        <w:tabs>
          <w:tab w:leader="none" w:pos="90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Applications housing more sensitive copies of AT&amp;T’s Information, as identified in writing by AT&amp;T, may require an authentication mechanism stronger than passwords. In such case the authentication mechanism shall be mutually agreed to in advance in writing. Examples of stronger authentication methods include Strong Authentication, passphrases, and biometrics. (Passwords and Construction Rules)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320" w:hanging="452"/>
        <w:spacing w:after="0" w:line="277" w:lineRule="auto"/>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Use a secure method for the conveyance of authentication credentials (e.g., passwords) and authentication mechanisms (e.g., tokens or smart cards). (Use Secure Method to Convey UserIDs and Passwords)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Warning Banner</w:t>
      </w:r>
    </w:p>
    <w:p>
      <w:pPr>
        <w:spacing w:after="0" w:line="135" w:lineRule="exact"/>
        <w:rPr>
          <w:sz w:val="20"/>
          <w:szCs w:val="20"/>
          <w:color w:val="auto"/>
        </w:rPr>
      </w:pPr>
    </w:p>
    <w:p>
      <w:pPr>
        <w:ind w:left="460" w:right="360" w:hanging="452"/>
        <w:spacing w:after="0" w:line="277" w:lineRule="auto"/>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For AT&amp;T branded products or services or for software developed for AT&amp;T, the Supplier shall display a warning banner on login screens or pages provided by AT&amp;T. (Display Warning Banners)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Software and Data Integrity</w:t>
      </w:r>
    </w:p>
    <w:p>
      <w:pPr>
        <w:spacing w:after="0" w:line="135" w:lineRule="exact"/>
        <w:rPr>
          <w:sz w:val="20"/>
          <w:szCs w:val="20"/>
          <w:color w:val="auto"/>
        </w:rPr>
      </w:pPr>
    </w:p>
    <w:p>
      <w:pPr>
        <w:ind w:left="460" w:right="120" w:hanging="452"/>
        <w:spacing w:after="0" w:line="286" w:lineRule="auto"/>
        <w:tabs>
          <w:tab w:leader="none" w:pos="4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In environments where antivirus software is commercially available and to the extent practicable, have current antivirus software installed and running to scan for and promptly remove or quarantine viruses and other malware. (Note: For the avoidance of doubt, this requirement also applies to Mobile and Portable Devices where antivirus software is commercially available.) (Scan and Remove Viruses)</w:t>
      </w:r>
    </w:p>
    <w:p>
      <w:pPr>
        <w:spacing w:after="0" w:line="70" w:lineRule="exact"/>
        <w:rPr>
          <w:rFonts w:ascii="Arial" w:cs="Arial" w:eastAsia="Arial" w:hAnsi="Arial"/>
          <w:sz w:val="17"/>
          <w:szCs w:val="17"/>
          <w:color w:val="auto"/>
        </w:rPr>
      </w:pPr>
    </w:p>
    <w:p>
      <w:pPr>
        <w:ind w:left="460" w:right="580" w:hanging="452"/>
        <w:spacing w:after="0" w:line="277" w:lineRule="auto"/>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(Separate Production and Non-Production Information Resources)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Have a documented change control process including back out procedures for all production environments. (Software Change Control Process)</w:t>
      </w:r>
    </w:p>
    <w:p>
      <w:pPr>
        <w:spacing w:after="0" w:line="142"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AT&amp;T’s Information, have database transaction logging features enabled and retain database transaction logs [**]. (Utilize Database Transaction Logging)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31" w:lineRule="exact"/>
        <w:rPr>
          <w:sz w:val="20"/>
          <w:szCs w:val="20"/>
          <w:color w:val="auto"/>
        </w:rPr>
      </w:pPr>
    </w:p>
    <w:p>
      <w:pPr>
        <w:ind w:left="900" w:right="1120" w:hanging="446"/>
        <w:spacing w:after="0" w:line="277"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For all software developed under this Agreement, review such software to find and remediate security vulnerabilities during initial implementation and upon any modifications and updates.</w:t>
      </w:r>
    </w:p>
    <w:p>
      <w:pPr>
        <w:spacing w:after="0" w:line="75" w:lineRule="exact"/>
        <w:rPr>
          <w:rFonts w:ascii="Arial" w:cs="Arial" w:eastAsia="Arial" w:hAnsi="Arial"/>
          <w:sz w:val="18"/>
          <w:szCs w:val="18"/>
          <w:color w:val="auto"/>
        </w:rPr>
      </w:pPr>
    </w:p>
    <w:p>
      <w:pPr>
        <w:ind w:left="900" w:right="240" w:hanging="446"/>
        <w:spacing w:after="0" w:line="342" w:lineRule="auto"/>
        <w:tabs>
          <w:tab w:leader="none" w:pos="90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Where technically feasible, for all software used, furnished and/or supported under the Agreement, review such software to find and remediate security vulnerabilities during initial implementation and upon any modifications and updates. (Review Code for Vulnerabilities)</w:t>
      </w:r>
    </w:p>
    <w:p>
      <w:pPr>
        <w:spacing w:after="0" w:line="29" w:lineRule="exact"/>
        <w:rPr>
          <w:rFonts w:ascii="Arial" w:cs="Arial" w:eastAsia="Arial" w:hAnsi="Arial"/>
          <w:sz w:val="16"/>
          <w:szCs w:val="16"/>
          <w:color w:val="auto"/>
        </w:rPr>
      </w:pPr>
    </w:p>
    <w:p>
      <w:pPr>
        <w:ind w:left="460" w:right="60" w:hanging="452"/>
        <w:spacing w:after="0" w:line="264" w:lineRule="auto"/>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Perform quality assurance testing for the security components (e.g., testing of identification, authentication, and authorization functions), as well as any other activity designed to validate the security architecture, during initial implementation and upon any modifications and updates. (Quality Assurance Test Security Components)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Privacy Issues</w:t>
      </w:r>
    </w:p>
    <w:p>
      <w:pPr>
        <w:spacing w:after="0" w:line="135"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Restrict access to any of AT&amp;T’s CPNI and AT&amp;T’s SPI to authorized individuals. (Restrict Access to AT&amp;T CPNI and SPI)</w:t>
      </w:r>
    </w:p>
    <w:p>
      <w:pPr>
        <w:spacing w:after="0" w:line="130" w:lineRule="exact"/>
        <w:rPr>
          <w:rFonts w:ascii="Arial" w:cs="Arial" w:eastAsia="Arial" w:hAnsi="Arial"/>
          <w:sz w:val="18"/>
          <w:szCs w:val="18"/>
          <w:color w:val="auto"/>
        </w:rPr>
      </w:pPr>
    </w:p>
    <w:p>
      <w:pPr>
        <w:ind w:left="460" w:right="480" w:hanging="452"/>
        <w:spacing w:after="0" w:line="291" w:lineRule="auto"/>
        <w:tabs>
          <w:tab w:leader="none" w:pos="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Not store AT&amp;T’s CPNI and AT&amp;T’s SPI on removable media (e.g., USB flash drives, thumb drives, memory sticks, tapes, CDs, or external hard drives) except: (a) for backup, business continuity, disaster recovery, and data interchange purposes as allowed and required under contract, and</w:t>
      </w: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(b) using Strong Encryption. </w:t>
      </w:r>
      <w:r>
        <w:rPr>
          <w:rFonts w:ascii="Arial" w:cs="Arial" w:eastAsia="Arial" w:hAnsi="Arial"/>
          <w:sz w:val="18"/>
          <w:szCs w:val="18"/>
          <w:u w:val="single" w:color="auto"/>
          <w:color w:val="auto"/>
        </w:rPr>
        <w:t>Exception</w:t>
      </w:r>
      <w:r>
        <w:rPr>
          <w:rFonts w:ascii="Arial" w:cs="Arial" w:eastAsia="Arial" w:hAnsi="Arial"/>
          <w:sz w:val="18"/>
          <w:szCs w:val="18"/>
          <w:color w:val="auto"/>
        </w:rPr>
        <w:t>: Where elsewhere authorized in writing by AT&amp;T, AT&amp;T’s CPNI stored for distribution to AT&amp;T’s customers may be exempted from this requirement. (Control AT&amp;T CPNI and SPI on Removable Media)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Monitoring and Auditing Controls</w:t>
      </w:r>
    </w:p>
    <w:p>
      <w:pPr>
        <w:spacing w:after="0" w:line="135" w:lineRule="exact"/>
        <w:rPr>
          <w:sz w:val="20"/>
          <w:szCs w:val="20"/>
          <w:color w:val="auto"/>
        </w:rPr>
      </w:pPr>
    </w:p>
    <w:p>
      <w:pPr>
        <w:ind w:left="460" w:hanging="452"/>
        <w:spacing w:after="0"/>
        <w:tabs>
          <w:tab w:leader="none" w:pos="4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Restrict access to security logs to authorized individuals, and protect security logs from unauthorized modification. (Restrict Access to Security Logs)</w:t>
      </w:r>
    </w:p>
    <w:p>
      <w:pPr>
        <w:spacing w:after="0" w:line="153" w:lineRule="exact"/>
        <w:rPr>
          <w:rFonts w:ascii="Arial" w:cs="Arial" w:eastAsia="Arial" w:hAnsi="Arial"/>
          <w:sz w:val="16"/>
          <w:szCs w:val="16"/>
          <w:color w:val="auto"/>
        </w:rPr>
      </w:pPr>
    </w:p>
    <w:p>
      <w:pPr>
        <w:ind w:left="460" w:right="640" w:hanging="452"/>
        <w:spacing w:after="0" w:line="277"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 on [**], all security and security-related logs for anomalies and document and resolve all logged security problems in a timely manner. (Review Security Logs and Resolve Security Problems)</w:t>
      </w:r>
    </w:p>
    <w:p>
      <w:pPr>
        <w:spacing w:after="0" w:line="75" w:lineRule="exact"/>
        <w:rPr>
          <w:rFonts w:ascii="Arial" w:cs="Arial" w:eastAsia="Arial" w:hAnsi="Arial"/>
          <w:sz w:val="18"/>
          <w:szCs w:val="18"/>
          <w:color w:val="auto"/>
        </w:rPr>
      </w:pPr>
    </w:p>
    <w:p>
      <w:pPr>
        <w:ind w:left="460" w:right="80" w:hanging="452"/>
        <w:spacing w:after="0" w:line="286" w:lineRule="auto"/>
        <w:tabs>
          <w:tab w:leader="none" w:pos="46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Retain complete and accurate records relating to its performance of its obligations arising out of these Security Requirements and Supplier’s compliance herewith in a format that will permit assessment or audit for a period of [**], or longer as may be required pursuant to a court order or civil or regulatory proceeding. Notwithstanding the foregoing, Supplier shall only be required to maintain security logs for a [**]. (Retain Records)</w:t>
      </w:r>
    </w:p>
    <w:p>
      <w:pPr>
        <w:spacing w:after="0" w:line="70" w:lineRule="exact"/>
        <w:rPr>
          <w:rFonts w:ascii="Arial" w:cs="Arial" w:eastAsia="Arial" w:hAnsi="Arial"/>
          <w:sz w:val="17"/>
          <w:szCs w:val="17"/>
          <w:color w:val="auto"/>
        </w:rPr>
      </w:pPr>
    </w:p>
    <w:p>
      <w:pPr>
        <w:ind w:left="460" w:right="200" w:hanging="452"/>
        <w:spacing w:after="0" w:line="255"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Permit AT&amp;T to conduct an assessment or audit to verify Supplier’s compliance with the contractual obligations in connection with these AT&amp;T Supplier Information Security Requirements. Upon AT&amp;T’s request for audit, Supplier shall schedule a security audit to commence [**] from such request. In the event that AT&amp;T, in its sole discretion, deems that a security breach has occurred, which has not been promptly reported to AT&amp;T in compliance with the Supplier’s Incident Management Process, Supplier shall schedule the audit to commence within [**] of AT&amp;T’s notice requiring an audit. This provision shall not be deemed to, and shall not, limit any more stringent audit obligations permitting the examination of Supplier’s records contained in the Agreement. (Audit Rights)</w:t>
      </w:r>
    </w:p>
    <w:p>
      <w:pPr>
        <w:spacing w:after="0" w:line="98"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of receipt of the assessment or audit report, provide AT&amp;T a written report outlining the corrective actions that Supplier has implemented or proposes to implement with the schedule and current status of each corrective action. Supplier shall update this report to AT&amp;T [**] reporting the status of all corrective actions through the date of implementation. Supplier shall implement all corrective actions [**] of Supplier’s receipt of the audit report. (Remediate Audit Findings)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Reporting Violations</w:t>
      </w:r>
    </w:p>
    <w:p>
      <w:pPr>
        <w:spacing w:after="0" w:line="135" w:lineRule="exact"/>
        <w:rPr>
          <w:sz w:val="20"/>
          <w:szCs w:val="20"/>
          <w:color w:val="auto"/>
        </w:rPr>
      </w:pPr>
    </w:p>
    <w:p>
      <w:pPr>
        <w:ind w:left="460" w:right="260" w:hanging="452"/>
        <w:spacing w:after="0" w:line="277" w:lineRule="auto"/>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Have and use an Incident Management Process and promptly notify AT&amp;T whenever there is an attack upon, intrusion upon, unauthorized access to, loss of, or other breach of AT&amp;T’s Information Resources at: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Asset Protection by telephone at 800-807-4205 from within the US and at 1-908-658-0380 from elsewhere,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and Use Incident Response Procedures)</w:t>
      </w:r>
    </w:p>
    <w:p>
      <w:pPr>
        <w:spacing w:after="0" w:line="131" w:lineRule="exact"/>
        <w:rPr>
          <w:sz w:val="20"/>
          <w:szCs w:val="20"/>
          <w:color w:val="auto"/>
        </w:rPr>
      </w:pPr>
    </w:p>
    <w:p>
      <w:pPr>
        <w:ind w:left="460" w:right="120" w:hanging="452"/>
        <w:spacing w:after="0" w:line="257"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After notifying AT&amp;T whenever there is an attack upon, intrusion upon, unauthorized access to, loss of, or other breach of AT&amp;T’s Information Resources, provide AT&amp;T with regular status updates, including, but not limited to, actions taken to resolve such incident, at mutually agreed intervals or times for the duration of the incident and, [**] of the closure of the incident, provide AT&amp;T with a written report describing the incident, actions taken by the Supplier during its response and the Supplier’s plans for future actions to prevent a similar incident from occurring. (Provide AT&amp;T Incident Response Status and Final Resolution)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Software Development</w:t>
      </w:r>
    </w:p>
    <w:p>
      <w:pPr>
        <w:spacing w:after="0" w:line="135"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Policies and Procedures</w:t>
      </w:r>
    </w:p>
    <w:p>
      <w:pPr>
        <w:spacing w:after="0" w:line="135" w:lineRule="exact"/>
        <w:rPr>
          <w:sz w:val="20"/>
          <w:szCs w:val="20"/>
          <w:color w:val="auto"/>
        </w:rPr>
      </w:pPr>
    </w:p>
    <w:p>
      <w:pPr>
        <w:ind w:left="460" w:hanging="452"/>
        <w:spacing w:after="0" w:line="277" w:lineRule="auto"/>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Ensure that all personnel, subcontractors or representatives performing work under this Agreement are in compliance with these Security Requirements. (All Work to Be In Compliance with SISR)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Deactivate or Return all AT&amp;T-owned or -provided access devices (including, but not limited to, SecurID</w:t>
      </w:r>
      <w:r>
        <w:rPr>
          <w:rFonts w:ascii="Arial" w:cs="Arial" w:eastAsia="Arial" w:hAnsi="Arial"/>
          <w:sz w:val="14"/>
          <w:szCs w:val="14"/>
          <w:color w:val="auto"/>
        </w:rPr>
        <w:t>®</w:t>
      </w:r>
      <w:r>
        <w:rPr>
          <w:rFonts w:ascii="Arial" w:cs="Arial" w:eastAsia="Arial" w:hAnsi="Arial"/>
          <w:sz w:val="17"/>
          <w:szCs w:val="17"/>
          <w:color w:val="auto"/>
        </w:rPr>
        <w:t xml:space="preserve"> tokens and/or software) as soon as practicable, but in no event [**] after the sooner of: (a) expiration or Termination of the Agreement; (b) AT&amp;T’s request for the return of such property; or (c) the date when Supplier no longer need such devices. (Return all AT&amp;T Owned or Provided Access Devices)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Mobile and Portable Devices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131" w:lineRule="exact"/>
        <w:rPr>
          <w:sz w:val="20"/>
          <w:szCs w:val="20"/>
          <w:color w:val="auto"/>
        </w:rPr>
      </w:pPr>
    </w:p>
    <w:p>
      <w:pPr>
        <w:ind w:left="900" w:right="640" w:hanging="446"/>
        <w:spacing w:after="0" w:line="277" w:lineRule="auto"/>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By [**] after the date of execution of Amendment 30, Supplier shall not store any of AT&amp;T’s SPI on Mobile and Portable Devices unless AT&amp;T’s SPI stored on such devices is protected by the use of Strong Encryption.</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Following the execution of Amendment 30, Supplier shall continue to negotiate in good faith with AT&amp;T on reaching mutual agreement on a date when Supplier shall protect AT&amp;T’s Information stored on Mobile and Portable Devices through the use of Strong Encryption. Such negotiations shall successfully conclude within [**] of the execution of Amendment 30, and shall result in an execution of an amendment to the Agreement, or AT&amp;T shall have the right to terminate for convenience.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Following the execution of Amendment 30, Supplier shall continue to negotiate in good faith with AT&amp;T on reaching mutual agreement on a date when Supplier shall use Strong Encryption to protect all of AT&amp;T’s Information transmitted using or remotely accessed by network-aware Mobile and Portable Devices. Such negotiations shall successfully conclude within [**] of the execution of Amendment 30, and shall result in an execution of an amendment to the Agreement, or AT&amp;T shall have the right to terminate for convenience.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131" w:lineRule="exact"/>
        <w:rPr>
          <w:sz w:val="20"/>
          <w:szCs w:val="20"/>
          <w:color w:val="auto"/>
        </w:rPr>
      </w:pPr>
    </w:p>
    <w:p>
      <w:pPr>
        <w:jc w:val="both"/>
        <w:ind w:left="900" w:right="100" w:hanging="446"/>
        <w:spacing w:after="0" w:line="264" w:lineRule="auto"/>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When using network-aware Mobile and Portable Devices that are not laptop computers to access and/or store AT&amp;T’s Information, such devices must be capable of deleting all stored copies of AT&amp;T’s Information upon receipt over the network of a properly authenticated command. (Note: Such capability is often referred to as a “remote wipe” capability.)</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to ensure that the authorized individual who should be in physical control of a network-aware Mobile and Portable Device that is not a laptop computer and that is storing AT&amp;T’s Information promptly initiates deletion of all AT&amp;T’s Information when the device becomes lost or stolen.</w:t>
      </w:r>
    </w:p>
    <w:p>
      <w:pPr>
        <w:spacing w:after="0" w:line="86"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to ensure that Mobile and Portable Devices that are not laptop computers and are not network aware, will automatically delete all stored copies of AT&amp;T’s Information after no more than three times the number of consecutive failed login attempts documented within Security Requirement 31.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18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Have documented policies, procedures and standards in place which ensure that any Mobile and Portable Devices used to access and/or store AT&amp;T’s Information: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Are in the physical possession of authorized individuals;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Are physically secured when not in the physical possession of authorized individuals;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Have their data storage promptly and securely deleted when not in the physical possession of authorized individuals nor physically secured.</w:t>
      </w:r>
    </w:p>
    <w:p>
      <w:pPr>
        <w:spacing w:after="0" w:line="142" w:lineRule="exact"/>
        <w:rPr>
          <w:rFonts w:ascii="Arial" w:cs="Arial" w:eastAsia="Arial" w:hAnsi="Arial"/>
          <w:sz w:val="17"/>
          <w:szCs w:val="17"/>
          <w:color w:val="auto"/>
        </w:rPr>
      </w:pPr>
    </w:p>
    <w:p>
      <w:pPr>
        <w:ind w:left="460" w:right="16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Prior to allowing access to AT&amp;T’s Information stored on or through the use of Mobile and Portable Devices, Supplier shall have and use a process to ensure that: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user is authorized for such access;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identity of the user has been authenticated.</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Implement a policy that prohibits the use of any Mobile and Portable Devices that are not administered and/or managed by Supplier or AT&amp;T to access and/or store AT&amp;T’s Information.</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Review, [**], the use of, and controls for, all Supplier-administered or -managed Mobile and Portable Devices to ensure that the Mobile and Portable Devices can meet the applicable Security Requirements.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Gateways</w:t>
      </w:r>
    </w:p>
    <w:p>
      <w:pPr>
        <w:spacing w:after="0" w:line="135" w:lineRule="exact"/>
        <w:rPr>
          <w:sz w:val="20"/>
          <w:szCs w:val="20"/>
          <w:color w:val="auto"/>
        </w:rPr>
      </w:pPr>
    </w:p>
    <w:p>
      <w:pPr>
        <w:ind w:left="460" w:right="380" w:hanging="452"/>
        <w:spacing w:after="0" w:line="277" w:lineRule="auto"/>
        <w:tabs>
          <w:tab w:leader="none" w:pos="4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Require Strong Authentication for administrative and/or management access to Security Gateways, including, but not limited to, any access for the purpose of reviewing log files.</w:t>
      </w:r>
    </w:p>
    <w:p>
      <w:pPr>
        <w:spacing w:after="0" w:line="75"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Have and use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51"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At least [**], ensure that Security Gateway configurations are hardened by selecting a sample of Security Gateways and verifying that each default rule set and set of configuration parameters ensures the following: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Internet Protocol (IP) source routing is disabled,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loopback address is prohibited from entering the internal network,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Internet Control Message Protocol (ICMP) redirects are disabled,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All rule sets end with a “DENY ALL” statement,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Each rule is traceable to a specific business request.</w:t>
      </w:r>
    </w:p>
    <w:p>
      <w:pPr>
        <w:spacing w:after="0" w:line="130"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Ensure that monitoring tools are used to validate that all aspects of Security Gateways (e.g., hardware, firmware, and software) are continuously operational.</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Ensure that all Security Gateways are configured and implemented such that all non-operational Security Gateways shall deny all access.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Wireless Networking</w:t>
      </w:r>
    </w:p>
    <w:p>
      <w:pPr>
        <w:spacing w:after="0" w:line="135" w:lineRule="exact"/>
        <w:rPr>
          <w:sz w:val="20"/>
          <w:szCs w:val="20"/>
          <w:color w:val="auto"/>
        </w:rPr>
      </w:pPr>
    </w:p>
    <w:p>
      <w:pPr>
        <w:ind w:left="460" w:right="180" w:hanging="452"/>
        <w:spacing w:after="0" w:line="257" w:lineRule="auto"/>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When using radio frequency (RF) based wireless networking technologies to perform or support Services for AT&amp;T, ensure that all of AT&amp;T’s Information transmitted is protected by the use of appropriate encryption technologies sufficient to protect the confidentiality of AT&amp;T’s Information; provided, however, that in any event such encryption shall use no less than key lengths of 256-bits for symmetric encryption and 256-bits for asymmetric encryption. Exception: The use of RF-based wireless headsets, keyboards, microphones, and pointing devices, such as mice, touch pads, and digital drawing tablets, is excluded from this requirement.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135" w:lineRule="exact"/>
        <w:rPr>
          <w:sz w:val="20"/>
          <w:szCs w:val="20"/>
          <w:color w:val="auto"/>
        </w:rPr>
      </w:pPr>
    </w:p>
    <w:p>
      <w:pPr>
        <w:ind w:left="460" w:right="60" w:hanging="452"/>
        <w:spacing w:after="0" w:line="272" w:lineRule="auto"/>
        <w:tabs>
          <w:tab w:leader="none" w:pos="4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In the event that a data connection agreement, such as a “Master Data Connection Agreement,” “Data Connection Agreement,” and/or “Connection Supplement” (“DCA”) exists between the Parties, and incorporates the Agreement by reference, or is otherwise integrated with, or used to govern the Parties’ connectivity obligations under, this Agreement, agree that any information security requirements incorporated within such DCA are hereby superseded by the terms of these Security Requirements, effective as of the date these Security Requirements become effective under the Agreement, and the terms of such DCA are amended to require that the Security Requirements and not the information security requirements incorporated within the DCA are controlling in the Agreement (as well as any agreements subordinate to the Agreement). Notwithstanding the foregoing, the DCA remains in full force and effect for all other agreements between the Parties to which it applies.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360" w:hanging="452"/>
        <w:spacing w:after="0" w:line="277" w:lineRule="auto"/>
        <w:tabs>
          <w:tab w:leader="none" w:pos="4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conjunction with this Agreement, then in addition to the foregoing:</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NOT establish interconnection to AT&amp;T’s and AT&amp;T’s customers’ Nonpublic Information Resources without the prior consent of AT&amp;T.</w:t>
      </w:r>
    </w:p>
    <w:p>
      <w:pPr>
        <w:spacing w:after="0" w:line="142" w:lineRule="exact"/>
        <w:rPr>
          <w:rFonts w:ascii="Arial" w:cs="Arial" w:eastAsia="Arial" w:hAnsi="Arial"/>
          <w:sz w:val="17"/>
          <w:szCs w:val="17"/>
          <w:color w:val="auto"/>
        </w:rPr>
      </w:pPr>
    </w:p>
    <w:p>
      <w:pPr>
        <w:ind w:left="900" w:right="100" w:hanging="446"/>
        <w:spacing w:after="0" w:line="308" w:lineRule="auto"/>
        <w:tabs>
          <w:tab w:leader="none" w:pos="9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Provide AT&amp;T access to any applicable Supplier facilities during normal business hours for the maintenance and support of any equipment (e.g., router) provided by AT&amp;T under the Agreement for connectivity to AT&amp;T’s and AT&amp;T’s customers’ Nonpublic Information Resources.</w:t>
      </w:r>
    </w:p>
    <w:p>
      <w:pPr>
        <w:spacing w:after="0" w:line="51" w:lineRule="exact"/>
        <w:rPr>
          <w:rFonts w:ascii="Arial" w:cs="Arial" w:eastAsia="Arial" w:hAnsi="Arial"/>
          <w:sz w:val="17"/>
          <w:szCs w:val="17"/>
          <w:color w:val="auto"/>
        </w:rPr>
      </w:pPr>
    </w:p>
    <w:p>
      <w:pPr>
        <w:ind w:left="900" w:right="600" w:hanging="446"/>
        <w:spacing w:after="0" w:line="277" w:lineRule="auto"/>
        <w:tabs>
          <w:tab w:leader="none" w:pos="9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Use any equipment provided by AT&amp;T under this Agreement for connectivity to AT&amp;T’s and AT&amp;T’s customers’ Nonpublic Information Resources only for the furnishing of those Services or functions explicitly defined in the Agreement.</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If the agreed upon connectivity methodology requires that Supplier implement a Security Gateway, maintain logs of all sessions using such Security Gateway. These session logs must include sufficiently detailed information to identify the end user or application, origination IP address, destination IP address, ports/service protocols used and duration of access. These session logs must be retained for a [**]</w:t>
      </w:r>
    </w:p>
    <w:p>
      <w:pPr>
        <w:spacing w:after="0" w:line="70" w:lineRule="exact"/>
        <w:rPr>
          <w:rFonts w:ascii="Arial" w:cs="Arial" w:eastAsia="Arial" w:hAnsi="Arial"/>
          <w:sz w:val="17"/>
          <w:szCs w:val="17"/>
          <w:color w:val="auto"/>
        </w:rPr>
      </w:pPr>
    </w:p>
    <w:p>
      <w:pPr>
        <w:ind w:left="460" w:right="360" w:hanging="452"/>
        <w:spacing w:after="0" w:line="277" w:lineRule="auto"/>
        <w:tabs>
          <w:tab w:leader="none" w:pos="4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conjunction with this Agreement, in addition to other rights set forth herein, permit AT&amp;T to:</w:t>
      </w:r>
    </w:p>
    <w:p>
      <w:pPr>
        <w:spacing w:after="0" w:line="75" w:lineRule="exact"/>
        <w:rPr>
          <w:rFonts w:ascii="Arial" w:cs="Arial" w:eastAsia="Arial" w:hAnsi="Arial"/>
          <w:sz w:val="18"/>
          <w:szCs w:val="18"/>
          <w:color w:val="auto"/>
        </w:rPr>
      </w:pPr>
    </w:p>
    <w:p>
      <w:pPr>
        <w:jc w:val="both"/>
        <w:ind w:left="900" w:right="260" w:hanging="446"/>
        <w:spacing w:after="0" w:line="286" w:lineRule="auto"/>
        <w:tabs>
          <w:tab w:leader="none" w:pos="9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Gather information relating to access, including Supplier’s access to, AT&amp;T’s and AT&amp;T’s customers’ Nonpublic Information Resources. This information may be collected, retained and analyzed by AT&amp;T to identify potential security risks without further notice. This information may include trace files, statistics, network addresses, and the actual data or screens accessed or transferred.</w:t>
      </w:r>
    </w:p>
    <w:p>
      <w:pPr>
        <w:spacing w:after="0" w:line="70" w:lineRule="exact"/>
        <w:rPr>
          <w:rFonts w:ascii="Arial" w:cs="Arial" w:eastAsia="Arial" w:hAnsi="Arial"/>
          <w:sz w:val="17"/>
          <w:szCs w:val="17"/>
          <w:color w:val="auto"/>
        </w:rPr>
      </w:pPr>
    </w:p>
    <w:p>
      <w:pPr>
        <w:ind w:left="900" w:right="80" w:hanging="446"/>
        <w:spacing w:after="0" w:line="308" w:lineRule="auto"/>
        <w:tabs>
          <w:tab w:leader="none" w:pos="90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Immediately suspend or terminate any interconnection to AT&amp;T’s and AT&amp;T’s customers’ Nonpublic Information Resources if AT&amp;T, in its sole discretion, believes there has been a breach of security or unauthorized access to or misuse of AT&amp;T data facilities or Information.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02026713.A.030</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Offshore Information Technology Services Requirements</w:t>
      </w:r>
    </w:p>
    <w:p>
      <w:pPr>
        <w:spacing w:after="0" w:line="121"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76" w:lineRule="exact"/>
        <w:rPr>
          <w:sz w:val="20"/>
          <w:szCs w:val="20"/>
          <w:color w:val="auto"/>
        </w:rPr>
      </w:pPr>
    </w:p>
    <w:p>
      <w:pPr>
        <w:ind w:left="460" w:right="40" w:hanging="452"/>
        <w:spacing w:after="0" w:line="277" w:lineRule="auto"/>
        <w:tabs>
          <w:tab w:leader="none" w:pos="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76" w:lineRule="exact"/>
        <w:rPr>
          <w:sz w:val="20"/>
          <w:szCs w:val="20"/>
          <w:color w:val="auto"/>
        </w:rPr>
      </w:pPr>
    </w:p>
    <w:p>
      <w:pPr>
        <w:ind w:left="460" w:right="460" w:hanging="452"/>
        <w:spacing w:after="0" w:line="277" w:lineRule="auto"/>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460" w:hanging="452"/>
        <w:spacing w:after="0"/>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31" w:lineRule="exact"/>
        <w:rPr>
          <w:sz w:val="20"/>
          <w:szCs w:val="20"/>
          <w:color w:val="auto"/>
        </w:rPr>
      </w:pPr>
    </w:p>
    <w:p>
      <w:pPr>
        <w:ind w:left="460" w:right="320" w:hanging="452"/>
        <w:spacing w:after="0" w:line="264"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87" w:lineRule="exact"/>
        <w:rPr>
          <w:sz w:val="20"/>
          <w:szCs w:val="20"/>
          <w:color w:val="auto"/>
        </w:rPr>
      </w:pPr>
    </w:p>
    <w:p>
      <w:pPr>
        <w:ind w:left="460" w:right="820" w:hanging="452"/>
        <w:spacing w:after="0" w:line="277" w:lineRule="auto"/>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76" w:lineRule="exact"/>
        <w:rPr>
          <w:sz w:val="20"/>
          <w:szCs w:val="20"/>
          <w:color w:val="auto"/>
        </w:rPr>
      </w:pPr>
    </w:p>
    <w:p>
      <w:pPr>
        <w:ind w:left="460" w:right="100" w:hanging="452"/>
        <w:spacing w:after="0" w:line="342" w:lineRule="auto"/>
        <w:tabs>
          <w:tab w:leader="none" w:pos="4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29"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Track and approve changes to firewall rules is required and must be [**]. Inappropriate firewall rules must be removed immediately.</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Require a clean desk policy at the end of the day.</w:t>
      </w:r>
    </w:p>
    <w:p>
      <w:pPr>
        <w:spacing w:after="0" w:line="131"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9A</w:t>
        <w:tab/>
        <w:t>Effective October 1, 2010, all portable or removable media (such as CD, floppy and USB drives) will be removed or disabled to ensure that AT&amp;T Data cannot be downloaded and taken offsite.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80" w:name="page381"/>
    <w:bookmarkEnd w:id="380"/>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81" w:lineRule="exact"/>
        <w:rPr>
          <w:sz w:val="20"/>
          <w:szCs w:val="20"/>
          <w:color w:val="auto"/>
        </w:rPr>
      </w:pPr>
    </w:p>
    <w:p>
      <w:pPr>
        <w:jc w:val="both"/>
        <w:ind w:left="460" w:right="140" w:hanging="459"/>
        <w:spacing w:after="0" w:line="264" w:lineRule="auto"/>
        <w:tabs>
          <w:tab w:leader="none" w:pos="440" w:val="left"/>
        </w:tabs>
        <w:rPr>
          <w:sz w:val="20"/>
          <w:szCs w:val="20"/>
          <w:color w:val="auto"/>
        </w:rPr>
      </w:pPr>
      <w:r>
        <w:rPr>
          <w:rFonts w:ascii="Arial" w:cs="Arial" w:eastAsia="Arial" w:hAnsi="Arial"/>
          <w:sz w:val="18"/>
          <w:szCs w:val="18"/>
          <w:color w:val="auto"/>
        </w:rPr>
        <w:t>9B</w:t>
        <w:tab/>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73" w:lineRule="exact"/>
        <w:rPr>
          <w:sz w:val="20"/>
          <w:szCs w:val="20"/>
          <w:color w:val="auto"/>
        </w:rPr>
      </w:pPr>
    </w:p>
    <w:p>
      <w:pPr>
        <w:ind w:left="680" w:hanging="216"/>
        <w:spacing w:after="0"/>
        <w:tabs>
          <w:tab w:leader="none" w:pos="6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All communications over wireless networks must be transmitted via Virtual Private Network (VPN) session(s) using Strong Encryption.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17" w:lineRule="exact"/>
        <w:rPr>
          <w:rFonts w:ascii="Arial" w:cs="Arial" w:eastAsia="Arial" w:hAnsi="Arial"/>
          <w:sz w:val="18"/>
          <w:szCs w:val="18"/>
          <w:color w:val="auto"/>
        </w:rPr>
      </w:pPr>
    </w:p>
    <w:p>
      <w:pPr>
        <w:ind w:left="460" w:right="260" w:firstLine="4"/>
        <w:spacing w:after="0" w:line="277" w:lineRule="auto"/>
        <w:tabs>
          <w:tab w:leader="none" w:pos="77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Enable Media Access Control (MAC)-based filtering so that only specified wireless cards can communicate to the access point.</w:t>
      </w:r>
    </w:p>
    <w:p>
      <w:pPr>
        <w:spacing w:after="0" w:line="131" w:lineRule="exact"/>
        <w:rPr>
          <w:sz w:val="20"/>
          <w:szCs w:val="20"/>
          <w:color w:val="auto"/>
        </w:rPr>
      </w:pPr>
    </w:p>
    <w:p>
      <w:pPr>
        <w:ind w:left="460" w:right="480" w:hanging="452"/>
        <w:spacing w:after="0" w:line="277" w:lineRule="auto"/>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Supplier must implement procedures to ensure that AT&amp;T Data is not downloaded and removed by Supplier, including at a minimum, searches of persons and their belongings when exiting AT&amp;T restricted areas and Supplier’s premises.</w:t>
      </w:r>
    </w:p>
    <w:p>
      <w:pPr>
        <w:spacing w:after="0" w:line="75" w:lineRule="exact"/>
        <w:rPr>
          <w:rFonts w:ascii="Arial" w:cs="Arial" w:eastAsia="Arial" w:hAnsi="Arial"/>
          <w:sz w:val="18"/>
          <w:szCs w:val="18"/>
          <w:color w:val="auto"/>
        </w:rPr>
      </w:pPr>
    </w:p>
    <w:p>
      <w:pPr>
        <w:jc w:val="both"/>
        <w:ind w:left="460" w:right="320" w:hanging="452"/>
        <w:spacing w:after="0" w:line="264" w:lineRule="auto"/>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86" w:lineRule="exact"/>
        <w:rPr>
          <w:rFonts w:ascii="Arial" w:cs="Arial" w:eastAsia="Arial" w:hAnsi="Arial"/>
          <w:sz w:val="18"/>
          <w:szCs w:val="18"/>
          <w:color w:val="auto"/>
        </w:rPr>
      </w:pPr>
    </w:p>
    <w:p>
      <w:pPr>
        <w:ind w:left="460" w:right="260" w:hanging="452"/>
        <w:spacing w:after="0" w:line="279" w:lineRule="auto"/>
        <w:tabs>
          <w:tab w:leader="none" w:pos="4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a [**] basis to ensure that the information is not removed from Supplier’s premises.</w:t>
      </w:r>
    </w:p>
    <w:p>
      <w:pPr>
        <w:spacing w:after="0" w:line="76" w:lineRule="exact"/>
        <w:rPr>
          <w:rFonts w:ascii="Arial" w:cs="Arial" w:eastAsia="Arial" w:hAnsi="Arial"/>
          <w:sz w:val="17"/>
          <w:szCs w:val="17"/>
          <w:color w:val="auto"/>
        </w:rPr>
      </w:pPr>
    </w:p>
    <w:p>
      <w:pPr>
        <w:ind w:left="460" w:hanging="452"/>
        <w:spacing w:after="0" w:line="286" w:lineRule="auto"/>
        <w:tabs>
          <w:tab w:leader="none" w:pos="4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of persons and their belongings when exiting AT&amp;T restricted areas and Supplier’s premises.</w:t>
      </w:r>
    </w:p>
    <w:p>
      <w:pPr>
        <w:spacing w:after="0" w:line="70"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3" w:right="2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IDS audit logs must be retained [**] and offline for a period of at least [**].</w:t>
      </w:r>
    </w:p>
    <w:p>
      <w:pPr>
        <w:spacing w:after="0" w:line="131" w:lineRule="exact"/>
        <w:rPr>
          <w:sz w:val="20"/>
          <w:szCs w:val="20"/>
          <w:color w:val="auto"/>
        </w:rPr>
      </w:pPr>
    </w:p>
    <w:p>
      <w:pPr>
        <w:ind w:left="460" w:right="340" w:hanging="452"/>
        <w:spacing w:after="0" w:line="264" w:lineRule="auto"/>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Remote access to AT&amp;T Networks or AT&amp;T Data is prohibited. All work on AT&amp;T projects must be performed within the AT&amp;T restricted area on Supplier’s premises. Prior written exception to this prohibition must be obtained from the [**]Supplier’s use of laptops offsite must have written approval from the [**]</w:t>
      </w:r>
    </w:p>
    <w:p>
      <w:pPr>
        <w:spacing w:after="0" w:line="86" w:lineRule="exact"/>
        <w:rPr>
          <w:rFonts w:ascii="Arial" w:cs="Arial" w:eastAsia="Arial" w:hAnsi="Arial"/>
          <w:sz w:val="18"/>
          <w:szCs w:val="18"/>
          <w:color w:val="auto"/>
        </w:rPr>
      </w:pPr>
    </w:p>
    <w:p>
      <w:pPr>
        <w:jc w:val="both"/>
        <w:ind w:left="460" w:right="140" w:hanging="452"/>
        <w:spacing w:after="0" w:line="286" w:lineRule="auto"/>
        <w:tabs>
          <w:tab w:leader="none" w:pos="46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Randomly check Supplier-based email and internet-based email so that AT&amp;T Data is not sent to an unauthorized recipient. [**], Amdocs must check for the AT&amp;T Proprietary – Restricted and AT&amp;T Proprietary – Sensitive Personal Information markings in emails and attachments sent from Amdocs to non-AT&amp;T personnel outside. Any unauthorized transmissions must be reported by Amdocs in an email to the [**]</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460" w:right="20" w:hanging="452"/>
        <w:spacing w:after="0" w:line="297" w:lineRule="auto"/>
        <w:tabs>
          <w:tab w:leader="none" w:pos="4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To minimize the risk exposure to visiting AT&amp;T employees in locations that are of medium-high risk of terrorist attacks, adequate security measures are required to include (at a minimum) an enclosed property perimeter with controlled access at entrances, inspection program for people and cars, including delivery vehicles at the entrance, Supplier security personnel trained in surveillance and explosives detection, Supplier mailroom personnel trained in package screening procedures, deployment of security cameras connected to a central monitoring control room, random patrols of property, and restricted vehicle parking near buildings. The security plan should increase security measures as the threat level increases.</w:t>
      </w:r>
    </w:p>
    <w:p>
      <w:pPr>
        <w:spacing w:after="0" w:line="63"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40" w:hanging="452"/>
        <w:spacing w:after="0" w:line="293" w:lineRule="auto"/>
        <w:tabs>
          <w:tab w:leader="none" w:pos="46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Card key access lists and event logs must be reviewed by Supplier at a minimum of [**]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 Ensure that Supplier personnel surrender company identification, keys and access cards before leaving the premises when access to an area is no longer required or upon voluntarily or involuntarily ceasing to work for Supplier and that the access cards are deactivated. [**] should include employee, contractor and supplier termination records and any associated unauthorized access attempts in the event logs.</w:t>
      </w:r>
    </w:p>
    <w:p>
      <w:pPr>
        <w:spacing w:after="0" w:line="70" w:lineRule="exact"/>
        <w:rPr>
          <w:rFonts w:ascii="Arial" w:cs="Arial" w:eastAsia="Arial" w:hAnsi="Arial"/>
          <w:sz w:val="16"/>
          <w:szCs w:val="16"/>
          <w:color w:val="auto"/>
        </w:rPr>
      </w:pPr>
    </w:p>
    <w:p>
      <w:pPr>
        <w:ind w:left="460" w:right="120" w:hanging="452"/>
        <w:spacing w:after="0" w:line="342" w:lineRule="auto"/>
        <w:tabs>
          <w:tab w:leader="none" w:pos="46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Alarmed doors and monitored electronic systems are required to detect unauthorized access or access attempts with a plan to respond to and document incidents. 24/7 recorded video surveillance is required of the area where work on AT&amp;T projects is performed, including entry and exit points.</w:t>
      </w:r>
    </w:p>
    <w:p>
      <w:pPr>
        <w:spacing w:after="0" w:line="29"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220"/>
        <w:spacing w:after="0" w:line="302" w:lineRule="auto"/>
        <w:rPr>
          <w:rFonts w:ascii="Arial" w:cs="Arial" w:eastAsia="Arial" w:hAnsi="Arial"/>
          <w:sz w:val="18"/>
          <w:szCs w:val="18"/>
          <w:color w:val="auto"/>
        </w:rPr>
      </w:pPr>
      <w:r>
        <w:rPr>
          <w:rFonts w:ascii="Arial" w:cs="Arial" w:eastAsia="Arial" w:hAnsi="Arial"/>
          <w:sz w:val="16"/>
          <w:szCs w:val="16"/>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59" w:lineRule="exact"/>
        <w:rPr>
          <w:rFonts w:ascii="Arial" w:cs="Arial" w:eastAsia="Arial" w:hAnsi="Arial"/>
          <w:sz w:val="18"/>
          <w:szCs w:val="18"/>
          <w:color w:val="auto"/>
        </w:rPr>
      </w:pPr>
    </w:p>
    <w:p>
      <w:pPr>
        <w:ind w:left="460" w:right="60" w:hanging="452"/>
        <w:spacing w:after="0" w:line="353" w:lineRule="auto"/>
        <w:tabs>
          <w:tab w:leader="none" w:pos="46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7"/>
          <w:szCs w:val="17"/>
          <w:b w:val="1"/>
          <w:bCs w:val="1"/>
          <w:color w:val="auto"/>
        </w:rPr>
        <w:t>AT&amp;T IT:OFFSHORE</w:t>
      </w:r>
      <w:r>
        <w:rPr>
          <w:rFonts w:ascii="Arial" w:cs="Arial" w:eastAsia="Arial" w:hAnsi="Arial"/>
          <w:sz w:val="17"/>
          <w:szCs w:val="17"/>
          <w:color w:val="auto"/>
        </w:rPr>
        <w:t xml:space="preserve"> organization and, as necessary, law enforcement. Information to be reported to the Executive Director of the IT:OFFSHORE organization would consist of at least:</w:t>
      </w:r>
    </w:p>
    <w:p>
      <w:pPr>
        <w:spacing w:after="0" w:line="15" w:lineRule="exact"/>
        <w:rPr>
          <w:rFonts w:ascii="Arial" w:cs="Arial" w:eastAsia="Arial" w:hAnsi="Arial"/>
          <w:sz w:val="17"/>
          <w:szCs w:val="17"/>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58" w:lineRule="exact"/>
        <w:rPr>
          <w:sz w:val="20"/>
          <w:szCs w:val="20"/>
          <w:color w:val="auto"/>
        </w:rPr>
      </w:pPr>
    </w:p>
    <w:p>
      <w:pPr>
        <w:ind w:left="460" w:right="220" w:hanging="452"/>
        <w:spacing w:after="0" w:line="264"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 exercise of Supplier’s recovery strategy must be conducted [**] from the completion of a disaster recovery exercise by Amdocs, Amdocs will produce a documented conclusion with a corrective action plan and proposed committed timeframes for corrective action upon which the Parties will agree [**] from receipt of the action plan.</w:t>
      </w:r>
    </w:p>
    <w:p>
      <w:pPr>
        <w:spacing w:after="0" w:line="8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Failover processes and procedures are required to support AT&amp;T applications and these failover processes and procedures are exercised [**] (at a minimum).</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28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3.4 Requirements for Offshore Information Technology Services Requiring Elevated Rights</w:t>
      </w:r>
    </w:p>
    <w:p>
      <w:pPr>
        <w:spacing w:after="0" w:line="121" w:lineRule="exact"/>
        <w:rPr>
          <w:rFonts w:ascii="Arial" w:cs="Arial" w:eastAsia="Arial" w:hAnsi="Arial"/>
          <w:sz w:val="18"/>
          <w:szCs w:val="18"/>
          <w:color w:val="auto"/>
        </w:rPr>
      </w:pPr>
    </w:p>
    <w:p>
      <w:pPr>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7" w:lineRule="exact"/>
        <w:rPr>
          <w:sz w:val="20"/>
          <w:szCs w:val="20"/>
          <w:color w:val="auto"/>
        </w:rPr>
      </w:pPr>
    </w:p>
    <w:p>
      <w:pPr>
        <w:ind w:left="460" w:right="100" w:hanging="452"/>
        <w:spacing w:after="0" w:line="264"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8"/>
          <w:szCs w:val="18"/>
          <w:b w:val="1"/>
          <w:bCs w:val="1"/>
          <w:color w:val="auto"/>
        </w:rPr>
        <w:t>secure connection</w:t>
      </w:r>
      <w:r>
        <w:rPr>
          <w:rFonts w:ascii="Arial" w:cs="Arial" w:eastAsia="Arial" w:hAnsi="Arial"/>
          <w:sz w:val="18"/>
          <w:szCs w:val="18"/>
          <w:color w:val="auto"/>
        </w:rPr>
        <w:t xml:space="preserve"> (NOT the public Internet) as reviewed and approved by AT&amp;T’s Chief Security Office (CSO).</w:t>
      </w:r>
    </w:p>
    <w:p>
      <w:pPr>
        <w:spacing w:after="0" w:line="87" w:lineRule="exact"/>
        <w:rPr>
          <w:sz w:val="20"/>
          <w:szCs w:val="20"/>
          <w:color w:val="auto"/>
        </w:rPr>
      </w:pPr>
    </w:p>
    <w:p>
      <w:pPr>
        <w:ind w:left="460" w:right="200" w:hanging="452"/>
        <w:spacing w:after="0" w:line="286" w:lineRule="auto"/>
        <w:tabs>
          <w:tab w:leader="none" w:pos="4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57" w:lineRule="exact"/>
        <w:rPr>
          <w:rFonts w:ascii="Arial" w:cs="Arial" w:eastAsia="Arial" w:hAnsi="Arial"/>
          <w:sz w:val="17"/>
          <w:szCs w:val="17"/>
          <w:color w:val="auto"/>
        </w:rPr>
      </w:pPr>
    </w:p>
    <w:p>
      <w:pPr>
        <w:ind w:left="2580" w:hanging="176"/>
        <w:spacing w:after="0"/>
        <w:tabs>
          <w:tab w:leader="none" w:pos="2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17" w:lineRule="exact"/>
        <w:rPr>
          <w:rFonts w:ascii="Arial" w:cs="Arial" w:eastAsia="Arial" w:hAnsi="Arial"/>
          <w:sz w:val="18"/>
          <w:szCs w:val="18"/>
          <w:color w:val="auto"/>
        </w:rPr>
      </w:pPr>
    </w:p>
    <w:p>
      <w:pPr>
        <w:ind w:left="2580" w:hanging="176"/>
        <w:spacing w:after="0"/>
        <w:tabs>
          <w:tab w:leader="none" w:pos="2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17" w:lineRule="exact"/>
        <w:rPr>
          <w:rFonts w:ascii="Arial" w:cs="Arial" w:eastAsia="Arial" w:hAnsi="Arial"/>
          <w:sz w:val="18"/>
          <w:szCs w:val="18"/>
          <w:color w:val="auto"/>
        </w:rPr>
      </w:pPr>
    </w:p>
    <w:p>
      <w:pPr>
        <w:ind w:left="2580" w:hanging="176"/>
        <w:spacing w:after="0"/>
        <w:tabs>
          <w:tab w:leader="none" w:pos="2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Logoffs.</w:t>
      </w:r>
    </w:p>
    <w:p>
      <w:pPr>
        <w:spacing w:after="0" w:line="117" w:lineRule="exact"/>
        <w:rPr>
          <w:rFonts w:ascii="Arial" w:cs="Arial" w:eastAsia="Arial" w:hAnsi="Arial"/>
          <w:sz w:val="18"/>
          <w:szCs w:val="18"/>
          <w:color w:val="auto"/>
        </w:rPr>
      </w:pPr>
    </w:p>
    <w:p>
      <w:pPr>
        <w:ind w:left="2580" w:hanging="176"/>
        <w:spacing w:after="0"/>
        <w:tabs>
          <w:tab w:leader="none" w:pos="2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02026713.A.030</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 User access to all privileged files and/or processes.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 Operating system configuration changes.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g. Operating system program changes.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h. All changes that can feasibly be captured, to system hardware and software.</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 All security-related changes, including adding users.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 Failures for computer, program, communications, and operations.</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k. Starting and stopping of audit logging.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audit logs must be maintained [**] and offline for a period of [**]</w:t>
      </w:r>
    </w:p>
    <w:p>
      <w:pPr>
        <w:spacing w:after="0" w:line="131" w:lineRule="exact"/>
        <w:rPr>
          <w:sz w:val="20"/>
          <w:szCs w:val="20"/>
          <w:color w:val="auto"/>
        </w:rPr>
      </w:pPr>
    </w:p>
    <w:p>
      <w:pPr>
        <w:ind w:left="460" w:right="180" w:hanging="452"/>
        <w:spacing w:after="0" w:line="312" w:lineRule="auto"/>
        <w:tabs>
          <w:tab w:leader="none" w:pos="46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Information to be reported to the AT&amp;T-IT OCE would consist of at least:</w:t>
      </w:r>
    </w:p>
    <w:p>
      <w:pPr>
        <w:spacing w:after="0" w:line="130" w:lineRule="exact"/>
        <w:rPr>
          <w:rFonts w:ascii="Arial" w:cs="Arial" w:eastAsia="Arial" w:hAnsi="Arial"/>
          <w:sz w:val="16"/>
          <w:szCs w:val="16"/>
          <w:color w:val="auto"/>
        </w:rPr>
      </w:pPr>
    </w:p>
    <w:p>
      <w:pPr>
        <w:ind w:left="1480" w:hanging="446"/>
        <w:spacing w:after="0"/>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460" w:hanging="452"/>
        <w:spacing w:after="0"/>
        <w:tabs>
          <w:tab w:leader="none" w:pos="4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85" w:name="page386"/>
    <w:bookmarkEnd w:id="38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Bryson Stucki</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Bryson Stucki</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Finance</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Sr. Contract Manager – Global Business &amp; Operations Sourcing</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5/31/14</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5/31/2014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31,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AT&amp;T and Amdocs are parties to that certain Agreement No. 02026713 for Software and Professional Services, dated as of August 7, 2003,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as amended by Amendment No. 25 effective March 22, 2013; as amended by Amendment No. 26 effective April 10, 2013; as amended by Amendment No. 27 effective July 19, 2013; as amended by Amendment No. 28 effective September 30, 2013; and as amended by Amendment No. 29 effective February 28, 2014; and as amended by Amendment No. 30 effective May 31, 2014 (collectively, the “Agreement”) 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right="180" w:hanging="452"/>
        <w:spacing w:after="0" w:line="282" w:lineRule="auto"/>
        <w:tabs>
          <w:tab w:leader="none" w:pos="4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Section 6.6, “Confidentiality and Invention Agreement and Non-Disclosure Agreement”</w:t>
      </w:r>
      <w:r>
        <w:rPr>
          <w:rFonts w:ascii="Arial" w:cs="Arial" w:eastAsia="Arial" w:hAnsi="Arial"/>
          <w:sz w:val="18"/>
          <w:szCs w:val="18"/>
          <w:color w:val="auto"/>
        </w:rPr>
        <w:t>, is deleted in its entirety and replaced with,</w:t>
      </w:r>
      <w:r>
        <w:rPr>
          <w:rFonts w:ascii="Arial" w:cs="Arial" w:eastAsia="Arial" w:hAnsi="Arial"/>
          <w:sz w:val="18"/>
          <w:szCs w:val="18"/>
          <w:b w:val="1"/>
          <w:bCs w:val="1"/>
          <w:color w:val="auto"/>
        </w:rPr>
        <w:t xml:space="preserve"> Section 6.6, “Non-Disclosure Agreement” </w:t>
      </w:r>
      <w:r>
        <w:rPr>
          <w:rFonts w:ascii="Arial" w:cs="Arial" w:eastAsia="Arial" w:hAnsi="Arial"/>
          <w:sz w:val="18"/>
          <w:szCs w:val="18"/>
          <w:color w:val="auto"/>
        </w:rPr>
        <w:t>as follows:</w:t>
      </w:r>
    </w:p>
    <w:p>
      <w:pPr>
        <w:spacing w:after="0" w:line="6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6.6  Non-Disclosure Agreement</w:t>
      </w:r>
    </w:p>
    <w:p>
      <w:pPr>
        <w:spacing w:after="0" w:line="134" w:lineRule="exact"/>
        <w:rPr>
          <w:rFonts w:ascii="Arial" w:cs="Arial" w:eastAsia="Arial" w:hAnsi="Arial"/>
          <w:sz w:val="18"/>
          <w:szCs w:val="18"/>
          <w:b w:val="1"/>
          <w:bCs w:val="1"/>
          <w:color w:val="auto"/>
        </w:rPr>
      </w:pPr>
    </w:p>
    <w:p>
      <w:pPr>
        <w:ind w:left="1480" w:right="160" w:hanging="567"/>
        <w:spacing w:after="0" w:line="277" w:lineRule="auto"/>
        <w:tabs>
          <w:tab w:leader="none" w:pos="148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Prior to any employee or agent of Supplier or Supplier’s Sub-suppliers accessing any AT&amp;T Software or Third Party Software provided by AT&amp;T to Supplier, said employee or agent shall execute a Non-disclosure Agreement (“NDA”).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54" w:lineRule="exact"/>
        <w:rPr>
          <w:sz w:val="20"/>
          <w:szCs w:val="20"/>
          <w:color w:val="auto"/>
        </w:rPr>
      </w:pPr>
    </w:p>
    <w:p>
      <w:pPr>
        <w:ind w:left="1400" w:hanging="567"/>
        <w:spacing w:after="0"/>
        <w:tabs>
          <w:tab w:leader="none" w:pos="1400"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Compliance with Export/Import Law and Foreign Trade Controls</w:t>
      </w:r>
    </w:p>
    <w:p>
      <w:pPr>
        <w:spacing w:after="0" w:line="135" w:lineRule="exact"/>
        <w:rPr>
          <w:sz w:val="20"/>
          <w:szCs w:val="20"/>
          <w:color w:val="auto"/>
        </w:rPr>
      </w:pPr>
    </w:p>
    <w:p>
      <w:pPr>
        <w:ind w:left="1400" w:right="60" w:hanging="566"/>
        <w:spacing w:after="0" w:line="270" w:lineRule="auto"/>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Each Party shall comply with all export control, import and foreign trade sanctions laws, rules and regulations, in its performance of this Agreement. Without prejudice to the generality of the foregoing, Supplier understands and acknowledges that certain AT&amp;T applications and Materials and Services (including technical assistance and technical data) to be provided hereunder may be subject to export controls under the laws and regulations of the United States, the European Union and other foreign trade control laws, rules and regulations restricting their transfer to certain countries and parties including but not limited to the US Export Administration Regulations and trade sanctions programs administered by the US Department of the Treasury. Supplier shall comply with all applicable export control and other foreign trade laws, rules and regulations in performance of its obligations hereunder, and shall not use, resell, export, transfer, distribute, dispose or otherwise deal with the AT&amp;T applications or any technical data related thereto, directly or indirectly, except in full compliance with such laws, rules and regulations.</w:t>
      </w:r>
    </w:p>
    <w:p>
      <w:pPr>
        <w:spacing w:after="0" w:line="87" w:lineRule="exact"/>
        <w:rPr>
          <w:sz w:val="20"/>
          <w:szCs w:val="20"/>
          <w:color w:val="auto"/>
        </w:rPr>
      </w:pPr>
    </w:p>
    <w:p>
      <w:pPr>
        <w:ind w:left="1400" w:right="100" w:hanging="566"/>
        <w:spacing w:after="0" w:line="264" w:lineRule="auto"/>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Neither Party shall use, sell, export, re-export, distribute, transfer, dispose or otherwise deal with any such Material or any direct product thereof nor undertake any transaction or Service without first obtaining all necessary written consents, permits and authorizations and completing such formalities as may be required by any such laws or regulations.</w:t>
      </w:r>
    </w:p>
    <w:p>
      <w:pPr>
        <w:spacing w:after="0" w:line="87" w:lineRule="exact"/>
        <w:rPr>
          <w:sz w:val="20"/>
          <w:szCs w:val="20"/>
          <w:color w:val="auto"/>
        </w:rPr>
      </w:pPr>
    </w:p>
    <w:p>
      <w:pPr>
        <w:ind w:left="1400" w:right="160" w:hanging="566"/>
        <w:spacing w:after="0" w:line="273" w:lineRule="auto"/>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Supplier shall be solely responsible for arranging export clearance, including applying for and obtaining any permits, licenses or other authorizations and complying with export clearance formalities, for all exports of Materials and Services made hereunder, including but not limited to exports by Supplier to its affiliates or subcontractors and exports from such affiliates or subcontractors to Supplier or to AT&amp;T in the United States. AT&amp;T agrees to use reasonable efforts to obtain and provide to Supplier in a timely manner any end-user, end-use and other documentation and certifications as may reasonably be requested by Supplier in support of any applications made to relevant government authorities in connection with such exports.</w:t>
      </w:r>
    </w:p>
    <w:p>
      <w:pPr>
        <w:spacing w:after="0" w:line="84" w:lineRule="exact"/>
        <w:rPr>
          <w:sz w:val="20"/>
          <w:szCs w:val="20"/>
          <w:color w:val="auto"/>
        </w:rPr>
      </w:pPr>
    </w:p>
    <w:p>
      <w:pPr>
        <w:ind w:left="1400" w:right="440" w:hanging="566"/>
        <w:spacing w:after="0" w:line="277" w:lineRule="auto"/>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AT&amp;T shall not be responsible or otherwise assume any responsibility for the importation of articles into any country (including the United States). Supplier expressly agrees to be responsible for any and all importations.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274" w:right="239" w:bottom="1440" w:gutter="0" w:footer="0" w:header="0"/>
        </w:sectPr>
      </w:pPr>
    </w:p>
    <w:bookmarkStart w:id="389" w:name="page390"/>
    <w:bookmarkEnd w:id="389"/>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81" w:lineRule="exact"/>
        <w:rPr>
          <w:sz w:val="20"/>
          <w:szCs w:val="20"/>
          <w:color w:val="auto"/>
        </w:rPr>
      </w:pPr>
    </w:p>
    <w:p>
      <w:pPr>
        <w:ind w:left="900" w:right="20" w:hanging="445"/>
        <w:spacing w:after="0" w:line="293" w:lineRule="auto"/>
        <w:tabs>
          <w:tab w:leader="none" w:pos="8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Supplier specifically represents and warrants that it shall not export/re-export or otherwise transfer the AT&amp;T applications, Materials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(the US Department of Commerce’s Denied Party List, Entity List, Unverified List; the US Department of the Treasury’s List of Specially Designated Nationals and Other Blocked Persons; the US Department of State’s various non-proliferation lists).</w:t>
      </w:r>
    </w:p>
    <w:p>
      <w:pPr>
        <w:spacing w:after="0" w:line="70" w:lineRule="exact"/>
        <w:rPr>
          <w:sz w:val="20"/>
          <w:szCs w:val="20"/>
          <w:color w:val="auto"/>
        </w:rPr>
      </w:pPr>
    </w:p>
    <w:p>
      <w:pPr>
        <w:ind w:left="900" w:right="220" w:hanging="445"/>
        <w:spacing w:after="0" w:line="257" w:lineRule="auto"/>
        <w:tabs>
          <w:tab w:leader="none" w:pos="880" w:val="left"/>
        </w:tabs>
        <w:rPr>
          <w:sz w:val="20"/>
          <w:szCs w:val="20"/>
          <w:color w:val="auto"/>
        </w:rPr>
      </w:pPr>
      <w:r>
        <w:rPr>
          <w:rFonts w:ascii="Arial" w:cs="Arial" w:eastAsia="Arial" w:hAnsi="Arial"/>
          <w:sz w:val="18"/>
          <w:szCs w:val="18"/>
          <w:color w:val="auto"/>
        </w:rPr>
        <w:t>1.6</w:t>
        <w:tab/>
        <w:t>Supplier represents and warrants that it has in place compliance mechanisms sufficient to assure compliance with applicable export control and foreign trade control laws, rules and regulations. Supplier shall not do anything which would cause AT&amp;T to be in breach of applicable export control or foreign trade control laws, rules and regulations, and shall protect, indemnify and hold harmless AT&amp;T from any claim, damages, liability costs, fees and expenses incurred by AT&amp;T as a result of the failure of omission of Supplier to comply with such laws, rules and regulations.</w:t>
      </w:r>
    </w:p>
    <w:p>
      <w:pPr>
        <w:spacing w:after="0" w:line="94" w:lineRule="exact"/>
        <w:rPr>
          <w:sz w:val="20"/>
          <w:szCs w:val="20"/>
          <w:color w:val="auto"/>
        </w:rPr>
      </w:pPr>
    </w:p>
    <w:p>
      <w:pPr>
        <w:ind w:left="900" w:right="460" w:hanging="445"/>
        <w:spacing w:after="0" w:line="277" w:lineRule="auto"/>
        <w:tabs>
          <w:tab w:leader="none" w:pos="880" w:val="left"/>
        </w:tabs>
        <w:rPr>
          <w:sz w:val="20"/>
          <w:szCs w:val="20"/>
          <w:color w:val="auto"/>
        </w:rPr>
      </w:pPr>
      <w:r>
        <w:rPr>
          <w:rFonts w:ascii="Arial" w:cs="Arial" w:eastAsia="Arial" w:hAnsi="Arial"/>
          <w:sz w:val="18"/>
          <w:szCs w:val="18"/>
          <w:color w:val="auto"/>
        </w:rPr>
        <w:t>1.7</w:t>
        <w:tab/>
        <w:t>Failure by Supplier to comply with applicable export control and foreign trade control laws, rules and regulations shall constitute a material breach of this Agreement.</w:t>
      </w:r>
    </w:p>
    <w:p>
      <w:pPr>
        <w:spacing w:after="0" w:line="72"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Exhibit F, “Confidentiality and Invention Agreement”</w:t>
      </w:r>
      <w:r>
        <w:rPr>
          <w:rFonts w:ascii="Arial" w:cs="Arial" w:eastAsia="Arial" w:hAnsi="Arial"/>
          <w:sz w:val="18"/>
          <w:szCs w:val="18"/>
          <w:color w:val="auto"/>
        </w:rPr>
        <w:t>, is hereby deleted in its entirety.</w:t>
      </w:r>
    </w:p>
    <w:p>
      <w:pPr>
        <w:spacing w:after="0" w:line="130" w:lineRule="exact"/>
        <w:rPr>
          <w:rFonts w:ascii="Arial" w:cs="Arial" w:eastAsia="Arial" w:hAnsi="Arial"/>
          <w:sz w:val="18"/>
          <w:szCs w:val="18"/>
          <w:b w:val="1"/>
          <w:bCs w:val="1"/>
          <w:color w:val="auto"/>
        </w:rPr>
      </w:pPr>
    </w:p>
    <w:p>
      <w:pPr>
        <w:ind w:left="460" w:right="100" w:hanging="452"/>
        <w:spacing w:after="0" w:line="282" w:lineRule="auto"/>
        <w:tabs>
          <w:tab w:leader="none" w:pos="4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3.3, “Offshore Information Technology Services Requirements”,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3.4, “Requirements for Offshore Information Technology Services Requiring Elevated Rights”, </w:t>
      </w:r>
      <w:r>
        <w:rPr>
          <w:rFonts w:ascii="Arial" w:cs="Arial" w:eastAsia="Arial" w:hAnsi="Arial"/>
          <w:sz w:val="18"/>
          <w:szCs w:val="18"/>
          <w:color w:val="auto"/>
        </w:rPr>
        <w:t>are hereby deleted in their entirety and replaced with the following:</w:t>
      </w:r>
    </w:p>
    <w:p>
      <w:pPr>
        <w:spacing w:after="0" w:line="26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 Offshore Information Technology Services Requirements</w:t>
      </w:r>
    </w:p>
    <w:p>
      <w:pPr>
        <w:spacing w:after="0" w:line="121"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197" w:lineRule="exact"/>
        <w:rPr>
          <w:sz w:val="20"/>
          <w:szCs w:val="20"/>
          <w:color w:val="auto"/>
        </w:rPr>
      </w:pPr>
    </w:p>
    <w:p>
      <w:pPr>
        <w:ind w:left="460" w:right="40" w:hanging="452"/>
        <w:spacing w:after="0" w:line="277" w:lineRule="auto"/>
        <w:tabs>
          <w:tab w:leader="none" w:pos="4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02026713.A.031</w:t>
      </w:r>
    </w:p>
    <w:p>
      <w:pPr>
        <w:spacing w:after="0" w:line="158" w:lineRule="exact"/>
        <w:rPr>
          <w:sz w:val="20"/>
          <w:szCs w:val="20"/>
          <w:color w:val="auto"/>
        </w:rPr>
      </w:pPr>
    </w:p>
    <w:p>
      <w:pPr>
        <w:ind w:left="460" w:right="460" w:hanging="452"/>
        <w:spacing w:after="0" w:line="277"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31" w:lineRule="exact"/>
        <w:rPr>
          <w:sz w:val="20"/>
          <w:szCs w:val="20"/>
          <w:color w:val="auto"/>
        </w:rPr>
      </w:pPr>
    </w:p>
    <w:p>
      <w:pPr>
        <w:ind w:left="460" w:right="320" w:hanging="452"/>
        <w:spacing w:after="0" w:line="264" w:lineRule="auto"/>
        <w:tabs>
          <w:tab w:leader="none" w:pos="4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87" w:lineRule="exact"/>
        <w:rPr>
          <w:sz w:val="20"/>
          <w:szCs w:val="20"/>
          <w:color w:val="auto"/>
        </w:rPr>
      </w:pPr>
    </w:p>
    <w:p>
      <w:pPr>
        <w:ind w:left="460" w:right="820" w:hanging="452"/>
        <w:spacing w:after="0" w:line="277" w:lineRule="auto"/>
        <w:tabs>
          <w:tab w:leader="none" w:pos="4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76" w:lineRule="exact"/>
        <w:rPr>
          <w:sz w:val="20"/>
          <w:szCs w:val="20"/>
          <w:color w:val="auto"/>
        </w:rPr>
      </w:pPr>
    </w:p>
    <w:p>
      <w:pPr>
        <w:ind w:left="460" w:right="100" w:hanging="452"/>
        <w:spacing w:after="0" w:line="342" w:lineRule="auto"/>
        <w:tabs>
          <w:tab w:leader="none" w:pos="4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29" w:lineRule="exact"/>
        <w:rPr>
          <w:sz w:val="20"/>
          <w:szCs w:val="20"/>
          <w:color w:val="auto"/>
        </w:rPr>
      </w:pPr>
    </w:p>
    <w:p>
      <w:pPr>
        <w:ind w:left="460" w:hanging="452"/>
        <w:spacing w:after="0"/>
        <w:tabs>
          <w:tab w:leader="none" w:pos="46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Track and approve changes to firewall rules is required and must be validated [**]. Inappropriate firewall rules must be removed immediately.</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8</w:t>
      </w:r>
      <w:r>
        <w:rPr>
          <w:rFonts w:ascii="Arial" w:cs="Arial" w:eastAsia="Arial" w:hAnsi="Arial"/>
          <w:sz w:val="16"/>
          <w:szCs w:val="16"/>
          <w:color w:val="auto"/>
        </w:rPr>
        <w:t>Require a clean desk policy at the end of the day.</w:t>
      </w:r>
    </w:p>
    <w:p>
      <w:pPr>
        <w:spacing w:after="0" w:line="1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9A   Supplier resources shall be notified of the restriction that AT&amp;T Data may not be downloaded and taken offsite.</w:t>
      </w:r>
    </w:p>
    <w:p>
      <w:pPr>
        <w:spacing w:after="0" w:line="131" w:lineRule="exact"/>
        <w:rPr>
          <w:sz w:val="20"/>
          <w:szCs w:val="20"/>
          <w:color w:val="auto"/>
        </w:rPr>
      </w:pPr>
    </w:p>
    <w:p>
      <w:pPr>
        <w:jc w:val="both"/>
        <w:ind w:left="460" w:right="140" w:hanging="459"/>
        <w:spacing w:after="0" w:line="264" w:lineRule="auto"/>
        <w:tabs>
          <w:tab w:leader="none" w:pos="440" w:val="left"/>
        </w:tabs>
        <w:rPr>
          <w:sz w:val="20"/>
          <w:szCs w:val="20"/>
          <w:color w:val="auto"/>
        </w:rPr>
      </w:pPr>
      <w:r>
        <w:rPr>
          <w:rFonts w:ascii="Arial" w:cs="Arial" w:eastAsia="Arial" w:hAnsi="Arial"/>
          <w:sz w:val="18"/>
          <w:szCs w:val="18"/>
          <w:color w:val="auto"/>
        </w:rPr>
        <w:t>9B</w:t>
        <w:tab/>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73" w:lineRule="exact"/>
        <w:rPr>
          <w:sz w:val="20"/>
          <w:szCs w:val="20"/>
          <w:color w:val="auto"/>
        </w:rPr>
      </w:pPr>
    </w:p>
    <w:p>
      <w:pPr>
        <w:ind w:left="680" w:hanging="216"/>
        <w:spacing w:after="0"/>
        <w:tabs>
          <w:tab w:leader="none" w:pos="6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All communications over wireless networks must be transmitted via Virtual Private Network (VPN) session(s) using Strong Encryption.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17" w:lineRule="exact"/>
        <w:rPr>
          <w:rFonts w:ascii="Arial" w:cs="Arial" w:eastAsia="Arial" w:hAnsi="Arial"/>
          <w:sz w:val="18"/>
          <w:szCs w:val="18"/>
          <w:color w:val="auto"/>
        </w:rPr>
      </w:pPr>
    </w:p>
    <w:p>
      <w:pPr>
        <w:ind w:left="460" w:right="260" w:firstLine="4"/>
        <w:spacing w:after="0" w:line="277" w:lineRule="auto"/>
        <w:tabs>
          <w:tab w:leader="none" w:pos="77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Enable Media Access Control (MAC)-based filtering so that only specified wireless cards can communicate to the access point.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58" w:lineRule="exact"/>
        <w:rPr>
          <w:sz w:val="20"/>
          <w:szCs w:val="20"/>
          <w:color w:val="auto"/>
        </w:rPr>
      </w:pPr>
    </w:p>
    <w:p>
      <w:pPr>
        <w:ind w:left="460" w:right="20" w:hanging="452"/>
        <w:spacing w:after="0" w:line="264"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Supplier must implement procedures to ensure that AT&amp;T Data is not downloaded and removed by Supplier. To the extent Supplier suspects that AT&amp;T Data may have been removed, Supplier agrees to conduct searches of suspected persons and their belongings when exiting AT&amp;T restricted areas and Supplier’s premises to the extent such searches are permissible by local law.</w:t>
      </w:r>
    </w:p>
    <w:p>
      <w:pPr>
        <w:spacing w:after="0" w:line="86" w:lineRule="exact"/>
        <w:rPr>
          <w:rFonts w:ascii="Arial" w:cs="Arial" w:eastAsia="Arial" w:hAnsi="Arial"/>
          <w:sz w:val="18"/>
          <w:szCs w:val="18"/>
          <w:color w:val="auto"/>
        </w:rPr>
      </w:pPr>
    </w:p>
    <w:p>
      <w:pPr>
        <w:jc w:val="both"/>
        <w:ind w:left="460" w:right="320" w:hanging="452"/>
        <w:spacing w:after="0" w:line="264"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86" w:lineRule="exact"/>
        <w:rPr>
          <w:rFonts w:ascii="Arial" w:cs="Arial" w:eastAsia="Arial" w:hAnsi="Arial"/>
          <w:sz w:val="18"/>
          <w:szCs w:val="18"/>
          <w:color w:val="auto"/>
        </w:rPr>
      </w:pPr>
    </w:p>
    <w:p>
      <w:pPr>
        <w:ind w:left="460" w:right="260" w:hanging="452"/>
        <w:spacing w:after="0" w:line="279" w:lineRule="auto"/>
        <w:tabs>
          <w:tab w:leader="none" w:pos="46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 to ensure that the information is not removed from Supplier’s premises.</w:t>
      </w:r>
    </w:p>
    <w:p>
      <w:pPr>
        <w:spacing w:after="0" w:line="76" w:lineRule="exact"/>
        <w:rPr>
          <w:rFonts w:ascii="Arial" w:cs="Arial" w:eastAsia="Arial" w:hAnsi="Arial"/>
          <w:sz w:val="17"/>
          <w:szCs w:val="17"/>
          <w:color w:val="auto"/>
        </w:rPr>
      </w:pPr>
    </w:p>
    <w:p>
      <w:pPr>
        <w:ind w:left="460" w:hanging="452"/>
        <w:spacing w:after="0" w:line="302" w:lineRule="auto"/>
        <w:tabs>
          <w:tab w:leader="none" w:pos="46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To the extent Supplier suspects that AT&amp;T Data may have been removed, Supplier agrees to conduct searches of persons and their belongings when exiting AT&amp;T restricted areas and Supplier’s premises to the extent searches are permissible under local law.</w:t>
      </w:r>
    </w:p>
    <w:p>
      <w:pPr>
        <w:spacing w:after="0" w:line="59"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IDS audit logs must be retained [**] and offline for a period of at least [**].</w:t>
      </w:r>
    </w:p>
    <w:p>
      <w:pPr>
        <w:spacing w:after="0" w:line="131" w:lineRule="exact"/>
        <w:rPr>
          <w:sz w:val="20"/>
          <w:szCs w:val="20"/>
          <w:color w:val="auto"/>
        </w:rPr>
      </w:pPr>
    </w:p>
    <w:p>
      <w:pPr>
        <w:ind w:left="460" w:right="80" w:hanging="452"/>
        <w:spacing w:after="0" w:line="286" w:lineRule="auto"/>
        <w:tabs>
          <w:tab w:leader="none" w:pos="46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Remote access to AT&amp;T Networks or AT&amp;T Data is prohibited. All work on AT&amp;T projects must be performed within the AT&amp;T restricted area on Supplier’s premises and any exceptions must be in accordance with the Limited Offshore Remote Access in this Appendix 8. Prior written exception to this prohibition must be obtained from the [**] Supplier’s use of laptops offsite must have written approval from the [**]</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58" w:lineRule="exact"/>
        <w:rPr>
          <w:sz w:val="20"/>
          <w:szCs w:val="20"/>
          <w:color w:val="auto"/>
        </w:rPr>
      </w:pPr>
    </w:p>
    <w:p>
      <w:pPr>
        <w:jc w:val="both"/>
        <w:ind w:left="460" w:right="140" w:hanging="452"/>
        <w:spacing w:after="0" w:line="286" w:lineRule="auto"/>
        <w:tabs>
          <w:tab w:leader="none" w:pos="46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Randomly check Supplier-based email and internet-based email so that AT&amp;T Data is not sent to an unauthorized recipient. [**], Amdocs must check for the AT&amp;T Proprietary – Restricted and AT&amp;T Proprietary – Sensitive Personal Information markings in emails and attachments sent from Amdocs to non-AT&amp;T personnel outside. Any unauthorized transmissions must be reported by Amdocs in an email to the [**]</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To minimize the risk exposure to visiting AT&amp;T employees in locations that are of medium-high risk of terrorist attacks, Supplier shall take necessary security measures customary for the location.</w:t>
      </w:r>
    </w:p>
    <w:p>
      <w:pPr>
        <w:spacing w:after="0" w:line="75"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59" w:lineRule="exact"/>
        <w:rPr>
          <w:rFonts w:ascii="Arial" w:cs="Arial" w:eastAsia="Arial" w:hAnsi="Arial"/>
          <w:sz w:val="16"/>
          <w:szCs w:val="16"/>
          <w:color w:val="auto"/>
        </w:rPr>
      </w:pPr>
    </w:p>
    <w:p>
      <w:pPr>
        <w:ind w:left="460" w:right="20" w:hanging="452"/>
        <w:spacing w:after="0" w:line="273" w:lineRule="auto"/>
        <w:tabs>
          <w:tab w:leader="none" w:pos="46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Card key access lists and event logs must be reviewed by Supplier [**]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 Ensure that Supplier personnel surrender company identification, keys and access cards before leaving the premises when access to an area is no longer required or upon voluntarily or involuntarily ceasing to work for Supplier and that the access cards are deactivated. [**] should include employee, contractor and supplier termination records and any associated unauthorized access attempts in the event logs.</w:t>
      </w:r>
    </w:p>
    <w:p>
      <w:pPr>
        <w:spacing w:after="0" w:line="83" w:lineRule="exact"/>
        <w:rPr>
          <w:rFonts w:ascii="Arial" w:cs="Arial" w:eastAsia="Arial" w:hAnsi="Arial"/>
          <w:sz w:val="17"/>
          <w:szCs w:val="17"/>
          <w:color w:val="auto"/>
        </w:rPr>
      </w:pPr>
    </w:p>
    <w:p>
      <w:pPr>
        <w:ind w:left="460" w:right="120" w:hanging="452"/>
        <w:spacing w:after="0" w:line="342" w:lineRule="auto"/>
        <w:tabs>
          <w:tab w:leader="none" w:pos="46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Alarmed doors and monitored electronic systems are required to detect unauthorized access or access attempts with a plan to respond to and document incidents. [**] recorded video surveillance is required of the area where work on AT&amp;T projects is performed, including entry and exit points.</w:t>
      </w:r>
    </w:p>
    <w:p>
      <w:pPr>
        <w:spacing w:after="0" w:line="29"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220"/>
        <w:spacing w:after="0" w:line="302" w:lineRule="auto"/>
        <w:rPr>
          <w:rFonts w:ascii="Arial" w:cs="Arial" w:eastAsia="Arial" w:hAnsi="Arial"/>
          <w:sz w:val="18"/>
          <w:szCs w:val="18"/>
          <w:color w:val="auto"/>
        </w:rPr>
      </w:pPr>
      <w:r>
        <w:rPr>
          <w:rFonts w:ascii="Arial" w:cs="Arial" w:eastAsia="Arial" w:hAnsi="Arial"/>
          <w:sz w:val="16"/>
          <w:szCs w:val="16"/>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58" w:lineRule="exact"/>
        <w:rPr>
          <w:sz w:val="20"/>
          <w:szCs w:val="20"/>
          <w:color w:val="auto"/>
        </w:rPr>
      </w:pPr>
    </w:p>
    <w:p>
      <w:pPr>
        <w:ind w:left="460" w:right="60" w:hanging="452"/>
        <w:spacing w:after="0" w:line="353" w:lineRule="auto"/>
        <w:tabs>
          <w:tab w:leader="none" w:pos="46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7"/>
          <w:szCs w:val="17"/>
          <w:b w:val="1"/>
          <w:bCs w:val="1"/>
          <w:color w:val="auto"/>
        </w:rPr>
        <w:t>AT&amp;T IT:OFFSHORE</w:t>
      </w:r>
      <w:r>
        <w:rPr>
          <w:rFonts w:ascii="Arial" w:cs="Arial" w:eastAsia="Arial" w:hAnsi="Arial"/>
          <w:sz w:val="17"/>
          <w:szCs w:val="17"/>
          <w:color w:val="auto"/>
        </w:rPr>
        <w:t xml:space="preserve"> organization and, as necessary, law enforcement. Information to be reported to the Executive Director of the IT:OFFSHORE organization would consist of at least:</w:t>
      </w:r>
    </w:p>
    <w:p>
      <w:pPr>
        <w:spacing w:after="0" w:line="15" w:lineRule="exact"/>
        <w:rPr>
          <w:rFonts w:ascii="Arial" w:cs="Arial" w:eastAsia="Arial" w:hAnsi="Arial"/>
          <w:sz w:val="17"/>
          <w:szCs w:val="17"/>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30" w:lineRule="exact"/>
        <w:rPr>
          <w:rFonts w:ascii="Arial" w:cs="Arial" w:eastAsia="Arial" w:hAnsi="Arial"/>
          <w:sz w:val="18"/>
          <w:szCs w:val="18"/>
          <w:color w:val="auto"/>
        </w:rPr>
      </w:pPr>
    </w:p>
    <w:p>
      <w:pPr>
        <w:ind w:left="460" w:right="220" w:hanging="452"/>
        <w:spacing w:after="0" w:line="264" w:lineRule="auto"/>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exercise of Supplier’s recovery strategy must be conducted [**] from the completion of a disaster recovery exercise by Amdocs, Amdocs will produce a documented conclusion with a corrective action plan and proposed committed timeframes for corrective action upon which the Parties will agree [**] from receipt of the action plan.</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Failover processes and procedures are required to support AT&amp;T applications and these failover processes and procedures are exercised [**].</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02026713.A.031</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3.4 Requirements for Offshore Information Technology Services Requiring Elevated Rights</w:t>
      </w:r>
    </w:p>
    <w:p>
      <w:pPr>
        <w:spacing w:after="0" w:line="121" w:lineRule="exact"/>
        <w:rPr>
          <w:sz w:val="20"/>
          <w:szCs w:val="20"/>
          <w:color w:val="auto"/>
        </w:rPr>
      </w:pPr>
    </w:p>
    <w:p>
      <w:pPr>
        <w:ind w:left="840" w:right="20"/>
        <w:spacing w:after="0" w:line="264" w:lineRule="auto"/>
        <w:rPr>
          <w:sz w:val="20"/>
          <w:szCs w:val="20"/>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7" w:lineRule="exact"/>
        <w:rPr>
          <w:sz w:val="20"/>
          <w:szCs w:val="20"/>
          <w:color w:val="auto"/>
        </w:rPr>
      </w:pPr>
    </w:p>
    <w:p>
      <w:pPr>
        <w:ind w:left="1840" w:right="180" w:hanging="440"/>
        <w:spacing w:after="0" w:line="286" w:lineRule="auto"/>
        <w:tabs>
          <w:tab w:leader="none" w:pos="184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7"/>
          <w:szCs w:val="17"/>
          <w:b w:val="1"/>
          <w:bCs w:val="1"/>
          <w:color w:val="auto"/>
        </w:rPr>
        <w:t xml:space="preserve">secure connection </w:t>
      </w:r>
      <w:r>
        <w:rPr>
          <w:rFonts w:ascii="Arial" w:cs="Arial" w:eastAsia="Arial" w:hAnsi="Arial"/>
          <w:sz w:val="17"/>
          <w:szCs w:val="17"/>
          <w:color w:val="auto"/>
        </w:rPr>
        <w:t>(NOT the public Internet) as reviewed and approved by AT&amp;T’s Chief Security Office (CSO).</w:t>
      </w:r>
    </w:p>
    <w:p>
      <w:pPr>
        <w:spacing w:after="0" w:line="71" w:lineRule="exact"/>
        <w:rPr>
          <w:sz w:val="20"/>
          <w:szCs w:val="20"/>
          <w:color w:val="auto"/>
        </w:rPr>
      </w:pPr>
    </w:p>
    <w:p>
      <w:pPr>
        <w:ind w:left="1840" w:right="40" w:hanging="440"/>
        <w:spacing w:after="0" w:line="259" w:lineRule="auto"/>
        <w:tabs>
          <w:tab w:leader="none" w:pos="18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92"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Logoffs.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Failures for computer, program, communications, and operations.</w:t>
      </w:r>
    </w:p>
    <w:p>
      <w:pPr>
        <w:spacing w:after="0" w:line="130" w:lineRule="exact"/>
        <w:rPr>
          <w:rFonts w:ascii="Arial" w:cs="Arial" w:eastAsia="Arial" w:hAnsi="Arial"/>
          <w:sz w:val="18"/>
          <w:szCs w:val="18"/>
          <w:color w:val="auto"/>
        </w:rPr>
      </w:pPr>
    </w:p>
    <w:p>
      <w:pPr>
        <w:ind w:left="2880" w:hanging="562"/>
        <w:spacing w:after="0"/>
        <w:tabs>
          <w:tab w:leader="none" w:pos="28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Starting and stopping of audit logging.</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Security audit logs must be maintained [**] and offline for a period of [**]</w:t>
      </w:r>
    </w:p>
    <w:p>
      <w:pPr>
        <w:spacing w:after="0" w:line="131" w:lineRule="exact"/>
        <w:rPr>
          <w:sz w:val="20"/>
          <w:szCs w:val="20"/>
          <w:color w:val="auto"/>
        </w:rPr>
      </w:pPr>
    </w:p>
    <w:p>
      <w:pPr>
        <w:ind w:left="1840" w:right="260" w:hanging="440"/>
        <w:spacing w:after="0" w:line="259" w:lineRule="auto"/>
        <w:tabs>
          <w:tab w:leader="none" w:pos="18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274" w:right="2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02026713.A.031</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Information to be reported to the AT&amp;T-IT OCE would consist of at least:</w:t>
      </w:r>
    </w:p>
    <w:p>
      <w:pPr>
        <w:spacing w:after="0" w:line="131" w:lineRule="exact"/>
        <w:rPr>
          <w:sz w:val="20"/>
          <w:szCs w:val="20"/>
          <w:color w:val="auto"/>
        </w:rPr>
      </w:pPr>
    </w:p>
    <w:p>
      <w:pPr>
        <w:ind w:left="2960" w:hanging="562"/>
        <w:spacing w:after="0"/>
        <w:tabs>
          <w:tab w:leader="none" w:pos="2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1920" w:hanging="440"/>
        <w:spacing w:after="0"/>
        <w:tabs>
          <w:tab w:leader="none" w:pos="19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Saeger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Saeger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Sr. Contract Manager – Global Business &amp; Operations Sourcing</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8-28-2014</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8/27/2014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02026713.A.032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AT&amp;T Services, Inc.</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0" w:right="31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32,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AT&amp;T and Amdocs are parties to that certain Agreement No. 02026713 for Software and Professional Services, dated as of August 7, 2003,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Amendment No. 1 effective December 19, 2003, as amended by Amendment No. 2 effective January 10, 2005, as amended by Amendment No. 3 effective December 15, 2005, as amended by Amendment No. 4 effective September 27, 2006, as amended by Amendment No. 5 effective September 27, 2007, as amended by Amendment No. 6 effective September 2, 2008, as amended by Amendment No. 7 effective December 8, 2008, as amended by Amendment No. 8 effective February 4, 2009, as amended by Amendment No. 9 effective March 28, 2009, as amended by Amendment No. 10 effective August 7, 2009, as amended by Amendment No. 11 effective March, 15, 2010, as amended by Amendment No. 12 effective May 28, 2010, as further amended by Amendment No. 13 effective August 30, 2010, as amended by Amendment 14 effective November 22, 2010, as amended by Amendment No. 15 effective December 3, 2010, as amended by Amendment No. 16 effective February 24, 2011, as amended by Amendment 17 effective May 24, 2011; as amended by Amendment No. 18 effective July 25, 2011; as amended by Amendment No. 19 effective November 14, 2011; as amended by Amendment No. 20 effective June 28, 2012; as amended by Amendment No. 21 effective July 23, 2012; as amended by Amendment No. 22 effective August 28, 2012; as amended by Amendment No. 23 effective October 31, 2012; as amended by Amendment No. 24 effective January 28, 2013; as amended by Amendment No. 25 effective March 22, 2013; as amended by Amendment No. 26 effective April 10, 2013; as amended by Amendment No. 27 effective July 19, 2013; as amended by Amendment No. 28 effective September 30, 2013; and as amended by Amendment No. 29 effective February 28, 2014, as amended by Amendment No. 30 effective May 31, 2014; and as amended by Amendment No. 31 effective August 28, 2014 (collectively, the “Agreement”) 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Supplier now desire to further amend the Agreement;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60" w:hanging="452"/>
        <w:spacing w:after="0"/>
        <w:tabs>
          <w:tab w:leader="none" w:pos="460" w:val="left"/>
        </w:tabs>
        <w:numPr>
          <w:ilvl w:val="0"/>
          <w:numId w:val="452"/>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xml:space="preserve"> is deleted in its entirety and replaced with the following: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02026713.A.032</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3.32. Term of Agreement</w:t>
      </w:r>
    </w:p>
    <w:p>
      <w:pPr>
        <w:spacing w:after="0" w:line="27" w:lineRule="exact"/>
        <w:rPr>
          <w:sz w:val="20"/>
          <w:szCs w:val="20"/>
          <w:color w:val="auto"/>
        </w:rPr>
      </w:pPr>
    </w:p>
    <w:p>
      <w:pPr>
        <w:ind w:left="460" w:right="360"/>
        <w:spacing w:after="0" w:line="261" w:lineRule="auto"/>
        <w:rPr>
          <w:sz w:val="20"/>
          <w:szCs w:val="20"/>
          <w:color w:val="auto"/>
        </w:rPr>
      </w:pPr>
      <w:r>
        <w:rPr>
          <w:rFonts w:ascii="Arial" w:cs="Arial" w:eastAsia="Arial" w:hAnsi="Arial"/>
          <w:sz w:val="18"/>
          <w:szCs w:val="18"/>
          <w:color w:val="auto"/>
        </w:rPr>
        <w:t>This Agreement with an Effective Date of August 7, 2003, shall remain in effect for a term ending on March 31, 2015, unless earlier Terminated or Canceled as provided in this Agreement. The Parties may extend the term of this Agreement by agreement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Contract Manager – 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9-30-2014</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9/30/2014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color w:val="auto"/>
        </w:rPr>
        <w:t>The information contained in this Agreement is not for use or disclosure outside AT&amp;T, Supplier, their Affiliates and their third party representatives, except under written agreement by the contracting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274" w:right="3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33,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460" w:hanging="452"/>
        <w:spacing w:after="0"/>
        <w:tabs>
          <w:tab w:leader="none" w:pos="46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3.3, “Termination”, </w:t>
      </w:r>
      <w:r>
        <w:rPr>
          <w:rFonts w:ascii="Arial" w:cs="Arial" w:eastAsia="Arial" w:hAnsi="Arial"/>
          <w:sz w:val="18"/>
          <w:szCs w:val="18"/>
          <w:color w:val="auto"/>
        </w:rPr>
        <w:t>is hereby deleted and replaced in its entirety as follows: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  Termination</w:t>
      </w:r>
    </w:p>
    <w:p>
      <w:pPr>
        <w:spacing w:after="0" w:line="134" w:lineRule="exact"/>
        <w:rPr>
          <w:rFonts w:ascii="Arial" w:cs="Arial" w:eastAsia="Arial" w:hAnsi="Arial"/>
          <w:sz w:val="18"/>
          <w:szCs w:val="18"/>
          <w:b w:val="1"/>
          <w:bCs w:val="1"/>
          <w:color w:val="auto"/>
        </w:rPr>
      </w:pPr>
    </w:p>
    <w:p>
      <w:pPr>
        <w:ind w:left="900" w:right="260" w:hanging="446"/>
        <w:spacing w:after="0" w:line="273" w:lineRule="auto"/>
        <w:tabs>
          <w:tab w:leader="none" w:pos="900" w:val="left"/>
        </w:tabs>
        <w:numPr>
          <w:ilvl w:val="1"/>
          <w:numId w:val="45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Subject to the provisions of Section 4.7, any party may, prior to the completion of any Order, Terminate for Cause the applicable Order if the Arbitrator (as defined herein)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w:t>
      </w:r>
    </w:p>
    <w:p>
      <w:pPr>
        <w:spacing w:after="0" w:line="83" w:lineRule="exact"/>
        <w:rPr>
          <w:rFonts w:ascii="Arial" w:cs="Arial" w:eastAsia="Arial" w:hAnsi="Arial"/>
          <w:sz w:val="17"/>
          <w:szCs w:val="17"/>
          <w:color w:val="auto"/>
        </w:rPr>
      </w:pPr>
    </w:p>
    <w:p>
      <w:pPr>
        <w:ind w:left="900" w:right="40" w:hanging="446"/>
        <w:spacing w:after="0" w:line="270" w:lineRule="auto"/>
        <w:tabs>
          <w:tab w:leader="none" w:pos="900" w:val="left"/>
        </w:tabs>
        <w:numPr>
          <w:ilvl w:val="1"/>
          <w:numId w:val="453"/>
        </w:numPr>
        <w:rPr>
          <w:rFonts w:ascii="Arial" w:cs="Arial" w:eastAsia="Arial" w:hAnsi="Arial"/>
          <w:sz w:val="17"/>
          <w:szCs w:val="17"/>
          <w:color w:val="auto"/>
        </w:rPr>
      </w:pPr>
      <w:r>
        <w:rPr>
          <w:rFonts w:ascii="Arial" w:cs="Arial" w:eastAsia="Arial" w:hAnsi="Arial"/>
          <w:sz w:val="17"/>
          <w:szCs w:val="17"/>
          <w:u w:val="single" w:color="auto"/>
          <w:color w:val="auto"/>
        </w:rPr>
        <w:t>Partial Termination</w:t>
      </w:r>
      <w:r>
        <w:rPr>
          <w:rFonts w:ascii="Arial" w:cs="Arial" w:eastAsia="Arial" w:hAnsi="Arial"/>
          <w:sz w:val="17"/>
          <w:szCs w:val="17"/>
          <w:color w:val="auto"/>
        </w:rPr>
        <w:t>. Where a provision of this Agreement permits AT&amp;T to Terminate an Order for cause or convenience, such Termination may, at AT&amp;T’s option, be either complete or partial. In the case of a partial Termination for Cause, the terms of Section 3.3(A) shall apply. In the case of a partial Termination for Convenience, AT&amp;T may accept a portion of the Software or Services covered by an Order, but AT&amp;T shall in any event compensate Amdocs for the Software or Services performed through the date of such partial Termination for Convenience of the Order. In either event (partial Termination for Cause or Partial Termination for Convenience), AT&amp;T shall pay Amdocs for any portion of such Software or Services at the unit prices set forth in such Order, (plus equitable portions of the termination charges provided in this Agreement in the event of partial Termination for Convenience of an Order for Custom Software Development or OnGoing Support), and the parties shall utilize change management procedures as set forth in Section 5.10 to issue a Change Order to reflect such partial Termination; provided however that, [**] any Order [**] under the Order) [**]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01" w:name="page402"/>
    <w:bookmarkEnd w:id="401"/>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02026713.A.033</w:t>
      </w:r>
    </w:p>
    <w:p>
      <w:pPr>
        <w:spacing w:after="0" w:line="181" w:lineRule="exact"/>
        <w:rPr>
          <w:sz w:val="20"/>
          <w:szCs w:val="20"/>
          <w:color w:val="auto"/>
        </w:rPr>
      </w:pPr>
    </w:p>
    <w:p>
      <w:pPr>
        <w:jc w:val="both"/>
        <w:ind w:left="840" w:right="260"/>
        <w:spacing w:after="0" w:line="279" w:lineRule="auto"/>
        <w:rPr>
          <w:sz w:val="20"/>
          <w:szCs w:val="20"/>
          <w:color w:val="auto"/>
        </w:rPr>
      </w:pPr>
      <w:r>
        <w:rPr>
          <w:rFonts w:ascii="Arial" w:cs="Arial" w:eastAsia="Arial" w:hAnsi="Arial"/>
          <w:sz w:val="17"/>
          <w:szCs w:val="17"/>
          <w:color w:val="auto"/>
        </w:rPr>
        <w:t>the Order, in which [**] the parties shall [**] the parties [**] in accordance with the [**]. The right to Terminate an Order for Cause shall also include the right to Terminate any other Order for Cause which is directly affected by the Termination of the initially Terminated Order. Upon receipt of AT&amp;T’s payment in relation to a partial Termination for Cause or Convenience, Amdocs shall deliver to AT&amp;T the applicable Work relating to the Software or Services which has been prepared pursuant to such Terminated Order.</w:t>
      </w:r>
    </w:p>
    <w:p>
      <w:pPr>
        <w:spacing w:after="0" w:line="77" w:lineRule="exact"/>
        <w:rPr>
          <w:sz w:val="20"/>
          <w:szCs w:val="20"/>
          <w:color w:val="auto"/>
        </w:rPr>
      </w:pPr>
    </w:p>
    <w:p>
      <w:pPr>
        <w:ind w:left="820" w:hanging="446"/>
        <w:spacing w:after="0" w:line="259"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Termination for Convenience of the Agreement</w:t>
      </w:r>
      <w:r>
        <w:rPr>
          <w:rFonts w:ascii="Arial" w:cs="Arial" w:eastAsia="Arial" w:hAnsi="Arial"/>
          <w:sz w:val="18"/>
          <w:szCs w:val="18"/>
          <w:color w:val="auto"/>
        </w:rPr>
        <w:t>. Either party may Terminate for Convenience this Agreement upon [**] prior written notice to the other party 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92" w:lineRule="exact"/>
        <w:rPr>
          <w:rFonts w:ascii="Arial" w:cs="Arial" w:eastAsia="Arial" w:hAnsi="Arial"/>
          <w:sz w:val="18"/>
          <w:szCs w:val="18"/>
          <w:color w:val="auto"/>
        </w:rPr>
      </w:pPr>
    </w:p>
    <w:p>
      <w:pPr>
        <w:ind w:left="820" w:right="40" w:hanging="446"/>
        <w:spacing w:after="0" w:line="255"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Termination For Convenience of Custom Software Development Order</w:t>
      </w:r>
      <w:r>
        <w:rPr>
          <w:rFonts w:ascii="Arial" w:cs="Arial" w:eastAsia="Arial" w:hAnsi="Arial"/>
          <w:sz w:val="18"/>
          <w:szCs w:val="18"/>
          <w:color w:val="auto"/>
        </w:rPr>
        <w:t>. AT&amp;T may at any time Terminate for Convenience any Order for Custom Software Development prior to the Delivery Date of the Software covered by such Order, by giving Amdocs written notice. Upon receipt of any such Termination notice, Amdocs shall, if so requested by AT&amp;T, immediately cease performing work and incurring costs in connection with such Order. [**] in accordance with the applicable Order for work under such Order performed [**] in the applicable Order, [**]under the Order, [**]. Upon receipt of AT&amp;T’s payment, Amdocs shall deliver to AT&amp;T all drafts and versions of the Custom Software which have been prepared pursuant to such Terminated Order.</w:t>
      </w:r>
    </w:p>
    <w:p>
      <w:pPr>
        <w:spacing w:after="0" w:line="98" w:lineRule="exact"/>
        <w:rPr>
          <w:rFonts w:ascii="Arial" w:cs="Arial" w:eastAsia="Arial" w:hAnsi="Arial"/>
          <w:sz w:val="18"/>
          <w:szCs w:val="18"/>
          <w:color w:val="auto"/>
        </w:rPr>
      </w:pPr>
    </w:p>
    <w:p>
      <w:pPr>
        <w:ind w:left="820" w:right="280" w:hanging="446"/>
        <w:spacing w:after="0" w:line="255"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Termination For Convenience of OnGoing Support Order</w:t>
      </w:r>
      <w:r>
        <w:rPr>
          <w:rFonts w:ascii="Arial" w:cs="Arial" w:eastAsia="Arial" w:hAnsi="Arial"/>
          <w:sz w:val="18"/>
          <w:szCs w:val="18"/>
          <w:color w:val="auto"/>
        </w:rPr>
        <w:t>. AT&amp;T may, at its option and without any Liability to Amdocs, Terminate for Convenience any OnGoing Support Order by written notice to Amdocs. Upon receipt of such notice, Amdocs shall, if so requested by AT&amp;T, cease performing any OnGoing Support Services as of the effective date of such Termination. [**] all in accordance with the provisions of the applicable Order and in accordance with Appendix 1.2(2) (Prices and Terms). [**] under the Order, [**] Upon receipt of AT&amp;T’s payment, Amdocs shall deliver to AT&amp;T all Work relating to the Software or Services which has been prepared pursuant to such Terminated Order, if applicable.</w:t>
      </w:r>
    </w:p>
    <w:p>
      <w:pPr>
        <w:spacing w:after="0" w:line="98" w:lineRule="exact"/>
        <w:rPr>
          <w:rFonts w:ascii="Arial" w:cs="Arial" w:eastAsia="Arial" w:hAnsi="Arial"/>
          <w:sz w:val="18"/>
          <w:szCs w:val="18"/>
          <w:color w:val="auto"/>
        </w:rPr>
      </w:pPr>
    </w:p>
    <w:p>
      <w:pPr>
        <w:jc w:val="both"/>
        <w:ind w:left="820" w:right="220" w:hanging="446"/>
        <w:spacing w:after="0" w:line="264"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exercising its Termination rights under subsections 3.3(D) and 3.3(E) above, [**] provided, however, that if AT&amp;T determines in good faith that an Order for such Custom Software Development or Ongoing Support Services requires immediate Termination due to budget restrictions, AT&amp;T shall be permitted to exercise such rights immediately upon notice.</w:t>
      </w:r>
    </w:p>
    <w:p>
      <w:pPr>
        <w:spacing w:after="0" w:line="86" w:lineRule="exact"/>
        <w:rPr>
          <w:rFonts w:ascii="Arial" w:cs="Arial" w:eastAsia="Arial" w:hAnsi="Arial"/>
          <w:sz w:val="18"/>
          <w:szCs w:val="18"/>
          <w:color w:val="auto"/>
        </w:rPr>
      </w:pPr>
    </w:p>
    <w:p>
      <w:pPr>
        <w:ind w:left="820" w:hanging="446"/>
        <w:spacing w:after="0"/>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Insolvency</w:t>
      </w:r>
    </w:p>
    <w:p>
      <w:pPr>
        <w:spacing w:after="0" w:line="113" w:lineRule="exact"/>
        <w:rPr>
          <w:rFonts w:ascii="Arial" w:cs="Arial" w:eastAsia="Arial" w:hAnsi="Arial"/>
          <w:sz w:val="18"/>
          <w:szCs w:val="18"/>
          <w:color w:val="auto"/>
        </w:rPr>
      </w:pPr>
    </w:p>
    <w:p>
      <w:pPr>
        <w:ind w:left="840" w:right="60" w:firstLine="1"/>
        <w:spacing w:after="0" w:line="258" w:lineRule="auto"/>
        <w:tabs>
          <w:tab w:leader="none" w:pos="1095" w:val="left"/>
        </w:tabs>
        <w:numPr>
          <w:ilvl w:val="1"/>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Right to Terminate</w:t>
      </w:r>
      <w:r>
        <w:rPr>
          <w:rFonts w:ascii="Arial" w:cs="Arial" w:eastAsia="Arial" w:hAnsi="Arial"/>
          <w:sz w:val="18"/>
          <w:szCs w:val="18"/>
          <w:color w:val="auto"/>
        </w:rPr>
        <w:t>. In the event that any Party (a) files for bankruptcy, (b) becomes or is declared insolvent, or is the subject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Amdocs will not have the right to exercise such termination under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3.3(G)</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274" w:right="239" w:bottom="1440" w:gutter="0" w:footer="0" w:header="0"/>
        </w:sectPr>
      </w:pPr>
    </w:p>
    <w:bookmarkStart w:id="402" w:name="page403"/>
    <w:bookmarkEnd w:id="402"/>
    <w:p>
      <w:pPr>
        <w:ind w:left="8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02026713.A.033</w:t>
      </w:r>
    </w:p>
    <w:p>
      <w:pPr>
        <w:spacing w:after="0" w:line="181" w:lineRule="exact"/>
        <w:rPr>
          <w:sz w:val="20"/>
          <w:szCs w:val="20"/>
          <w:color w:val="auto"/>
        </w:rPr>
      </w:pPr>
    </w:p>
    <w:p>
      <w:pPr>
        <w:ind w:left="840" w:right="480"/>
        <w:spacing w:after="0" w:line="342" w:lineRule="auto"/>
        <w:rPr>
          <w:sz w:val="20"/>
          <w:szCs w:val="20"/>
          <w:color w:val="auto"/>
        </w:rPr>
      </w:pPr>
      <w:r>
        <w:rPr>
          <w:rFonts w:ascii="Arial" w:cs="Arial" w:eastAsia="Arial" w:hAnsi="Arial"/>
          <w:sz w:val="16"/>
          <w:szCs w:val="16"/>
          <w:color w:val="auto"/>
        </w:rPr>
        <w:t>so long as AT&amp;T pays for the Services to be received hereunder in advance on a month-to-month basis. If any Party elects to terminate this Agreement due to the insolvency of the other Party, such termination will be deemed to be a termination for cause hereunder.</w:t>
      </w:r>
    </w:p>
    <w:p>
      <w:pPr>
        <w:spacing w:after="0" w:line="12" w:lineRule="exact"/>
        <w:rPr>
          <w:sz w:val="20"/>
          <w:szCs w:val="20"/>
          <w:color w:val="auto"/>
        </w:rPr>
      </w:pPr>
    </w:p>
    <w:p>
      <w:pPr>
        <w:ind w:left="840" w:firstLine="1"/>
        <w:spacing w:after="0" w:line="270" w:lineRule="auto"/>
        <w:tabs>
          <w:tab w:leader="none" w:pos="1105"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Section 365(n)</w:t>
      </w:r>
      <w:r>
        <w:rPr>
          <w:rFonts w:ascii="Arial" w:cs="Arial" w:eastAsia="Arial" w:hAnsi="Arial"/>
          <w:sz w:val="17"/>
          <w:szCs w:val="17"/>
          <w:color w:val="auto"/>
        </w:rPr>
        <w:t>. Notwithstanding any other provision of this Agreement to the contrary, in the event that Amdocs becomes a debtor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Code and rejects this Agreement pursuant to Section 365 of the Bankruptcy Code (a “</w:t>
      </w:r>
      <w:r>
        <w:rPr>
          <w:rFonts w:ascii="Arial" w:cs="Arial" w:eastAsia="Arial" w:hAnsi="Arial"/>
          <w:sz w:val="17"/>
          <w:szCs w:val="17"/>
          <w:b w:val="1"/>
          <w:bCs w:val="1"/>
          <w:u w:val="single" w:color="auto"/>
          <w:color w:val="auto"/>
        </w:rPr>
        <w:t>Bankruptcy Rejection</w:t>
      </w:r>
      <w:r>
        <w:rPr>
          <w:rFonts w:ascii="Arial" w:cs="Arial" w:eastAsia="Arial" w:hAnsi="Arial"/>
          <w:sz w:val="17"/>
          <w:szCs w:val="17"/>
          <w:color w:val="auto"/>
        </w:rPr>
        <w:t>”), (i) any and all of the licensee and sublicensee rights of AT&amp;T arising under or otherwise set forth in this Agreement shall be deemed fully retained by and vested in AT&amp;T as protected intellectual property rights under Section 365(n)(1)(B) of the Bankruptcy Code and further shall be deemed to exist immediately before the commencement of the bankruptcy case in which Amdocs is the debtor; (ii) AT&amp;T shall have all of the rights afforded to non-debtor 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w:t>
      </w:r>
    </w:p>
    <w:p>
      <w:pPr>
        <w:spacing w:after="0" w:line="69" w:lineRule="exact"/>
        <w:rPr>
          <w:rFonts w:ascii="Arial" w:cs="Arial" w:eastAsia="Arial" w:hAnsi="Arial"/>
          <w:sz w:val="17"/>
          <w:szCs w:val="17"/>
          <w:b w:val="1"/>
          <w:bCs w:val="1"/>
          <w:color w:val="auto"/>
        </w:rPr>
      </w:pPr>
    </w:p>
    <w:p>
      <w:pPr>
        <w:ind w:left="840" w:right="20" w:firstLine="1"/>
        <w:spacing w:after="0" w:line="269" w:lineRule="auto"/>
        <w:tabs>
          <w:tab w:leader="none" w:pos="1085"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AT&amp;T Rights Upon Amdocs’ Bankruptcy</w:t>
      </w:r>
      <w:r>
        <w:rPr>
          <w:rFonts w:ascii="Arial" w:cs="Arial" w:eastAsia="Arial" w:hAnsi="Arial"/>
          <w:sz w:val="17"/>
          <w:szCs w:val="17"/>
          <w:color w:val="auto"/>
        </w:rPr>
        <w:t>. In the event of Amdocs’ bankruptcy or of the filing of any petition under the federal bankruptcy</w:t>
      </w:r>
      <w:r>
        <w:rPr>
          <w:rFonts w:ascii="Arial" w:cs="Arial" w:eastAsia="Arial" w:hAnsi="Arial"/>
          <w:sz w:val="17"/>
          <w:szCs w:val="17"/>
          <w:b w:val="1"/>
          <w:bCs w:val="1"/>
          <w:color w:val="auto"/>
        </w:rPr>
        <w:t xml:space="preserve"> </w:t>
      </w:r>
      <w:r>
        <w:rPr>
          <w:rFonts w:ascii="Arial" w:cs="Arial" w:eastAsia="Arial" w:hAnsi="Arial"/>
          <w:sz w:val="17"/>
          <w:szCs w:val="17"/>
          <w:color w:val="auto"/>
        </w:rPr>
        <w:t>laws affecting the rights of Amdocs which is not stayed or dismissed within thirty (30) days of filing, in addition to the other rights and remedies set forth herein, to the maximum extent permitted by Law, AT&amp;T will have the immediate right to retain and take possession for safekeeping all AT&amp;T Information, AT&amp;T Proprietary Information, AT&amp;T licensed Third Party Software, AT&amp;T owned Equipment, AT&amp;T owned Materials, AT&amp;T owned Custom Software, and all other Software, Equipment, Systems or Materials to which AT&amp;T is or would be entitled during the term of this Agreement or upon the expiration or termination of this Agreement. Amdocs shall cooperate fully with AT&amp;T and assist AT&amp;T in identifying and taking possession of the items listed in the preceding sentence. AT&amp;T will have the right to hold such AT&amp;T Information, Proprietary Information, Software, Equipment, Systems and Materials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Amdocs and AT&amp;T agree that without this material provision, AT&amp;T would not have entered into this Agreement or provided any right to the possession or use of AT&amp;T Information, AT&amp;T Proprietary Information or AT&amp;T Software covered by this Agreement.</w:t>
      </w:r>
    </w:p>
    <w:p>
      <w:pPr>
        <w:spacing w:after="0" w:line="71" w:lineRule="exact"/>
        <w:rPr>
          <w:rFonts w:ascii="Arial" w:cs="Arial" w:eastAsia="Arial" w:hAnsi="Arial"/>
          <w:sz w:val="17"/>
          <w:szCs w:val="17"/>
          <w:b w:val="1"/>
          <w:bCs w:val="1"/>
          <w:color w:val="auto"/>
        </w:rPr>
      </w:pPr>
    </w:p>
    <w:p>
      <w:pPr>
        <w:ind w:left="840" w:right="240" w:firstLine="1"/>
        <w:spacing w:after="0" w:line="313" w:lineRule="auto"/>
        <w:tabs>
          <w:tab w:leader="none" w:pos="1105"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Rights To Assume In Bankruptcy</w:t>
      </w:r>
      <w:r>
        <w:rPr>
          <w:rFonts w:ascii="Arial" w:cs="Arial" w:eastAsia="Arial" w:hAnsi="Arial"/>
          <w:sz w:val="17"/>
          <w:szCs w:val="17"/>
          <w:color w:val="auto"/>
        </w:rPr>
        <w:t>. In the event of commencement of bankruptcy proceedings by or against AT&amp;T, AT&amp;T or its trustee in</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shall be entitled to assume this Agreement and shall be entitled to retain all of AT&amp;T’s license rights hereunder.</w:t>
      </w:r>
    </w:p>
    <w:p>
      <w:pPr>
        <w:spacing w:after="0" w:line="7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273"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02026713.A.033</w:t>
      </w:r>
    </w:p>
    <w:p>
      <w:pPr>
        <w:spacing w:after="0" w:line="154" w:lineRule="exact"/>
        <w:rPr>
          <w:sz w:val="20"/>
          <w:szCs w:val="20"/>
          <w:color w:val="auto"/>
        </w:rPr>
      </w:pPr>
    </w:p>
    <w:p>
      <w:pPr>
        <w:ind w:left="820" w:hanging="446"/>
        <w:spacing w:after="0"/>
        <w:tabs>
          <w:tab w:leader="none" w:pos="820" w:val="left"/>
        </w:tabs>
        <w:numPr>
          <w:ilvl w:val="0"/>
          <w:numId w:val="45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Upon Amdocs’ Change of Control</w:t>
      </w:r>
      <w:r>
        <w:rPr>
          <w:rFonts w:ascii="Arial" w:cs="Arial" w:eastAsia="Arial" w:hAnsi="Arial"/>
          <w:sz w:val="17"/>
          <w:szCs w:val="17"/>
          <w:color w:val="auto"/>
        </w:rPr>
        <w:t>, which shall apply to all agreements between any AT&amp;T Entity and any Amdocs Entity:</w:t>
      </w:r>
    </w:p>
    <w:p>
      <w:pPr>
        <w:spacing w:after="0" w:line="146" w:lineRule="exact"/>
        <w:rPr>
          <w:rFonts w:ascii="Arial" w:cs="Arial" w:eastAsia="Arial" w:hAnsi="Arial"/>
          <w:sz w:val="17"/>
          <w:szCs w:val="17"/>
          <w:color w:val="auto"/>
        </w:rPr>
      </w:pPr>
    </w:p>
    <w:p>
      <w:pPr>
        <w:ind w:left="1400" w:right="20" w:hanging="567"/>
        <w:spacing w:after="0" w:line="283" w:lineRule="auto"/>
        <w:tabs>
          <w:tab w:leader="none" w:pos="140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 xml:space="preserve">In the event of a change in Control of Amdocs (or that portion of Amdocs providing Services under this Agreement) or the Entity that Controls Amdocs (if any), where such Control is acquired, directly or indirectly, in a single transaction or series of related transactions, or all or substantially all of the assets of Amdocs are acquired by any Entity, or Amdocs is merged with or into another Entity to form a new Entity, AT&amp;T may at its option terminate this Agreement by giving Amdocs at least ninety (90) days prior notice and designating a date upon which such termination shall be effective; provided, however, AT&amp;T shall not have this right if Amdocs Limited, (a Guernsey corporation as of the Effective Date) retains Control of Amdocs after such transaction, acquisition, merger; provided, further, however, if such change in Control of Amdocs involves an AT&amp;T competitor, AT&amp;T may terminate this Agreement by giving Amdocs at least ten (10) days prior notice, and the AT&amp;T competitor shall be prohibited from any contact with AT&amp;T Data, AT&amp;T Information and any and all other information about the AT&amp;T account, including discussions with Amdocs personnel regarding specifics relating to the Services. Amdocs shall not be entitled to any termination charges in connection with a termination pursuant to this </w:t>
      </w:r>
      <w:r>
        <w:rPr>
          <w:rFonts w:ascii="Arial" w:cs="Arial" w:eastAsia="Arial" w:hAnsi="Arial"/>
          <w:sz w:val="16"/>
          <w:szCs w:val="16"/>
          <w:b w:val="1"/>
          <w:bCs w:val="1"/>
          <w:u w:val="single" w:color="auto"/>
          <w:color w:val="auto"/>
        </w:rPr>
        <w:t>Section3.3 H</w:t>
      </w:r>
      <w:r>
        <w:rPr>
          <w:rFonts w:ascii="Arial" w:cs="Arial" w:eastAsia="Arial" w:hAnsi="Arial"/>
          <w:sz w:val="16"/>
          <w:szCs w:val="16"/>
          <w:color w:val="auto"/>
        </w:rPr>
        <w:t>. For purposes of this Section, “</w:t>
      </w:r>
      <w:r>
        <w:rPr>
          <w:rFonts w:ascii="Arial" w:cs="Arial" w:eastAsia="Arial" w:hAnsi="Arial"/>
          <w:sz w:val="16"/>
          <w:szCs w:val="16"/>
          <w:u w:val="single" w:color="auto"/>
          <w:color w:val="auto"/>
        </w:rPr>
        <w:t>Control</w:t>
      </w:r>
      <w:r>
        <w:rPr>
          <w:rFonts w:ascii="Arial" w:cs="Arial" w:eastAsia="Arial" w:hAnsi="Arial"/>
          <w:sz w:val="16"/>
          <w:szCs w:val="16"/>
          <w:color w:val="auto"/>
        </w:rPr>
        <w:t>” and its derivatives mean: (a) the legal, beneficial or equitable ownership, directly or indirectly, of (i) [**] or</w:t>
      </w:r>
    </w:p>
    <w:p>
      <w:pPr>
        <w:spacing w:after="0" w:line="4" w:lineRule="exact"/>
        <w:rPr>
          <w:rFonts w:ascii="Arial" w:cs="Arial" w:eastAsia="Arial" w:hAnsi="Arial"/>
          <w:sz w:val="16"/>
          <w:szCs w:val="16"/>
          <w:color w:val="auto"/>
        </w:rPr>
      </w:pPr>
    </w:p>
    <w:p>
      <w:pPr>
        <w:ind w:left="1400" w:right="80"/>
        <w:spacing w:after="0" w:line="253" w:lineRule="auto"/>
        <w:rPr>
          <w:rFonts w:ascii="Arial" w:cs="Arial" w:eastAsia="Arial" w:hAnsi="Arial"/>
          <w:sz w:val="16"/>
          <w:szCs w:val="16"/>
          <w:color w:val="auto"/>
        </w:rPr>
      </w:pPr>
      <w:r>
        <w:rPr>
          <w:rFonts w:ascii="Arial" w:cs="Arial" w:eastAsia="Arial" w:hAnsi="Arial"/>
          <w:sz w:val="18"/>
          <w:szCs w:val="18"/>
          <w:color w:val="auto"/>
        </w:rPr>
        <w:t>(ii) equity interests having the right to at least [**] or, in the event of dissolution, to at least [**];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 and “</w:t>
      </w:r>
      <w:r>
        <w:rPr>
          <w:rFonts w:ascii="Arial" w:cs="Arial" w:eastAsia="Arial" w:hAnsi="Arial"/>
          <w:sz w:val="18"/>
          <w:szCs w:val="18"/>
          <w:u w:val="single" w:color="auto"/>
          <w:color w:val="auto"/>
        </w:rPr>
        <w:t>Entity</w:t>
      </w:r>
      <w:r>
        <w:rPr>
          <w:rFonts w:ascii="Arial" w:cs="Arial" w:eastAsia="Arial" w:hAnsi="Arial"/>
          <w:sz w:val="18"/>
          <w:szCs w:val="18"/>
          <w:color w:val="auto"/>
        </w:rPr>
        <w:t>” means a corporation, partnership, joint venture, trust, limited liability company, association or other organization or entity.</w:t>
      </w:r>
    </w:p>
    <w:p>
      <w:pPr>
        <w:spacing w:after="0" w:line="96" w:lineRule="exact"/>
        <w:rPr>
          <w:rFonts w:ascii="Arial" w:cs="Arial" w:eastAsia="Arial" w:hAnsi="Arial"/>
          <w:sz w:val="16"/>
          <w:szCs w:val="16"/>
          <w:color w:val="auto"/>
        </w:rPr>
      </w:pPr>
    </w:p>
    <w:p>
      <w:pPr>
        <w:ind w:left="1400" w:right="20" w:hanging="567"/>
        <w:spacing w:after="0" w:line="286" w:lineRule="auto"/>
        <w:tabs>
          <w:tab w:leader="none" w:pos="140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 xml:space="preserve">Subject to any legal obligation of confidentiality or applicable securities laws, Amdocs will provide AT&amp;T with notice at the earliest permissible time of Amdocs’ intention to make such a change of Control and facilitate AT&amp;T’s receipt of sufficient information about the Entity acquiring Control for AT&amp;T to choose to exercise its termination rights described in </w:t>
      </w:r>
      <w:r>
        <w:rPr>
          <w:rFonts w:ascii="Arial" w:cs="Arial" w:eastAsia="Arial" w:hAnsi="Arial"/>
          <w:sz w:val="17"/>
          <w:szCs w:val="17"/>
          <w:b w:val="1"/>
          <w:bCs w:val="1"/>
          <w:u w:val="single" w:color="auto"/>
          <w:color w:val="auto"/>
        </w:rPr>
        <w:t>Section 3.3 H 1</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1400" w:right="40" w:hanging="567"/>
        <w:spacing w:after="0" w:line="282" w:lineRule="auto"/>
        <w:tabs>
          <w:tab w:leader="none" w:pos="14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Any permitted assignee or successor in interest under this </w:t>
      </w:r>
      <w:r>
        <w:rPr>
          <w:rFonts w:ascii="Arial" w:cs="Arial" w:eastAsia="Arial" w:hAnsi="Arial"/>
          <w:sz w:val="18"/>
          <w:szCs w:val="18"/>
          <w:b w:val="1"/>
          <w:bCs w:val="1"/>
          <w:u w:val="single" w:color="auto"/>
          <w:color w:val="auto"/>
        </w:rPr>
        <w:t>Section 3.3 H</w:t>
      </w:r>
      <w:r>
        <w:rPr>
          <w:rFonts w:ascii="Arial" w:cs="Arial" w:eastAsia="Arial" w:hAnsi="Arial"/>
          <w:sz w:val="18"/>
          <w:szCs w:val="18"/>
          <w:color w:val="auto"/>
        </w:rPr>
        <w:t xml:space="preserve"> shall agree in writing to be bound by the terms and conditions of this Agreement.</w:t>
      </w:r>
    </w:p>
    <w:p>
      <w:pPr>
        <w:spacing w:after="0" w:line="67" w:lineRule="exact"/>
        <w:rPr>
          <w:rFonts w:ascii="Arial" w:cs="Arial" w:eastAsia="Arial" w:hAnsi="Arial"/>
          <w:sz w:val="18"/>
          <w:szCs w:val="18"/>
          <w:color w:val="auto"/>
        </w:rPr>
      </w:pPr>
    </w:p>
    <w:p>
      <w:pPr>
        <w:ind w:left="1400" w:right="80" w:hanging="567"/>
        <w:spacing w:after="0" w:line="282" w:lineRule="auto"/>
        <w:tabs>
          <w:tab w:leader="none" w:pos="14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Regardless of AT&amp;T’s consent or refusal to consent to an assignment under this </w:t>
      </w:r>
      <w:r>
        <w:rPr>
          <w:rFonts w:ascii="Arial" w:cs="Arial" w:eastAsia="Arial" w:hAnsi="Arial"/>
          <w:sz w:val="18"/>
          <w:szCs w:val="18"/>
          <w:b w:val="1"/>
          <w:bCs w:val="1"/>
          <w:u w:val="single" w:color="auto"/>
          <w:color w:val="auto"/>
        </w:rPr>
        <w:t>Section 3.3 H</w:t>
      </w:r>
      <w:r>
        <w:rPr>
          <w:rFonts w:ascii="Arial" w:cs="Arial" w:eastAsia="Arial" w:hAnsi="Arial"/>
          <w:sz w:val="18"/>
          <w:szCs w:val="18"/>
          <w:color w:val="auto"/>
        </w:rPr>
        <w:t>, Amdocs, or its successor in interest, shall continue to perform under the terms of the Agreement until such time as the Agreement terminates or expires.</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273" w:right="239" w:bottom="1440" w:gutter="0" w:footer="0" w:header="0"/>
        </w:sectPr>
      </w:pPr>
    </w:p>
    <w:bookmarkStart w:id="404" w:name="page405"/>
    <w:bookmarkEnd w:id="404"/>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02026713.A.033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Pennington</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Deidre D. Byer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Operations</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Sr. Contract Manager – Global Supply Chain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11-12-2014</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11/11/2014</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 representatives, except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Amdocs Limited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2"/>
              </w:rPr>
              <w:t>List of the Subsidiaries*</w:t>
            </w:r>
          </w:p>
        </w:tc>
        <w:tc>
          <w:tcPr>
            <w:tcW w:w="2620" w:type="dxa"/>
            <w:vAlign w:val="bottom"/>
            <w:vMerge w:val="restart"/>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20" w:type="dxa"/>
            <w:vAlign w:val="bottom"/>
          </w:tcPr>
          <w:p>
            <w:pPr>
              <w:spacing w:after="0"/>
              <w:rPr>
                <w:sz w:val="12"/>
                <w:szCs w:val="12"/>
                <w:color w:val="auto"/>
              </w:rPr>
            </w:pPr>
          </w:p>
        </w:tc>
        <w:tc>
          <w:tcPr>
            <w:tcW w:w="352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Business Name</w:t>
            </w:r>
          </w:p>
        </w:tc>
        <w:tc>
          <w:tcPr>
            <w:tcW w:w="0" w:type="dxa"/>
            <w:vAlign w:val="bottom"/>
          </w:tcPr>
          <w:p>
            <w:pPr>
              <w:spacing w:after="0"/>
              <w:rPr>
                <w:sz w:val="1"/>
                <w:szCs w:val="1"/>
                <w:color w:val="auto"/>
              </w:rPr>
            </w:pPr>
          </w:p>
        </w:tc>
      </w:tr>
      <w:tr>
        <w:trPr>
          <w:trHeight w:val="191"/>
        </w:trPr>
        <w:tc>
          <w:tcPr>
            <w:tcW w:w="1500" w:type="dxa"/>
            <w:vAlign w:val="bottom"/>
            <w:tcBorders>
              <w:bottom w:val="single" w:sz="8" w:color="auto"/>
            </w:tcBorders>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20" w:type="dxa"/>
            <w:vAlign w:val="bottom"/>
          </w:tcPr>
          <w:p>
            <w:pPr>
              <w:spacing w:after="0"/>
              <w:rPr>
                <w:sz w:val="16"/>
                <w:szCs w:val="16"/>
                <w:color w:val="auto"/>
              </w:rPr>
            </w:pPr>
          </w:p>
        </w:tc>
        <w:tc>
          <w:tcPr>
            <w:tcW w:w="3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spacing w:after="0" w:line="189" w:lineRule="exact"/>
              <w:rPr>
                <w:sz w:val="20"/>
                <w:szCs w:val="20"/>
                <w:color w:val="auto"/>
              </w:rPr>
            </w:pPr>
            <w:r>
              <w:rPr>
                <w:rFonts w:ascii="Arial" w:cs="Arial" w:eastAsia="Arial" w:hAnsi="Arial"/>
                <w:sz w:val="18"/>
                <w:szCs w:val="18"/>
                <w:color w:val="auto"/>
              </w:rPr>
              <w:t>Amdocs Astrum Limited</w:t>
            </w: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Arial" w:cs="Arial" w:eastAsia="Arial" w:hAnsi="Arial"/>
                <w:sz w:val="18"/>
                <w:szCs w:val="18"/>
                <w:color w:val="auto"/>
              </w:rPr>
              <w:t>Amdocs Astrum 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Development Centre India Private Limited</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Development Centre India Private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India</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3660" w:type="dxa"/>
            <w:vAlign w:val="bottom"/>
          </w:tcPr>
          <w:p>
            <w:pPr>
              <w:spacing w:after="0"/>
              <w:rPr>
                <w:sz w:val="20"/>
                <w:szCs w:val="20"/>
                <w:color w:val="auto"/>
              </w:rPr>
            </w:pPr>
            <w:r>
              <w:rPr>
                <w:rFonts w:ascii="Arial" w:cs="Arial" w:eastAsia="Arial" w:hAnsi="Arial"/>
                <w:sz w:val="18"/>
                <w:szCs w:val="18"/>
                <w:color w:val="auto"/>
              </w:rPr>
              <w:t>Republic of Cyprus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Development 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3660" w:type="dxa"/>
            <w:vAlign w:val="bottom"/>
          </w:tcPr>
          <w:p>
            <w:pPr>
              <w:spacing w:after="0"/>
              <w:rPr>
                <w:sz w:val="20"/>
                <w:szCs w:val="20"/>
                <w:color w:val="auto"/>
              </w:rPr>
            </w:pPr>
            <w:r>
              <w:rPr>
                <w:rFonts w:ascii="Arial" w:cs="Arial" w:eastAsia="Arial" w:hAnsi="Arial"/>
                <w:sz w:val="18"/>
                <w:szCs w:val="18"/>
                <w:color w:val="auto"/>
              </w:rPr>
              <w:t>State of Delaware, USA</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Holdings ULC</w:t>
            </w:r>
          </w:p>
        </w:tc>
        <w:tc>
          <w:tcPr>
            <w:tcW w:w="3660" w:type="dxa"/>
            <w:vAlign w:val="bottom"/>
          </w:tcPr>
          <w:p>
            <w:pPr>
              <w:spacing w:after="0"/>
              <w:rPr>
                <w:sz w:val="20"/>
                <w:szCs w:val="20"/>
                <w:color w:val="auto"/>
              </w:rPr>
            </w:pPr>
            <w:r>
              <w:rPr>
                <w:rFonts w:ascii="Arial" w:cs="Arial" w:eastAsia="Arial" w:hAnsi="Arial"/>
                <w:sz w:val="18"/>
                <w:szCs w:val="18"/>
                <w:color w:val="auto"/>
              </w:rPr>
              <w:t>Canada</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Holdings ULC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3660" w:type="dxa"/>
            <w:vAlign w:val="bottom"/>
          </w:tcPr>
          <w:p>
            <w:pPr>
              <w:spacing w:after="0"/>
              <w:rPr>
                <w:sz w:val="20"/>
                <w:szCs w:val="20"/>
                <w:color w:val="auto"/>
              </w:rPr>
            </w:pPr>
            <w:r>
              <w:rPr>
                <w:rFonts w:ascii="Arial" w:cs="Arial" w:eastAsia="Arial" w:hAnsi="Arial"/>
                <w:sz w:val="18"/>
                <w:szCs w:val="18"/>
                <w:color w:val="auto"/>
              </w:rPr>
              <w:t>Switzerland</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International GmbH</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3660" w:type="dxa"/>
            <w:vAlign w:val="bottom"/>
          </w:tcPr>
          <w:p>
            <w:pPr>
              <w:spacing w:after="0"/>
              <w:rPr>
                <w:sz w:val="20"/>
                <w:szCs w:val="20"/>
                <w:color w:val="auto"/>
              </w:rPr>
            </w:pPr>
            <w:r>
              <w:rPr>
                <w:rFonts w:ascii="Arial" w:cs="Arial" w:eastAsia="Arial" w:hAnsi="Arial"/>
                <w:sz w:val="18"/>
                <w:szCs w:val="18"/>
                <w:color w:val="auto"/>
              </w:rPr>
              <w:t>Israel</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(Israel) 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3660" w:type="dxa"/>
            <w:vAlign w:val="bottom"/>
          </w:tcPr>
          <w:p>
            <w:pPr>
              <w:spacing w:after="0"/>
              <w:rPr>
                <w:sz w:val="20"/>
                <w:szCs w:val="20"/>
                <w:color w:val="auto"/>
              </w:rPr>
            </w:pPr>
            <w:r>
              <w:rPr>
                <w:rFonts w:ascii="Arial" w:cs="Arial" w:eastAsia="Arial" w:hAnsi="Arial"/>
                <w:sz w:val="18"/>
                <w:szCs w:val="18"/>
                <w:color w:val="auto"/>
              </w:rPr>
              <w:t>United Kingdom</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Management 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Software Solutions Limited Liability</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Software Solutions Limited Liability</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Company</w:t>
            </w:r>
          </w:p>
        </w:tc>
        <w:tc>
          <w:tcPr>
            <w:tcW w:w="3660" w:type="dxa"/>
            <w:vAlign w:val="bottom"/>
          </w:tcPr>
          <w:p>
            <w:pPr>
              <w:spacing w:after="0"/>
              <w:rPr>
                <w:sz w:val="20"/>
                <w:szCs w:val="20"/>
                <w:color w:val="auto"/>
              </w:rPr>
            </w:pPr>
            <w:r>
              <w:rPr>
                <w:rFonts w:ascii="Arial" w:cs="Arial" w:eastAsia="Arial" w:hAnsi="Arial"/>
                <w:sz w:val="18"/>
                <w:szCs w:val="18"/>
                <w:color w:val="auto"/>
              </w:rPr>
              <w:t>Hungary</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3660" w:type="dxa"/>
            <w:vAlign w:val="bottom"/>
          </w:tcPr>
          <w:p>
            <w:pPr>
              <w:spacing w:after="0"/>
              <w:rPr>
                <w:sz w:val="20"/>
                <w:szCs w:val="20"/>
                <w:color w:val="auto"/>
              </w:rPr>
            </w:pPr>
            <w:r>
              <w:rPr>
                <w:rFonts w:ascii="Arial" w:cs="Arial" w:eastAsia="Arial" w:hAnsi="Arial"/>
                <w:sz w:val="18"/>
                <w:szCs w:val="18"/>
                <w:color w:val="auto"/>
              </w:rPr>
              <w:t>Ireland</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Software Systems Ltd.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3660" w:type="dxa"/>
            <w:vAlign w:val="bottom"/>
          </w:tcPr>
          <w:p>
            <w:pPr>
              <w:spacing w:after="0"/>
              <w:rPr>
                <w:sz w:val="20"/>
                <w:szCs w:val="20"/>
                <w:color w:val="auto"/>
              </w:rPr>
            </w:pPr>
            <w:r>
              <w:rPr>
                <w:rFonts w:ascii="Arial" w:cs="Arial" w:eastAsia="Arial" w:hAnsi="Arial"/>
                <w:sz w:val="18"/>
                <w:szCs w:val="18"/>
                <w:color w:val="auto"/>
              </w:rPr>
              <w:t>United Kingdom</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(UK) Limited</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3660" w:type="dxa"/>
            <w:vAlign w:val="bottom"/>
          </w:tcPr>
          <w:p>
            <w:pPr>
              <w:spacing w:after="0"/>
              <w:rPr>
                <w:sz w:val="20"/>
                <w:szCs w:val="20"/>
                <w:color w:val="auto"/>
              </w:rPr>
            </w:pPr>
            <w:r>
              <w:rPr>
                <w:rFonts w:ascii="Arial" w:cs="Arial" w:eastAsia="Arial" w:hAnsi="Arial"/>
                <w:sz w:val="18"/>
                <w:szCs w:val="18"/>
                <w:color w:val="auto"/>
              </w:rPr>
              <w:t>Island of Guernsey, Channel Islands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European Software Marketing Ltd.</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3660" w:type="dxa"/>
            <w:vAlign w:val="bottom"/>
          </w:tcPr>
          <w:p>
            <w:pPr>
              <w:spacing w:after="0"/>
              <w:rPr>
                <w:sz w:val="20"/>
                <w:szCs w:val="20"/>
                <w:color w:val="auto"/>
              </w:rPr>
            </w:pPr>
            <w:r>
              <w:rPr>
                <w:rFonts w:ascii="Arial" w:cs="Arial" w:eastAsia="Arial" w:hAnsi="Arial"/>
                <w:sz w:val="18"/>
                <w:szCs w:val="18"/>
                <w:color w:val="auto"/>
              </w:rPr>
              <w:t>State of Delaware, USA</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Sypress,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420"/>
          </w:cols>
          <w:pgMar w:left="240" w:top="121"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117" w:lineRule="exact"/>
        <w:rPr>
          <w:sz w:val="20"/>
          <w:szCs w:val="20"/>
          <w:color w:val="auto"/>
        </w:rPr>
      </w:pPr>
    </w:p>
    <w:p>
      <w:pPr>
        <w:ind w:left="640" w:hanging="176"/>
        <w:spacing w:after="0"/>
        <w:tabs>
          <w:tab w:leader="none" w:pos="6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4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180" w:firstLine="443"/>
        <w:spacing w:after="0" w:line="342" w:lineRule="auto"/>
        <w:tabs>
          <w:tab w:leader="none" w:pos="1153" w:val="left"/>
        </w:tabs>
        <w:numPr>
          <w:ilvl w:val="1"/>
          <w:numId w:val="45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right="20" w:firstLine="464"/>
        <w:spacing w:after="0" w:line="308" w:lineRule="auto"/>
        <w:tabs>
          <w:tab w:leader="none" w:pos="63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800" w:firstLine="443"/>
        <w:spacing w:after="0" w:line="308" w:lineRule="auto"/>
        <w:tabs>
          <w:tab w:leader="none" w:pos="1133" w:val="left"/>
        </w:tabs>
        <w:numPr>
          <w:ilvl w:val="1"/>
          <w:numId w:val="4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500" w:firstLine="443"/>
        <w:spacing w:after="0" w:line="277" w:lineRule="auto"/>
        <w:tabs>
          <w:tab w:leader="none" w:pos="1143"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2014</w:t>
      </w:r>
    </w:p>
    <w:p>
      <w:pPr>
        <w:sectPr>
          <w:pgSz w:w="11900" w:h="16838" w:orient="portrait"/>
          <w:cols w:equalWidth="0" w:num="1">
            <w:col w:w="11420"/>
          </w:cols>
          <w:pgMar w:left="240" w:top="121"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117" w:lineRule="exact"/>
        <w:rPr>
          <w:sz w:val="20"/>
          <w:szCs w:val="20"/>
          <w:color w:val="auto"/>
        </w:rPr>
      </w:pPr>
    </w:p>
    <w:p>
      <w:pPr>
        <w:ind w:left="640" w:hanging="176"/>
        <w:spacing w:after="0"/>
        <w:tabs>
          <w:tab w:leader="none" w:pos="6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45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180" w:firstLine="443"/>
        <w:spacing w:after="0" w:line="342" w:lineRule="auto"/>
        <w:tabs>
          <w:tab w:leader="none" w:pos="1153" w:val="left"/>
        </w:tabs>
        <w:numPr>
          <w:ilvl w:val="1"/>
          <w:numId w:val="45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right="20" w:firstLine="464"/>
        <w:spacing w:after="0" w:line="308" w:lineRule="auto"/>
        <w:tabs>
          <w:tab w:leader="none" w:pos="633"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800" w:firstLine="443"/>
        <w:spacing w:after="0" w:line="308" w:lineRule="auto"/>
        <w:tabs>
          <w:tab w:leader="none" w:pos="1133" w:val="left"/>
        </w:tabs>
        <w:numPr>
          <w:ilvl w:val="1"/>
          <w:numId w:val="4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500" w:firstLine="443"/>
        <w:spacing w:after="0" w:line="277" w:lineRule="auto"/>
        <w:tabs>
          <w:tab w:leader="none" w:pos="1143"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2014</w:t>
      </w:r>
    </w:p>
    <w:p>
      <w:pPr>
        <w:sectPr>
          <w:pgSz w:w="11900" w:h="16838" w:orient="portrait"/>
          <w:cols w:equalWidth="0" w:num="1">
            <w:col w:w="11420"/>
          </w:cols>
          <w:pgMar w:left="240" w:top="121"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2014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73" w:lineRule="exact"/>
        <w:rPr>
          <w:sz w:val="20"/>
          <w:szCs w:val="20"/>
          <w:color w:val="auto"/>
        </w:rPr>
      </w:pPr>
    </w:p>
    <w:p>
      <w:pPr>
        <w:ind w:left="1160" w:hanging="257"/>
        <w:spacing w:after="0"/>
        <w:tabs>
          <w:tab w:leader="none" w:pos="11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2014</w:t>
      </w:r>
    </w:p>
    <w:p>
      <w:pPr>
        <w:sectPr>
          <w:pgSz w:w="11900" w:h="16838" w:orient="portrait"/>
          <w:cols w:equalWidth="0" w:num="1">
            <w:col w:w="11420"/>
          </w:cols>
          <w:pgMar w:left="240" w:top="121"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2014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73" w:lineRule="exact"/>
        <w:rPr>
          <w:sz w:val="20"/>
          <w:szCs w:val="20"/>
          <w:color w:val="auto"/>
        </w:rPr>
      </w:pPr>
    </w:p>
    <w:p>
      <w:pPr>
        <w:ind w:left="1160" w:hanging="257"/>
        <w:spacing w:after="0"/>
        <w:tabs>
          <w:tab w:leader="none" w:pos="11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2014</w:t>
      </w:r>
    </w:p>
    <w:p>
      <w:pPr>
        <w:sectPr>
          <w:pgSz w:w="11900" w:h="16838" w:orient="portrait"/>
          <w:cols w:equalWidth="0" w:num="1">
            <w:col w:w="11420"/>
          </w:cols>
          <w:pgMar w:left="240" w:top="122"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Form S-8, No. 333-193659</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December 8, 2014, with respect to the consolidated financial statements and schedule of Amdocs Limited and the effectiveness of internal control over financial reporting of Amdocs Limited, included in this Annual Report (Form 20-F) of Amdocs Limited for the year ended September 30,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8,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E66B4"/>
    <w:multiLevelType w:val="hybridMultilevel"/>
    <w:lvl w:ilvl="0">
      <w:lvlJc w:val="left"/>
      <w:lvlText w:val="☐"/>
      <w:numFmt w:val="bullet"/>
      <w:start w:val="1"/>
    </w:lvl>
  </w:abstractNum>
  <w:abstractNum w:abstractNumId="1">
    <w:nsid w:val="67A70B69"/>
    <w:multiLevelType w:val="hybridMultilevel"/>
    <w:lvl w:ilvl="0">
      <w:lvlJc w:val="left"/>
      <w:lvlText w:val="☒"/>
      <w:numFmt w:val="bullet"/>
      <w:start w:val="1"/>
    </w:lvl>
  </w:abstractNum>
  <w:abstractNum w:abstractNumId="2">
    <w:nsid w:val="5953172F"/>
    <w:multiLevelType w:val="hybridMultilevel"/>
    <w:lvl w:ilvl="0">
      <w:lvlJc w:val="left"/>
      <w:lvlText w:val="☐"/>
      <w:numFmt w:val="bullet"/>
      <w:start w:val="1"/>
    </w:lvl>
  </w:abstractNum>
  <w:abstractNum w:abstractNumId="3">
    <w:nsid w:val="27EDFE3A"/>
    <w:multiLevelType w:val="hybridMultilevel"/>
    <w:lvl w:ilvl="0">
      <w:lvlJc w:val="left"/>
      <w:lvlText w:val="(%1)"/>
      <w:numFmt w:val="decimal"/>
      <w:start w:val="1"/>
    </w:lvl>
  </w:abstractNum>
  <w:abstractNum w:abstractNumId="4">
    <w:nsid w:val="52AC7DFF"/>
    <w:multiLevelType w:val="hybridMultilevel"/>
    <w:lvl w:ilvl="0">
      <w:lvlJc w:val="left"/>
      <w:lvlText w:val="(%1)"/>
      <w:numFmt w:val="decimal"/>
      <w:start w:val="1"/>
    </w:lvl>
  </w:abstractNum>
  <w:abstractNum w:abstractNumId="5">
    <w:nsid w:val="C4C3AF"/>
    <w:multiLevelType w:val="hybridMultilevel"/>
    <w:lvl w:ilvl="0">
      <w:lvlJc w:val="left"/>
      <w:lvlText w:val="(%1)"/>
      <w:numFmt w:val="decimal"/>
      <w:start w:val="1"/>
    </w:lvl>
  </w:abstractNum>
  <w:abstractNum w:abstractNumId="6">
    <w:nsid w:val="44380727"/>
    <w:multiLevelType w:val="hybridMultilevel"/>
    <w:lvl w:ilvl="0">
      <w:lvlJc w:val="left"/>
      <w:lvlText w:val="•"/>
      <w:numFmt w:val="bullet"/>
      <w:start w:val="1"/>
    </w:lvl>
  </w:abstractNum>
  <w:abstractNum w:abstractNumId="7">
    <w:nsid w:val="6C053B16"/>
    <w:multiLevelType w:val="hybridMultilevel"/>
    <w:lvl w:ilvl="0">
      <w:lvlJc w:val="left"/>
      <w:lvlText w:val="•"/>
      <w:numFmt w:val="bullet"/>
      <w:start w:val="1"/>
    </w:lvl>
  </w:abstractNum>
  <w:abstractNum w:abstractNumId="8">
    <w:nsid w:val="4F294393"/>
    <w:multiLevelType w:val="hybridMultilevel"/>
    <w:lvl w:ilvl="0">
      <w:lvlJc w:val="left"/>
      <w:lvlText w:val="•"/>
      <w:numFmt w:val="bullet"/>
      <w:start w:val="1"/>
    </w:lvl>
  </w:abstractNum>
  <w:abstractNum w:abstractNumId="9">
    <w:nsid w:val="5243BFAC"/>
    <w:multiLevelType w:val="hybridMultilevel"/>
    <w:lvl w:ilvl="0">
      <w:lvlJc w:val="left"/>
      <w:lvlText w:val="•"/>
      <w:numFmt w:val="bullet"/>
      <w:start w:val="1"/>
    </w:lvl>
  </w:abstractNum>
  <w:abstractNum w:abstractNumId="10">
    <w:nsid w:val="425EB207"/>
    <w:multiLevelType w:val="hybridMultilevel"/>
    <w:lvl w:ilvl="0">
      <w:lvlJc w:val="left"/>
      <w:lvlText w:val="•"/>
      <w:numFmt w:val="bullet"/>
      <w:start w:val="1"/>
    </w:lvl>
  </w:abstractNum>
  <w:abstractNum w:abstractNumId="11">
    <w:nsid w:val="334A6F1F"/>
    <w:multiLevelType w:val="hybridMultilevel"/>
    <w:lvl w:ilvl="0">
      <w:lvlJc w:val="left"/>
      <w:lvlText w:val="•"/>
      <w:numFmt w:val="bullet"/>
      <w:start w:val="1"/>
    </w:lvl>
  </w:abstractNum>
  <w:abstractNum w:abstractNumId="12">
    <w:nsid w:val="2E5B12B8"/>
    <w:multiLevelType w:val="hybridMultilevel"/>
    <w:lvl w:ilvl="0">
      <w:lvlJc w:val="left"/>
      <w:lvlText w:val="•"/>
      <w:numFmt w:val="bullet"/>
      <w:start w:val="1"/>
    </w:lvl>
  </w:abstractNum>
  <w:abstractNum w:abstractNumId="13">
    <w:nsid w:val="5C03D76D"/>
    <w:multiLevelType w:val="hybridMultilevel"/>
    <w:lvl w:ilvl="0">
      <w:lvlJc w:val="left"/>
      <w:lvlText w:val="•"/>
      <w:numFmt w:val="bullet"/>
      <w:start w:val="1"/>
    </w:lvl>
  </w:abstractNum>
  <w:abstractNum w:abstractNumId="14">
    <w:nsid w:val="66A48D11"/>
    <w:multiLevelType w:val="hybridMultilevel"/>
    <w:lvl w:ilvl="0">
      <w:lvlJc w:val="left"/>
      <w:lvlText w:val="•"/>
      <w:numFmt w:val="bullet"/>
      <w:start w:val="1"/>
    </w:lvl>
  </w:abstractNum>
  <w:abstractNum w:abstractNumId="15">
    <w:nsid w:val="56C28E34"/>
    <w:multiLevelType w:val="hybridMultilevel"/>
    <w:lvl w:ilvl="0">
      <w:lvlJc w:val="left"/>
      <w:lvlText w:val="•"/>
      <w:numFmt w:val="bullet"/>
      <w:start w:val="1"/>
    </w:lvl>
  </w:abstractNum>
  <w:abstractNum w:abstractNumId="16">
    <w:nsid w:val="13916F2D"/>
    <w:multiLevelType w:val="hybridMultilevel"/>
    <w:lvl w:ilvl="0">
      <w:lvlJc w:val="left"/>
      <w:lvlText w:val="•"/>
      <w:numFmt w:val="bullet"/>
      <w:start w:val="1"/>
    </w:lvl>
  </w:abstractNum>
  <w:abstractNum w:abstractNumId="17">
    <w:nsid w:val="435D38D"/>
    <w:multiLevelType w:val="hybridMultilevel"/>
    <w:lvl w:ilvl="0">
      <w:lvlJc w:val="left"/>
      <w:lvlText w:val="•"/>
      <w:numFmt w:val="bullet"/>
      <w:start w:val="1"/>
    </w:lvl>
  </w:abstractNum>
  <w:abstractNum w:abstractNumId="18">
    <w:nsid w:val="822C0EF"/>
    <w:multiLevelType w:val="hybridMultilevel"/>
    <w:lvl w:ilvl="0">
      <w:lvlJc w:val="left"/>
      <w:lvlText w:val="•"/>
      <w:numFmt w:val="bullet"/>
      <w:start w:val="1"/>
    </w:lvl>
  </w:abstractNum>
  <w:abstractNum w:abstractNumId="19">
    <w:nsid w:val="57C5BB4F"/>
    <w:multiLevelType w:val="hybridMultilevel"/>
    <w:lvl w:ilvl="0">
      <w:lvlJc w:val="left"/>
      <w:lvlText w:val="•"/>
      <w:numFmt w:val="bullet"/>
      <w:start w:val="1"/>
    </w:lvl>
  </w:abstractNum>
  <w:abstractNum w:abstractNumId="20">
    <w:nsid w:val="1803D089"/>
    <w:multiLevelType w:val="hybridMultilevel"/>
    <w:lvl w:ilvl="0">
      <w:lvlJc w:val="left"/>
      <w:lvlText w:val="•"/>
      <w:numFmt w:val="bullet"/>
      <w:start w:val="1"/>
    </w:lvl>
  </w:abstractNum>
  <w:abstractNum w:abstractNumId="21">
    <w:nsid w:val="4F3A06D4"/>
    <w:multiLevelType w:val="hybridMultilevel"/>
    <w:lvl w:ilvl="0">
      <w:lvlJc w:val="left"/>
      <w:lvlText w:val="•"/>
      <w:numFmt w:val="bullet"/>
      <w:start w:val="1"/>
    </w:lvl>
  </w:abstractNum>
  <w:abstractNum w:abstractNumId="22">
    <w:nsid w:val="59A377B6"/>
    <w:multiLevelType w:val="hybridMultilevel"/>
    <w:lvl w:ilvl="0">
      <w:lvlJc w:val="left"/>
      <w:lvlText w:val="•"/>
      <w:numFmt w:val="bullet"/>
      <w:start w:val="1"/>
    </w:lvl>
  </w:abstractNum>
  <w:abstractNum w:abstractNumId="23">
    <w:nsid w:val="48AEB063"/>
    <w:multiLevelType w:val="hybridMultilevel"/>
    <w:lvl w:ilvl="0">
      <w:lvlJc w:val="left"/>
      <w:lvlText w:val="•"/>
      <w:numFmt w:val="bullet"/>
      <w:start w:val="1"/>
    </w:lvl>
  </w:abstractNum>
  <w:abstractNum w:abstractNumId="24">
    <w:nsid w:val="24E135"/>
    <w:multiLevelType w:val="hybridMultilevel"/>
    <w:lvl w:ilvl="0">
      <w:lvlJc w:val="left"/>
      <w:lvlText w:val="•"/>
      <w:numFmt w:val="bullet"/>
      <w:start w:val="1"/>
    </w:lvl>
  </w:abstractNum>
  <w:abstractNum w:abstractNumId="25">
    <w:nsid w:val="BB13C1"/>
    <w:multiLevelType w:val="hybridMultilevel"/>
    <w:lvl w:ilvl="0">
      <w:lvlJc w:val="left"/>
      <w:lvlText w:val="(*)"/>
      <w:numFmt w:val="bullet"/>
      <w:start w:val="1"/>
    </w:lvl>
  </w:abstractNum>
  <w:abstractNum w:abstractNumId="26">
    <w:nsid w:val="271210C7"/>
    <w:multiLevelType w:val="hybridMultilevel"/>
    <w:lvl w:ilvl="0">
      <w:lvlJc w:val="left"/>
      <w:lvlText w:val="•"/>
      <w:numFmt w:val="bullet"/>
      <w:start w:val="1"/>
    </w:lvl>
  </w:abstractNum>
  <w:abstractNum w:abstractNumId="27">
    <w:nsid w:val="217B22E4"/>
    <w:multiLevelType w:val="hybridMultilevel"/>
    <w:lvl w:ilvl="0">
      <w:lvlJc w:val="left"/>
      <w:lvlText w:val="•"/>
      <w:numFmt w:val="bullet"/>
      <w:start w:val="1"/>
    </w:lvl>
    <w:lvl w:ilvl="1">
      <w:lvlJc w:val="left"/>
      <w:lvlText w:val="•"/>
      <w:numFmt w:val="bullet"/>
      <w:start w:val="1"/>
    </w:lvl>
  </w:abstractNum>
  <w:abstractNum w:abstractNumId="28">
    <w:nsid w:val="53E31A24"/>
    <w:multiLevelType w:val="hybridMultilevel"/>
    <w:lvl w:ilvl="0">
      <w:lvlJc w:val="left"/>
      <w:lvlText w:val="•"/>
      <w:numFmt w:val="bullet"/>
      <w:start w:val="1"/>
    </w:lvl>
    <w:lvl w:ilvl="1">
      <w:lvlJc w:val="left"/>
      <w:lvlText w:val="•"/>
      <w:numFmt w:val="bullet"/>
      <w:start w:val="1"/>
    </w:lvl>
  </w:abstractNum>
  <w:abstractNum w:abstractNumId="29">
    <w:nsid w:val="6DC45E83"/>
    <w:multiLevelType w:val="hybridMultilevel"/>
    <w:lvl w:ilvl="0">
      <w:lvlJc w:val="left"/>
      <w:lvlText w:val="(%1)"/>
      <w:numFmt w:val="decimal"/>
      <w:start w:val="1"/>
    </w:lvl>
  </w:abstractNum>
  <w:abstractNum w:abstractNumId="30">
    <w:nsid w:val="17304A67"/>
    <w:multiLevelType w:val="hybridMultilevel"/>
    <w:lvl w:ilvl="0">
      <w:lvlJc w:val="left"/>
      <w:lvlText w:val="•"/>
      <w:numFmt w:val="bullet"/>
      <w:start w:val="1"/>
    </w:lvl>
  </w:abstractNum>
  <w:abstractNum w:abstractNumId="31">
    <w:nsid w:val="2BB180D8"/>
    <w:multiLevelType w:val="hybridMultilevel"/>
    <w:lvl w:ilvl="0">
      <w:lvlJc w:val="left"/>
      <w:lvlText w:val="•"/>
      <w:numFmt w:val="bullet"/>
      <w:start w:val="1"/>
    </w:lvl>
  </w:abstractNum>
  <w:abstractNum w:abstractNumId="32">
    <w:nsid w:val="556B69ED"/>
    <w:multiLevelType w:val="hybridMultilevel"/>
    <w:lvl w:ilvl="0">
      <w:lvlJc w:val="left"/>
      <w:lvlText w:val="(%1)"/>
      <w:numFmt w:val="decimal"/>
      <w:start w:val="1"/>
    </w:lvl>
  </w:abstractNum>
  <w:abstractNum w:abstractNumId="33">
    <w:nsid w:val="70836196"/>
    <w:multiLevelType w:val="hybridMultilevel"/>
    <w:lvl w:ilvl="0">
      <w:lvlJc w:val="left"/>
      <w:lvlText w:val="(%1)"/>
      <w:numFmt w:val="decimal"/>
      <w:start w:val="1"/>
    </w:lvl>
    <w:lvl w:ilvl="1">
      <w:lvlJc w:val="left"/>
      <w:lvlText w:val="%2"/>
      <w:numFmt w:val="upperLetter"/>
      <w:start w:val="1"/>
    </w:lvl>
  </w:abstractNum>
  <w:abstractNum w:abstractNumId="34">
    <w:nsid w:val="539F7F12"/>
    <w:multiLevelType w:val="hybridMultilevel"/>
    <w:lvl w:ilvl="0">
      <w:lvlJc w:val="left"/>
      <w:lvlText w:val="•"/>
      <w:numFmt w:val="bullet"/>
      <w:start w:val="1"/>
    </w:lvl>
  </w:abstractNum>
  <w:abstractNum w:abstractNumId="35">
    <w:nsid w:val="2817E7EC"/>
    <w:multiLevelType w:val="hybridMultilevel"/>
    <w:lvl w:ilvl="0">
      <w:lvlJc w:val="left"/>
      <w:lvlText w:val="•"/>
      <w:numFmt w:val="bullet"/>
      <w:start w:val="1"/>
    </w:lvl>
  </w:abstractNum>
  <w:abstractNum w:abstractNumId="36">
    <w:nsid w:val="71482545"/>
    <w:multiLevelType w:val="hybridMultilevel"/>
    <w:lvl w:ilvl="0">
      <w:lvlJc w:val="left"/>
      <w:lvlText w:val="•"/>
      <w:numFmt w:val="bullet"/>
      <w:start w:val="1"/>
    </w:lvl>
  </w:abstractNum>
  <w:abstractNum w:abstractNumId="37">
    <w:nsid w:val="17D78639"/>
    <w:multiLevelType w:val="hybridMultilevel"/>
    <w:lvl w:ilvl="0">
      <w:lvlJc w:val="left"/>
      <w:lvlText w:val="•"/>
      <w:numFmt w:val="bullet"/>
      <w:start w:val="1"/>
    </w:lvl>
  </w:abstractNum>
  <w:abstractNum w:abstractNumId="38">
    <w:nsid w:val="141D2302"/>
    <w:multiLevelType w:val="hybridMultilevel"/>
    <w:lvl w:ilvl="0">
      <w:lvlJc w:val="left"/>
      <w:lvlText w:val="(%1)"/>
      <w:numFmt w:val="lowerRoman"/>
      <w:start w:val="2"/>
    </w:lvl>
  </w:abstractNum>
  <w:abstractNum w:abstractNumId="39">
    <w:nsid w:val="407168D8"/>
    <w:multiLevelType w:val="hybridMultilevel"/>
    <w:lvl w:ilvl="0">
      <w:lvlJc w:val="left"/>
      <w:lvlText w:val="(*)"/>
      <w:numFmt w:val="bullet"/>
      <w:start w:val="1"/>
    </w:lvl>
  </w:abstractNum>
  <w:abstractNum w:abstractNumId="40">
    <w:nsid w:val="6A1B45E5"/>
    <w:multiLevelType w:val="hybridMultilevel"/>
    <w:lvl w:ilvl="0">
      <w:lvlJc w:val="left"/>
      <w:lvlText w:val="(%1)"/>
      <w:numFmt w:val="decimal"/>
      <w:start w:val="1"/>
    </w:lvl>
  </w:abstractNum>
  <w:abstractNum w:abstractNumId="41">
    <w:nsid w:val="567BD50A"/>
    <w:multiLevelType w:val="hybridMultilevel"/>
    <w:lvl w:ilvl="0">
      <w:lvlJc w:val="left"/>
      <w:lvlText w:val="8"/>
      <w:numFmt w:val="bullet"/>
      <w:start w:val="1"/>
    </w:lvl>
  </w:abstractNum>
  <w:abstractNum w:abstractNumId="42">
    <w:nsid w:val="73BBD7F8"/>
    <w:multiLevelType w:val="hybridMultilevel"/>
    <w:lvl w:ilvl="0">
      <w:lvlJc w:val="left"/>
      <w:lvlText w:val="†"/>
      <w:numFmt w:val="bullet"/>
      <w:start w:val="1"/>
    </w:lvl>
  </w:abstractNum>
  <w:abstractNum w:abstractNumId="43">
    <w:nsid w:val="1876589D"/>
    <w:multiLevelType w:val="hybridMultilevel"/>
    <w:lvl w:ilvl="0">
      <w:lvlJc w:val="left"/>
      <w:lvlText w:val="•"/>
      <w:numFmt w:val="bullet"/>
      <w:start w:val="1"/>
    </w:lvl>
  </w:abstractNum>
  <w:abstractNum w:abstractNumId="44">
    <w:nsid w:val="327FAC77"/>
    <w:multiLevelType w:val="hybridMultilevel"/>
    <w:lvl w:ilvl="0">
      <w:lvlJc w:val="left"/>
      <w:lvlText w:val="(%1)"/>
      <w:numFmt w:val="decimal"/>
      <w:start w:val="1"/>
    </w:lvl>
  </w:abstractNum>
  <w:abstractNum w:abstractNumId="45">
    <w:nsid w:val="5A606509"/>
    <w:multiLevelType w:val="hybridMultilevel"/>
    <w:lvl w:ilvl="0">
      <w:lvlJc w:val="left"/>
      <w:lvlText w:val="(%1)"/>
      <w:numFmt w:val="lowerRoman"/>
      <w:start w:val="1"/>
    </w:lvl>
  </w:abstractNum>
  <w:abstractNum w:abstractNumId="46">
    <w:nsid w:val="6F38E6D1"/>
    <w:multiLevelType w:val="hybridMultilevel"/>
    <w:lvl w:ilvl="0">
      <w:lvlJc w:val="left"/>
      <w:lvlText w:val="(%1)"/>
      <w:numFmt w:val="decimal"/>
      <w:start w:val="1"/>
    </w:lvl>
  </w:abstractNum>
  <w:abstractNum w:abstractNumId="47">
    <w:nsid w:val="46111BA5"/>
    <w:multiLevelType w:val="hybridMultilevel"/>
    <w:lvl w:ilvl="0">
      <w:lvlJc w:val="left"/>
      <w:lvlText w:val="(%1)"/>
      <w:numFmt w:val="decimal"/>
      <w:start w:val="2"/>
    </w:lvl>
  </w:abstractNum>
  <w:abstractNum w:abstractNumId="48">
    <w:nsid w:val="5E963896"/>
    <w:multiLevelType w:val="hybridMultilevel"/>
    <w:lvl w:ilvl="0">
      <w:lvlJc w:val="left"/>
      <w:lvlText w:val="(*)"/>
      <w:numFmt w:val="bullet"/>
      <w:start w:val="1"/>
    </w:lvl>
  </w:abstractNum>
  <w:abstractNum w:abstractNumId="49">
    <w:nsid w:val="775BA7C1"/>
    <w:multiLevelType w:val="hybridMultilevel"/>
    <w:lvl w:ilvl="0">
      <w:lvlJc w:val="left"/>
      <w:lvlText w:val="(%1)"/>
      <w:numFmt w:val="decimal"/>
      <w:start w:val="1"/>
    </w:lvl>
  </w:abstractNum>
  <w:abstractNum w:abstractNumId="50">
    <w:nsid w:val="1DD6D6F4"/>
    <w:multiLevelType w:val="hybridMultilevel"/>
    <w:lvl w:ilvl="0">
      <w:lvlJc w:val="left"/>
      <w:lvlText w:val="(%1)"/>
      <w:numFmt w:val="decimal"/>
      <w:start w:val="1"/>
    </w:lvl>
  </w:abstractNum>
  <w:abstractNum w:abstractNumId="51">
    <w:nsid w:val="769A091F"/>
    <w:multiLevelType w:val="hybridMultilevel"/>
    <w:lvl w:ilvl="0">
      <w:lvlJc w:val="left"/>
      <w:lvlText w:val="(%1)"/>
      <w:numFmt w:val="decimal"/>
      <w:start w:val="1"/>
    </w:lvl>
  </w:abstractNum>
  <w:abstractNum w:abstractNumId="52">
    <w:nsid w:val="4695AE95"/>
    <w:multiLevelType w:val="hybridMultilevel"/>
    <w:lvl w:ilvl="0">
      <w:lvlJc w:val="left"/>
      <w:lvlText w:val="(%1)"/>
      <w:numFmt w:val="decimal"/>
      <w:start w:val="1"/>
    </w:lvl>
  </w:abstractNum>
  <w:abstractNum w:abstractNumId="53">
    <w:nsid w:val="777A4EAA"/>
    <w:multiLevelType w:val="hybridMultilevel"/>
    <w:lvl w:ilvl="0">
      <w:lvlJc w:val="left"/>
      <w:lvlText w:val="(%1)"/>
      <w:numFmt w:val="decimal"/>
      <w:start w:val="1"/>
    </w:lvl>
  </w:abstractNum>
  <w:abstractNum w:abstractNumId="54">
    <w:nsid w:val="3F48B982"/>
    <w:multiLevelType w:val="hybridMultilevel"/>
    <w:lvl w:ilvl="0">
      <w:lvlJc w:val="left"/>
      <w:lvlText w:val="(%1)"/>
      <w:numFmt w:val="decimal"/>
      <w:start w:val="1"/>
    </w:lvl>
  </w:abstractNum>
  <w:abstractNum w:abstractNumId="55">
    <w:nsid w:val="46BA8FCA"/>
    <w:multiLevelType w:val="hybridMultilevel"/>
    <w:lvl w:ilvl="0">
      <w:lvlJc w:val="left"/>
      <w:lvlText w:val="(%1)"/>
      <w:numFmt w:val="decimal"/>
      <w:start w:val="1"/>
    </w:lvl>
  </w:abstractNum>
  <w:abstractNum w:abstractNumId="56">
    <w:nsid w:val="7835626C"/>
    <w:multiLevelType w:val="hybridMultilevel"/>
    <w:lvl w:ilvl="0">
      <w:lvlJc w:val="left"/>
      <w:lvlText w:val="(%1)"/>
      <w:numFmt w:val="decimal"/>
      <w:start w:val="1"/>
    </w:lvl>
  </w:abstractNum>
  <w:abstractNum w:abstractNumId="57">
    <w:nsid w:val="665ACA49"/>
    <w:multiLevelType w:val="hybridMultilevel"/>
    <w:lvl w:ilvl="0">
      <w:lvlJc w:val="left"/>
      <w:lvlText w:val="(%1)"/>
      <w:numFmt w:val="decimal"/>
      <w:start w:val="1"/>
    </w:lvl>
  </w:abstractNum>
  <w:abstractNum w:abstractNumId="58">
    <w:nsid w:val="6835B2AE"/>
    <w:multiLevelType w:val="hybridMultilevel"/>
    <w:lvl w:ilvl="0">
      <w:lvlJc w:val="left"/>
      <w:lvlText w:val="(%1)"/>
      <w:numFmt w:val="decimal"/>
      <w:start w:val="1"/>
    </w:lvl>
  </w:abstractNum>
  <w:abstractNum w:abstractNumId="59">
    <w:nsid w:val="4C187C90"/>
    <w:multiLevelType w:val="hybridMultilevel"/>
    <w:lvl w:ilvl="0">
      <w:lvlJc w:val="left"/>
      <w:lvlText w:val="%1."/>
      <w:numFmt w:val="decimal"/>
      <w:start w:val="1"/>
    </w:lvl>
  </w:abstractNum>
  <w:abstractNum w:abstractNumId="60">
    <w:nsid w:val="541F28CD"/>
    <w:multiLevelType w:val="hybridMultilevel"/>
    <w:lvl w:ilvl="0">
      <w:lvlJc w:val="left"/>
      <w:lvlText w:val="%1"/>
      <w:numFmt w:val="decimal"/>
      <w:start w:val="1"/>
    </w:lvl>
    <w:lvl w:ilvl="1">
      <w:lvlJc w:val="left"/>
      <w:lvlText w:val="(%2)"/>
      <w:numFmt w:val="lowerRoman"/>
      <w:start w:val="1"/>
    </w:lvl>
  </w:abstractNum>
  <w:abstractNum w:abstractNumId="61">
    <w:nsid w:val="7F65FD16"/>
    <w:multiLevelType w:val="hybridMultilevel"/>
    <w:lvl w:ilvl="0">
      <w:lvlJc w:val="left"/>
      <w:lvlText w:val="%1."/>
      <w:numFmt w:val="decimal"/>
      <w:start w:val="4"/>
    </w:lvl>
    <w:lvl w:ilvl="1">
      <w:lvlJc w:val="left"/>
      <w:lvlText w:val="%2"/>
      <w:numFmt w:val="lowerRoman"/>
      <w:start w:val="1"/>
    </w:lvl>
  </w:abstractNum>
  <w:abstractNum w:abstractNumId="62">
    <w:nsid w:val="77C9FD68"/>
    <w:multiLevelType w:val="hybridMultilevel"/>
    <w:lvl w:ilvl="0">
      <w:lvlJc w:val="left"/>
      <w:lvlText w:val="%1."/>
      <w:numFmt w:val="decimal"/>
      <w:start w:val="5"/>
    </w:lvl>
    <w:lvl w:ilvl="1">
      <w:lvlJc w:val="left"/>
      <w:lvlText w:val="%2"/>
      <w:numFmt w:val="upperLetter"/>
      <w:start w:val="1"/>
    </w:lvl>
  </w:abstractNum>
  <w:abstractNum w:abstractNumId="63">
    <w:nsid w:val="298A92BA"/>
    <w:multiLevelType w:val="hybridMultilevel"/>
    <w:lvl w:ilvl="0">
      <w:lvlJc w:val="left"/>
      <w:lvlText w:val="%1."/>
      <w:numFmt w:val="decimal"/>
      <w:start w:val="10"/>
    </w:lvl>
  </w:abstractNum>
  <w:abstractNum w:abstractNumId="64">
    <w:nsid w:val="6FE95EAC"/>
    <w:multiLevelType w:val="hybridMultilevel"/>
    <w:lvl w:ilvl="0">
      <w:lvlJc w:val="left"/>
      <w:lvlText w:val="%1."/>
      <w:numFmt w:val="decimal"/>
      <w:start w:val="1"/>
    </w:lvl>
  </w:abstractNum>
  <w:abstractNum w:abstractNumId="65">
    <w:nsid w:val="4B697C7A"/>
    <w:multiLevelType w:val="hybridMultilevel"/>
    <w:lvl w:ilvl="0">
      <w:lvlJc w:val="left"/>
      <w:lvlText w:val="%1."/>
      <w:numFmt w:val="decimal"/>
      <w:start w:val="5"/>
    </w:lvl>
  </w:abstractNum>
  <w:abstractNum w:abstractNumId="66">
    <w:nsid w:val="51A27AA6"/>
    <w:multiLevelType w:val="hybridMultilevel"/>
    <w:lvl w:ilvl="0">
      <w:lvlJc w:val="left"/>
      <w:lvlText w:val="%1."/>
      <w:numFmt w:val="decimal"/>
      <w:start w:val="7"/>
    </w:lvl>
  </w:abstractNum>
  <w:abstractNum w:abstractNumId="67">
    <w:nsid w:val="613183F2"/>
    <w:multiLevelType w:val="hybridMultilevel"/>
    <w:lvl w:ilvl="0">
      <w:lvlJc w:val="left"/>
      <w:lvlText w:val="%1."/>
      <w:numFmt w:val="decimal"/>
      <w:start w:val="8"/>
    </w:lvl>
  </w:abstractNum>
  <w:abstractNum w:abstractNumId="68">
    <w:nsid w:val="634102B4"/>
    <w:multiLevelType w:val="hybridMultilevel"/>
    <w:lvl w:ilvl="0">
      <w:lvlJc w:val="left"/>
      <w:lvlText w:val="%1."/>
      <w:numFmt w:val="decimal"/>
      <w:start w:val="10"/>
    </w:lvl>
  </w:abstractNum>
  <w:abstractNum w:abstractNumId="69">
    <w:nsid w:val="65BF9DA8"/>
    <w:multiLevelType w:val="hybridMultilevel"/>
    <w:lvl w:ilvl="0">
      <w:lvlJc w:val="left"/>
      <w:lvlText w:val="%1."/>
      <w:numFmt w:val="decimal"/>
      <w:start w:val="14"/>
    </w:lvl>
  </w:abstractNum>
  <w:abstractNum w:abstractNumId="70">
    <w:nsid w:val="21A2ECCA"/>
    <w:multiLevelType w:val="hybridMultilevel"/>
    <w:lvl w:ilvl="0">
      <w:lvlJc w:val="left"/>
      <w:lvlText w:val="%1."/>
      <w:numFmt w:val="decimal"/>
      <w:start w:val="15"/>
    </w:lvl>
  </w:abstractNum>
  <w:abstractNum w:abstractNumId="71">
    <w:nsid w:val="4D5C4899"/>
    <w:multiLevelType w:val="hybridMultilevel"/>
    <w:lvl w:ilvl="0">
      <w:lvlJc w:val="left"/>
      <w:lvlText w:val="%1."/>
      <w:numFmt w:val="decimal"/>
      <w:start w:val="17"/>
    </w:lvl>
  </w:abstractNum>
  <w:abstractNum w:abstractNumId="72">
    <w:nsid w:val="3C3B72B2"/>
    <w:multiLevelType w:val="hybridMultilevel"/>
    <w:lvl w:ilvl="0">
      <w:lvlJc w:val="left"/>
      <w:lvlText w:val="%1."/>
      <w:numFmt w:val="decimal"/>
      <w:start w:val="1"/>
    </w:lvl>
    <w:lvl w:ilvl="1">
      <w:lvlJc w:val="left"/>
      <w:lvlText w:val="%2"/>
      <w:numFmt w:val="upperLetter"/>
      <w:start w:val="1"/>
    </w:lvl>
  </w:abstractNum>
  <w:abstractNum w:abstractNumId="73">
    <w:nsid w:val="155EC4C2"/>
    <w:multiLevelType w:val="hybridMultilevel"/>
    <w:lvl w:ilvl="0">
      <w:lvlJc w:val="left"/>
      <w:lvlText w:val="%1."/>
      <w:numFmt w:val="decimal"/>
      <w:start w:val="1"/>
    </w:lvl>
  </w:abstractNum>
  <w:abstractNum w:abstractNumId="74">
    <w:nsid w:val="65D2A137"/>
    <w:multiLevelType w:val="hybridMultilevel"/>
    <w:lvl w:ilvl="0">
      <w:lvlJc w:val="left"/>
      <w:lvlText w:val="%1."/>
      <w:numFmt w:val="decimal"/>
      <w:start w:val="5"/>
    </w:lvl>
  </w:abstractNum>
  <w:abstractNum w:abstractNumId="75">
    <w:nsid w:val="6EBB1F2A"/>
    <w:multiLevelType w:val="hybridMultilevel"/>
    <w:lvl w:ilvl="0">
      <w:lvlJc w:val="left"/>
      <w:lvlText w:val="%1."/>
      <w:numFmt w:val="decimal"/>
      <w:start w:val="7"/>
    </w:lvl>
  </w:abstractNum>
  <w:abstractNum w:abstractNumId="76">
    <w:nsid w:val="6FBF29CB"/>
    <w:multiLevelType w:val="hybridMultilevel"/>
    <w:lvl w:ilvl="0">
      <w:lvlJc w:val="left"/>
      <w:lvlText w:val="%1."/>
      <w:numFmt w:val="decimal"/>
      <w:start w:val="8"/>
    </w:lvl>
  </w:abstractNum>
  <w:abstractNum w:abstractNumId="77">
    <w:nsid w:val="550B8808"/>
    <w:multiLevelType w:val="hybridMultilevel"/>
    <w:lvl w:ilvl="0">
      <w:lvlJc w:val="left"/>
      <w:lvlText w:val="%1."/>
      <w:numFmt w:val="decimal"/>
      <w:start w:val="12"/>
    </w:lvl>
  </w:abstractNum>
  <w:abstractNum w:abstractNumId="78">
    <w:nsid w:val="34CC3ACF"/>
    <w:multiLevelType w:val="hybridMultilevel"/>
    <w:lvl w:ilvl="0">
      <w:lvlJc w:val="left"/>
      <w:lvlText w:val="%1."/>
      <w:numFmt w:val="decimal"/>
      <w:start w:val="14"/>
    </w:lvl>
  </w:abstractNum>
  <w:abstractNum w:abstractNumId="79">
    <w:nsid w:val="4E556261"/>
    <w:multiLevelType w:val="hybridMultilevel"/>
    <w:lvl w:ilvl="0">
      <w:lvlJc w:val="left"/>
      <w:lvlText w:val="%1."/>
      <w:numFmt w:val="decimal"/>
      <w:start w:val="15"/>
    </w:lvl>
  </w:abstractNum>
  <w:abstractNum w:abstractNumId="80">
    <w:nsid w:val="4C672FC9"/>
    <w:multiLevelType w:val="hybridMultilevel"/>
    <w:lvl w:ilvl="0">
      <w:lvlJc w:val="left"/>
      <w:lvlText w:val="%1."/>
      <w:numFmt w:val="decimal"/>
      <w:start w:val="1"/>
    </w:lvl>
  </w:abstractNum>
  <w:abstractNum w:abstractNumId="81">
    <w:nsid w:val="52A311C3"/>
    <w:multiLevelType w:val="hybridMultilevel"/>
    <w:lvl w:ilvl="0">
      <w:lvlJc w:val="left"/>
      <w:lvlText w:val="%1."/>
      <w:numFmt w:val="decimal"/>
      <w:start w:val="2"/>
    </w:lvl>
    <w:lvl w:ilvl="1">
      <w:lvlJc w:val="left"/>
      <w:lvlText w:val="%2."/>
      <w:numFmt w:val="lowerLetter"/>
      <w:start w:val="1"/>
    </w:lvl>
  </w:abstractNum>
  <w:abstractNum w:abstractNumId="82">
    <w:nsid w:val="44EF6B80"/>
    <w:multiLevelType w:val="hybridMultilevel"/>
    <w:lvl w:ilvl="0">
      <w:lvlJc w:val="left"/>
      <w:lvlText w:val="•"/>
      <w:numFmt w:val="bullet"/>
      <w:start w:val="1"/>
    </w:lvl>
  </w:abstractNum>
  <w:abstractNum w:abstractNumId="83">
    <w:nsid w:val="12FCDE5E"/>
    <w:multiLevelType w:val="hybridMultilevel"/>
    <w:lvl w:ilvl="0">
      <w:lvlJc w:val="left"/>
      <w:lvlText w:val="•"/>
      <w:numFmt w:val="bullet"/>
      <w:start w:val="1"/>
    </w:lvl>
  </w:abstractNum>
  <w:abstractNum w:abstractNumId="84">
    <w:nsid w:val="4A1D606E"/>
    <w:multiLevelType w:val="hybridMultilevel"/>
    <w:lvl w:ilvl="0">
      <w:lvlJc w:val="left"/>
      <w:lvlText w:val="•"/>
      <w:numFmt w:val="bullet"/>
      <w:start w:val="1"/>
    </w:lvl>
  </w:abstractNum>
  <w:abstractNum w:abstractNumId="85">
    <w:nsid w:val="4382503"/>
    <w:multiLevelType w:val="hybridMultilevel"/>
    <w:lvl w:ilvl="0">
      <w:lvlJc w:val="left"/>
      <w:lvlText w:val="%1."/>
      <w:numFmt w:val="decimal"/>
      <w:start w:val="1"/>
    </w:lvl>
  </w:abstractNum>
  <w:abstractNum w:abstractNumId="86">
    <w:nsid w:val="59B76E28"/>
    <w:multiLevelType w:val="hybridMultilevel"/>
    <w:lvl w:ilvl="0">
      <w:lvlJc w:val="left"/>
      <w:lvlText w:val="%1."/>
      <w:numFmt w:val="decimal"/>
      <w:start w:val="2"/>
    </w:lvl>
  </w:abstractNum>
  <w:abstractNum w:abstractNumId="87">
    <w:nsid w:val="4252C2DA"/>
    <w:multiLevelType w:val="hybridMultilevel"/>
    <w:lvl w:ilvl="0">
      <w:lvlJc w:val="left"/>
      <w:lvlText w:val="(%1)"/>
      <w:numFmt w:val="lowerRoman"/>
      <w:start w:val="4"/>
    </w:lvl>
  </w:abstractNum>
  <w:abstractNum w:abstractNumId="88">
    <w:nsid w:val="6A92EF4C"/>
    <w:multiLevelType w:val="hybridMultilevel"/>
    <w:lvl w:ilvl="0">
      <w:lvlJc w:val="left"/>
      <w:lvlText w:val="%1."/>
      <w:numFmt w:val="decimal"/>
      <w:start w:val="3"/>
    </w:lvl>
    <w:lvl w:ilvl="1">
      <w:lvlJc w:val="left"/>
      <w:lvlText w:val="%2."/>
      <w:numFmt w:val="lowerLetter"/>
      <w:start w:val="1"/>
    </w:lvl>
  </w:abstractNum>
  <w:abstractNum w:abstractNumId="89">
    <w:nsid w:val="41ED20D7"/>
    <w:multiLevelType w:val="hybridMultilevel"/>
    <w:lvl w:ilvl="0">
      <w:lvlJc w:val="left"/>
      <w:lvlText w:val="%1"/>
      <w:numFmt w:val="decimal"/>
      <w:start w:val="1"/>
    </w:lvl>
    <w:lvl w:ilvl="1">
      <w:lvlJc w:val="left"/>
      <w:lvlText w:val="%2."/>
      <w:numFmt w:val="lowerLetter"/>
      <w:start w:val="5"/>
    </w:lvl>
  </w:abstractNum>
  <w:abstractNum w:abstractNumId="90">
    <w:nsid w:val="E6B3F6A"/>
    <w:multiLevelType w:val="hybridMultilevel"/>
    <w:lvl w:ilvl="0">
      <w:lvlJc w:val="left"/>
      <w:lvlText w:val="%1."/>
      <w:numFmt w:val="decimal"/>
      <w:start w:val="4"/>
    </w:lvl>
    <w:lvl w:ilvl="1">
      <w:lvlJc w:val="left"/>
      <w:lvlText w:val="%2"/>
      <w:numFmt w:val="lowerLetter"/>
      <w:start w:val="1"/>
    </w:lvl>
  </w:abstractNum>
  <w:abstractNum w:abstractNumId="91">
    <w:nsid w:val="3EB21819"/>
    <w:multiLevelType w:val="hybridMultilevel"/>
    <w:lvl w:ilvl="0">
      <w:lvlJc w:val="left"/>
      <w:lvlText w:val="%1."/>
      <w:numFmt w:val="decimal"/>
      <w:start w:val="5"/>
    </w:lvl>
    <w:lvl w:ilvl="1">
      <w:lvlJc w:val="left"/>
      <w:lvlText w:val="%2"/>
      <w:numFmt w:val="upperLetter"/>
      <w:start w:val="1"/>
    </w:lvl>
  </w:abstractNum>
  <w:abstractNum w:abstractNumId="92">
    <w:nsid w:val="41531DED"/>
    <w:multiLevelType w:val="hybridMultilevel"/>
    <w:lvl w:ilvl="0">
      <w:lvlJc w:val="left"/>
      <w:lvlText w:val="%1."/>
      <w:numFmt w:val="lowerLetter"/>
      <w:start w:val="1"/>
    </w:lvl>
  </w:abstractNum>
  <w:abstractNum w:abstractNumId="93">
    <w:nsid w:val="6353CD2"/>
    <w:multiLevelType w:val="hybridMultilevel"/>
    <w:lvl w:ilvl="0">
      <w:lvlJc w:val="left"/>
      <w:lvlText w:val="%1."/>
      <w:numFmt w:val="lowerLetter"/>
      <w:start w:val="2"/>
    </w:lvl>
    <w:lvl w:ilvl="1">
      <w:lvlJc w:val="left"/>
      <w:lvlText w:val="%2."/>
      <w:numFmt w:val="decimal"/>
      <w:start w:val="1"/>
    </w:lvl>
  </w:abstractNum>
  <w:abstractNum w:abstractNumId="94">
    <w:nsid w:val="683CAAD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5">
    <w:nsid w:val="313C7C99"/>
    <w:multiLevelType w:val="hybridMultilevel"/>
    <w:lvl w:ilvl="0">
      <w:lvlJc w:val="left"/>
      <w:lvlText w:val="%1."/>
      <w:numFmt w:val="lowerRoman"/>
      <w:start w:val="2"/>
    </w:lvl>
  </w:abstractNum>
  <w:abstractNum w:abstractNumId="96">
    <w:nsid w:val="519EB94C"/>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97">
    <w:nsid w:val="39DF2579"/>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98">
    <w:nsid w:val="126E008B"/>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99">
    <w:nsid w:val="34DFBC00"/>
    <w:multiLevelType w:val="hybridMultilevel"/>
    <w:lvl w:ilvl="0">
      <w:lvlJc w:val="left"/>
      <w:lvlText w:val="%1."/>
      <w:numFmt w:val="upperLetter"/>
      <w:start w:val="3"/>
    </w:lvl>
  </w:abstractNum>
  <w:abstractNum w:abstractNumId="100">
    <w:nsid w:val="1F9EC322"/>
    <w:multiLevelType w:val="hybridMultilevel"/>
    <w:lvl w:ilvl="0">
      <w:lvlJc w:val="left"/>
      <w:lvlText w:val="%1."/>
      <w:numFmt w:val="decimal"/>
      <w:start w:val="8"/>
    </w:lvl>
    <w:lvl w:ilvl="1">
      <w:lvlJc w:val="left"/>
      <w:lvlText w:val="%2."/>
      <w:numFmt w:val="upperLetter"/>
      <w:start w:val="5"/>
    </w:lvl>
    <w:lvl w:ilvl="2">
      <w:lvlJc w:val="left"/>
      <w:lvlText w:val="%3."/>
      <w:numFmt w:val="decimal"/>
      <w:start w:val="1"/>
    </w:lvl>
  </w:abstractNum>
  <w:abstractNum w:abstractNumId="101">
    <w:nsid w:val="3410ED56"/>
    <w:multiLevelType w:val="hybridMultilevel"/>
    <w:lvl w:ilvl="0">
      <w:lvlJc w:val="left"/>
      <w:lvlText w:val="%1"/>
      <w:numFmt w:val="decimal"/>
      <w:start w:val="1"/>
    </w:lvl>
    <w:lvl w:ilvl="1">
      <w:lvlJc w:val="left"/>
      <w:lvlText w:val="%2."/>
      <w:numFmt w:val="decimal"/>
      <w:start w:val="4"/>
    </w:lvl>
  </w:abstractNum>
  <w:abstractNum w:abstractNumId="102">
    <w:nsid w:val="23C049A"/>
    <w:multiLevelType w:val="hybridMultilevel"/>
    <w:lvl w:ilvl="0">
      <w:lvlJc w:val="left"/>
      <w:lvlText w:val="%1."/>
      <w:numFmt w:val="decimal"/>
      <w:start w:val="9"/>
    </w:lvl>
    <w:lvl w:ilvl="1">
      <w:lvlJc w:val="left"/>
      <w:lvlText w:val="%2"/>
      <w:numFmt w:val="decimal"/>
      <w:start w:val="1"/>
    </w:lvl>
  </w:abstractNum>
  <w:abstractNum w:abstractNumId="103">
    <w:nsid w:val="5BDA35D4"/>
    <w:multiLevelType w:val="hybridMultilevel"/>
    <w:lvl w:ilvl="0">
      <w:lvlJc w:val="left"/>
      <w:lvlText w:val="%1."/>
      <w:numFmt w:val="decimal"/>
      <w:start w:val="10"/>
    </w:lvl>
  </w:abstractNum>
  <w:abstractNum w:abstractNumId="104">
    <w:nsid w:val="496FB218"/>
    <w:multiLevelType w:val="hybridMultilevel"/>
    <w:lvl w:ilvl="0">
      <w:lvlJc w:val="left"/>
      <w:lvlText w:val="%1."/>
      <w:numFmt w:val="lowerLetter"/>
      <w:start w:val="1"/>
    </w:lvl>
  </w:abstractNum>
  <w:abstractNum w:abstractNumId="105">
    <w:nsid w:val="680EA5D1"/>
    <w:multiLevelType w:val="hybridMultilevel"/>
    <w:lvl w:ilvl="0">
      <w:lvlJc w:val="left"/>
      <w:lvlText w:val="%1"/>
      <w:numFmt w:val="decimal"/>
      <w:start w:val="1"/>
    </w:lvl>
    <w:lvl w:ilvl="1">
      <w:lvlJc w:val="left"/>
      <w:lvlText w:val="%2."/>
      <w:numFmt w:val="lowerLetter"/>
      <w:start w:val="4"/>
    </w:lvl>
  </w:abstractNum>
  <w:abstractNum w:abstractNumId="106">
    <w:nsid w:val="4A9554FE"/>
    <w:multiLevelType w:val="hybridMultilevel"/>
    <w:lvl w:ilvl="0">
      <w:lvlJc w:val="left"/>
      <w:lvlText w:val="%1."/>
      <w:numFmt w:val="decimal"/>
      <w:start w:val="11"/>
    </w:lvl>
    <w:lvl w:ilvl="1">
      <w:lvlJc w:val="left"/>
      <w:lvlText w:val="%2"/>
      <w:numFmt w:val="lowerLetter"/>
      <w:start w:val="1"/>
    </w:lvl>
  </w:abstractNum>
  <w:abstractNum w:abstractNumId="107">
    <w:nsid w:val="392EDBE4"/>
    <w:multiLevelType w:val="hybridMultilevel"/>
    <w:lvl w:ilvl="0">
      <w:lvlJc w:val="left"/>
      <w:lvlText w:val="%1."/>
      <w:numFmt w:val="lowerRoman"/>
      <w:start w:val="1"/>
    </w:lvl>
  </w:abstractNum>
  <w:abstractNum w:abstractNumId="108">
    <w:nsid w:val="3D1A2DD9"/>
    <w:multiLevelType w:val="hybridMultilevel"/>
    <w:lvl w:ilvl="0">
      <w:lvlJc w:val="left"/>
      <w:lvlText w:val="%1."/>
      <w:numFmt w:val="lowerLetter"/>
      <w:start w:val="1"/>
    </w:lvl>
  </w:abstractNum>
  <w:abstractNum w:abstractNumId="109">
    <w:nsid w:val="7F618FCD"/>
    <w:multiLevelType w:val="hybridMultilevel"/>
    <w:lvl w:ilvl="0">
      <w:lvlJc w:val="left"/>
      <w:lvlText w:val="%1."/>
      <w:numFmt w:val="lowerLetter"/>
      <w:start w:val="2"/>
    </w:lvl>
  </w:abstractNum>
  <w:abstractNum w:abstractNumId="110">
    <w:nsid w:val="7843E45"/>
    <w:multiLevelType w:val="hybridMultilevel"/>
    <w:lvl w:ilvl="0">
      <w:lvlJc w:val="left"/>
      <w:lvlText w:val="%1."/>
      <w:numFmt w:val="lowerLetter"/>
      <w:start w:val="1"/>
    </w:lvl>
  </w:abstractNum>
  <w:abstractNum w:abstractNumId="111">
    <w:nsid w:val="9815DA3"/>
    <w:multiLevelType w:val="hybridMultilevel"/>
    <w:lvl w:ilvl="0">
      <w:lvlJc w:val="left"/>
      <w:lvlText w:val="%1."/>
      <w:numFmt w:val="lowerLetter"/>
      <w:start w:val="3"/>
    </w:lvl>
  </w:abstractNum>
  <w:abstractNum w:abstractNumId="112">
    <w:nsid w:val="5204A191"/>
    <w:multiLevelType w:val="hybridMultilevel"/>
    <w:lvl w:ilvl="0">
      <w:lvlJc w:val="left"/>
      <w:lvlText w:val="%1."/>
      <w:numFmt w:val="lowerRoman"/>
      <w:start w:val="1"/>
    </w:lvl>
  </w:abstractNum>
  <w:abstractNum w:abstractNumId="113">
    <w:nsid w:val="4C73A9C6"/>
    <w:multiLevelType w:val="hybridMultilevel"/>
    <w:lvl w:ilvl="0">
      <w:lvlJc w:val="left"/>
      <w:lvlText w:val="%1."/>
      <w:numFmt w:val="lowerRoman"/>
      <w:start w:val="2"/>
    </w:lvl>
  </w:abstractNum>
  <w:abstractNum w:abstractNumId="114">
    <w:nsid w:val="1C7E3C01"/>
    <w:multiLevelType w:val="hybridMultilevel"/>
    <w:lvl w:ilvl="0">
      <w:lvlJc w:val="left"/>
      <w:lvlText w:val="%1."/>
      <w:numFmt w:val="lowerLetter"/>
      <w:start w:val="1"/>
    </w:lvl>
  </w:abstractNum>
  <w:abstractNum w:abstractNumId="115">
    <w:nsid w:val="1C2201FF"/>
    <w:multiLevelType w:val="hybridMultilevel"/>
    <w:lvl w:ilvl="0">
      <w:lvlJc w:val="left"/>
      <w:lvlText w:val="%1."/>
      <w:numFmt w:val="lowerLetter"/>
      <w:start w:val="1"/>
    </w:lvl>
    <w:lvl w:ilvl="1">
      <w:lvlJc w:val="left"/>
      <w:lvlText w:val="•"/>
      <w:numFmt w:val="bullet"/>
      <w:start w:val="1"/>
    </w:lvl>
  </w:abstractNum>
  <w:abstractNum w:abstractNumId="116">
    <w:nsid w:val="50ABCEC9"/>
    <w:multiLevelType w:val="hybridMultilevel"/>
    <w:lvl w:ilvl="0">
      <w:lvlJc w:val="left"/>
      <w:lvlText w:val="•"/>
      <w:numFmt w:val="bullet"/>
      <w:start w:val="1"/>
    </w:lvl>
    <w:lvl w:ilvl="1">
      <w:lvlJc w:val="left"/>
      <w:lvlText w:val="•"/>
      <w:numFmt w:val="bullet"/>
      <w:start w:val="1"/>
    </w:lvl>
  </w:abstractNum>
  <w:abstractNum w:abstractNumId="117">
    <w:nsid w:val="7635AA2A"/>
    <w:multiLevelType w:val="hybridMultilevel"/>
    <w:lvl w:ilvl="0">
      <w:lvlJc w:val="left"/>
      <w:lvlText w:val="%1."/>
      <w:numFmt w:val="lowerLetter"/>
      <w:start w:val="1"/>
    </w:lvl>
  </w:abstractNum>
  <w:abstractNum w:abstractNumId="118">
    <w:nsid w:val="5E74C4D9"/>
    <w:multiLevelType w:val="hybridMultilevel"/>
    <w:lvl w:ilvl="0">
      <w:lvlJc w:val="left"/>
      <w:lvlText w:val="%1."/>
      <w:numFmt w:val="upperLetter"/>
      <w:start w:val="9"/>
    </w:lvl>
  </w:abstractNum>
  <w:abstractNum w:abstractNumId="119">
    <w:nsid w:val="3B3EBE15"/>
    <w:multiLevelType w:val="hybridMultilevel"/>
    <w:lvl w:ilvl="0">
      <w:lvlJc w:val="left"/>
      <w:lvlText w:val="%1."/>
      <w:numFmt w:val="upperLetter"/>
      <w:start w:val="35"/>
    </w:lvl>
  </w:abstractNum>
  <w:abstractNum w:abstractNumId="120">
    <w:nsid w:val="3822CB01"/>
    <w:multiLevelType w:val="hybridMultilevel"/>
    <w:lvl w:ilvl="0">
      <w:lvlJc w:val="left"/>
      <w:lvlText w:val="%1."/>
      <w:numFmt w:val="upperLetter"/>
      <w:start w:val="61"/>
    </w:lvl>
  </w:abstractNum>
  <w:abstractNum w:abstractNumId="121">
    <w:nsid w:val="6CE00443"/>
    <w:multiLevelType w:val="hybridMultilevel"/>
    <w:lvl w:ilvl="0">
      <w:lvlJc w:val="left"/>
      <w:lvlText w:val="%1."/>
      <w:numFmt w:val="decimal"/>
      <w:start w:val="1"/>
    </w:lvl>
  </w:abstractNum>
  <w:abstractNum w:abstractNumId="122">
    <w:nsid w:val="79F0D62F"/>
    <w:multiLevelType w:val="hybridMultilevel"/>
    <w:lvl w:ilvl="0">
      <w:lvlJc w:val="left"/>
      <w:lvlText w:val="%1."/>
      <w:numFmt w:val="decimal"/>
      <w:start w:val="1"/>
    </w:lvl>
  </w:abstractNum>
  <w:abstractNum w:abstractNumId="123">
    <w:nsid w:val="7975E8EE"/>
    <w:multiLevelType w:val="hybridMultilevel"/>
    <w:lvl w:ilvl="0">
      <w:lvlJc w:val="left"/>
      <w:lvlText w:val="%1."/>
      <w:numFmt w:val="decimal"/>
      <w:start w:val="1"/>
    </w:lvl>
  </w:abstractNum>
  <w:abstractNum w:abstractNumId="124">
    <w:nsid w:val="73154115"/>
    <w:multiLevelType w:val="hybridMultilevel"/>
    <w:lvl w:ilvl="0">
      <w:lvlJc w:val="left"/>
      <w:lvlText w:val="%1."/>
      <w:numFmt w:val="decimal"/>
      <w:start w:val="1"/>
    </w:lvl>
  </w:abstractNum>
  <w:abstractNum w:abstractNumId="125">
    <w:nsid w:val="622D8102"/>
    <w:multiLevelType w:val="hybridMultilevel"/>
    <w:lvl w:ilvl="0">
      <w:lvlJc w:val="left"/>
      <w:lvlText w:val="%1."/>
      <w:numFmt w:val="decimal"/>
      <w:start w:val="2"/>
    </w:lvl>
  </w:abstractNum>
  <w:abstractNum w:abstractNumId="126">
    <w:nsid w:val="2AB26587"/>
    <w:multiLevelType w:val="hybridMultilevel"/>
    <w:lvl w:ilvl="0">
      <w:lvlJc w:val="left"/>
      <w:lvlText w:val="%1."/>
      <w:numFmt w:val="decimal"/>
      <w:start w:val="4"/>
    </w:lvl>
    <w:lvl w:ilvl="1">
      <w:lvlJc w:val="left"/>
      <w:lvlText w:val="%2."/>
      <w:numFmt w:val="lowerLetter"/>
      <w:start w:val="7"/>
    </w:lvl>
  </w:abstractNum>
  <w:abstractNum w:abstractNumId="127">
    <w:nsid w:val="44B3FA6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8">
    <w:nsid w:val="1C0CA67C"/>
    <w:multiLevelType w:val="hybridMultilevel"/>
    <w:lvl w:ilvl="0">
      <w:lvlJc w:val="left"/>
      <w:lvlText w:val="(%1)"/>
      <w:numFmt w:val="lowerLetter"/>
      <w:start w:val="5"/>
    </w:lvl>
    <w:lvl w:ilvl="1">
      <w:lvlJc w:val="left"/>
      <w:lvlText w:val="(%2)"/>
      <w:numFmt w:val="lowerRoman"/>
      <w:start w:val="1"/>
    </w:lvl>
  </w:abstractNum>
  <w:abstractNum w:abstractNumId="129">
    <w:nsid w:val="3D206613"/>
    <w:multiLevelType w:val="hybridMultilevel"/>
    <w:lvl w:ilvl="0">
      <w:lvlJc w:val="left"/>
      <w:lvlText w:val="(%1)"/>
      <w:numFmt w:val="lowerRoman"/>
      <w:start w:val="2"/>
    </w:lvl>
    <w:lvl w:ilvl="1">
      <w:lvlJc w:val="left"/>
      <w:lvlText w:val="(%2)"/>
      <w:numFmt w:val="decimal"/>
      <w:start w:val="1"/>
    </w:lvl>
  </w:abstractNum>
  <w:abstractNum w:abstractNumId="130">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1">
    <w:nsid w:val="3BAB699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2">
    <w:nsid w:val="71315369"/>
    <w:multiLevelType w:val="hybridMultilevel"/>
    <w:lvl w:ilvl="0">
      <w:lvlJc w:val="left"/>
      <w:lvlText w:val="%1)"/>
      <w:numFmt w:val="lowerLetter"/>
      <w:start w:val="3"/>
    </w:lvl>
  </w:abstractNum>
  <w:abstractNum w:abstractNumId="133">
    <w:nsid w:val="7BCFBAF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4">
    <w:nsid w:val="17859F7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35">
    <w:nsid w:val="3AA10581"/>
    <w:multiLevelType w:val="hybridMultilevel"/>
    <w:lvl w:ilvl="0">
      <w:lvlJc w:val="left"/>
      <w:lvlText w:val="%1."/>
      <w:numFmt w:val="decimal"/>
      <w:start w:val="11"/>
    </w:lvl>
  </w:abstractNum>
  <w:abstractNum w:abstractNumId="136">
    <w:nsid w:val="63DE60CD"/>
    <w:multiLevelType w:val="hybridMultilevel"/>
    <w:lvl w:ilvl="0">
      <w:lvlJc w:val="left"/>
      <w:lvlText w:val="%1."/>
      <w:numFmt w:val="decimal"/>
      <w:start w:val="16"/>
    </w:lvl>
  </w:abstractNum>
  <w:abstractNum w:abstractNumId="137">
    <w:nsid w:val="621AF471"/>
    <w:multiLevelType w:val="hybridMultilevel"/>
    <w:lvl w:ilvl="0">
      <w:lvlJc w:val="left"/>
      <w:lvlText w:val="•"/>
      <w:numFmt w:val="bullet"/>
      <w:start w:val="1"/>
    </w:lvl>
  </w:abstractNum>
  <w:abstractNum w:abstractNumId="138">
    <w:nsid w:val="73CFE165"/>
    <w:multiLevelType w:val="hybridMultilevel"/>
    <w:lvl w:ilvl="0">
      <w:lvlJc w:val="left"/>
      <w:lvlText w:val="•"/>
      <w:numFmt w:val="bullet"/>
      <w:start w:val="1"/>
    </w:lvl>
  </w:abstractNum>
  <w:abstractNum w:abstractNumId="139">
    <w:nsid w:val="20F88EA6"/>
    <w:multiLevelType w:val="hybridMultilevel"/>
    <w:lvl w:ilvl="0">
      <w:lvlJc w:val="left"/>
      <w:lvlText w:val="•"/>
      <w:numFmt w:val="bullet"/>
      <w:start w:val="1"/>
    </w:lvl>
  </w:abstractNum>
  <w:abstractNum w:abstractNumId="140">
    <w:nsid w:val="617C843E"/>
    <w:multiLevelType w:val="hybridMultilevel"/>
    <w:lvl w:ilvl="0">
      <w:lvlJc w:val="left"/>
      <w:lvlText w:val="(%1)"/>
      <w:numFmt w:val="lowerRoman"/>
      <w:start w:val="1"/>
    </w:lvl>
  </w:abstractNum>
  <w:abstractNum w:abstractNumId="141">
    <w:nsid w:val="7B541FAB"/>
    <w:multiLevelType w:val="hybridMultilevel"/>
    <w:lvl w:ilvl="0">
      <w:lvlJc w:val="left"/>
      <w:lvlText w:val="1"/>
      <w:numFmt w:val="bullet"/>
      <w:start w:val="1"/>
    </w:lvl>
  </w:abstractNum>
  <w:abstractNum w:abstractNumId="142">
    <w:nsid w:val="2A79EC49"/>
    <w:multiLevelType w:val="hybridMultilevel"/>
    <w:lvl w:ilvl="0">
      <w:lvlJc w:val="left"/>
      <w:lvlText w:val="%1."/>
      <w:numFmt w:val="decimal"/>
      <w:start w:val="2"/>
    </w:lvl>
  </w:abstractNum>
  <w:abstractNum w:abstractNumId="143">
    <w:nsid w:val="338125CF"/>
    <w:multiLevelType w:val="hybridMultilevel"/>
    <w:lvl w:ilvl="0">
      <w:lvlJc w:val="left"/>
      <w:lvlText w:val="•"/>
      <w:numFmt w:val="bullet"/>
      <w:start w:val="1"/>
    </w:lvl>
  </w:abstractNum>
  <w:abstractNum w:abstractNumId="144">
    <w:nsid w:val="47C7C971"/>
    <w:multiLevelType w:val="hybridMultilevel"/>
    <w:lvl w:ilvl="0">
      <w:lvlJc w:val="left"/>
      <w:lvlText w:val="•"/>
      <w:numFmt w:val="bullet"/>
      <w:start w:val="1"/>
    </w:lvl>
    <w:lvl w:ilvl="1">
      <w:lvlJc w:val="left"/>
      <w:lvlText w:val="•"/>
      <w:numFmt w:val="bullet"/>
      <w:start w:val="1"/>
    </w:lvl>
  </w:abstractNum>
  <w:abstractNum w:abstractNumId="145">
    <w:nsid w:val="46F8284B"/>
    <w:multiLevelType w:val="hybridMultilevel"/>
    <w:lvl w:ilvl="0">
      <w:lvlJc w:val="left"/>
      <w:lvlText w:val="•"/>
      <w:numFmt w:val="bullet"/>
      <w:start w:val="1"/>
    </w:lvl>
    <w:lvl w:ilvl="1">
      <w:lvlJc w:val="left"/>
      <w:lvlText w:val="•"/>
      <w:numFmt w:val="bullet"/>
      <w:start w:val="1"/>
    </w:lvl>
  </w:abstractNum>
  <w:abstractNum w:abstractNumId="146">
    <w:nsid w:val="4FA327CE"/>
    <w:multiLevelType w:val="hybridMultilevel"/>
    <w:lvl w:ilvl="0">
      <w:lvlJc w:val="left"/>
      <w:lvlText w:val="4"/>
      <w:numFmt w:val="bullet"/>
      <w:start w:val="1"/>
    </w:lvl>
  </w:abstractNum>
  <w:abstractNum w:abstractNumId="147">
    <w:nsid w:val="1873983A"/>
    <w:multiLevelType w:val="hybridMultilevel"/>
    <w:lvl w:ilvl="0">
      <w:lvlJc w:val="left"/>
      <w:lvlText w:val="•"/>
      <w:numFmt w:val="bullet"/>
      <w:start w:val="1"/>
    </w:lvl>
  </w:abstractNum>
  <w:abstractNum w:abstractNumId="148">
    <w:nsid w:val="3D2DD275"/>
    <w:multiLevelType w:val="hybridMultilevel"/>
    <w:lvl w:ilvl="0">
      <w:lvlJc w:val="left"/>
      <w:lvlText w:val="•"/>
      <w:numFmt w:val="bullet"/>
      <w:start w:val="1"/>
    </w:lvl>
  </w:abstractNum>
  <w:abstractNum w:abstractNumId="149">
    <w:nsid w:val="2E17ECA7"/>
    <w:multiLevelType w:val="hybridMultilevel"/>
    <w:lvl w:ilvl="0">
      <w:lvlJc w:val="left"/>
      <w:lvlText w:val="5"/>
      <w:numFmt w:val="bullet"/>
      <w:start w:val="1"/>
    </w:lvl>
  </w:abstractNum>
  <w:abstractNum w:abstractNumId="150">
    <w:nsid w:val="53B2564F"/>
    <w:multiLevelType w:val="hybridMultilevel"/>
    <w:lvl w:ilvl="0">
      <w:lvlJc w:val="left"/>
      <w:lvlText w:val="•"/>
      <w:numFmt w:val="bullet"/>
      <w:start w:val="1"/>
    </w:lvl>
  </w:abstractNum>
  <w:abstractNum w:abstractNumId="151">
    <w:nsid w:val="75509D76"/>
    <w:multiLevelType w:val="hybridMultilevel"/>
    <w:lvl w:ilvl="0">
      <w:lvlJc w:val="left"/>
      <w:lvlText w:val="•"/>
      <w:numFmt w:val="bullet"/>
      <w:start w:val="1"/>
    </w:lvl>
  </w:abstractNum>
  <w:abstractNum w:abstractNumId="152">
    <w:nsid w:val="1AF7F0EA"/>
    <w:multiLevelType w:val="hybridMultilevel"/>
    <w:lvl w:ilvl="0">
      <w:lvlJc w:val="left"/>
      <w:lvlText w:val="(%1)"/>
      <w:numFmt w:val="lowerRoman"/>
      <w:start w:val="1"/>
    </w:lvl>
  </w:abstractNum>
  <w:abstractNum w:abstractNumId="153">
    <w:nsid w:val="4DA32C7E"/>
    <w:multiLevelType w:val="hybridMultilevel"/>
    <w:lvl w:ilvl="0">
      <w:lvlJc w:val="left"/>
      <w:lvlText w:val="6"/>
      <w:numFmt w:val="bullet"/>
      <w:start w:val="1"/>
    </w:lvl>
  </w:abstractNum>
  <w:abstractNum w:abstractNumId="154">
    <w:nsid w:val="6EC68664"/>
    <w:multiLevelType w:val="hybridMultilevel"/>
    <w:lvl w:ilvl="0">
      <w:lvlJc w:val="left"/>
      <w:lvlText w:val="%1."/>
      <w:numFmt w:val="decimal"/>
      <w:start w:val="1"/>
    </w:lvl>
  </w:abstractNum>
  <w:abstractNum w:abstractNumId="155">
    <w:nsid w:val="E0D31F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6">
    <w:nsid w:val="2FD0AD81"/>
    <w:multiLevelType w:val="hybridMultilevel"/>
    <w:lvl w:ilvl="0">
      <w:lvlJc w:val="left"/>
      <w:lvlText w:val="%1."/>
      <w:numFmt w:val="lowerRoman"/>
      <w:start w:val="1"/>
    </w:lvl>
  </w:abstractNum>
  <w:abstractNum w:abstractNumId="157">
    <w:nsid w:val="1978EBEB"/>
    <w:multiLevelType w:val="hybridMultilevel"/>
    <w:lvl w:ilvl="0">
      <w:lvlJc w:val="left"/>
      <w:lvlText w:val="%1"/>
      <w:numFmt w:val="decimal"/>
      <w:start w:val="1"/>
    </w:lvl>
    <w:lvl w:ilvl="1">
      <w:lvlJc w:val="left"/>
      <w:lvlText w:val="%2."/>
      <w:numFmt w:val="lowerRoman"/>
      <w:start w:val="1"/>
    </w:lvl>
  </w:abstractNum>
  <w:abstractNum w:abstractNumId="158">
    <w:nsid w:val="52C12C61"/>
    <w:multiLevelType w:val="hybridMultilevel"/>
    <w:lvl w:ilvl="0">
      <w:lvlJc w:val="left"/>
      <w:lvlText w:val="%1."/>
      <w:numFmt w:val="decimal"/>
      <w:start w:val="5"/>
    </w:lvl>
    <w:lvl w:ilvl="1">
      <w:lvlJc w:val="left"/>
      <w:lvlText w:val="%2"/>
      <w:numFmt w:val="lowerRoman"/>
      <w:start w:val="1"/>
    </w:lvl>
  </w:abstractNum>
  <w:abstractNum w:abstractNumId="159">
    <w:nsid w:val="4BDD53FD"/>
    <w:multiLevelType w:val="hybridMultilevel"/>
    <w:lvl w:ilvl="0">
      <w:lvlJc w:val="left"/>
      <w:lvlText w:val="%1."/>
      <w:numFmt w:val="decimal"/>
      <w:start w:val="6"/>
    </w:lvl>
    <w:lvl w:ilvl="1">
      <w:lvlJc w:val="left"/>
      <w:lvlText w:val="%2."/>
      <w:numFmt w:val="lowerLetter"/>
      <w:start w:val="1"/>
    </w:lvl>
  </w:abstractNum>
  <w:abstractNum w:abstractNumId="160">
    <w:nsid w:val="569951FE"/>
    <w:multiLevelType w:val="hybridMultilevel"/>
    <w:lvl w:ilvl="0">
      <w:lvlJc w:val="left"/>
      <w:lvlText w:val="%1."/>
      <w:numFmt w:val="decimal"/>
      <w:start w:val="7"/>
    </w:lvl>
    <w:lvl w:ilvl="1">
      <w:lvlJc w:val="left"/>
      <w:lvlText w:val="%2."/>
      <w:numFmt w:val="lowerLetter"/>
      <w:start w:val="1"/>
    </w:lvl>
  </w:abstractNum>
  <w:abstractNum w:abstractNumId="161">
    <w:nsid w:val="4C54E2C3"/>
    <w:multiLevelType w:val="hybridMultilevel"/>
    <w:lvl w:ilvl="0">
      <w:lvlJc w:val="left"/>
      <w:lvlText w:val="%1."/>
      <w:numFmt w:val="decimal"/>
      <w:start w:val="8"/>
    </w:lvl>
  </w:abstractNum>
  <w:abstractNum w:abstractNumId="162">
    <w:nsid w:val="788BD9B"/>
    <w:multiLevelType w:val="hybridMultilevel"/>
    <w:lvl w:ilvl="0">
      <w:lvlJc w:val="left"/>
      <w:lvlText w:val="%1."/>
      <w:numFmt w:val="decimal"/>
      <w:start w:val="9"/>
    </w:lvl>
  </w:abstractNum>
  <w:abstractNum w:abstractNumId="163">
    <w:nsid w:val="47CAA567"/>
    <w:multiLevelType w:val="hybridMultilevel"/>
    <w:lvl w:ilvl="0">
      <w:lvlJc w:val="left"/>
      <w:lvlText w:val="%1."/>
      <w:numFmt w:val="decimal"/>
      <w:start w:val="10"/>
    </w:lvl>
  </w:abstractNum>
  <w:abstractNum w:abstractNumId="164">
    <w:nsid w:val="48249DBF"/>
    <w:multiLevelType w:val="hybridMultilevel"/>
    <w:lvl w:ilvl="0">
      <w:lvlJc w:val="left"/>
      <w:lvlText w:val="%1."/>
      <w:numFmt w:val="decimal"/>
      <w:start w:val="11"/>
    </w:lvl>
  </w:abstractNum>
  <w:abstractNum w:abstractNumId="165">
    <w:nsid w:val="1F0E5D0D"/>
    <w:multiLevelType w:val="hybridMultilevel"/>
    <w:lvl w:ilvl="0">
      <w:lvlJc w:val="left"/>
      <w:lvlText w:val="%1."/>
      <w:numFmt w:val="decimal"/>
      <w:start w:val="13"/>
    </w:lvl>
  </w:abstractNum>
  <w:abstractNum w:abstractNumId="166">
    <w:nsid w:val="26BAAE9"/>
    <w:multiLevelType w:val="hybridMultilevel"/>
    <w:lvl w:ilvl="0">
      <w:lvlJc w:val="left"/>
      <w:lvlText w:val="%1."/>
      <w:numFmt w:val="decimal"/>
      <w:start w:val="15"/>
    </w:lvl>
  </w:abstractNum>
  <w:abstractNum w:abstractNumId="167">
    <w:nsid w:val="2C02FE8C"/>
    <w:multiLevelType w:val="hybridMultilevel"/>
    <w:lvl w:ilvl="0">
      <w:lvlJc w:val="left"/>
      <w:lvlText w:val="%1."/>
      <w:numFmt w:val="decimal"/>
      <w:start w:val="16"/>
    </w:lvl>
  </w:abstractNum>
  <w:abstractNum w:abstractNumId="168">
    <w:nsid w:val="129517E"/>
    <w:multiLevelType w:val="hybridMultilevel"/>
    <w:lvl w:ilvl="0">
      <w:lvlJc w:val="left"/>
      <w:lvlText w:val="%1."/>
      <w:numFmt w:val="decimal"/>
      <w:start w:val="17"/>
    </w:lvl>
  </w:abstractNum>
  <w:abstractNum w:abstractNumId="169">
    <w:nsid w:val="763B8C4E"/>
    <w:multiLevelType w:val="hybridMultilevel"/>
    <w:lvl w:ilvl="0">
      <w:lvlJc w:val="left"/>
      <w:lvlText w:val="%1."/>
      <w:numFmt w:val="decimal"/>
      <w:start w:val="18"/>
    </w:lvl>
  </w:abstractNum>
  <w:abstractNum w:abstractNumId="170">
    <w:nsid w:val="4CFB8D32"/>
    <w:multiLevelType w:val="hybridMultilevel"/>
    <w:lvl w:ilvl="0">
      <w:lvlJc w:val="left"/>
      <w:lvlText w:val="%1."/>
      <w:numFmt w:val="decimal"/>
      <w:start w:val="1"/>
    </w:lvl>
    <w:lvl w:ilvl="1">
      <w:lvlJc w:val="left"/>
      <w:lvlText w:val="•"/>
      <w:numFmt w:val="bullet"/>
      <w:start w:val="1"/>
    </w:lvl>
  </w:abstractNum>
  <w:abstractNum w:abstractNumId="171">
    <w:nsid w:val="62A5D5BD"/>
    <w:multiLevelType w:val="hybridMultilevel"/>
    <w:lvl w:ilvl="0">
      <w:lvlJc w:val="left"/>
      <w:lvlText w:val="%1."/>
      <w:numFmt w:val="decimal"/>
      <w:start w:val="7"/>
    </w:lvl>
  </w:abstractNum>
  <w:abstractNum w:abstractNumId="172">
    <w:nsid w:val="718FABF9"/>
    <w:multiLevelType w:val="hybridMultilevel"/>
    <w:lvl w:ilvl="0">
      <w:lvlJc w:val="left"/>
      <w:lvlText w:val="%1."/>
      <w:numFmt w:val="decimal"/>
      <w:start w:val="13"/>
    </w:lvl>
  </w:abstractNum>
  <w:abstractNum w:abstractNumId="173">
    <w:nsid w:val="7775797C"/>
    <w:multiLevelType w:val="hybridMultilevel"/>
    <w:lvl w:ilvl="0">
      <w:lvlJc w:val="left"/>
      <w:lvlText w:val="%1."/>
      <w:numFmt w:val="decimal"/>
      <w:start w:val="15"/>
    </w:lvl>
  </w:abstractNum>
  <w:abstractNum w:abstractNumId="174">
    <w:nsid w:val="1626FB8C"/>
    <w:multiLevelType w:val="hybridMultilevel"/>
    <w:lvl w:ilvl="0">
      <w:lvlJc w:val="left"/>
      <w:lvlText w:val="%1."/>
      <w:numFmt w:val="decimal"/>
      <w:start w:val="16"/>
    </w:lvl>
  </w:abstractNum>
  <w:abstractNum w:abstractNumId="175">
    <w:nsid w:val="3957756A"/>
    <w:multiLevelType w:val="hybridMultilevel"/>
    <w:lvl w:ilvl="0">
      <w:lvlJc w:val="left"/>
      <w:lvlText w:val="%1."/>
      <w:numFmt w:val="decimal"/>
      <w:start w:val="20"/>
    </w:lvl>
  </w:abstractNum>
  <w:abstractNum w:abstractNumId="176">
    <w:nsid w:val="3E6DA1C7"/>
    <w:multiLevelType w:val="hybridMultilevel"/>
    <w:lvl w:ilvl="0">
      <w:lvlJc w:val="left"/>
      <w:lvlText w:val="%1."/>
      <w:numFmt w:val="decimal"/>
      <w:start w:val="23"/>
    </w:lvl>
  </w:abstractNum>
  <w:abstractNum w:abstractNumId="177">
    <w:nsid w:val="65CA235B"/>
    <w:multiLevelType w:val="hybridMultilevel"/>
    <w:lvl w:ilvl="0">
      <w:lvlJc w:val="left"/>
      <w:lvlText w:val="%1."/>
      <w:numFmt w:val="decimal"/>
      <w:start w:val="29"/>
    </w:lvl>
  </w:abstractNum>
  <w:abstractNum w:abstractNumId="178">
    <w:nsid w:val="51CB0DA4"/>
    <w:multiLevelType w:val="hybridMultilevel"/>
    <w:lvl w:ilvl="0">
      <w:lvlJc w:val="left"/>
      <w:lvlText w:val="%1."/>
      <w:numFmt w:val="decimal"/>
      <w:start w:val="35"/>
    </w:lvl>
    <w:lvl w:ilvl="1">
      <w:lvlJc w:val="left"/>
      <w:lvlText w:val="•"/>
      <w:numFmt w:val="bullet"/>
      <w:start w:val="1"/>
    </w:lvl>
  </w:abstractNum>
  <w:abstractNum w:abstractNumId="179">
    <w:nsid w:val="7B9B743C"/>
    <w:multiLevelType w:val="hybridMultilevel"/>
    <w:lvl w:ilvl="0">
      <w:lvlJc w:val="left"/>
      <w:lvlText w:val="%1."/>
      <w:numFmt w:val="decimal"/>
      <w:start w:val="36"/>
    </w:lvl>
  </w:abstractNum>
  <w:abstractNum w:abstractNumId="180">
    <w:nsid w:val="13E21002"/>
    <w:multiLevelType w:val="hybridMultilevel"/>
    <w:lvl w:ilvl="0">
      <w:lvlJc w:val="left"/>
      <w:lvlText w:val="%1."/>
      <w:numFmt w:val="decimal"/>
      <w:start w:val="37"/>
    </w:lvl>
  </w:abstractNum>
  <w:abstractNum w:abstractNumId="181">
    <w:nsid w:val="257D63F4"/>
    <w:multiLevelType w:val="hybridMultilevel"/>
    <w:lvl w:ilvl="0">
      <w:lvlJc w:val="left"/>
      <w:lvlText w:val="%1."/>
      <w:numFmt w:val="decimal"/>
      <w:start w:val="38"/>
    </w:lvl>
  </w:abstractNum>
  <w:abstractNum w:abstractNumId="182">
    <w:nsid w:val="70EC11B2"/>
    <w:multiLevelType w:val="hybridMultilevel"/>
    <w:lvl w:ilvl="0">
      <w:lvlJc w:val="left"/>
      <w:lvlText w:val="%1."/>
      <w:numFmt w:val="decimal"/>
      <w:start w:val="44"/>
    </w:lvl>
  </w:abstractNum>
  <w:abstractNum w:abstractNumId="183">
    <w:nsid w:val="2EDA00ED"/>
    <w:multiLevelType w:val="hybridMultilevel"/>
    <w:lvl w:ilvl="0">
      <w:lvlJc w:val="left"/>
      <w:lvlText w:val="%1."/>
      <w:numFmt w:val="decimal"/>
      <w:start w:val="46"/>
    </w:lvl>
  </w:abstractNum>
  <w:abstractNum w:abstractNumId="184">
    <w:nsid w:val="73209072"/>
    <w:multiLevelType w:val="hybridMultilevel"/>
    <w:lvl w:ilvl="0">
      <w:lvlJc w:val="left"/>
      <w:lvlText w:val="%1."/>
      <w:numFmt w:val="decimal"/>
      <w:start w:val="51"/>
    </w:lvl>
  </w:abstractNum>
  <w:abstractNum w:abstractNumId="185">
    <w:nsid w:val="5FB29816"/>
    <w:multiLevelType w:val="hybridMultilevel"/>
    <w:lvl w:ilvl="0">
      <w:lvlJc w:val="left"/>
      <w:lvlText w:val="%1."/>
      <w:numFmt w:val="decimal"/>
      <w:start w:val="52"/>
    </w:lvl>
  </w:abstractNum>
  <w:abstractNum w:abstractNumId="186">
    <w:nsid w:val="3CE732EC"/>
    <w:multiLevelType w:val="hybridMultilevel"/>
    <w:lvl w:ilvl="0">
      <w:lvlJc w:val="left"/>
      <w:lvlText w:val="%1."/>
      <w:numFmt w:val="decimal"/>
      <w:start w:val="53"/>
    </w:lvl>
  </w:abstractNum>
  <w:abstractNum w:abstractNumId="187">
    <w:nsid w:val="22F13DF3"/>
    <w:multiLevelType w:val="hybridMultilevel"/>
    <w:lvl w:ilvl="0">
      <w:lvlJc w:val="left"/>
      <w:lvlText w:val="%1."/>
      <w:numFmt w:val="decimal"/>
      <w:start w:val="54"/>
    </w:lvl>
  </w:abstractNum>
  <w:abstractNum w:abstractNumId="188">
    <w:nsid w:val="792B8401"/>
    <w:multiLevelType w:val="hybridMultilevel"/>
    <w:lvl w:ilvl="0">
      <w:lvlJc w:val="left"/>
      <w:lvlText w:val="%1."/>
      <w:numFmt w:val="decimal"/>
      <w:start w:val="64"/>
    </w:lvl>
  </w:abstractNum>
  <w:abstractNum w:abstractNumId="189">
    <w:nsid w:val="FA85F4D"/>
    <w:multiLevelType w:val="hybridMultilevel"/>
    <w:lvl w:ilvl="0">
      <w:lvlJc w:val="left"/>
      <w:lvlText w:val="•"/>
      <w:numFmt w:val="bullet"/>
      <w:start w:val="1"/>
    </w:lvl>
  </w:abstractNum>
  <w:abstractNum w:abstractNumId="190">
    <w:nsid w:val="6ECE91F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1">
    <w:nsid w:val="4FC4D600"/>
    <w:multiLevelType w:val="hybridMultilevel"/>
    <w:lvl w:ilvl="0">
      <w:lvlJc w:val="left"/>
      <w:lvlText w:val="•"/>
      <w:numFmt w:val="bullet"/>
      <w:start w:val="1"/>
    </w:lvl>
    <w:lvl w:ilvl="1">
      <w:lvlJc w:val="left"/>
      <w:lvlText w:val="•"/>
      <w:numFmt w:val="bullet"/>
      <w:start w:val="1"/>
    </w:lvl>
  </w:abstractNum>
  <w:abstractNum w:abstractNumId="192">
    <w:nsid w:val="5BFD4210"/>
    <w:multiLevelType w:val="hybridMultilevel"/>
    <w:lvl w:ilvl="0">
      <w:lvlJc w:val="left"/>
      <w:lvlText w:val="•"/>
      <w:numFmt w:val="bullet"/>
      <w:start w:val="1"/>
    </w:lvl>
  </w:abstractNum>
  <w:abstractNum w:abstractNumId="193">
    <w:nsid w:val="76574F8B"/>
    <w:multiLevelType w:val="hybridMultilevel"/>
    <w:lvl w:ilvl="0">
      <w:lvlJc w:val="left"/>
      <w:lvlText w:val="%1."/>
      <w:numFmt w:val="decimal"/>
      <w:start w:val="1"/>
    </w:lvl>
  </w:abstractNum>
  <w:abstractNum w:abstractNumId="194">
    <w:nsid w:val="178F7B67"/>
    <w:multiLevelType w:val="hybridMultilevel"/>
    <w:lvl w:ilvl="0">
      <w:lvlJc w:val="left"/>
      <w:lvlText w:val="%1."/>
      <w:numFmt w:val="decimal"/>
      <w:start w:val="2"/>
    </w:lvl>
  </w:abstractNum>
  <w:abstractNum w:abstractNumId="195">
    <w:nsid w:val="2421DFCF"/>
    <w:multiLevelType w:val="hybridMultilevel"/>
    <w:lvl w:ilvl="0">
      <w:lvlJc w:val="left"/>
      <w:lvlText w:val="%1."/>
      <w:numFmt w:val="decimal"/>
      <w:start w:val="1"/>
    </w:lvl>
  </w:abstractNum>
  <w:abstractNum w:abstractNumId="196">
    <w:nsid w:val="1565AC99"/>
    <w:multiLevelType w:val="hybridMultilevel"/>
    <w:lvl w:ilvl="0">
      <w:lvlJc w:val="left"/>
      <w:lvlText w:val="•"/>
      <w:numFmt w:val="bullet"/>
      <w:start w:val="1"/>
    </w:lvl>
  </w:abstractNum>
  <w:abstractNum w:abstractNumId="197">
    <w:nsid w:val="19FB2650"/>
    <w:multiLevelType w:val="hybridMultilevel"/>
    <w:lvl w:ilvl="0">
      <w:lvlJc w:val="left"/>
      <w:lvlText w:val="•"/>
      <w:numFmt w:val="bullet"/>
      <w:start w:val="1"/>
    </w:lvl>
  </w:abstractNum>
  <w:abstractNum w:abstractNumId="198">
    <w:nsid w:val="5024DE5B"/>
    <w:multiLevelType w:val="hybridMultilevel"/>
    <w:lvl w:ilvl="0">
      <w:lvlJc w:val="left"/>
      <w:lvlText w:val="•"/>
      <w:numFmt w:val="bullet"/>
      <w:start w:val="1"/>
    </w:lvl>
  </w:abstractNum>
  <w:abstractNum w:abstractNumId="199">
    <w:nsid w:val="168EFE17"/>
    <w:multiLevelType w:val="hybridMultilevel"/>
    <w:lvl w:ilvl="0">
      <w:lvlJc w:val="left"/>
      <w:lvlText w:val="•"/>
      <w:numFmt w:val="bullet"/>
      <w:start w:val="1"/>
    </w:lvl>
  </w:abstractNum>
  <w:abstractNum w:abstractNumId="200">
    <w:nsid w:val="1036B29F"/>
    <w:multiLevelType w:val="hybridMultilevel"/>
    <w:lvl w:ilvl="0">
      <w:lvlJc w:val="left"/>
      <w:lvlText w:val="•"/>
      <w:numFmt w:val="bullet"/>
      <w:start w:val="1"/>
    </w:lvl>
  </w:abstractNum>
  <w:abstractNum w:abstractNumId="201">
    <w:nsid w:val="1D206B8E"/>
    <w:multiLevelType w:val="hybridMultilevel"/>
    <w:lvl w:ilvl="0">
      <w:lvlJc w:val="left"/>
      <w:lvlText w:val="•"/>
      <w:numFmt w:val="bullet"/>
      <w:start w:val="1"/>
    </w:lvl>
  </w:abstractNum>
  <w:abstractNum w:abstractNumId="202">
    <w:nsid w:val="7934D3D4"/>
    <w:multiLevelType w:val="hybridMultilevel"/>
    <w:lvl w:ilvl="0">
      <w:lvlJc w:val="left"/>
      <w:lvlText w:val="•"/>
      <w:numFmt w:val="bullet"/>
      <w:start w:val="1"/>
    </w:lvl>
  </w:abstractNum>
  <w:abstractNum w:abstractNumId="203">
    <w:nsid w:val="1C65E98"/>
    <w:multiLevelType w:val="hybridMultilevel"/>
    <w:lvl w:ilvl="0">
      <w:lvlJc w:val="left"/>
      <w:lvlText w:val="•"/>
      <w:numFmt w:val="bullet"/>
      <w:start w:val="1"/>
    </w:lvl>
  </w:abstractNum>
  <w:abstractNum w:abstractNumId="204">
    <w:nsid w:val="1495E50A"/>
    <w:multiLevelType w:val="hybridMultilevel"/>
    <w:lvl w:ilvl="0">
      <w:lvlJc w:val="left"/>
      <w:lvlText w:val="•"/>
      <w:numFmt w:val="bullet"/>
      <w:start w:val="1"/>
    </w:lvl>
  </w:abstractNum>
  <w:abstractNum w:abstractNumId="205">
    <w:nsid w:val="F5BCF61"/>
    <w:multiLevelType w:val="hybridMultilevel"/>
    <w:lvl w:ilvl="0">
      <w:lvlJc w:val="left"/>
      <w:lvlText w:val="•"/>
      <w:numFmt w:val="bullet"/>
      <w:start w:val="1"/>
    </w:lvl>
  </w:abstractNum>
  <w:abstractNum w:abstractNumId="206">
    <w:nsid w:val="3B1DD403"/>
    <w:multiLevelType w:val="hybridMultilevel"/>
    <w:lvl w:ilvl="0">
      <w:lvlJc w:val="left"/>
      <w:lvlText w:val="•"/>
      <w:numFmt w:val="bullet"/>
      <w:start w:val="1"/>
    </w:lvl>
  </w:abstractNum>
  <w:abstractNum w:abstractNumId="207">
    <w:nsid w:val="530386D1"/>
    <w:multiLevelType w:val="hybridMultilevel"/>
    <w:lvl w:ilvl="0">
      <w:lvlJc w:val="left"/>
      <w:lvlText w:val="•"/>
      <w:numFmt w:val="bullet"/>
      <w:start w:val="1"/>
    </w:lvl>
  </w:abstractNum>
  <w:abstractNum w:abstractNumId="208">
    <w:nsid w:val="7525F2BC"/>
    <w:multiLevelType w:val="hybridMultilevel"/>
    <w:lvl w:ilvl="0">
      <w:lvlJc w:val="left"/>
      <w:lvlText w:val="%1."/>
      <w:numFmt w:val="decimal"/>
      <w:start w:val="1"/>
    </w:lvl>
  </w:abstractNum>
  <w:abstractNum w:abstractNumId="209">
    <w:nsid w:val="CE8E1A7"/>
    <w:multiLevelType w:val="hybridMultilevel"/>
    <w:lvl w:ilvl="0">
      <w:lvlJc w:val="left"/>
      <w:lvlText w:val="%1."/>
      <w:numFmt w:val="decimal"/>
      <w:start w:val="2"/>
    </w:lvl>
  </w:abstractNum>
  <w:abstractNum w:abstractNumId="210">
    <w:nsid w:val="4E9EFB0D"/>
    <w:multiLevelType w:val="hybridMultilevel"/>
    <w:lvl w:ilvl="0">
      <w:lvlJc w:val="left"/>
      <w:lvlText w:val="%1."/>
      <w:numFmt w:val="decimal"/>
      <w:start w:val="3"/>
    </w:lvl>
  </w:abstractNum>
  <w:abstractNum w:abstractNumId="211">
    <w:nsid w:val="90802BE"/>
    <w:multiLevelType w:val="hybridMultilevel"/>
    <w:lvl w:ilvl="0">
      <w:lvlJc w:val="left"/>
      <w:lvlText w:val="%1."/>
      <w:numFmt w:val="upperLetter"/>
      <w:start w:val="1"/>
    </w:lvl>
  </w:abstractNum>
  <w:abstractNum w:abstractNumId="212">
    <w:nsid w:val="3266459B"/>
    <w:multiLevelType w:val="hybridMultilevel"/>
    <w:lvl w:ilvl="0">
      <w:lvlJc w:val="left"/>
      <w:lvlText w:val="%1."/>
      <w:numFmt w:val="upperLetter"/>
      <w:start w:val="2"/>
    </w:lvl>
  </w:abstractNum>
  <w:abstractNum w:abstractNumId="213">
    <w:nsid w:val="3F8B0CBF"/>
    <w:multiLevelType w:val="hybridMultilevel"/>
    <w:lvl w:ilvl="0">
      <w:lvlJc w:val="left"/>
      <w:lvlText w:val="%1."/>
      <w:numFmt w:val="decimal"/>
      <w:start w:val="4"/>
    </w:lvl>
  </w:abstractNum>
  <w:abstractNum w:abstractNumId="214">
    <w:nsid w:val="37E203AB"/>
    <w:multiLevelType w:val="hybridMultilevel"/>
    <w:lvl w:ilvl="0">
      <w:lvlJc w:val="left"/>
      <w:lvlText w:val="%1."/>
      <w:numFmt w:val="decimal"/>
      <w:start w:val="5"/>
    </w:lvl>
  </w:abstractNum>
  <w:abstractNum w:abstractNumId="215">
    <w:nsid w:val="2586D60E"/>
    <w:multiLevelType w:val="hybridMultilevel"/>
    <w:lvl w:ilvl="0">
      <w:lvlJc w:val="left"/>
      <w:lvlText w:val="•"/>
      <w:numFmt w:val="bullet"/>
      <w:start w:val="1"/>
    </w:lvl>
  </w:abstractNum>
  <w:abstractNum w:abstractNumId="216">
    <w:nsid w:val="1F3DA4D5"/>
    <w:multiLevelType w:val="hybridMultilevel"/>
    <w:lvl w:ilvl="0">
      <w:lvlJc w:val="left"/>
      <w:lvlText w:val="•"/>
      <w:numFmt w:val="bullet"/>
      <w:start w:val="1"/>
    </w:lvl>
  </w:abstractNum>
  <w:abstractNum w:abstractNumId="217">
    <w:nsid w:val="74C93698"/>
    <w:multiLevelType w:val="hybridMultilevel"/>
    <w:lvl w:ilvl="0">
      <w:lvlJc w:val="left"/>
      <w:lvlText w:val="•"/>
      <w:numFmt w:val="bullet"/>
      <w:start w:val="1"/>
    </w:lvl>
  </w:abstractNum>
  <w:abstractNum w:abstractNumId="218">
    <w:nsid w:val="48781401"/>
    <w:multiLevelType w:val="hybridMultilevel"/>
    <w:lvl w:ilvl="0">
      <w:lvlJc w:val="left"/>
      <w:lvlText w:val="•"/>
      <w:numFmt w:val="bullet"/>
      <w:start w:val="1"/>
    </w:lvl>
  </w:abstractNum>
  <w:abstractNum w:abstractNumId="219">
    <w:nsid w:val="186928D6"/>
    <w:multiLevelType w:val="hybridMultilevel"/>
    <w:lvl w:ilvl="0">
      <w:lvlJc w:val="left"/>
      <w:lvlText w:val="•"/>
      <w:numFmt w:val="bullet"/>
      <w:start w:val="1"/>
    </w:lvl>
  </w:abstractNum>
  <w:abstractNum w:abstractNumId="220">
    <w:nsid w:val="47195E5"/>
    <w:multiLevelType w:val="hybridMultilevel"/>
    <w:lvl w:ilvl="0">
      <w:lvlJc w:val="left"/>
      <w:lvlText w:val="%1."/>
      <w:numFmt w:val="decimal"/>
      <w:start w:val="1"/>
    </w:lvl>
  </w:abstractNum>
  <w:abstractNum w:abstractNumId="221">
    <w:nsid w:val="3746A5F2"/>
    <w:multiLevelType w:val="hybridMultilevel"/>
    <w:lvl w:ilvl="0">
      <w:lvlJc w:val="left"/>
      <w:lvlText w:val="%1."/>
      <w:numFmt w:val="decimal"/>
      <w:start w:val="2"/>
    </w:lvl>
  </w:abstractNum>
  <w:abstractNum w:abstractNumId="222">
    <w:nsid w:val="682DFED6"/>
    <w:multiLevelType w:val="hybridMultilevel"/>
    <w:lvl w:ilvl="0">
      <w:lvlJc w:val="left"/>
      <w:lvlText w:val="(%1)"/>
      <w:numFmt w:val="lowerRoman"/>
      <w:start w:val="1"/>
    </w:lvl>
  </w:abstractNum>
  <w:abstractNum w:abstractNumId="223">
    <w:nsid w:val="606ED7F6"/>
    <w:multiLevelType w:val="hybridMultilevel"/>
    <w:lvl w:ilvl="0">
      <w:lvlJc w:val="left"/>
      <w:lvlText w:val="(%1)"/>
      <w:numFmt w:val="lowerRoman"/>
      <w:start w:val="2"/>
    </w:lvl>
  </w:abstractNum>
  <w:abstractNum w:abstractNumId="224">
    <w:nsid w:val="2D9DF57D"/>
    <w:multiLevelType w:val="hybridMultilevel"/>
    <w:lvl w:ilvl="0">
      <w:lvlJc w:val="left"/>
      <w:lvlText w:val="(%1)"/>
      <w:numFmt w:val="lowerRoman"/>
      <w:start w:val="1"/>
    </w:lvl>
  </w:abstractNum>
  <w:abstractNum w:abstractNumId="225">
    <w:nsid w:val="7FBD7A3E"/>
    <w:multiLevelType w:val="hybridMultilevel"/>
    <w:lvl w:ilvl="0">
      <w:lvlJc w:val="left"/>
      <w:lvlText w:val="%1."/>
      <w:numFmt w:val="decimal"/>
      <w:start w:val="3"/>
    </w:lvl>
  </w:abstractNum>
  <w:abstractNum w:abstractNumId="226">
    <w:nsid w:val="490B7C5"/>
    <w:multiLevelType w:val="hybridMultilevel"/>
    <w:lvl w:ilvl="0">
      <w:lvlJc w:val="left"/>
      <w:lvlText w:val="(%1)"/>
      <w:numFmt w:val="lowerRoman"/>
      <w:start w:val="1"/>
    </w:lvl>
  </w:abstractNum>
  <w:abstractNum w:abstractNumId="227">
    <w:nsid w:val="4303A216"/>
    <w:multiLevelType w:val="hybridMultilevel"/>
    <w:lvl w:ilvl="0">
      <w:lvlJc w:val="left"/>
      <w:lvlText w:val="(%1)"/>
      <w:numFmt w:val="lowerRoman"/>
      <w:start w:val="1"/>
    </w:lvl>
  </w:abstractNum>
  <w:abstractNum w:abstractNumId="228">
    <w:nsid w:val="19B8A08E"/>
    <w:multiLevelType w:val="hybridMultilevel"/>
    <w:lvl w:ilvl="0">
      <w:lvlJc w:val="left"/>
      <w:lvlText w:val="%1."/>
      <w:numFmt w:val="decimal"/>
      <w:start w:val="4"/>
    </w:lvl>
    <w:lvl w:ilvl="1">
      <w:lvlJc w:val="left"/>
      <w:lvlText w:val="(%2)"/>
      <w:numFmt w:val="lowerRoman"/>
      <w:start w:val="1"/>
    </w:lvl>
  </w:abstractNum>
  <w:abstractNum w:abstractNumId="229">
    <w:nsid w:val="54B59621"/>
    <w:multiLevelType w:val="hybridMultilevel"/>
    <w:lvl w:ilvl="0">
      <w:lvlJc w:val="left"/>
      <w:lvlText w:val="%1."/>
      <w:numFmt w:val="decimal"/>
      <w:start w:val="5"/>
    </w:lvl>
    <w:lvl w:ilvl="1">
      <w:lvlJc w:val="left"/>
      <w:lvlText w:val="%2."/>
      <w:numFmt w:val="decimal"/>
      <w:start w:val="1"/>
    </w:lvl>
  </w:abstractNum>
  <w:abstractNum w:abstractNumId="230">
    <w:nsid w:val="5992A02E"/>
    <w:multiLevelType w:val="hybridMultilevel"/>
    <w:lvl w:ilvl="0">
      <w:lvlJc w:val="left"/>
      <w:lvlText w:val="%1."/>
      <w:numFmt w:val="decimal"/>
      <w:start w:val="6"/>
    </w:lvl>
  </w:abstractNum>
  <w:abstractNum w:abstractNumId="231">
    <w:nsid w:val="29EF532D"/>
    <w:multiLevelType w:val="hybridMultilevel"/>
    <w:lvl w:ilvl="0">
      <w:lvlJc w:val="left"/>
      <w:lvlText w:val="%1."/>
      <w:numFmt w:val="decimal"/>
      <w:start w:val="1"/>
    </w:lvl>
  </w:abstractNum>
  <w:abstractNum w:abstractNumId="232">
    <w:nsid w:val="71D601AF"/>
    <w:multiLevelType w:val="hybridMultilevel"/>
    <w:lvl w:ilvl="0">
      <w:lvlJc w:val="left"/>
      <w:lvlText w:val="%1."/>
      <w:numFmt w:val="decimal"/>
      <w:start w:val="2"/>
    </w:lvl>
  </w:abstractNum>
  <w:abstractNum w:abstractNumId="233">
    <w:nsid w:val="52C77402"/>
    <w:multiLevelType w:val="hybridMultilevel"/>
    <w:lvl w:ilvl="0">
      <w:lvlJc w:val="left"/>
      <w:lvlText w:val="%1."/>
      <w:numFmt w:val="decimal"/>
      <w:start w:val="3"/>
    </w:lvl>
  </w:abstractNum>
  <w:abstractNum w:abstractNumId="234">
    <w:nsid w:val="2BB5B1C6"/>
    <w:multiLevelType w:val="hybridMultilevel"/>
    <w:lvl w:ilvl="0">
      <w:lvlJc w:val="left"/>
      <w:lvlText w:val="%1."/>
      <w:numFmt w:val="upperLetter"/>
      <w:start w:val="6"/>
    </w:lvl>
    <w:lvl w:ilvl="1">
      <w:lvlJc w:val="left"/>
      <w:lvlText w:val="(%2)"/>
      <w:numFmt w:val="lowerLetter"/>
      <w:start w:val="1"/>
    </w:lvl>
  </w:abstractNum>
  <w:abstractNum w:abstractNumId="235">
    <w:nsid w:val="66BE6B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236">
    <w:nsid w:val="62234363"/>
    <w:multiLevelType w:val="hybridMultilevel"/>
    <w:lvl w:ilvl="0">
      <w:lvlJc w:val="left"/>
      <w:lvlText w:val="%1."/>
      <w:numFmt w:val="decimal"/>
      <w:start w:val="6"/>
    </w:lvl>
    <w:lvl w:ilvl="1">
      <w:lvlJc w:val="left"/>
      <w:lvlText w:val="%2."/>
      <w:numFmt w:val="upperLetter"/>
      <w:start w:val="1"/>
    </w:lvl>
    <w:lvl w:ilvl="2">
      <w:lvlJc w:val="left"/>
      <w:lvlText w:val="%3"/>
      <w:numFmt w:val="lowerLetter"/>
      <w:start w:val="1"/>
    </w:lvl>
  </w:abstractNum>
  <w:abstractNum w:abstractNumId="237">
    <w:nsid w:val="66D385C9"/>
    <w:multiLevelType w:val="hybridMultilevel"/>
    <w:lvl w:ilvl="0">
      <w:lvlJc w:val="left"/>
      <w:lvlText w:val="%1."/>
      <w:numFmt w:val="upperLetter"/>
      <w:start w:val="2"/>
    </w:lvl>
  </w:abstractNum>
  <w:abstractNum w:abstractNumId="238">
    <w:nsid w:val="596F6D8A"/>
    <w:multiLevelType w:val="hybridMultilevel"/>
    <w:lvl w:ilvl="0">
      <w:lvlJc w:val="left"/>
      <w:lvlText w:val="%1."/>
      <w:numFmt w:val="decimal"/>
      <w:start w:val="7"/>
    </w:lvl>
  </w:abstractNum>
  <w:abstractNum w:abstractNumId="239">
    <w:nsid w:val="5749361F"/>
    <w:multiLevelType w:val="hybridMultilevel"/>
    <w:lvl w:ilvl="0">
      <w:lvlJc w:val="left"/>
      <w:lvlText w:val="%1."/>
      <w:numFmt w:val="decimal"/>
      <w:start w:val="8"/>
    </w:lvl>
  </w:abstractNum>
  <w:abstractNum w:abstractNumId="240">
    <w:nsid w:val="73BC6770"/>
    <w:multiLevelType w:val="hybridMultilevel"/>
    <w:lvl w:ilvl="0">
      <w:lvlJc w:val="left"/>
      <w:lvlText w:val="%1."/>
      <w:numFmt w:val="decimal"/>
      <w:start w:val="9"/>
    </w:lvl>
  </w:abstractNum>
  <w:abstractNum w:abstractNumId="241">
    <w:nsid w:val="280E6897"/>
    <w:multiLevelType w:val="hybridMultilevel"/>
    <w:lvl w:ilvl="0">
      <w:lvlJc w:val="left"/>
      <w:lvlText w:val="(%1)"/>
      <w:numFmt w:val="upperLetter"/>
      <w:start w:val="1"/>
    </w:lvl>
  </w:abstractNum>
  <w:abstractNum w:abstractNumId="242">
    <w:nsid w:val="605138DE"/>
    <w:multiLevelType w:val="hybridMultilevel"/>
    <w:lvl w:ilvl="0">
      <w:lvlJc w:val="left"/>
      <w:lvlText w:val="(%1)"/>
      <w:numFmt w:val="lowerLetter"/>
      <w:start w:val="1"/>
    </w:lvl>
  </w:abstractNum>
  <w:abstractNum w:abstractNumId="243">
    <w:nsid w:val="2622AD0C"/>
    <w:multiLevelType w:val="hybridMultilevel"/>
    <w:lvl w:ilvl="0">
      <w:lvlJc w:val="left"/>
      <w:lvlText w:val="(%1)"/>
      <w:numFmt w:val="lowerLetter"/>
      <w:start w:val="3"/>
    </w:lvl>
  </w:abstractNum>
  <w:abstractNum w:abstractNumId="244">
    <w:nsid w:val="67997556"/>
    <w:multiLevelType w:val="hybridMultilevel"/>
    <w:lvl w:ilvl="0">
      <w:lvlJc w:val="left"/>
      <w:lvlText w:val="(%1)"/>
      <w:numFmt w:val="upperLetter"/>
      <w:start w:val="2"/>
    </w:lvl>
  </w:abstractNum>
  <w:abstractNum w:abstractNumId="245">
    <w:nsid w:val="18333C89"/>
    <w:multiLevelType w:val="hybridMultilevel"/>
    <w:lvl w:ilvl="0">
      <w:lvlJc w:val="left"/>
      <w:lvlText w:val="(%1)"/>
      <w:numFmt w:val="lowerLetter"/>
      <w:start w:val="1"/>
    </w:lvl>
  </w:abstractNum>
  <w:abstractNum w:abstractNumId="246">
    <w:nsid w:val="4BA9831A"/>
    <w:multiLevelType w:val="hybridMultilevel"/>
    <w:lvl w:ilvl="0">
      <w:lvlJc w:val="left"/>
      <w:lvlText w:val="%1."/>
      <w:numFmt w:val="decimal"/>
      <w:start w:val="10"/>
    </w:lvl>
  </w:abstractNum>
  <w:abstractNum w:abstractNumId="247">
    <w:nsid w:val="6D71A2B"/>
    <w:multiLevelType w:val="hybridMultilevel"/>
    <w:lvl w:ilvl="0">
      <w:lvlJc w:val="left"/>
      <w:lvlText w:val="%1."/>
      <w:numFmt w:val="decimal"/>
      <w:start w:val="11"/>
    </w:lvl>
  </w:abstractNum>
  <w:abstractNum w:abstractNumId="248">
    <w:nsid w:val="CFC7321"/>
    <w:multiLevelType w:val="hybridMultilevel"/>
    <w:lvl w:ilvl="0">
      <w:lvlJc w:val="left"/>
      <w:lvlText w:val="%1."/>
      <w:numFmt w:val="upperLetter"/>
      <w:start w:val="1"/>
    </w:lvl>
  </w:abstractNum>
  <w:abstractNum w:abstractNumId="249">
    <w:nsid w:val="1421971B"/>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250">
    <w:nsid w:val="1F404301"/>
    <w:multiLevelType w:val="hybridMultilevel"/>
    <w:lvl w:ilvl="0">
      <w:lvlJc w:val="left"/>
      <w:lvlText w:val="%1."/>
      <w:numFmt w:val="decimal"/>
      <w:start w:val="12"/>
    </w:lvl>
    <w:lvl w:ilvl="1">
      <w:lvlJc w:val="left"/>
      <w:lvlText w:val="%2"/>
      <w:numFmt w:val="upperLetter"/>
      <w:start w:val="1"/>
    </w:lvl>
    <w:lvl w:ilvl="2">
      <w:lvlJc w:val="left"/>
      <w:lvlText w:val="[**]."/>
      <w:numFmt w:val="bullet"/>
      <w:start w:val="1"/>
    </w:lvl>
  </w:abstractNum>
  <w:abstractNum w:abstractNumId="251">
    <w:nsid w:val="116E0907"/>
    <w:multiLevelType w:val="hybridMultilevel"/>
    <w:lvl w:ilvl="0">
      <w:lvlJc w:val="left"/>
      <w:lvlText w:val="%1."/>
      <w:numFmt w:val="decimal"/>
      <w:start w:val="1"/>
    </w:lvl>
  </w:abstractNum>
  <w:abstractNum w:abstractNumId="252">
    <w:nsid w:val="4B683D0D"/>
    <w:multiLevelType w:val="hybridMultilevel"/>
    <w:lvl w:ilvl="0">
      <w:lvlJc w:val="left"/>
      <w:lvlText w:val="%1."/>
      <w:numFmt w:val="lowerLetter"/>
      <w:start w:val="1"/>
    </w:lvl>
  </w:abstractNum>
  <w:abstractNum w:abstractNumId="253">
    <w:nsid w:val="76E41D8"/>
    <w:multiLevelType w:val="hybridMultilevel"/>
    <w:lvl w:ilvl="0">
      <w:lvlJc w:val="left"/>
      <w:lvlText w:val="%1."/>
      <w:numFmt w:val="decimal"/>
      <w:start w:val="2"/>
    </w:lvl>
  </w:abstractNum>
  <w:abstractNum w:abstractNumId="254">
    <w:nsid w:val="71DCE0FD"/>
    <w:multiLevelType w:val="hybridMultilevel"/>
    <w:lvl w:ilvl="0">
      <w:lvlJc w:val="left"/>
      <w:lvlText w:val="%1."/>
      <w:numFmt w:val="lowerLetter"/>
      <w:start w:val="1"/>
    </w:lvl>
  </w:abstractNum>
  <w:abstractNum w:abstractNumId="255">
    <w:nsid w:val="7906328B"/>
    <w:multiLevelType w:val="hybridMultilevel"/>
    <w:lvl w:ilvl="0">
      <w:lvlJc w:val="left"/>
      <w:lvlText w:val="%1."/>
      <w:numFmt w:val="lowerLetter"/>
      <w:start w:val="3"/>
    </w:lvl>
  </w:abstractNum>
  <w:abstractNum w:abstractNumId="256">
    <w:nsid w:val="72BBC16"/>
    <w:multiLevelType w:val="hybridMultilevel"/>
    <w:lvl w:ilvl="0">
      <w:lvlJc w:val="left"/>
      <w:lvlText w:val="%1."/>
      <w:numFmt w:val="decimal"/>
      <w:start w:val="3"/>
    </w:lvl>
  </w:abstractNum>
  <w:abstractNum w:abstractNumId="257">
    <w:nsid w:val="766D98C2"/>
    <w:multiLevelType w:val="hybridMultilevel"/>
    <w:lvl w:ilvl="0">
      <w:lvlJc w:val="left"/>
      <w:lvlText w:val="%1."/>
      <w:numFmt w:val="upperLetter"/>
      <w:start w:val="1"/>
    </w:lvl>
  </w:abstractNum>
  <w:abstractNum w:abstractNumId="258">
    <w:nsid w:val="3C09D4A1"/>
    <w:multiLevelType w:val="hybridMultilevel"/>
    <w:lvl w:ilvl="0">
      <w:lvlJc w:val="left"/>
      <w:lvlText w:val="%1."/>
      <w:numFmt w:val="decimal"/>
      <w:start w:val="1"/>
    </w:lvl>
  </w:abstractNum>
  <w:abstractNum w:abstractNumId="259">
    <w:nsid w:val="20E45CA4"/>
    <w:multiLevelType w:val="hybridMultilevel"/>
    <w:lvl w:ilvl="0">
      <w:lvlJc w:val="left"/>
      <w:lvlText w:val="%1."/>
      <w:numFmt w:val="decimal"/>
      <w:start w:val="1"/>
    </w:lvl>
    <w:lvl w:ilvl="1">
      <w:lvlJc w:val="left"/>
      <w:lvlText w:val="•"/>
      <w:numFmt w:val="bullet"/>
      <w:start w:val="1"/>
    </w:lvl>
  </w:abstractNum>
  <w:abstractNum w:abstractNumId="260">
    <w:nsid w:val="4B232EE3"/>
    <w:multiLevelType w:val="hybridMultilevel"/>
    <w:lvl w:ilvl="0">
      <w:lvlJc w:val="left"/>
      <w:lvlText w:val="%1."/>
      <w:numFmt w:val="decimal"/>
      <w:start w:val="7"/>
    </w:lvl>
  </w:abstractNum>
  <w:abstractNum w:abstractNumId="261">
    <w:nsid w:val="159C74CF"/>
    <w:multiLevelType w:val="hybridMultilevel"/>
    <w:lvl w:ilvl="0">
      <w:lvlJc w:val="left"/>
      <w:lvlText w:val="%1."/>
      <w:numFmt w:val="decimal"/>
      <w:start w:val="13"/>
    </w:lvl>
  </w:abstractNum>
  <w:abstractNum w:abstractNumId="262">
    <w:nsid w:val="4AD3AFD2"/>
    <w:multiLevelType w:val="hybridMultilevel"/>
    <w:lvl w:ilvl="0">
      <w:lvlJc w:val="left"/>
      <w:lvlText w:val="%1."/>
      <w:numFmt w:val="decimal"/>
      <w:start w:val="14"/>
    </w:lvl>
  </w:abstractNum>
  <w:abstractNum w:abstractNumId="263">
    <w:nsid w:val="3CF93092"/>
    <w:multiLevelType w:val="hybridMultilevel"/>
    <w:lvl w:ilvl="0">
      <w:lvlJc w:val="left"/>
      <w:lvlText w:val="%1."/>
      <w:numFmt w:val="decimal"/>
      <w:start w:val="15"/>
    </w:lvl>
  </w:abstractNum>
  <w:abstractNum w:abstractNumId="264">
    <w:nsid w:val="6863E8D2"/>
    <w:multiLevelType w:val="hybridMultilevel"/>
    <w:lvl w:ilvl="0">
      <w:lvlJc w:val="left"/>
      <w:lvlText w:val="%1."/>
      <w:numFmt w:val="decimal"/>
      <w:start w:val="16"/>
    </w:lvl>
  </w:abstractNum>
  <w:abstractNum w:abstractNumId="265">
    <w:nsid w:val="76896198"/>
    <w:multiLevelType w:val="hybridMultilevel"/>
    <w:lvl w:ilvl="0">
      <w:lvlJc w:val="left"/>
      <w:lvlText w:val="%1."/>
      <w:numFmt w:val="decimal"/>
      <w:start w:val="20"/>
    </w:lvl>
  </w:abstractNum>
  <w:abstractNum w:abstractNumId="266">
    <w:nsid w:val="4365174B"/>
    <w:multiLevelType w:val="hybridMultilevel"/>
    <w:lvl w:ilvl="0">
      <w:lvlJc w:val="left"/>
      <w:lvlText w:val="%1."/>
      <w:numFmt w:val="decimal"/>
      <w:start w:val="21"/>
    </w:lvl>
  </w:abstractNum>
  <w:abstractNum w:abstractNumId="267">
    <w:nsid w:val="4A872C35"/>
    <w:multiLevelType w:val="hybridMultilevel"/>
    <w:lvl w:ilvl="0">
      <w:lvlJc w:val="left"/>
      <w:lvlText w:val="%1."/>
      <w:numFmt w:val="decimal"/>
      <w:start w:val="28"/>
    </w:lvl>
  </w:abstractNum>
  <w:abstractNum w:abstractNumId="268">
    <w:nsid w:val="5D5CE761"/>
    <w:multiLevelType w:val="hybridMultilevel"/>
    <w:lvl w:ilvl="0">
      <w:lvlJc w:val="left"/>
      <w:lvlText w:val="%1."/>
      <w:numFmt w:val="decimal"/>
      <w:start w:val="33"/>
    </w:lvl>
    <w:lvl w:ilvl="1">
      <w:lvlJc w:val="left"/>
      <w:lvlText w:val="•"/>
      <w:numFmt w:val="bullet"/>
      <w:start w:val="1"/>
    </w:lvl>
  </w:abstractNum>
  <w:abstractNum w:abstractNumId="269">
    <w:nsid w:val="1CD484D5"/>
    <w:multiLevelType w:val="hybridMultilevel"/>
    <w:lvl w:ilvl="0">
      <w:lvlJc w:val="left"/>
      <w:lvlText w:val="%1."/>
      <w:numFmt w:val="decimal"/>
      <w:start w:val="35"/>
    </w:lvl>
  </w:abstractNum>
  <w:abstractNum w:abstractNumId="270">
    <w:nsid w:val="21D06255"/>
    <w:multiLevelType w:val="hybridMultilevel"/>
    <w:lvl w:ilvl="0">
      <w:lvlJc w:val="left"/>
      <w:lvlText w:val="%1."/>
      <w:numFmt w:val="decimal"/>
      <w:start w:val="36"/>
    </w:lvl>
  </w:abstractNum>
  <w:abstractNum w:abstractNumId="271">
    <w:nsid w:val="51194ED1"/>
    <w:multiLevelType w:val="hybridMultilevel"/>
    <w:lvl w:ilvl="0">
      <w:lvlJc w:val="left"/>
      <w:lvlText w:val="%1."/>
      <w:numFmt w:val="decimal"/>
      <w:start w:val="37"/>
    </w:lvl>
  </w:abstractNum>
  <w:abstractNum w:abstractNumId="272">
    <w:nsid w:val="44E2ED6C"/>
    <w:multiLevelType w:val="hybridMultilevel"/>
    <w:lvl w:ilvl="0">
      <w:lvlJc w:val="left"/>
      <w:lvlText w:val="%1."/>
      <w:numFmt w:val="decimal"/>
      <w:start w:val="44"/>
    </w:lvl>
  </w:abstractNum>
  <w:abstractNum w:abstractNumId="273">
    <w:nsid w:val="2219B33"/>
    <w:multiLevelType w:val="hybridMultilevel"/>
    <w:lvl w:ilvl="0">
      <w:lvlJc w:val="left"/>
      <w:lvlText w:val="%1."/>
      <w:numFmt w:val="decimal"/>
      <w:start w:val="49"/>
    </w:lvl>
  </w:abstractNum>
  <w:abstractNum w:abstractNumId="274">
    <w:nsid w:val="773BFBDD"/>
    <w:multiLevelType w:val="hybridMultilevel"/>
    <w:lvl w:ilvl="0">
      <w:lvlJc w:val="left"/>
      <w:lvlText w:val="%1."/>
      <w:numFmt w:val="decimal"/>
      <w:start w:val="50"/>
    </w:lvl>
  </w:abstractNum>
  <w:abstractNum w:abstractNumId="275">
    <w:nsid w:val="2C7C62C2"/>
    <w:multiLevelType w:val="hybridMultilevel"/>
    <w:lvl w:ilvl="0">
      <w:lvlJc w:val="left"/>
      <w:lvlText w:val="%1."/>
      <w:numFmt w:val="decimal"/>
      <w:start w:val="51"/>
    </w:lvl>
  </w:abstractNum>
  <w:abstractNum w:abstractNumId="276">
    <w:nsid w:val="1A54D7BC"/>
    <w:multiLevelType w:val="hybridMultilevel"/>
    <w:lvl w:ilvl="0">
      <w:lvlJc w:val="left"/>
      <w:lvlText w:val="%1."/>
      <w:numFmt w:val="decimal"/>
      <w:start w:val="53"/>
    </w:lvl>
  </w:abstractNum>
  <w:abstractNum w:abstractNumId="277">
    <w:nsid w:val="42E57EF7"/>
    <w:multiLevelType w:val="hybridMultilevel"/>
    <w:lvl w:ilvl="0">
      <w:lvlJc w:val="left"/>
      <w:lvlText w:val="%1."/>
      <w:numFmt w:val="decimal"/>
      <w:start w:val="1"/>
    </w:lvl>
    <w:lvl w:ilvl="1">
      <w:lvlJc w:val="left"/>
      <w:lvlText w:val="%2."/>
      <w:numFmt w:val="lowerLetter"/>
      <w:start w:val="1"/>
    </w:lvl>
  </w:abstractNum>
  <w:abstractNum w:abstractNumId="278">
    <w:nsid w:val="33537CED"/>
    <w:multiLevelType w:val="hybridMultilevel"/>
    <w:lvl w:ilvl="0">
      <w:lvlJc w:val="left"/>
      <w:lvlText w:val="%1"/>
      <w:numFmt w:val="decimal"/>
      <w:start w:val="1"/>
    </w:lvl>
    <w:lvl w:ilvl="1">
      <w:lvlJc w:val="left"/>
      <w:lvlText w:val="%2."/>
      <w:numFmt w:val="lowerLetter"/>
      <w:start w:val="3"/>
    </w:lvl>
  </w:abstractNum>
  <w:abstractNum w:abstractNumId="279">
    <w:nsid w:val="27514ADE"/>
    <w:multiLevelType w:val="hybridMultilevel"/>
    <w:lvl w:ilvl="0">
      <w:lvlJc w:val="left"/>
      <w:lvlText w:val="%1."/>
      <w:numFmt w:val="decimal"/>
      <w:start w:val="3"/>
    </w:lvl>
    <w:lvl w:ilvl="1">
      <w:lvlJc w:val="left"/>
      <w:lvlText w:val="%2."/>
      <w:numFmt w:val="lowerLetter"/>
      <w:start w:val="1"/>
    </w:lvl>
  </w:abstractNum>
  <w:abstractNum w:abstractNumId="280">
    <w:nsid w:val="57071613"/>
    <w:multiLevelType w:val="hybridMultilevel"/>
    <w:lvl w:ilvl="0">
      <w:lvlJc w:val="left"/>
      <w:lvlText w:val="•"/>
      <w:numFmt w:val="bullet"/>
      <w:start w:val="1"/>
    </w:lvl>
    <w:lvl w:ilvl="1">
      <w:lvlJc w:val="left"/>
      <w:lvlText w:val="•"/>
      <w:numFmt w:val="bullet"/>
      <w:start w:val="1"/>
    </w:lvl>
  </w:abstractNum>
  <w:abstractNum w:abstractNumId="281">
    <w:nsid w:val="5293BFEF"/>
    <w:multiLevelType w:val="hybridMultilevel"/>
    <w:lvl w:ilvl="0">
      <w:lvlJc w:val="left"/>
      <w:lvlText w:val="•"/>
      <w:numFmt w:val="bullet"/>
      <w:start w:val="1"/>
    </w:lvl>
  </w:abstractNum>
  <w:abstractNum w:abstractNumId="282">
    <w:nsid w:val="38BF53E5"/>
    <w:multiLevelType w:val="hybridMultilevel"/>
    <w:lvl w:ilvl="0">
      <w:lvlJc w:val="left"/>
      <w:lvlText w:val="%1."/>
      <w:numFmt w:val="decimal"/>
      <w:start w:val="1"/>
    </w:lvl>
    <w:lvl w:ilvl="1">
      <w:lvlJc w:val="left"/>
      <w:lvlText w:val="%2."/>
      <w:numFmt w:val="lowerLetter"/>
      <w:start w:val="1"/>
    </w:lvl>
  </w:abstractNum>
  <w:abstractNum w:abstractNumId="283">
    <w:nsid w:val="226F5320"/>
    <w:multiLevelType w:val="hybridMultilevel"/>
    <w:lvl w:ilvl="0">
      <w:lvlJc w:val="left"/>
      <w:lvlText w:val="%1."/>
      <w:numFmt w:val="decimal"/>
      <w:start w:val="1"/>
    </w:lvl>
    <w:lvl w:ilvl="1">
      <w:lvlJc w:val="left"/>
      <w:lvlText w:val="%2."/>
      <w:numFmt w:val="lowerLetter"/>
      <w:start w:val="1"/>
    </w:lvl>
  </w:abstractNum>
  <w:abstractNum w:abstractNumId="284">
    <w:nsid w:val="5A0201C7"/>
    <w:multiLevelType w:val="hybridMultilevel"/>
    <w:lvl w:ilvl="0">
      <w:lvlJc w:val="left"/>
      <w:lvlText w:val="%1."/>
      <w:numFmt w:val="decimal"/>
      <w:start w:val="1"/>
    </w:lvl>
  </w:abstractNum>
  <w:abstractNum w:abstractNumId="285">
    <w:nsid w:val="2A9C34E2"/>
    <w:multiLevelType w:val="hybridMultilevel"/>
    <w:lvl w:ilvl="0">
      <w:lvlJc w:val="left"/>
      <w:lvlText w:val="%1."/>
      <w:numFmt w:val="decimal"/>
      <w:start w:val="1"/>
    </w:lvl>
  </w:abstractNum>
  <w:abstractNum w:abstractNumId="286">
    <w:nsid w:val="1B7585AB"/>
    <w:multiLevelType w:val="hybridMultilevel"/>
    <w:lvl w:ilvl="0">
      <w:lvlJc w:val="left"/>
      <w:lvlText w:val="[**]"/>
      <w:numFmt w:val="bullet"/>
      <w:start w:val="1"/>
    </w:lvl>
  </w:abstractNum>
  <w:abstractNum w:abstractNumId="287">
    <w:nsid w:val="612DBDDD"/>
    <w:multiLevelType w:val="hybridMultilevel"/>
    <w:lvl w:ilvl="0">
      <w:lvlJc w:val="left"/>
      <w:lvlText w:val="%1."/>
      <w:numFmt w:val="decimal"/>
      <w:start w:val="1"/>
    </w:lvl>
  </w:abstractNum>
  <w:abstractNum w:abstractNumId="288">
    <w:nsid w:val="2109CDA4"/>
    <w:multiLevelType w:val="hybridMultilevel"/>
    <w:lvl w:ilvl="0">
      <w:lvlJc w:val="left"/>
      <w:lvlText w:val="%1."/>
      <w:numFmt w:val="decimal"/>
      <w:start w:val="1"/>
    </w:lvl>
  </w:abstractNum>
  <w:abstractNum w:abstractNumId="289">
    <w:nsid w:val="577F5A4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90">
    <w:nsid w:val="2121A81"/>
    <w:multiLevelType w:val="hybridMultilevel"/>
    <w:lvl w:ilvl="0">
      <w:lvlJc w:val="left"/>
      <w:lvlText w:val="%1"/>
      <w:numFmt w:val="decimal"/>
      <w:start w:val="1"/>
    </w:lvl>
    <w:lvl w:ilvl="1">
      <w:lvlJc w:val="left"/>
      <w:lvlText w:val="%2."/>
      <w:numFmt w:val="lowerLetter"/>
      <w:start w:val="2"/>
    </w:lvl>
  </w:abstractNum>
  <w:abstractNum w:abstractNumId="291">
    <w:nsid w:val="6C2CFC88"/>
    <w:multiLevelType w:val="hybridMultilevel"/>
    <w:lvl w:ilvl="0">
      <w:lvlJc w:val="left"/>
      <w:lvlText w:val="%1."/>
      <w:numFmt w:val="decimal"/>
      <w:start w:val="6"/>
    </w:lvl>
    <w:lvl w:ilvl="1">
      <w:lvlJc w:val="left"/>
      <w:lvlText w:val="%2."/>
      <w:numFmt w:val="lowerLetter"/>
      <w:start w:val="1"/>
    </w:lvl>
  </w:abstractNum>
  <w:abstractNum w:abstractNumId="292">
    <w:nsid w:val="6D1BCF1C"/>
    <w:multiLevelType w:val="hybridMultilevel"/>
    <w:lvl w:ilvl="0">
      <w:lvlJc w:val="left"/>
      <w:lvlText w:val="%1."/>
      <w:numFmt w:val="lowerLetter"/>
      <w:start w:val="2"/>
    </w:lvl>
  </w:abstractNum>
  <w:abstractNum w:abstractNumId="293">
    <w:nsid w:val="4CE5CA53"/>
    <w:multiLevelType w:val="hybridMultilevel"/>
    <w:lvl w:ilvl="0">
      <w:lvlJc w:val="left"/>
      <w:lvlText w:val="%1."/>
      <w:numFmt w:val="lowerLetter"/>
      <w:start w:val="3"/>
    </w:lvl>
    <w:lvl w:ilvl="1">
      <w:lvlJc w:val="left"/>
      <w:lvlText w:val="%2."/>
      <w:numFmt w:val="lowerRoman"/>
      <w:start w:val="1"/>
    </w:lvl>
  </w:abstractNum>
  <w:abstractNum w:abstractNumId="294">
    <w:nsid w:val="29262D1A"/>
    <w:multiLevelType w:val="hybridMultilevel"/>
    <w:lvl w:ilvl="0">
      <w:lvlJc w:val="left"/>
      <w:lvlText w:val="%1."/>
      <w:numFmt w:val="decimal"/>
      <w:start w:val="4"/>
    </w:lvl>
  </w:abstractNum>
  <w:abstractNum w:abstractNumId="295">
    <w:nsid w:val="557FB7EE"/>
    <w:multiLevelType w:val="hybridMultilevel"/>
    <w:lvl w:ilvl="0">
      <w:lvlJc w:val="left"/>
      <w:lvlText w:val="•"/>
      <w:numFmt w:val="bullet"/>
      <w:start w:val="1"/>
    </w:lvl>
  </w:abstractNum>
  <w:abstractNum w:abstractNumId="296">
    <w:nsid w:val="436F2BEB"/>
    <w:multiLevelType w:val="hybridMultilevel"/>
    <w:lvl w:ilvl="0">
      <w:lvlJc w:val="left"/>
      <w:lvlText w:val="•"/>
      <w:numFmt w:val="bullet"/>
      <w:start w:val="1"/>
    </w:lvl>
  </w:abstractNum>
  <w:abstractNum w:abstractNumId="297">
    <w:nsid w:val="6C8B4466"/>
    <w:multiLevelType w:val="hybridMultilevel"/>
    <w:lvl w:ilvl="0">
      <w:lvlJc w:val="left"/>
      <w:lvlText w:val="•"/>
      <w:numFmt w:val="bullet"/>
      <w:start w:val="1"/>
    </w:lvl>
  </w:abstractNum>
  <w:abstractNum w:abstractNumId="298">
    <w:nsid w:val="2006E424"/>
    <w:multiLevelType w:val="hybridMultilevel"/>
    <w:lvl w:ilvl="0">
      <w:lvlJc w:val="left"/>
      <w:lvlText w:val="•"/>
      <w:numFmt w:val="bullet"/>
      <w:start w:val="1"/>
    </w:lvl>
  </w:abstractNum>
  <w:abstractNum w:abstractNumId="299">
    <w:nsid w:val="20CC134C"/>
    <w:multiLevelType w:val="hybridMultilevel"/>
    <w:lvl w:ilvl="0">
      <w:lvlJc w:val="left"/>
      <w:lvlText w:val="•"/>
      <w:numFmt w:val="bullet"/>
      <w:start w:val="1"/>
    </w:lvl>
  </w:abstractNum>
  <w:abstractNum w:abstractNumId="300">
    <w:nsid w:val="95FC93B"/>
    <w:multiLevelType w:val="hybridMultilevel"/>
    <w:lvl w:ilvl="0">
      <w:lvlJc w:val="left"/>
      <w:lvlText w:val="%1."/>
      <w:numFmt w:val="decimal"/>
      <w:start w:val="1"/>
    </w:lvl>
  </w:abstractNum>
  <w:abstractNum w:abstractNumId="301">
    <w:nsid w:val="41D74679"/>
    <w:multiLevelType w:val="hybridMultilevel"/>
    <w:lvl w:ilvl="0">
      <w:lvlJc w:val="left"/>
      <w:lvlText w:val="%1."/>
      <w:numFmt w:val="decimal"/>
      <w:start w:val="2"/>
    </w:lvl>
    <w:lvl w:ilvl="1">
      <w:lvlJc w:val="left"/>
      <w:lvlText w:val="%2)"/>
      <w:numFmt w:val="lowerLetter"/>
      <w:start w:val="6"/>
    </w:lvl>
  </w:abstractNum>
  <w:abstractNum w:abstractNumId="302">
    <w:nsid w:val="71E5621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03">
    <w:nsid w:val="4E42B6A8"/>
    <w:multiLevelType w:val="hybridMultilevel"/>
    <w:lvl w:ilvl="0">
      <w:lvlJc w:val="left"/>
      <w:lvlText w:val="%1"/>
      <w:numFmt w:val="decimal"/>
      <w:start w:val="1"/>
    </w:lvl>
    <w:lvl w:ilvl="1">
      <w:lvlJc w:val="left"/>
      <w:lvlText w:val="%2."/>
      <w:numFmt w:val="decimal"/>
      <w:start w:val="2"/>
    </w:lvl>
  </w:abstractNum>
  <w:abstractNum w:abstractNumId="304">
    <w:nsid w:val="43F8E1AC"/>
    <w:multiLevelType w:val="hybridMultilevel"/>
    <w:lvl w:ilvl="0">
      <w:lvlJc w:val="left"/>
      <w:lvlText w:val="%1."/>
      <w:numFmt w:val="decimal"/>
      <w:start w:val="2"/>
    </w:lvl>
    <w:lvl w:ilvl="1">
      <w:lvlJc w:val="left"/>
      <w:lvlText w:val="%2"/>
      <w:numFmt w:val="decimal"/>
      <w:start w:val="1"/>
    </w:lvl>
  </w:abstractNum>
  <w:abstractNum w:abstractNumId="305">
    <w:nsid w:val="69215DFB"/>
    <w:multiLevelType w:val="hybridMultilevel"/>
    <w:lvl w:ilvl="0">
      <w:lvlJc w:val="left"/>
      <w:lvlText w:val="%1."/>
      <w:numFmt w:val="decimal"/>
      <w:start w:val="4"/>
    </w:lvl>
    <w:lvl w:ilvl="1">
      <w:lvlJc w:val="left"/>
      <w:lvlText w:val="%2."/>
      <w:numFmt w:val="lowerLetter"/>
      <w:start w:val="1"/>
    </w:lvl>
  </w:abstractNum>
  <w:abstractNum w:abstractNumId="306">
    <w:nsid w:val="7ABF196A"/>
    <w:multiLevelType w:val="hybridMultilevel"/>
    <w:lvl w:ilvl="0">
      <w:lvlJc w:val="left"/>
      <w:lvlText w:val="%1."/>
      <w:numFmt w:val="decimal"/>
      <w:start w:val="4"/>
    </w:lvl>
  </w:abstractNum>
  <w:abstractNum w:abstractNumId="307">
    <w:nsid w:val="5E4DB968"/>
    <w:multiLevelType w:val="hybridMultilevel"/>
    <w:lvl w:ilvl="0">
      <w:lvlJc w:val="left"/>
      <w:lvlText w:val="%1"/>
      <w:numFmt w:val="decimal"/>
      <w:start w:val="1"/>
    </w:lvl>
    <w:lvl w:ilvl="1">
      <w:lvlJc w:val="left"/>
      <w:lvlText w:val="%2."/>
      <w:numFmt w:val="lowerLetter"/>
      <w:start w:val="1"/>
    </w:lvl>
  </w:abstractNum>
  <w:abstractNum w:abstractNumId="308">
    <w:nsid w:val="2C06DCF3"/>
    <w:multiLevelType w:val="hybridMultilevel"/>
    <w:lvl w:ilvl="0">
      <w:lvlJc w:val="left"/>
      <w:lvlText w:val="%1."/>
      <w:numFmt w:val="decimal"/>
      <w:start w:val="2"/>
    </w:lvl>
    <w:lvl w:ilvl="1">
      <w:lvlJc w:val="left"/>
      <w:lvlText w:val="%2."/>
      <w:numFmt w:val="lowerLetter"/>
      <w:start w:val="1"/>
    </w:lvl>
  </w:abstractNum>
  <w:abstractNum w:abstractNumId="309">
    <w:nsid w:val="2E129658"/>
    <w:multiLevelType w:val="hybridMultilevel"/>
    <w:lvl w:ilvl="0">
      <w:lvlJc w:val="left"/>
      <w:lvlText w:val="%1."/>
      <w:numFmt w:val="lowerLetter"/>
      <w:start w:val="2"/>
    </w:lvl>
  </w:abstractNum>
  <w:abstractNum w:abstractNumId="310">
    <w:nsid w:val="59F0446"/>
    <w:multiLevelType w:val="hybridMultilevel"/>
    <w:lvl w:ilvl="0">
      <w:lvlJc w:val="left"/>
      <w:lvlText w:val="%1."/>
      <w:numFmt w:val="decimal"/>
      <w:start w:val="3"/>
    </w:lvl>
  </w:abstractNum>
  <w:abstractNum w:abstractNumId="311">
    <w:nsid w:val="30DF306"/>
    <w:multiLevelType w:val="hybridMultilevel"/>
    <w:lvl w:ilvl="0">
      <w:lvlJc w:val="left"/>
      <w:lvlText w:val="%1."/>
      <w:numFmt w:val="decimal"/>
      <w:start w:val="1"/>
    </w:lvl>
  </w:abstractNum>
  <w:abstractNum w:abstractNumId="312">
    <w:nsid w:val="A65647"/>
    <w:multiLevelType w:val="hybridMultilevel"/>
    <w:lvl w:ilvl="0">
      <w:lvlJc w:val="left"/>
      <w:lvlText w:val="%1."/>
      <w:numFmt w:val="decimal"/>
      <w:start w:val="1"/>
    </w:lvl>
  </w:abstractNum>
  <w:abstractNum w:abstractNumId="313">
    <w:nsid w:val="3E5E582B"/>
    <w:multiLevelType w:val="hybridMultilevel"/>
    <w:lvl w:ilvl="0">
      <w:lvlJc w:val="left"/>
      <w:lvlText w:val="%1."/>
      <w:numFmt w:val="upperLetter"/>
      <w:start w:val="1"/>
    </w:lvl>
  </w:abstractNum>
  <w:abstractNum w:abstractNumId="314">
    <w:nsid w:val="257D4626"/>
    <w:multiLevelType w:val="hybridMultilevel"/>
    <w:lvl w:ilvl="0">
      <w:lvlJc w:val="left"/>
      <w:lvlText w:val="%1."/>
      <w:numFmt w:val="decimal"/>
      <w:start w:val="1"/>
    </w:lvl>
  </w:abstractNum>
  <w:abstractNum w:abstractNumId="315">
    <w:nsid w:val="5AA8580E"/>
    <w:multiLevelType w:val="hybridMultilevel"/>
    <w:lvl w:ilvl="0">
      <w:lvlJc w:val="left"/>
      <w:lvlText w:val="%1."/>
      <w:numFmt w:val="decimal"/>
      <w:start w:val="6"/>
    </w:lvl>
  </w:abstractNum>
  <w:abstractNum w:abstractNumId="316">
    <w:nsid w:val="68FA8D0D"/>
    <w:multiLevelType w:val="hybridMultilevel"/>
    <w:lvl w:ilvl="0">
      <w:lvlJc w:val="left"/>
      <w:lvlText w:val="%1."/>
      <w:numFmt w:val="decimal"/>
      <w:start w:val="20"/>
    </w:lvl>
  </w:abstractNum>
  <w:abstractNum w:abstractNumId="317">
    <w:nsid w:val="40F2CBD2"/>
    <w:multiLevelType w:val="hybridMultilevel"/>
    <w:lvl w:ilvl="0">
      <w:lvlJc w:val="left"/>
      <w:lvlText w:val="%1."/>
      <w:numFmt w:val="decimal"/>
      <w:start w:val="31"/>
    </w:lvl>
    <w:lvl w:ilvl="1">
      <w:lvlJc w:val="left"/>
      <w:lvlText w:val="•"/>
      <w:numFmt w:val="bullet"/>
      <w:start w:val="1"/>
    </w:lvl>
  </w:abstractNum>
  <w:abstractNum w:abstractNumId="318">
    <w:nsid w:val="3BD615EB"/>
    <w:multiLevelType w:val="hybridMultilevel"/>
    <w:lvl w:ilvl="0">
      <w:lvlJc w:val="left"/>
      <w:lvlText w:val="%1"/>
      <w:numFmt w:val="decimal"/>
      <w:start w:val="1"/>
    </w:lvl>
    <w:lvl w:ilvl="1">
      <w:lvlJc w:val="left"/>
      <w:lvlText w:val="%2."/>
      <w:numFmt w:val="decimal"/>
      <w:start w:val="2"/>
    </w:lvl>
  </w:abstractNum>
  <w:abstractNum w:abstractNumId="319">
    <w:nsid w:val="A045AB2"/>
    <w:multiLevelType w:val="hybridMultilevel"/>
    <w:lvl w:ilvl="0">
      <w:lvlJc w:val="left"/>
      <w:lvlText w:val="%1."/>
      <w:numFmt w:val="decimal"/>
      <w:start w:val="34"/>
    </w:lvl>
    <w:lvl w:ilvl="1">
      <w:lvlJc w:val="left"/>
      <w:lvlText w:val="%2"/>
      <w:numFmt w:val="decimal"/>
      <w:start w:val="1"/>
    </w:lvl>
  </w:abstractNum>
  <w:abstractNum w:abstractNumId="320">
    <w:nsid w:val="1872261F"/>
    <w:multiLevelType w:val="hybridMultilevel"/>
    <w:lvl w:ilvl="0">
      <w:lvlJc w:val="left"/>
      <w:lvlText w:val="%1."/>
      <w:numFmt w:val="decimal"/>
      <w:start w:val="38"/>
    </w:lvl>
  </w:abstractNum>
  <w:abstractNum w:abstractNumId="321">
    <w:nsid w:val="3DE8306C"/>
    <w:multiLevelType w:val="hybridMultilevel"/>
    <w:lvl w:ilvl="0">
      <w:lvlJc w:val="left"/>
      <w:lvlText w:val="%1."/>
      <w:numFmt w:val="decimal"/>
      <w:start w:val="50"/>
    </w:lvl>
  </w:abstractNum>
  <w:abstractNum w:abstractNumId="322">
    <w:nsid w:val="7631573A"/>
    <w:multiLevelType w:val="hybridMultilevel"/>
    <w:lvl w:ilvl="0">
      <w:lvlJc w:val="left"/>
      <w:lvlText w:val="%1."/>
      <w:numFmt w:val="decimal"/>
      <w:start w:val="1"/>
    </w:lvl>
  </w:abstractNum>
  <w:abstractNum w:abstractNumId="323">
    <w:nsid w:val="58DF53B"/>
    <w:multiLevelType w:val="hybridMultilevel"/>
    <w:lvl w:ilvl="0">
      <w:lvlJc w:val="left"/>
      <w:lvlText w:val="1"/>
      <w:numFmt w:val="bullet"/>
      <w:start w:val="1"/>
    </w:lvl>
  </w:abstractNum>
  <w:abstractNum w:abstractNumId="324">
    <w:nsid w:val="ACDFAC0"/>
    <w:multiLevelType w:val="hybridMultilevel"/>
    <w:lvl w:ilvl="0">
      <w:lvlJc w:val="left"/>
      <w:lvlText w:val="2"/>
      <w:numFmt w:val="bullet"/>
      <w:start w:val="1"/>
    </w:lvl>
    <w:lvl w:ilvl="1">
      <w:lvlJc w:val="left"/>
      <w:lvlText w:val="%2."/>
      <w:numFmt w:val="lowerLetter"/>
      <w:start w:val="1"/>
    </w:lvl>
  </w:abstractNum>
  <w:abstractNum w:abstractNumId="325">
    <w:nsid w:val="1F578454"/>
    <w:multiLevelType w:val="hybridMultilevel"/>
    <w:lvl w:ilvl="0">
      <w:lvlJc w:val="left"/>
      <w:lvlText w:val="3"/>
      <w:numFmt w:val="bullet"/>
      <w:start w:val="1"/>
    </w:lvl>
  </w:abstractNum>
  <w:abstractNum w:abstractNumId="326">
    <w:nsid w:val="5B0DAD2A"/>
    <w:multiLevelType w:val="hybridMultilevel"/>
    <w:lvl w:ilvl="0">
      <w:lvlJc w:val="left"/>
      <w:lvlText w:val="4"/>
      <w:numFmt w:val="bullet"/>
      <w:start w:val="1"/>
    </w:lvl>
  </w:abstractNum>
  <w:abstractNum w:abstractNumId="327">
    <w:nsid w:val="4E3D26AB"/>
    <w:multiLevelType w:val="hybridMultilevel"/>
    <w:lvl w:ilvl="0">
      <w:lvlJc w:val="left"/>
      <w:lvlText w:val="5"/>
      <w:numFmt w:val="bullet"/>
      <w:start w:val="1"/>
    </w:lvl>
  </w:abstractNum>
  <w:abstractNum w:abstractNumId="328">
    <w:nsid w:val="BE2C8BA"/>
    <w:multiLevelType w:val="hybridMultilevel"/>
    <w:lvl w:ilvl="0">
      <w:lvlJc w:val="left"/>
      <w:lvlText w:val="6"/>
      <w:numFmt w:val="bullet"/>
      <w:start w:val="1"/>
    </w:lvl>
  </w:abstractNum>
  <w:abstractNum w:abstractNumId="329">
    <w:nsid w:val="7B14914E"/>
    <w:multiLevelType w:val="hybridMultilevel"/>
    <w:lvl w:ilvl="0">
      <w:lvlJc w:val="left"/>
      <w:lvlText w:val="7"/>
      <w:numFmt w:val="bullet"/>
      <w:start w:val="1"/>
    </w:lvl>
  </w:abstractNum>
  <w:abstractNum w:abstractNumId="330">
    <w:nsid w:val="6F0939F8"/>
    <w:multiLevelType w:val="hybridMultilevel"/>
    <w:lvl w:ilvl="0">
      <w:lvlJc w:val="left"/>
      <w:lvlText w:val="(%1)"/>
      <w:numFmt w:val="lowerRoman"/>
      <w:start w:val="1"/>
    </w:lvl>
  </w:abstractNum>
  <w:abstractNum w:abstractNumId="331">
    <w:nsid w:val="154291F6"/>
    <w:multiLevelType w:val="hybridMultilevel"/>
    <w:lvl w:ilvl="0">
      <w:lvlJc w:val="left"/>
      <w:lvlText w:val="%1"/>
      <w:numFmt w:val="decimal"/>
      <w:start w:val="10"/>
    </w:lvl>
  </w:abstractNum>
  <w:abstractNum w:abstractNumId="332">
    <w:nsid w:val="3CEBD7C7"/>
    <w:multiLevelType w:val="hybridMultilevel"/>
    <w:lvl w:ilvl="0">
      <w:lvlJc w:val="left"/>
      <w:lvlText w:val="%1"/>
      <w:numFmt w:val="decimal"/>
      <w:start w:val="13"/>
    </w:lvl>
    <w:lvl w:ilvl="1">
      <w:lvlJc w:val="left"/>
      <w:lvlText w:val="•"/>
      <w:numFmt w:val="bullet"/>
      <w:start w:val="1"/>
    </w:lvl>
  </w:abstractNum>
  <w:abstractNum w:abstractNumId="333">
    <w:nsid w:val="60EE9C16"/>
    <w:multiLevelType w:val="hybridMultilevel"/>
    <w:lvl w:ilvl="0">
      <w:lvlJc w:val="left"/>
      <w:lvlText w:val="%1"/>
      <w:numFmt w:val="decimal"/>
      <w:start w:val="16"/>
    </w:lvl>
  </w:abstractNum>
  <w:abstractNum w:abstractNumId="334">
    <w:nsid w:val="6385489E"/>
    <w:multiLevelType w:val="hybridMultilevel"/>
    <w:lvl w:ilvl="0">
      <w:lvlJc w:val="left"/>
      <w:lvlText w:val="%1"/>
      <w:numFmt w:val="decimal"/>
      <w:start w:val="22"/>
    </w:lvl>
    <w:lvl w:ilvl="1">
      <w:lvlJc w:val="left"/>
      <w:lvlText w:val="•"/>
      <w:numFmt w:val="bullet"/>
      <w:start w:val="1"/>
    </w:lvl>
  </w:abstractNum>
  <w:abstractNum w:abstractNumId="335">
    <w:nsid w:val="E4B973"/>
    <w:multiLevelType w:val="hybridMultilevel"/>
    <w:lvl w:ilvl="0">
      <w:lvlJc w:val="left"/>
      <w:lvlText w:val="%1"/>
      <w:numFmt w:val="decimal"/>
      <w:start w:val="26"/>
    </w:lvl>
  </w:abstractNum>
  <w:abstractNum w:abstractNumId="336">
    <w:nsid w:val="4A0FFA11"/>
    <w:multiLevelType w:val="hybridMultilevel"/>
    <w:lvl w:ilvl="0">
      <w:lvlJc w:val="left"/>
      <w:lvlText w:val="1"/>
      <w:numFmt w:val="bullet"/>
      <w:start w:val="1"/>
    </w:lvl>
  </w:abstractNum>
  <w:abstractNum w:abstractNumId="337">
    <w:nsid w:val="5E446208"/>
    <w:multiLevelType w:val="hybridMultilevel"/>
    <w:lvl w:ilvl="0">
      <w:lvlJc w:val="left"/>
      <w:lvlText w:val="2"/>
      <w:numFmt w:val="bullet"/>
      <w:start w:val="1"/>
    </w:lvl>
    <w:lvl w:ilvl="1">
      <w:lvlJc w:val="left"/>
      <w:lvlText w:val="%2."/>
      <w:numFmt w:val="lowerLetter"/>
      <w:start w:val="1"/>
    </w:lvl>
  </w:abstractNum>
  <w:abstractNum w:abstractNumId="338">
    <w:nsid w:val="5F3272DB"/>
    <w:multiLevelType w:val="hybridMultilevel"/>
    <w:lvl w:ilvl="0">
      <w:lvlJc w:val="left"/>
      <w:lvlText w:val="3"/>
      <w:numFmt w:val="bullet"/>
      <w:start w:val="1"/>
    </w:lvl>
  </w:abstractNum>
  <w:abstractNum w:abstractNumId="339">
    <w:nsid w:val="7616D704"/>
    <w:multiLevelType w:val="hybridMultilevel"/>
    <w:lvl w:ilvl="0">
      <w:lvlJc w:val="left"/>
      <w:lvlText w:val="•"/>
      <w:numFmt w:val="bullet"/>
      <w:start w:val="1"/>
    </w:lvl>
  </w:abstractNum>
  <w:abstractNum w:abstractNumId="340">
    <w:nsid w:val="C56F860"/>
    <w:multiLevelType w:val="hybridMultilevel"/>
    <w:lvl w:ilvl="0">
      <w:lvlJc w:val="left"/>
      <w:lvlText w:val="4"/>
      <w:numFmt w:val="bullet"/>
      <w:start w:val="1"/>
    </w:lvl>
  </w:abstractNum>
  <w:abstractNum w:abstractNumId="341">
    <w:nsid w:val="64D17722"/>
    <w:multiLevelType w:val="hybridMultilevel"/>
    <w:lvl w:ilvl="0">
      <w:lvlJc w:val="left"/>
      <w:lvlText w:val="%1."/>
      <w:numFmt w:val="upperLetter"/>
      <w:start w:val="9"/>
    </w:lvl>
    <w:lvl w:ilvl="1">
      <w:lvlJc w:val="left"/>
      <w:lvlText w:val="•"/>
      <w:numFmt w:val="bullet"/>
      <w:start w:val="1"/>
    </w:lvl>
  </w:abstractNum>
  <w:abstractNum w:abstractNumId="342">
    <w:nsid w:val="7924CA0A"/>
    <w:multiLevelType w:val="hybridMultilevel"/>
    <w:lvl w:ilvl="0">
      <w:lvlJc w:val="left"/>
      <w:lvlText w:val="•"/>
      <w:numFmt w:val="bullet"/>
      <w:start w:val="1"/>
    </w:lvl>
  </w:abstractNum>
  <w:abstractNum w:abstractNumId="343">
    <w:nsid w:val="CFD4EA7"/>
    <w:multiLevelType w:val="hybridMultilevel"/>
    <w:lvl w:ilvl="0">
      <w:lvlJc w:val="left"/>
      <w:lvlText w:val="%1."/>
      <w:numFmt w:val="upperLetter"/>
      <w:start w:val="34"/>
    </w:lvl>
    <w:lvl w:ilvl="1">
      <w:lvlJc w:val="left"/>
      <w:lvlText w:val="•"/>
      <w:numFmt w:val="bullet"/>
      <w:start w:val="1"/>
    </w:lvl>
  </w:abstractNum>
  <w:abstractNum w:abstractNumId="344">
    <w:nsid w:val="232FCF4D"/>
    <w:multiLevelType w:val="hybridMultilevel"/>
    <w:lvl w:ilvl="0">
      <w:lvlJc w:val="left"/>
      <w:lvlText w:val="%1."/>
      <w:numFmt w:val="decimal"/>
      <w:start w:val="1"/>
    </w:lvl>
    <w:lvl w:ilvl="1">
      <w:lvlJc w:val="left"/>
      <w:lvlText w:val="%2."/>
      <w:numFmt w:val="lowerLetter"/>
      <w:start w:val="1"/>
    </w:lvl>
  </w:abstractNum>
  <w:abstractNum w:abstractNumId="345">
    <w:nsid w:val="1EA21031"/>
    <w:multiLevelType w:val="hybridMultilevel"/>
    <w:lvl w:ilvl="0">
      <w:lvlJc w:val="left"/>
      <w:lvlText w:val="%1."/>
      <w:numFmt w:val="decimal"/>
      <w:start w:val="2"/>
    </w:lvl>
    <w:lvl w:ilvl="1">
      <w:lvlJc w:val="left"/>
      <w:lvlText w:val="%2."/>
      <w:numFmt w:val="lowerLetter"/>
      <w:start w:val="1"/>
    </w:lvl>
  </w:abstractNum>
  <w:abstractNum w:abstractNumId="346">
    <w:nsid w:val="67A5A6B5"/>
    <w:multiLevelType w:val="hybridMultilevel"/>
    <w:lvl w:ilvl="0">
      <w:lvlJc w:val="left"/>
      <w:lvlText w:val="%1."/>
      <w:numFmt w:val="lowerLetter"/>
      <w:start w:val="1"/>
    </w:lvl>
  </w:abstractNum>
  <w:abstractNum w:abstractNumId="347">
    <w:nsid w:val="C2A5C5B"/>
    <w:multiLevelType w:val="hybridMultilevel"/>
    <w:lvl w:ilvl="0">
      <w:lvlJc w:val="left"/>
      <w:lvlText w:val="%1."/>
      <w:numFmt w:val="lowerLetter"/>
      <w:start w:val="4"/>
    </w:lvl>
  </w:abstractNum>
  <w:abstractNum w:abstractNumId="348">
    <w:nsid w:val="5F94DC03"/>
    <w:multiLevelType w:val="hybridMultilevel"/>
    <w:lvl w:ilvl="0">
      <w:lvlJc w:val="left"/>
      <w:lvlText w:val="%1"/>
      <w:numFmt w:val="decimal"/>
      <w:start w:val="1"/>
    </w:lvl>
    <w:lvl w:ilvl="1">
      <w:lvlJc w:val="left"/>
      <w:lvlText w:val="%2."/>
      <w:numFmt w:val="lowerLetter"/>
      <w:start w:val="10"/>
    </w:lvl>
  </w:abstractNum>
  <w:abstractNum w:abstractNumId="349">
    <w:nsid w:val="237BBCA0"/>
    <w:multiLevelType w:val="hybridMultilevel"/>
    <w:lvl w:ilvl="0">
      <w:lvlJc w:val="left"/>
      <w:lvlText w:val="%1."/>
      <w:numFmt w:val="decimal"/>
      <w:start w:val="4"/>
    </w:lvl>
    <w:lvl w:ilvl="1">
      <w:lvlJc w:val="left"/>
      <w:lvlText w:val="%2"/>
      <w:numFmt w:val="lowerLetter"/>
      <w:start w:val="1"/>
    </w:lvl>
  </w:abstractNum>
  <w:abstractNum w:abstractNumId="350">
    <w:nsid w:val="162EB70D"/>
    <w:multiLevelType w:val="hybridMultilevel"/>
    <w:lvl w:ilvl="0">
      <w:lvlJc w:val="left"/>
      <w:lvlText w:val="%1."/>
      <w:numFmt w:val="lowerLetter"/>
      <w:start w:val="1"/>
    </w:lvl>
    <w:lvl w:ilvl="1">
      <w:lvlJc w:val="left"/>
      <w:lvlText w:val="•"/>
      <w:numFmt w:val="bullet"/>
      <w:start w:val="1"/>
    </w:lvl>
  </w:abstractNum>
  <w:abstractNum w:abstractNumId="351">
    <w:nsid w:val="78070222"/>
    <w:multiLevelType w:val="hybridMultilevel"/>
    <w:lvl w:ilvl="0">
      <w:lvlJc w:val="left"/>
      <w:lvlText w:val="%1."/>
      <w:numFmt w:val="lowerLetter"/>
      <w:start w:val="2"/>
    </w:lvl>
  </w:abstractNum>
  <w:abstractNum w:abstractNumId="352">
    <w:nsid w:val="6163ED0D"/>
    <w:multiLevelType w:val="hybridMultilevel"/>
    <w:lvl w:ilvl="0">
      <w:lvlJc w:val="left"/>
      <w:lvlText w:val="%1."/>
      <w:numFmt w:val="lowerLetter"/>
      <w:start w:val="16"/>
    </w:lvl>
  </w:abstractNum>
  <w:abstractNum w:abstractNumId="353">
    <w:nsid w:val="C600E47"/>
    <w:multiLevelType w:val="hybridMultilevel"/>
    <w:lvl w:ilvl="0">
      <w:lvlJc w:val="left"/>
      <w:lvlText w:val="%1."/>
      <w:numFmt w:val="decimal"/>
      <w:start w:val="5"/>
    </w:lvl>
    <w:lvl w:ilvl="1">
      <w:lvlJc w:val="left"/>
      <w:lvlText w:val="%2."/>
      <w:numFmt w:val="lowerLetter"/>
      <w:start w:val="1"/>
    </w:lvl>
  </w:abstractNum>
  <w:abstractNum w:abstractNumId="354">
    <w:nsid w:val="7D94F75D"/>
    <w:multiLevelType w:val="hybridMultilevel"/>
    <w:lvl w:ilvl="0">
      <w:lvlJc w:val="left"/>
      <w:lvlText w:val="%1."/>
      <w:numFmt w:val="decimal"/>
      <w:start w:val="1"/>
    </w:lvl>
  </w:abstractNum>
  <w:abstractNum w:abstractNumId="355">
    <w:nsid w:val="6C31E7CD"/>
    <w:multiLevelType w:val="hybridMultilevel"/>
    <w:lvl w:ilvl="0">
      <w:lvlJc w:val="left"/>
      <w:lvlText w:val="%1."/>
      <w:numFmt w:val="decimal"/>
      <w:start w:val="1"/>
    </w:lvl>
  </w:abstractNum>
  <w:abstractNum w:abstractNumId="356">
    <w:nsid w:val="2BB7929B"/>
    <w:multiLevelType w:val="hybridMultilevel"/>
    <w:lvl w:ilvl="0">
      <w:lvlJc w:val="left"/>
      <w:lvlText w:val="%1."/>
      <w:numFmt w:val="decimal"/>
      <w:start w:val="2"/>
    </w:lvl>
  </w:abstractNum>
  <w:abstractNum w:abstractNumId="357">
    <w:nsid w:val="58A2A487"/>
    <w:multiLevelType w:val="hybridMultilevel"/>
    <w:lvl w:ilvl="0">
      <w:lvlJc w:val="left"/>
      <w:lvlText w:val="%1."/>
      <w:numFmt w:val="decimal"/>
      <w:start w:val="1"/>
    </w:lvl>
  </w:abstractNum>
  <w:abstractNum w:abstractNumId="358">
    <w:nsid w:val="3A6F0E78"/>
    <w:multiLevelType w:val="hybridMultilevel"/>
    <w:lvl w:ilvl="0">
      <w:lvlJc w:val="left"/>
      <w:lvlText w:val="%1."/>
      <w:numFmt w:val="decimal"/>
      <w:start w:val="2"/>
    </w:lvl>
  </w:abstractNum>
  <w:abstractNum w:abstractNumId="359">
    <w:nsid w:val="379A5B56"/>
    <w:multiLevelType w:val="hybridMultilevel"/>
    <w:lvl w:ilvl="0">
      <w:lvlJc w:val="left"/>
      <w:lvlText w:val="%1."/>
      <w:numFmt w:val="decimal"/>
      <w:start w:val="3"/>
    </w:lvl>
  </w:abstractNum>
  <w:abstractNum w:abstractNumId="360">
    <w:nsid w:val="53B735D5"/>
    <w:multiLevelType w:val="hybridMultilevel"/>
    <w:lvl w:ilvl="0">
      <w:lvlJc w:val="left"/>
      <w:lvlText w:val="•"/>
      <w:numFmt w:val="bullet"/>
      <w:start w:val="1"/>
    </w:lvl>
  </w:abstractNum>
  <w:abstractNum w:abstractNumId="361">
    <w:nsid w:val="29784870"/>
    <w:multiLevelType w:val="hybridMultilevel"/>
    <w:lvl w:ilvl="0">
      <w:lvlJc w:val="left"/>
      <w:lvlText w:val="•"/>
      <w:numFmt w:val="bullet"/>
      <w:start w:val="1"/>
    </w:lvl>
  </w:abstractNum>
  <w:abstractNum w:abstractNumId="362">
    <w:nsid w:val="4CDCED4C"/>
    <w:multiLevelType w:val="hybridMultilevel"/>
    <w:lvl w:ilvl="0">
      <w:lvlJc w:val="left"/>
      <w:lvlText w:val="•"/>
      <w:numFmt w:val="bullet"/>
      <w:start w:val="1"/>
    </w:lvl>
  </w:abstractNum>
  <w:abstractNum w:abstractNumId="363">
    <w:nsid w:val="10A30D9C"/>
    <w:multiLevelType w:val="hybridMultilevel"/>
    <w:lvl w:ilvl="0">
      <w:lvlJc w:val="left"/>
      <w:lvlText w:val="•"/>
      <w:numFmt w:val="bullet"/>
      <w:start w:val="1"/>
    </w:lvl>
  </w:abstractNum>
  <w:abstractNum w:abstractNumId="364">
    <w:nsid w:val="A66E486"/>
    <w:multiLevelType w:val="hybridMultilevel"/>
    <w:lvl w:ilvl="0">
      <w:lvlJc w:val="left"/>
      <w:lvlText w:val="%1."/>
      <w:numFmt w:val="decimal"/>
      <w:start w:val="1"/>
    </w:lvl>
  </w:abstractNum>
  <w:abstractNum w:abstractNumId="365">
    <w:nsid w:val="306235EA"/>
    <w:multiLevelType w:val="hybridMultilevel"/>
    <w:lvl w:ilvl="0">
      <w:lvlJc w:val="left"/>
      <w:lvlText w:val="%1."/>
      <w:numFmt w:val="decimal"/>
      <w:start w:val="1"/>
    </w:lvl>
  </w:abstractNum>
  <w:abstractNum w:abstractNumId="366">
    <w:nsid w:val="1187C70F"/>
    <w:multiLevelType w:val="hybridMultilevel"/>
    <w:lvl w:ilvl="0">
      <w:lvlJc w:val="left"/>
      <w:lvlText w:val="%1."/>
      <w:numFmt w:val="decimal"/>
      <w:start w:val="1"/>
    </w:lvl>
  </w:abstractNum>
  <w:abstractNum w:abstractNumId="367">
    <w:nsid w:val="5476DE98"/>
    <w:multiLevelType w:val="hybridMultilevel"/>
    <w:lvl w:ilvl="0">
      <w:lvlJc w:val="left"/>
      <w:lvlText w:val="%1."/>
      <w:numFmt w:val="decimal"/>
      <w:start w:val="1"/>
    </w:lvl>
  </w:abstractNum>
  <w:abstractNum w:abstractNumId="368">
    <w:nsid w:val="EA697F2"/>
    <w:multiLevelType w:val="hybridMultilevel"/>
    <w:lvl w:ilvl="0">
      <w:lvlJc w:val="left"/>
      <w:lvlText w:val="%1."/>
      <w:numFmt w:val="decimal"/>
      <w:start w:val="3"/>
    </w:lvl>
  </w:abstractNum>
  <w:abstractNum w:abstractNumId="369">
    <w:nsid w:val="70BA39EB"/>
    <w:multiLevelType w:val="hybridMultilevel"/>
    <w:lvl w:ilvl="0">
      <w:lvlJc w:val="left"/>
      <w:lvlText w:val="(%1)"/>
      <w:numFmt w:val="upperLetter"/>
      <w:start w:val="35"/>
    </w:lvl>
  </w:abstractNum>
  <w:abstractNum w:abstractNumId="370">
    <w:nsid w:val="4A8DB59C"/>
    <w:multiLevelType w:val="hybridMultilevel"/>
    <w:lvl w:ilvl="0">
      <w:lvlJc w:val="left"/>
      <w:lvlText w:val="%1."/>
      <w:numFmt w:val="decimal"/>
      <w:start w:val="4"/>
    </w:lvl>
  </w:abstractNum>
  <w:abstractNum w:abstractNumId="371">
    <w:nsid w:val="1AFD9053"/>
    <w:multiLevelType w:val="hybridMultilevel"/>
    <w:lvl w:ilvl="0">
      <w:lvlJc w:val="left"/>
      <w:lvlText w:val="%1."/>
      <w:numFmt w:val="decimal"/>
      <w:start w:val="5"/>
    </w:lvl>
  </w:abstractNum>
  <w:abstractNum w:abstractNumId="372">
    <w:nsid w:val="558BB10D"/>
    <w:multiLevelType w:val="hybridMultilevel"/>
    <w:lvl w:ilvl="0">
      <w:lvlJc w:val="left"/>
      <w:lvlText w:val="%1."/>
      <w:numFmt w:val="decimal"/>
      <w:start w:val="1"/>
    </w:lvl>
  </w:abstractNum>
  <w:abstractNum w:abstractNumId="373">
    <w:nsid w:val="43B27FA7"/>
    <w:multiLevelType w:val="hybridMultilevel"/>
    <w:lvl w:ilvl="0">
      <w:lvlJc w:val="left"/>
      <w:lvlText w:val="%1."/>
      <w:numFmt w:val="decimal"/>
      <w:start w:val="3"/>
    </w:lvl>
  </w:abstractNum>
  <w:abstractNum w:abstractNumId="374">
    <w:nsid w:val="27FADEFA"/>
    <w:multiLevelType w:val="hybridMultilevel"/>
    <w:lvl w:ilvl="0">
      <w:lvlJc w:val="left"/>
      <w:lvlText w:val="%1."/>
      <w:numFmt w:val="decimal"/>
      <w:start w:val="1"/>
    </w:lvl>
  </w:abstractNum>
  <w:abstractNum w:abstractNumId="375">
    <w:nsid w:val="78BB805A"/>
    <w:multiLevelType w:val="hybridMultilevel"/>
    <w:lvl w:ilvl="0">
      <w:lvlJc w:val="left"/>
      <w:lvlText w:val="%1."/>
      <w:numFmt w:val="decimal"/>
      <w:start w:val="2"/>
    </w:lvl>
  </w:abstractNum>
  <w:abstractNum w:abstractNumId="376">
    <w:nsid w:val="62548FD8"/>
    <w:multiLevelType w:val="hybridMultilevel"/>
    <w:lvl w:ilvl="0">
      <w:lvlJc w:val="left"/>
      <w:lvlText w:val="%1."/>
      <w:numFmt w:val="decimal"/>
      <w:start w:val="3"/>
    </w:lvl>
  </w:abstractNum>
  <w:abstractNum w:abstractNumId="377">
    <w:nsid w:val="FA085B0"/>
    <w:multiLevelType w:val="hybridMultilevel"/>
    <w:lvl w:ilvl="0">
      <w:lvlJc w:val="left"/>
      <w:lvlText w:val="%1."/>
      <w:numFmt w:val="decimal"/>
      <w:start w:val="1"/>
    </w:lvl>
  </w:abstractNum>
  <w:abstractNum w:abstractNumId="378">
    <w:nsid w:val="4E5DCB5"/>
    <w:multiLevelType w:val="hybridMultilevel"/>
    <w:lvl w:ilvl="0">
      <w:lvlJc w:val="left"/>
      <w:lvlText w:val="%1."/>
      <w:numFmt w:val="decimal"/>
      <w:start w:val="1"/>
    </w:lvl>
  </w:abstractNum>
  <w:abstractNum w:abstractNumId="379">
    <w:nsid w:val="41E96BDB"/>
    <w:multiLevelType w:val="hybridMultilevel"/>
    <w:lvl w:ilvl="0">
      <w:lvlJc w:val="left"/>
      <w:lvlText w:val="%1."/>
      <w:numFmt w:val="upperLetter"/>
      <w:start w:val="1"/>
    </w:lvl>
  </w:abstractNum>
  <w:abstractNum w:abstractNumId="380">
    <w:nsid w:val="331C4250"/>
    <w:multiLevelType w:val="hybridMultilevel"/>
    <w:lvl w:ilvl="0">
      <w:lvlJc w:val="left"/>
      <w:lvlText w:val="%1."/>
      <w:numFmt w:val="lowerLetter"/>
      <w:start w:val="1"/>
    </w:lvl>
  </w:abstractNum>
  <w:abstractNum w:abstractNumId="381">
    <w:nsid w:val="1B1493C2"/>
    <w:multiLevelType w:val="hybridMultilevel"/>
    <w:lvl w:ilvl="0">
      <w:lvlJc w:val="left"/>
      <w:lvlText w:val="%1."/>
      <w:numFmt w:val="lowerLetter"/>
      <w:start w:val="1"/>
    </w:lvl>
  </w:abstractNum>
  <w:abstractNum w:abstractNumId="382">
    <w:nsid w:val="39F06DFD"/>
    <w:multiLevelType w:val="hybridMultilevel"/>
    <w:lvl w:ilvl="0">
      <w:lvlJc w:val="left"/>
      <w:lvlText w:val="%1."/>
      <w:numFmt w:val="lowerLetter"/>
      <w:start w:val="1"/>
    </w:lvl>
  </w:abstractNum>
  <w:abstractNum w:abstractNumId="383">
    <w:nsid w:val="14802F5D"/>
    <w:multiLevelType w:val="hybridMultilevel"/>
    <w:lvl w:ilvl="0">
      <w:lvlJc w:val="left"/>
      <w:lvlText w:val="%1."/>
      <w:numFmt w:val="decimal"/>
      <w:start w:val="1"/>
    </w:lvl>
  </w:abstractNum>
  <w:abstractNum w:abstractNumId="384">
    <w:nsid w:val="2774A209"/>
    <w:multiLevelType w:val="hybridMultilevel"/>
    <w:lvl w:ilvl="0">
      <w:lvlJc w:val="left"/>
      <w:lvlText w:val="%1."/>
      <w:numFmt w:val="decimal"/>
      <w:start w:val="2"/>
    </w:lvl>
  </w:abstractNum>
  <w:abstractNum w:abstractNumId="385">
    <w:nsid w:val="3785655A"/>
    <w:multiLevelType w:val="hybridMultilevel"/>
    <w:lvl w:ilvl="0">
      <w:lvlJc w:val="left"/>
      <w:lvlText w:val="%1."/>
      <w:numFmt w:val="decimal"/>
      <w:start w:val="13"/>
    </w:lvl>
  </w:abstractNum>
  <w:abstractNum w:abstractNumId="386">
    <w:nsid w:val="B2172A"/>
    <w:multiLevelType w:val="hybridMultilevel"/>
    <w:lvl w:ilvl="0">
      <w:lvlJc w:val="left"/>
      <w:lvlText w:val="%1."/>
      <w:numFmt w:val="decimal"/>
      <w:start w:val="15"/>
    </w:lvl>
  </w:abstractNum>
  <w:abstractNum w:abstractNumId="387">
    <w:nsid w:val="532C34A5"/>
    <w:multiLevelType w:val="hybridMultilevel"/>
    <w:lvl w:ilvl="0">
      <w:lvlJc w:val="left"/>
      <w:lvlText w:val="%1."/>
      <w:numFmt w:val="lowerLetter"/>
      <w:start w:val="2"/>
    </w:lvl>
  </w:abstractNum>
  <w:abstractNum w:abstractNumId="388">
    <w:nsid w:val="102809E2"/>
    <w:multiLevelType w:val="hybridMultilevel"/>
    <w:lvl w:ilvl="0">
      <w:lvlJc w:val="left"/>
      <w:lvlText w:val="%1."/>
      <w:numFmt w:val="decimal"/>
      <w:start w:val="19"/>
    </w:lvl>
  </w:abstractNum>
  <w:abstractNum w:abstractNumId="389">
    <w:nsid w:val="3B2125A3"/>
    <w:multiLevelType w:val="hybridMultilevel"/>
    <w:lvl w:ilvl="0">
      <w:lvlJc w:val="left"/>
      <w:lvlText w:val="%1."/>
      <w:numFmt w:val="decimal"/>
      <w:start w:val="20"/>
    </w:lvl>
  </w:abstractNum>
  <w:abstractNum w:abstractNumId="390">
    <w:nsid w:val="AC68FFB"/>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391">
    <w:nsid w:val="63DF3FB7"/>
    <w:multiLevelType w:val="hybridMultilevel"/>
    <w:lvl w:ilvl="0">
      <w:lvlJc w:val="left"/>
      <w:lvlText w:val="%1."/>
      <w:numFmt w:val="decimal"/>
      <w:start w:val="28"/>
    </w:lvl>
  </w:abstractNum>
  <w:abstractNum w:abstractNumId="392">
    <w:nsid w:val="64996E13"/>
    <w:multiLevelType w:val="hybridMultilevel"/>
    <w:lvl w:ilvl="0">
      <w:lvlJc w:val="left"/>
      <w:lvlText w:val="%1."/>
      <w:numFmt w:val="lowerLetter"/>
      <w:start w:val="1"/>
    </w:lvl>
    <w:lvl w:ilvl="1">
      <w:lvlJc w:val="left"/>
      <w:lvlText w:val="•"/>
      <w:numFmt w:val="bullet"/>
      <w:start w:val="1"/>
    </w:lvl>
  </w:abstractNum>
  <w:abstractNum w:abstractNumId="393">
    <w:nsid w:val="57A37D47"/>
    <w:multiLevelType w:val="hybridMultilevel"/>
    <w:lvl w:ilvl="0">
      <w:lvlJc w:val="left"/>
      <w:lvlText w:val="%1."/>
      <w:numFmt w:val="lowerLetter"/>
      <w:start w:val="3"/>
    </w:lvl>
  </w:abstractNum>
  <w:abstractNum w:abstractNumId="394">
    <w:nsid w:val="74824D54"/>
    <w:multiLevelType w:val="hybridMultilevel"/>
    <w:lvl w:ilvl="0">
      <w:lvlJc w:val="left"/>
      <w:lvlText w:val="%1."/>
      <w:numFmt w:val="decimal"/>
      <w:start w:val="35"/>
    </w:lvl>
  </w:abstractNum>
  <w:abstractNum w:abstractNumId="395">
    <w:nsid w:val="6F00529A"/>
    <w:multiLevelType w:val="hybridMultilevel"/>
    <w:lvl w:ilvl="0">
      <w:lvlJc w:val="left"/>
      <w:lvlText w:val="%1."/>
      <w:numFmt w:val="decimal"/>
      <w:start w:val="36"/>
    </w:lvl>
  </w:abstractNum>
  <w:abstractNum w:abstractNumId="396">
    <w:nsid w:val="805B331"/>
    <w:multiLevelType w:val="hybridMultilevel"/>
    <w:lvl w:ilvl="0">
      <w:lvlJc w:val="left"/>
      <w:lvlText w:val="%1."/>
      <w:numFmt w:val="decimal"/>
      <w:start w:val="37"/>
    </w:lvl>
  </w:abstractNum>
  <w:abstractNum w:abstractNumId="397">
    <w:nsid w:val="60A1463"/>
    <w:multiLevelType w:val="hybridMultilevel"/>
    <w:lvl w:ilvl="0">
      <w:lvlJc w:val="left"/>
      <w:lvlText w:val="%1"/>
      <w:numFmt w:val="decimal"/>
      <w:start w:val="1"/>
    </w:lvl>
    <w:lvl w:ilvl="1">
      <w:lvlJc w:val="left"/>
      <w:lvlText w:val="%2."/>
      <w:numFmt w:val="lowerLetter"/>
      <w:start w:val="1"/>
    </w:lvl>
  </w:abstractNum>
  <w:abstractNum w:abstractNumId="398">
    <w:nsid w:val="43773132"/>
    <w:multiLevelType w:val="hybridMultilevel"/>
    <w:lvl w:ilvl="0">
      <w:lvlJc w:val="left"/>
      <w:lvlText w:val="%1."/>
      <w:numFmt w:val="decimal"/>
      <w:start w:val="42"/>
    </w:lvl>
    <w:lvl w:ilvl="1">
      <w:lvlJc w:val="left"/>
      <w:lvlText w:val="%2"/>
      <w:numFmt w:val="lowerLetter"/>
      <w:start w:val="1"/>
    </w:lvl>
  </w:abstractNum>
  <w:abstractNum w:abstractNumId="399">
    <w:nsid w:val="16AC4B23"/>
    <w:multiLevelType w:val="hybridMultilevel"/>
    <w:lvl w:ilvl="0">
      <w:lvlJc w:val="left"/>
      <w:lvlText w:val="%1."/>
      <w:numFmt w:val="decimal"/>
      <w:start w:val="43"/>
    </w:lvl>
  </w:abstractNum>
  <w:abstractNum w:abstractNumId="400">
    <w:nsid w:val="76C44E4E"/>
    <w:multiLevelType w:val="hybridMultilevel"/>
    <w:lvl w:ilvl="0">
      <w:lvlJc w:val="left"/>
      <w:lvlText w:val="%1."/>
      <w:numFmt w:val="decimal"/>
      <w:start w:val="45"/>
    </w:lvl>
  </w:abstractNum>
  <w:abstractNum w:abstractNumId="401">
    <w:nsid w:val="E04E6CE"/>
    <w:multiLevelType w:val="hybridMultilevel"/>
    <w:lvl w:ilvl="0">
      <w:lvlJc w:val="left"/>
      <w:lvlText w:val="%1."/>
      <w:numFmt w:val="decimal"/>
      <w:start w:val="50"/>
    </w:lvl>
    <w:lvl w:ilvl="1">
      <w:lvlJc w:val="left"/>
      <w:lvlText w:val="%2."/>
      <w:numFmt w:val="lowerLetter"/>
      <w:start w:val="1"/>
    </w:lvl>
  </w:abstractNum>
  <w:abstractNum w:abstractNumId="402">
    <w:nsid w:val="31A9DB76"/>
    <w:multiLevelType w:val="hybridMultilevel"/>
    <w:lvl w:ilvl="0">
      <w:lvlJc w:val="left"/>
      <w:lvlText w:val="%1."/>
      <w:numFmt w:val="decimal"/>
      <w:start w:val="51"/>
    </w:lvl>
  </w:abstractNum>
  <w:abstractNum w:abstractNumId="403">
    <w:nsid w:val="4C4FFF5B"/>
    <w:multiLevelType w:val="hybridMultilevel"/>
    <w:lvl w:ilvl="0">
      <w:lvlJc w:val="left"/>
      <w:lvlText w:val="%1."/>
      <w:numFmt w:val="decimal"/>
      <w:start w:val="52"/>
    </w:lvl>
  </w:abstractNum>
  <w:abstractNum w:abstractNumId="404">
    <w:nsid w:val="51B76675"/>
    <w:multiLevelType w:val="hybridMultilevel"/>
    <w:lvl w:ilvl="0">
      <w:lvlJc w:val="left"/>
      <w:lvlText w:val="%1."/>
      <w:numFmt w:val="decimal"/>
      <w:start w:val="53"/>
    </w:lvl>
  </w:abstractNum>
  <w:abstractNum w:abstractNumId="405">
    <w:nsid w:val="59A4BA71"/>
    <w:multiLevelType w:val="hybridMultilevel"/>
    <w:lvl w:ilvl="0">
      <w:lvlJc w:val="left"/>
      <w:lvlText w:val="%1."/>
      <w:numFmt w:val="lowerLetter"/>
      <w:start w:val="1"/>
    </w:lvl>
  </w:abstractNum>
  <w:abstractNum w:abstractNumId="406">
    <w:nsid w:val="450B7FB6"/>
    <w:multiLevelType w:val="hybridMultilevel"/>
    <w:lvl w:ilvl="0">
      <w:lvlJc w:val="left"/>
      <w:lvlText w:val="%1."/>
      <w:numFmt w:val="lowerLetter"/>
      <w:start w:val="1"/>
    </w:lvl>
  </w:abstractNum>
  <w:abstractNum w:abstractNumId="407">
    <w:nsid w:val="340BF64D"/>
    <w:multiLevelType w:val="hybridMultilevel"/>
    <w:lvl w:ilvl="0">
      <w:lvlJc w:val="left"/>
      <w:lvlText w:val="%1."/>
      <w:numFmt w:val="decimal"/>
      <w:start w:val="59"/>
    </w:lvl>
    <w:lvl w:ilvl="1">
      <w:lvlJc w:val="left"/>
      <w:lvlText w:val="%2."/>
      <w:numFmt w:val="lowerLetter"/>
      <w:start w:val="1"/>
    </w:lvl>
  </w:abstractNum>
  <w:abstractNum w:abstractNumId="408">
    <w:nsid w:val="69454021"/>
    <w:multiLevelType w:val="hybridMultilevel"/>
    <w:lvl w:ilvl="0">
      <w:lvlJc w:val="left"/>
      <w:lvlText w:val="%1."/>
      <w:numFmt w:val="decimal"/>
      <w:start w:val="63"/>
    </w:lvl>
    <w:lvl w:ilvl="1">
      <w:lvlJc w:val="left"/>
      <w:lvlText w:val="%2."/>
      <w:numFmt w:val="lowerLetter"/>
      <w:start w:val="1"/>
    </w:lvl>
  </w:abstractNum>
  <w:abstractNum w:abstractNumId="409">
    <w:nsid w:val="49F15C6B"/>
    <w:multiLevelType w:val="hybridMultilevel"/>
    <w:lvl w:ilvl="0">
      <w:lvlJc w:val="left"/>
      <w:lvlText w:val="%1"/>
      <w:numFmt w:val="decimal"/>
      <w:start w:val="1"/>
    </w:lvl>
    <w:lvl w:ilvl="1">
      <w:lvlJc w:val="left"/>
      <w:lvlText w:val="%2."/>
      <w:numFmt w:val="lowerLetter"/>
      <w:start w:val="5"/>
    </w:lvl>
  </w:abstractNum>
  <w:abstractNum w:abstractNumId="410">
    <w:nsid w:val="75F56228"/>
    <w:multiLevelType w:val="hybridMultilevel"/>
    <w:lvl w:ilvl="0">
      <w:lvlJc w:val="left"/>
      <w:lvlText w:val="%1."/>
      <w:numFmt w:val="decimal"/>
      <w:start w:val="66"/>
    </w:lvl>
    <w:lvl w:ilvl="1">
      <w:lvlJc w:val="left"/>
      <w:lvlText w:val="%2"/>
      <w:numFmt w:val="lowerLetter"/>
      <w:start w:val="1"/>
    </w:lvl>
  </w:abstractNum>
  <w:abstractNum w:abstractNumId="411">
    <w:nsid w:val="1C618271"/>
    <w:multiLevelType w:val="hybridMultilevel"/>
    <w:lvl w:ilvl="0">
      <w:lvlJc w:val="left"/>
      <w:lvlText w:val="%1."/>
      <w:numFmt w:val="decimal"/>
      <w:start w:val="68"/>
    </w:lvl>
  </w:abstractNum>
  <w:abstractNum w:abstractNumId="412">
    <w:nsid w:val="6505F02E"/>
    <w:multiLevelType w:val="hybridMultilevel"/>
    <w:lvl w:ilvl="0">
      <w:lvlJc w:val="left"/>
      <w:lvlText w:val="%1."/>
      <w:numFmt w:val="decimal"/>
      <w:start w:val="69"/>
    </w:lvl>
  </w:abstractNum>
  <w:abstractNum w:abstractNumId="413">
    <w:nsid w:val="2FE5D025"/>
    <w:multiLevelType w:val="hybridMultilevel"/>
    <w:lvl w:ilvl="0">
      <w:lvlJc w:val="left"/>
      <w:lvlText w:val="%1."/>
      <w:numFmt w:val="decimal"/>
      <w:start w:val="70"/>
    </w:lvl>
    <w:lvl w:ilvl="1">
      <w:lvlJc w:val="left"/>
      <w:lvlText w:val="%2."/>
      <w:numFmt w:val="lowerLetter"/>
      <w:start w:val="1"/>
    </w:lvl>
  </w:abstractNum>
  <w:abstractNum w:abstractNumId="414">
    <w:nsid w:val="30E1B1CF"/>
    <w:multiLevelType w:val="hybridMultilevel"/>
    <w:lvl w:ilvl="0">
      <w:lvlJc w:val="left"/>
      <w:lvlText w:val="1"/>
      <w:numFmt w:val="bullet"/>
      <w:start w:val="1"/>
    </w:lvl>
  </w:abstractNum>
  <w:abstractNum w:abstractNumId="415">
    <w:nsid w:val="C7A9237"/>
    <w:multiLevelType w:val="hybridMultilevel"/>
    <w:lvl w:ilvl="0">
      <w:lvlJc w:val="left"/>
      <w:lvlText w:val="2"/>
      <w:numFmt w:val="bullet"/>
      <w:start w:val="1"/>
    </w:lvl>
    <w:lvl w:ilvl="1">
      <w:lvlJc w:val="left"/>
      <w:lvlText w:val="%2."/>
      <w:numFmt w:val="lowerLetter"/>
      <w:start w:val="1"/>
    </w:lvl>
  </w:abstractNum>
  <w:abstractNum w:abstractNumId="416">
    <w:nsid w:val="676B3580"/>
    <w:multiLevelType w:val="hybridMultilevel"/>
    <w:lvl w:ilvl="0">
      <w:lvlJc w:val="left"/>
      <w:lvlText w:val="3"/>
      <w:numFmt w:val="bullet"/>
      <w:start w:val="1"/>
    </w:lvl>
  </w:abstractNum>
  <w:abstractNum w:abstractNumId="417">
    <w:nsid w:val="3193C8F9"/>
    <w:multiLevelType w:val="hybridMultilevel"/>
    <w:lvl w:ilvl="0">
      <w:lvlJc w:val="left"/>
      <w:lvlText w:val="4"/>
      <w:numFmt w:val="bullet"/>
      <w:start w:val="1"/>
    </w:lvl>
  </w:abstractNum>
  <w:abstractNum w:abstractNumId="418">
    <w:nsid w:val="5FA6C6DC"/>
    <w:multiLevelType w:val="hybridMultilevel"/>
    <w:lvl w:ilvl="0">
      <w:lvlJc w:val="left"/>
      <w:lvlText w:val="5"/>
      <w:numFmt w:val="bullet"/>
      <w:start w:val="1"/>
    </w:lvl>
  </w:abstractNum>
  <w:abstractNum w:abstractNumId="419">
    <w:nsid w:val="77933F62"/>
    <w:multiLevelType w:val="hybridMultilevel"/>
    <w:lvl w:ilvl="0">
      <w:lvlJc w:val="left"/>
      <w:lvlText w:val="6"/>
      <w:numFmt w:val="bullet"/>
      <w:start w:val="1"/>
    </w:lvl>
  </w:abstractNum>
  <w:abstractNum w:abstractNumId="420">
    <w:nsid w:val="6CB4EE9C"/>
    <w:multiLevelType w:val="hybridMultilevel"/>
    <w:lvl w:ilvl="0">
      <w:lvlJc w:val="left"/>
      <w:lvlText w:val="7"/>
      <w:numFmt w:val="bullet"/>
      <w:start w:val="1"/>
    </w:lvl>
  </w:abstractNum>
  <w:abstractNum w:abstractNumId="421">
    <w:nsid w:val="6A6D56D7"/>
    <w:multiLevelType w:val="hybridMultilevel"/>
    <w:lvl w:ilvl="0">
      <w:lvlJc w:val="left"/>
      <w:lvlText w:val="(%1)"/>
      <w:numFmt w:val="lowerRoman"/>
      <w:start w:val="1"/>
    </w:lvl>
  </w:abstractNum>
  <w:abstractNum w:abstractNumId="422">
    <w:nsid w:val="5B727F19"/>
    <w:multiLevelType w:val="hybridMultilevel"/>
    <w:lvl w:ilvl="0">
      <w:lvlJc w:val="left"/>
      <w:lvlText w:val="%1"/>
      <w:numFmt w:val="decimal"/>
      <w:start w:val="10"/>
    </w:lvl>
  </w:abstractNum>
  <w:abstractNum w:abstractNumId="423">
    <w:nsid w:val="514E5CB0"/>
    <w:multiLevelType w:val="hybridMultilevel"/>
    <w:lvl w:ilvl="0">
      <w:lvlJc w:val="left"/>
      <w:lvlText w:val="%1"/>
      <w:numFmt w:val="decimal"/>
      <w:start w:val="15"/>
    </w:lvl>
    <w:lvl w:ilvl="1">
      <w:lvlJc w:val="left"/>
      <w:lvlText w:val="•"/>
      <w:numFmt w:val="bullet"/>
      <w:start w:val="1"/>
    </w:lvl>
  </w:abstractNum>
  <w:abstractNum w:abstractNumId="424">
    <w:nsid w:val="4210D41E"/>
    <w:multiLevelType w:val="hybridMultilevel"/>
    <w:lvl w:ilvl="0">
      <w:lvlJc w:val="left"/>
      <w:lvlText w:val="%1"/>
      <w:numFmt w:val="decimal"/>
      <w:start w:val="16"/>
    </w:lvl>
  </w:abstractNum>
  <w:abstractNum w:abstractNumId="425">
    <w:nsid w:val="4FF4CC6D"/>
    <w:multiLevelType w:val="hybridMultilevel"/>
    <w:lvl w:ilvl="0">
      <w:lvlJc w:val="left"/>
      <w:lvlText w:val="%1"/>
      <w:numFmt w:val="decimal"/>
      <w:start w:val="22"/>
    </w:lvl>
    <w:lvl w:ilvl="1">
      <w:lvlJc w:val="left"/>
      <w:lvlText w:val="•"/>
      <w:numFmt w:val="bullet"/>
      <w:start w:val="1"/>
    </w:lvl>
  </w:abstractNum>
  <w:abstractNum w:abstractNumId="426">
    <w:nsid w:val="404EAF4A"/>
    <w:multiLevelType w:val="hybridMultilevel"/>
    <w:lvl w:ilvl="0">
      <w:lvlJc w:val="left"/>
      <w:lvlText w:val="%1"/>
      <w:numFmt w:val="decimal"/>
      <w:start w:val="26"/>
    </w:lvl>
  </w:abstractNum>
  <w:abstractNum w:abstractNumId="427">
    <w:nsid w:val="4A16874F"/>
    <w:multiLevelType w:val="hybridMultilevel"/>
    <w:lvl w:ilvl="0">
      <w:lvlJc w:val="left"/>
      <w:lvlText w:val="1"/>
      <w:numFmt w:val="bullet"/>
      <w:start w:val="1"/>
    </w:lvl>
  </w:abstractNum>
  <w:abstractNum w:abstractNumId="428">
    <w:nsid w:val="55FEE0D1"/>
    <w:multiLevelType w:val="hybridMultilevel"/>
    <w:lvl w:ilvl="0">
      <w:lvlJc w:val="left"/>
      <w:lvlText w:val="2"/>
      <w:numFmt w:val="bullet"/>
      <w:start w:val="1"/>
    </w:lvl>
    <w:lvl w:ilvl="1">
      <w:lvlJc w:val="left"/>
      <w:lvlText w:val="%2."/>
      <w:numFmt w:val="lowerLetter"/>
      <w:start w:val="1"/>
    </w:lvl>
  </w:abstractNum>
  <w:abstractNum w:abstractNumId="429">
    <w:nsid w:val="3C5E07C"/>
    <w:multiLevelType w:val="hybridMultilevel"/>
    <w:lvl w:ilvl="0">
      <w:lvlJc w:val="left"/>
      <w:lvlText w:val="3"/>
      <w:numFmt w:val="bullet"/>
      <w:start w:val="1"/>
    </w:lvl>
    <w:lvl w:ilvl="1">
      <w:lvlJc w:val="left"/>
      <w:lvlText w:val="•"/>
      <w:numFmt w:val="bullet"/>
      <w:start w:val="1"/>
    </w:lvl>
  </w:abstractNum>
  <w:abstractNum w:abstractNumId="430">
    <w:nsid w:val="60C2D273"/>
    <w:multiLevelType w:val="hybridMultilevel"/>
    <w:lvl w:ilvl="0">
      <w:lvlJc w:val="left"/>
      <w:lvlText w:val="4"/>
      <w:numFmt w:val="bullet"/>
      <w:start w:val="1"/>
    </w:lvl>
  </w:abstractNum>
  <w:abstractNum w:abstractNumId="431">
    <w:nsid w:val="4CC32F1F"/>
    <w:multiLevelType w:val="hybridMultilevel"/>
    <w:lvl w:ilvl="0">
      <w:lvlJc w:val="left"/>
      <w:lvlText w:val="%1."/>
      <w:numFmt w:val="decimal"/>
      <w:start w:val="1"/>
    </w:lvl>
    <w:lvl w:ilvl="1">
      <w:lvlJc w:val="left"/>
      <w:lvlText w:val="%2."/>
      <w:numFmt w:val="lowerLetter"/>
      <w:start w:val="1"/>
    </w:lvl>
  </w:abstractNum>
  <w:abstractNum w:abstractNumId="432">
    <w:nsid w:val="11CAC74A"/>
    <w:multiLevelType w:val="hybridMultilevel"/>
    <w:lvl w:ilvl="0">
      <w:lvlJc w:val="left"/>
      <w:lvlText w:val="%1."/>
      <w:numFmt w:val="lowerLetter"/>
      <w:start w:val="5"/>
    </w:lvl>
  </w:abstractNum>
  <w:abstractNum w:abstractNumId="433">
    <w:nsid w:val="126CADE9"/>
    <w:multiLevelType w:val="hybridMultilevel"/>
    <w:lvl w:ilvl="0">
      <w:lvlJc w:val="left"/>
      <w:lvlText w:val="%1."/>
      <w:numFmt w:val="decimal"/>
      <w:start w:val="2"/>
    </w:lvl>
  </w:abstractNum>
  <w:abstractNum w:abstractNumId="434">
    <w:nsid w:val="19132E7B"/>
    <w:multiLevelType w:val="hybridMultilevel"/>
    <w:lvl w:ilvl="0">
      <w:lvlJc w:val="left"/>
      <w:lvlText w:val="1"/>
      <w:numFmt w:val="bullet"/>
      <w:start w:val="1"/>
    </w:lvl>
  </w:abstractNum>
  <w:abstractNum w:abstractNumId="435">
    <w:nsid w:val="63822DC0"/>
    <w:multiLevelType w:val="hybridMultilevel"/>
    <w:lvl w:ilvl="0">
      <w:lvlJc w:val="left"/>
      <w:lvlText w:val="2"/>
      <w:numFmt w:val="bullet"/>
      <w:start w:val="1"/>
    </w:lvl>
    <w:lvl w:ilvl="1">
      <w:lvlJc w:val="left"/>
      <w:lvlText w:val="%2."/>
      <w:numFmt w:val="lowerLetter"/>
      <w:start w:val="1"/>
    </w:lvl>
  </w:abstractNum>
  <w:abstractNum w:abstractNumId="436">
    <w:nsid w:val="6C11685A"/>
    <w:multiLevelType w:val="hybridMultilevel"/>
    <w:lvl w:ilvl="0">
      <w:lvlJc w:val="left"/>
      <w:lvlText w:val="3"/>
      <w:numFmt w:val="bullet"/>
      <w:start w:val="1"/>
    </w:lvl>
  </w:abstractNum>
  <w:abstractNum w:abstractNumId="437">
    <w:nsid w:val="5E1EAE31"/>
    <w:multiLevelType w:val="hybridMultilevel"/>
    <w:lvl w:ilvl="0">
      <w:lvlJc w:val="left"/>
      <w:lvlText w:val="4"/>
      <w:numFmt w:val="bullet"/>
      <w:start w:val="1"/>
    </w:lvl>
  </w:abstractNum>
  <w:abstractNum w:abstractNumId="438">
    <w:nsid w:val="178E240D"/>
    <w:multiLevelType w:val="hybridMultilevel"/>
    <w:lvl w:ilvl="0">
      <w:lvlJc w:val="left"/>
      <w:lvlText w:val="5"/>
      <w:numFmt w:val="bullet"/>
      <w:start w:val="1"/>
    </w:lvl>
  </w:abstractNum>
  <w:abstractNum w:abstractNumId="439">
    <w:nsid w:val="5556A87B"/>
    <w:multiLevelType w:val="hybridMultilevel"/>
    <w:lvl w:ilvl="0">
      <w:lvlJc w:val="left"/>
      <w:lvlText w:val="6"/>
      <w:numFmt w:val="bullet"/>
      <w:start w:val="1"/>
    </w:lvl>
  </w:abstractNum>
  <w:abstractNum w:abstractNumId="440">
    <w:nsid w:val="28100A9C"/>
    <w:multiLevelType w:val="hybridMultilevel"/>
    <w:lvl w:ilvl="0">
      <w:lvlJc w:val="left"/>
      <w:lvlText w:val="7"/>
      <w:numFmt w:val="bullet"/>
      <w:start w:val="1"/>
    </w:lvl>
  </w:abstractNum>
  <w:abstractNum w:abstractNumId="441">
    <w:nsid w:val="D838636"/>
    <w:multiLevelType w:val="hybridMultilevel"/>
    <w:lvl w:ilvl="0">
      <w:lvlJc w:val="left"/>
      <w:lvlText w:val="(%1)"/>
      <w:numFmt w:val="lowerRoman"/>
      <w:start w:val="1"/>
    </w:lvl>
  </w:abstractNum>
  <w:abstractNum w:abstractNumId="442">
    <w:nsid w:val="71B82AED"/>
    <w:multiLevelType w:val="hybridMultilevel"/>
    <w:lvl w:ilvl="0">
      <w:lvlJc w:val="left"/>
      <w:lvlText w:val="%1"/>
      <w:numFmt w:val="decimal"/>
      <w:start w:val="10"/>
    </w:lvl>
    <w:lvl w:ilvl="1">
      <w:lvlJc w:val="left"/>
      <w:lvlText w:val="•"/>
      <w:numFmt w:val="bullet"/>
      <w:start w:val="1"/>
    </w:lvl>
  </w:abstractNum>
  <w:abstractNum w:abstractNumId="443">
    <w:nsid w:val="D15FACA"/>
    <w:multiLevelType w:val="hybridMultilevel"/>
    <w:lvl w:ilvl="0">
      <w:lvlJc w:val="left"/>
      <w:lvlText w:val="%1"/>
      <w:numFmt w:val="decimal"/>
      <w:start w:val="16"/>
    </w:lvl>
  </w:abstractNum>
  <w:abstractNum w:abstractNumId="444">
    <w:nsid w:val="3D69565B"/>
    <w:multiLevelType w:val="hybridMultilevel"/>
    <w:lvl w:ilvl="0">
      <w:lvlJc w:val="left"/>
      <w:lvlText w:val="%1"/>
      <w:numFmt w:val="decimal"/>
      <w:start w:val="17"/>
    </w:lvl>
  </w:abstractNum>
  <w:abstractNum w:abstractNumId="445">
    <w:nsid w:val="2299DCBC"/>
    <w:multiLevelType w:val="hybridMultilevel"/>
    <w:lvl w:ilvl="0">
      <w:lvlJc w:val="left"/>
      <w:lvlText w:val="%1"/>
      <w:numFmt w:val="decimal"/>
      <w:start w:val="25"/>
    </w:lvl>
    <w:lvl w:ilvl="1">
      <w:lvlJc w:val="left"/>
      <w:lvlText w:val="•"/>
      <w:numFmt w:val="bullet"/>
      <w:start w:val="1"/>
    </w:lvl>
  </w:abstractNum>
  <w:abstractNum w:abstractNumId="446">
    <w:nsid w:val="19908D02"/>
    <w:multiLevelType w:val="hybridMultilevel"/>
    <w:lvl w:ilvl="0">
      <w:lvlJc w:val="left"/>
      <w:lvlText w:val="1"/>
      <w:numFmt w:val="bullet"/>
      <w:start w:val="1"/>
    </w:lvl>
  </w:abstractNum>
  <w:abstractNum w:abstractNumId="447">
    <w:nsid w:val="24D48BDB"/>
    <w:multiLevelType w:val="hybridMultilevel"/>
    <w:lvl w:ilvl="0">
      <w:lvlJc w:val="left"/>
      <w:lvlText w:val="2"/>
      <w:numFmt w:val="bullet"/>
      <w:start w:val="1"/>
    </w:lvl>
    <w:lvl w:ilvl="1">
      <w:lvlJc w:val="left"/>
      <w:lvlText w:val="%2."/>
      <w:numFmt w:val="lowerLetter"/>
      <w:start w:val="1"/>
    </w:lvl>
  </w:abstractNum>
  <w:abstractNum w:abstractNumId="448">
    <w:nsid w:val="542DA5B5"/>
    <w:multiLevelType w:val="hybridMultilevel"/>
    <w:lvl w:ilvl="0">
      <w:lvlJc w:val="left"/>
      <w:lvlText w:val="3"/>
      <w:numFmt w:val="bullet"/>
      <w:start w:val="1"/>
    </w:lvl>
  </w:abstractNum>
  <w:abstractNum w:abstractNumId="449">
    <w:nsid w:val="793753DE"/>
    <w:multiLevelType w:val="hybridMultilevel"/>
    <w:lvl w:ilvl="0">
      <w:lvlJc w:val="left"/>
      <w:lvlText w:val="•"/>
      <w:numFmt w:val="bullet"/>
      <w:start w:val="1"/>
    </w:lvl>
  </w:abstractNum>
  <w:abstractNum w:abstractNumId="450">
    <w:nsid w:val="1C67CB3D"/>
    <w:multiLevelType w:val="hybridMultilevel"/>
    <w:lvl w:ilvl="0">
      <w:lvlJc w:val="left"/>
      <w:lvlText w:val="4"/>
      <w:numFmt w:val="bullet"/>
      <w:start w:val="1"/>
    </w:lvl>
  </w:abstractNum>
  <w:abstractNum w:abstractNumId="451">
    <w:nsid w:val="40E29452"/>
    <w:multiLevelType w:val="hybridMultilevel"/>
    <w:lvl w:ilvl="0">
      <w:lvlJc w:val="left"/>
      <w:lvlText w:val="%1."/>
      <w:numFmt w:val="decimal"/>
      <w:start w:val="1"/>
    </w:lvl>
  </w:abstractNum>
  <w:abstractNum w:abstractNumId="452">
    <w:nsid w:val="63A4AAB6"/>
    <w:multiLevelType w:val="hybridMultilevel"/>
    <w:lvl w:ilvl="0">
      <w:lvlJc w:val="left"/>
      <w:lvlText w:val="%1."/>
      <w:numFmt w:val="decimal"/>
      <w:start w:val="1"/>
    </w:lvl>
    <w:lvl w:ilvl="1">
      <w:lvlJc w:val="left"/>
      <w:lvlText w:val="%2."/>
      <w:numFmt w:val="upperLetter"/>
      <w:start w:val="1"/>
    </w:lvl>
  </w:abstractNum>
  <w:abstractNum w:abstractNumId="453">
    <w:nsid w:val="77DA4A57"/>
    <w:multiLevelType w:val="hybridMultilevel"/>
    <w:lvl w:ilvl="0">
      <w:lvlJc w:val="left"/>
      <w:lvlText w:val="%1."/>
      <w:numFmt w:val="upperLetter"/>
      <w:start w:val="3"/>
    </w:lvl>
    <w:lvl w:ilvl="1">
      <w:lvlJc w:val="left"/>
      <w:lvlText w:val="(%2)"/>
      <w:numFmt w:val="lowerLetter"/>
      <w:start w:val="1"/>
    </w:lvl>
  </w:abstractNum>
  <w:abstractNum w:abstractNumId="454">
    <w:nsid w:val="1230F102"/>
    <w:multiLevelType w:val="hybridMultilevel"/>
    <w:lvl w:ilvl="0">
      <w:lvlJc w:val="left"/>
      <w:lvlText w:val="(%1)"/>
      <w:numFmt w:val="lowerLetter"/>
      <w:start w:val="2"/>
    </w:lvl>
  </w:abstractNum>
  <w:abstractNum w:abstractNumId="455">
    <w:nsid w:val="25B57ED4"/>
    <w:multiLevelType w:val="hybridMultilevel"/>
    <w:lvl w:ilvl="0">
      <w:lvlJc w:val="left"/>
      <w:lvlText w:val="%1."/>
      <w:numFmt w:val="upperLetter"/>
      <w:start w:val="8"/>
    </w:lvl>
    <w:lvl w:ilvl="1">
      <w:lvlJc w:val="left"/>
      <w:lvlText w:val="%2."/>
      <w:numFmt w:val="decimal"/>
      <w:start w:val="1"/>
    </w:lvl>
  </w:abstractNum>
  <w:abstractNum w:abstractNumId="456">
    <w:nsid w:val="47CF16C4"/>
    <w:multiLevelType w:val="hybridMultilevel"/>
    <w:lvl w:ilvl="0">
      <w:lvlJc w:val="left"/>
      <w:lvlText w:val="%1."/>
      <w:numFmt w:val="decimal"/>
      <w:start w:val="1"/>
    </w:lvl>
    <w:lvl w:ilvl="1">
      <w:lvlJc w:val="left"/>
      <w:lvlText w:val="(%2)"/>
      <w:numFmt w:val="lowerLetter"/>
      <w:start w:val="1"/>
    </w:lvl>
  </w:abstractNum>
  <w:abstractNum w:abstractNumId="457">
    <w:nsid w:val="527FA04C"/>
    <w:multiLevelType w:val="hybridMultilevel"/>
    <w:lvl w:ilvl="0">
      <w:lvlJc w:val="left"/>
      <w:lvlText w:val="%1."/>
      <w:numFmt w:val="decimal"/>
      <w:start w:val="1"/>
    </w:lvl>
    <w:lvl w:ilvl="1">
      <w:lvlJc w:val="left"/>
      <w:lvlText w:val="(%2)"/>
      <w:numFmt w:val="lowerLetter"/>
      <w:start w:val="1"/>
    </w:lvl>
  </w:abstractNum>
  <w:abstractNum w:abstractNumId="458">
    <w:nsid w:val="6FCC0624"/>
    <w:multiLevelType w:val="hybridMultilevel"/>
    <w:lvl w:ilvl="0">
      <w:lvlJc w:val="left"/>
      <w:lvlText w:val="(%1)"/>
      <w:numFmt w:val="decimal"/>
      <w:start w:val="1"/>
    </w:lvl>
  </w:abstractNum>
  <w:abstractNum w:abstractNumId="459">
    <w:nsid w:val="1DCDF7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2019-12-06T20:15:54Z</dcterms:created>
  <dcterms:modified xsi:type="dcterms:W3CDTF">2019-12-06T20:15:54Z</dcterms:modified>
</cp:coreProperties>
</file>