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April, 2014</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Suite 5, Tower Hill House Le Bordage</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April 30, 2014, Amdocs Limited (“Amdocs”) issued a press release announcing financial results for the quarter ended March 31, 2014. A copy of the press release is furnished as Exhibit 99.1 to this Report of Foreign Private Issuer on Form 6-K.</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220"/>
          </w:cols>
          <w:pgMar w:left="240" w:top="274" w:right="4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Elizabeth W. McDermon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2014</w:t>
      </w:r>
    </w:p>
    <w:p>
      <w:pPr>
        <w:sectPr>
          <w:pgSz w:w="11900" w:h="16838" w:orient="portrait"/>
          <w:cols w:equalWidth="0" w:num="1">
            <w:col w:w="11260"/>
          </w:cols>
          <w:pgMar w:left="240" w:top="270" w:right="39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80"/>
        <w:spacing w:after="0"/>
        <w:tabs>
          <w:tab w:leader="none" w:pos="12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8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8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April 30, 2014.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6089015" cy="351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8901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Record Quarterly Revenue of $897M, Up 7.7% YoY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Reiterates FY14 Non-GAAP Diluted EPS Growth Outlook of 6-9% YoY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$750M Additional Share Repurchase Program Authorized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31" w:lineRule="exact"/>
        <w:rPr>
          <w:sz w:val="20"/>
          <w:szCs w:val="20"/>
          <w:color w:val="auto"/>
        </w:rPr>
      </w:pPr>
    </w:p>
    <w:p>
      <w:pPr>
        <w:ind w:left="440" w:right="100" w:hanging="324"/>
        <w:spacing w:after="0" w:line="277"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fiscal quarter revenue of $897 million, within the $880-$910 million guidance range. Foreign currency movements negatively affected revenue by approximately $2 million relative to the first quarter of fiscal 2014</w:t>
      </w:r>
    </w:p>
    <w:p>
      <w:pPr>
        <w:spacing w:after="0" w:line="75" w:lineRule="exact"/>
        <w:rPr>
          <w:rFonts w:ascii="Arial" w:cs="Arial" w:eastAsia="Arial" w:hAnsi="Arial"/>
          <w:sz w:val="18"/>
          <w:szCs w:val="18"/>
          <w:color w:val="auto"/>
        </w:rPr>
      </w:pPr>
    </w:p>
    <w:p>
      <w:pPr>
        <w:ind w:left="440" w:right="280" w:hanging="324"/>
        <w:spacing w:after="0" w:line="264"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has authorized a share repurchase plan allowing the repurchase of up to $750 million of ordinary shares at the company’s discretion; this plan has no expiration date and is in addition to the current authorization program, which, as of March 31, 2014, provided up to $167 million of remaining repurchase authority</w:t>
      </w:r>
    </w:p>
    <w:p>
      <w:pPr>
        <w:spacing w:after="0" w:line="86"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Second fiscal quarter non-GAAP operating income of $151 million; non-GAAP operating margin of 16.8%; GAAP operating income of $124 million</w:t>
      </w:r>
    </w:p>
    <w:p>
      <w:pPr>
        <w:spacing w:after="0" w:line="142" w:lineRule="exact"/>
        <w:rPr>
          <w:rFonts w:ascii="Arial" w:cs="Arial" w:eastAsia="Arial" w:hAnsi="Arial"/>
          <w:sz w:val="17"/>
          <w:szCs w:val="17"/>
          <w:color w:val="auto"/>
        </w:rPr>
      </w:pPr>
    </w:p>
    <w:p>
      <w:pPr>
        <w:ind w:left="440" w:right="220" w:hanging="324"/>
        <w:spacing w:after="0" w:line="277"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fiscal quarter diluted non-GAAP EPS of $0.81, within the $0.75-$0.81 guidance range, excluding amortization of purchased intangible assets and other acquisition related costs and equity-based compensation expense, net of related tax effects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$0.68 for the second fiscal quarter, within the $0.61-$0.69 guidance range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$106 million for the second fiscal quarter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Twelve-month backlog of $2.94 billion at the end of the second fiscal quarter, up $50 million from the end of the first quarter of fiscal 2014</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$85 million of ordinary shares during the second fiscal quarter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approved a $0.155 per share quarterly cash dividend to be paid on July 18, 2014</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Third quarter fiscal 2014 guidance: Expected revenue of approximately $885-$915 million. Expected diluted non-GAAP EPS of approximately</w:t>
      </w:r>
    </w:p>
    <w:p>
      <w:pPr>
        <w:spacing w:after="0" w:line="34" w:lineRule="exact"/>
        <w:rPr>
          <w:rFonts w:ascii="Arial" w:cs="Arial" w:eastAsia="Arial" w:hAnsi="Arial"/>
          <w:sz w:val="17"/>
          <w:szCs w:val="17"/>
          <w:color w:val="auto"/>
        </w:rPr>
      </w:pPr>
    </w:p>
    <w:p>
      <w:pPr>
        <w:ind w:left="440" w:right="440"/>
        <w:spacing w:after="0" w:line="290" w:lineRule="auto"/>
        <w:rPr>
          <w:rFonts w:ascii="Arial" w:cs="Arial" w:eastAsia="Arial" w:hAnsi="Arial"/>
          <w:sz w:val="17"/>
          <w:szCs w:val="17"/>
          <w:color w:val="auto"/>
        </w:rPr>
      </w:pPr>
      <w:r>
        <w:rPr>
          <w:rFonts w:ascii="Arial" w:cs="Arial" w:eastAsia="Arial" w:hAnsi="Arial"/>
          <w:sz w:val="17"/>
          <w:szCs w:val="17"/>
          <w:color w:val="auto"/>
        </w:rPr>
        <w:t>$0.75-$0.81, excluding amortization of purchased intangible assets and other acquisition-related costs and approximately $0.05-$0.06 per share of equity-based compensation expense, net of related tax effects. Expected diluted GAAP EPS of approximately $0.61-$0.69</w:t>
      </w:r>
    </w:p>
    <w:p>
      <w:pPr>
        <w:sectPr>
          <w:pgSz w:w="11900" w:h="16838" w:orient="portrait"/>
          <w:cols w:equalWidth="0" w:num="1">
            <w:col w:w="11420"/>
          </w:cols>
          <w:pgMar w:left="240" w:top="121" w:right="239" w:bottom="1440" w:gutter="0" w:footer="0" w:header="0"/>
        </w:sectPr>
      </w:pPr>
    </w:p>
    <w:bookmarkStart w:id="5" w:name="page6"/>
    <w:bookmarkEnd w:id="5"/>
    <w:p>
      <w:pPr>
        <w:ind w:right="20"/>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 LOUIS – April 30, 2014 </w:t>
      </w:r>
      <w:r>
        <w:rPr>
          <w:rFonts w:ascii="Arial" w:cs="Arial" w:eastAsia="Arial" w:hAnsi="Arial"/>
          <w:sz w:val="17"/>
          <w:szCs w:val="17"/>
          <w:color w:val="auto"/>
        </w:rPr>
        <w:t>– Amdocs Limited (NASDAQ: DOX) today reported that for its fiscal quarter ended March 31, 2014, revenue was $896.9</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up 3.8% sequentially from the first fiscal quarter of 2014 and up 7.7% as compared to last year’s second fiscal quarter. Net income on a non-GAAP basis was $131.9 million, or $0.81 per diluted share, compared to non-GAAP net income of $119.3 million, or $0.73 per diluted share, in the second quarter of fiscal 2013. Non-GAAP net income excludes amortization of purchased intangible assets and other acquisition related costs and equity-based compensation expenses of $21.5 million, net of related tax effects, in the second quarter of fiscal 2014 and excludes such amortization and other acquisition related costs and equity-based compensation expenses of $14.4 million, net of related tax effects, in the second quarter of fiscal 2013. The Company’s GAAP net income for the second quarter of fiscal 2014 was $110.4 million, or $0.68 per diluted share, compared to GAAP net income of $104.9 million, or $0.64 per diluted share, in the prior fiscal year’s second quarter.</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pleased with our solid second fiscal quarter results, which reflect ongoing global demand for Amdocs products and services, contributions from recently acquired assets and consistent execution. We completed the acquisition of Celcite on January 1 and the post-merger integration with Actix is underway as part of a dedicated network software effort within Amdocs. Our network software offerings are well accepted, and we see encouraging signs of customer engagement and sales momentum which we view as an early validation of our strategy in this new domain. Additionally, the future of network software also looks interesting, as demonstrated by our recent inclusion in AT&amp;T’s Domain 2.0 supplier program to support its long-term vision of a User-Defined Network Cloud. We believe our inclusion in this program is recognition of the value we can bring on the cutting edge of network software, including network virtualization”, said Eli Gelman, chief executive officer of Amdocs Management Limited.</w:t>
      </w:r>
    </w:p>
    <w:p>
      <w:pPr>
        <w:sectPr>
          <w:pgSz w:w="11900" w:h="16838" w:orient="portrait"/>
          <w:cols w:equalWidth="0" w:num="1">
            <w:col w:w="11360"/>
          </w:cols>
          <w:pgMar w:left="240" w:top="270" w:right="299" w:bottom="1440" w:gutter="0" w:footer="0" w:header="0"/>
        </w:sectPr>
      </w:pPr>
    </w:p>
    <w:bookmarkStart w:id="6" w:name="page7"/>
    <w:bookmarkEnd w:id="6"/>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Gelman continued, “Today, we are pleased to announce that Sprint has extended its existing managed services deal with Amdocs for its billing and customer care systems. Additionally, the agreement has been expanded to include Sprint’s selection of Amdocs CES 9.1 Convergent Charging to enable real-time charging capability. This new arrangement reinforces a long-standing strategic partnership with one of our largest customers and removes a key source of uncertainty that resulted from Softbank’s investment in Sprint in 2013. With that said, our outlook still remains subject to much uncertainty, including with respect to the outcomes of other industry consolidation activity in North America which is ongoing in wireless and Pay TV markets.”</w:t>
      </w:r>
    </w:p>
    <w:p>
      <w:pPr>
        <w:spacing w:after="0" w:line="15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Gelman said, “In the emerging markets, we have been selected for the transformation of wireline business support systems (BSS) at Telefónica Argentina. This highly strategic customer win follows our successful transformation of Telefónica Argentina’s wireless operations, and demonstrates the full breadth of support we expect to provide across multiple lines of business with our CES 9 market leading product set and integrated services.”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Gelman concluded, “As we embark on the second half of fiscal 2014, we are on-track to deliver full year revenue growth toward the mid-point of our previously guided range of 5% to 8%. As a reminder, this outlook reflects many moving parts, including with respect to macroeconomic and industry conditions. We believe we are executing well and we remain comfortable with our non-GAAP earnings per share growth outlook of 6% to 9% for the full year. Furthermore, we remain committed to returning cash to shareholders over the long term. Accordingly, our board has authorized an additional $750 million share repurchase plan. This is in addition to the $167 million that remained as of March 31, 2014 under the current authorization of $500 million and will be executed at the company’s discretion going forward.”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Second Fiscal Quarter Results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Free cash flow was $106 million for the quarter, comprised of cash flow from operations of $131 million less $25 million in net capital expenditures and other.</w:t>
      </w:r>
    </w:p>
    <w:p>
      <w:pPr>
        <w:spacing w:after="0" w:line="17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Twelve-month backlog, which includes anticipated revenue related to contracts, estimated revenue from managed services contracts, letters of intent, maintenance and estimated on-going support activities, was $2.94 billion at the end of the second quarter of fiscal 2014.</w:t>
      </w:r>
    </w:p>
    <w:p>
      <w:pPr>
        <w:sectPr>
          <w:pgSz w:w="11900" w:h="16838" w:orient="portrait"/>
          <w:cols w:equalWidth="0" w:num="1">
            <w:col w:w="11300"/>
          </w:cols>
          <w:pgMar w:left="240" w:top="27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Outlook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Amdocs expects that revenue for the third quarter of fiscal 2014 will be approximately $885-$915 million. Diluted earnings per share on a non-GAAP basis for the third fiscal quarter are expected to be $0.75-$0.81, excluding amortization of purchased intangible assets and other acquisition-related costs and approximately $0.05-$0.06 per share of equity-based compensation expense, net of related tax effects. Amdocs estimates GAAP diluted earnings per share for the third fiscal quarter will be $0.61-$0.69.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Cash Dividend Program</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April 30, 2014, the Board approved the Company’s next quarterly cash dividend payment of $0.155 per share and set June 30, 2014 as the record date for determining the shareholders entitled to receive the dividend, which is payable on July 18,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Amdocs will host a conference call on April 30, 2014 at 5:00 p.m. Eastern Time to discuss the Company’s second fiscal quarter results. The call will be carried live on the Internet via the Amdocs website, www.amdocs.com.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income taxes, non-GAAP net income and non-GAAP diluted earnings per share growth. These non-GAAP measures exclude the following items:</w:t>
      </w:r>
    </w:p>
    <w:p>
      <w:pPr>
        <w:spacing w:after="0" w:line="52"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 related costs;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w:t>
      </w:r>
    </w:p>
    <w:p>
      <w:pPr>
        <w:sectPr>
          <w:pgSz w:w="11900" w:h="16838" w:orient="portrait"/>
          <w:cols w:equalWidth="0" w:num="1">
            <w:col w:w="11420"/>
          </w:cols>
          <w:pgMar w:left="240" w:top="270" w:right="239" w:bottom="1440" w:gutter="0" w:footer="0" w:header="0"/>
        </w:sectPr>
      </w:pPr>
    </w:p>
    <w:bookmarkStart w:id="8" w:name="page9"/>
    <w:bookmarkEnd w:id="8"/>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income taxes,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 related costs,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interest and other expense,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ectPr>
          <w:pgSz w:w="11900" w:h="16838" w:orient="portrait"/>
          <w:cols w:equalWidth="0" w:num="1">
            <w:col w:w="11320"/>
          </w:cols>
          <w:pgMar w:left="240" w:top="27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Amdocs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30 years, Amdocs has ensured service providers’ success and embraced their biggest challenges. To win in the connected world, service providers rely on Amdocs to simplify the customer experience, harness the data explosion, stay ahead with new services and improve operational efficiency. The global company uniquely combines a market-leading BSS, OSS and network control and optimization product portfolio with value-driven professional services and managed services operations. With revenue of $3.3 billion in fiscal 2013, Amdocs and its 22,000 employees serve customers in more than 80 countries.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Amdocs: Embrace Challenge, Experience Success.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2013 filed on December 9, 2013 and our Form 6-K furnished for the first quarter of fiscal 2014 on February 11,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dox_info@amdocs.com</w:t>
      </w:r>
    </w:p>
    <w:p>
      <w:pPr>
        <w:sectPr>
          <w:pgSz w:w="11900" w:h="16838" w:orient="portrait"/>
          <w:cols w:equalWidth="0" w:num="1">
            <w:col w:w="11360"/>
          </w:cols>
          <w:pgMar w:left="240" w:top="270"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19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26,177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21,901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53,386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870,677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811,037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1,707,513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1,618,480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896,854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832,938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1,760,899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1,659,297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582,458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538,094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1,139,091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1,073,107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63,104</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60,059</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125,429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110,438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102,683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222,397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16,180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8,605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27,848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773,006</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710,083</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1,516,361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1,423,785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3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123,848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122,855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244,538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3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121,940</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121,098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241,226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16,186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110,357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104,912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211,792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159,812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160,955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162,251</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162,884</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19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896,854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832,938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1,760,899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1,659,297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36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150,563</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140,169</w:t>
            </w: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295,886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277,384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131,850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119,300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254,414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360" w:type="dxa"/>
            <w:vAlign w:val="bottom"/>
            <w:gridSpan w:val="2"/>
          </w:tcPr>
          <w:p>
            <w:pPr>
              <w:spacing w:after="0"/>
              <w:rPr>
                <w:sz w:val="20"/>
                <w:szCs w:val="20"/>
                <w:color w:val="auto"/>
              </w:rPr>
            </w:pPr>
            <w:r>
              <w:rPr>
                <w:rFonts w:ascii="Arial" w:cs="Arial" w:eastAsia="Arial" w:hAnsi="Arial"/>
                <w:sz w:val="18"/>
                <w:szCs w:val="18"/>
                <w:color w:val="auto"/>
              </w:rPr>
              <w:t>Non-GAAP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162,251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162,884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162,048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Three months ended</w:t>
      </w:r>
    </w:p>
    <w:p>
      <w:pPr>
        <w:jc w:val="center"/>
        <w:ind w:left="5240"/>
        <w:spacing w:after="0" w:line="236"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940" w:type="dxa"/>
            <w:vAlign w:val="bottom"/>
            <w:tcBorders>
              <w:top w:val="single" w:sz="8" w:color="auto"/>
              <w:bottom w:val="single" w:sz="8" w:color="auto"/>
            </w:tcBorders>
            <w:gridSpan w:val="6"/>
          </w:tcPr>
          <w:p>
            <w:pPr>
              <w:jc w:val="right"/>
              <w:ind w:right="620"/>
              <w:spacing w:after="0" w:line="142" w:lineRule="exact"/>
              <w:rPr>
                <w:sz w:val="20"/>
                <w:szCs w:val="20"/>
                <w:color w:val="auto"/>
              </w:rPr>
            </w:pPr>
            <w:r>
              <w:rPr>
                <w:rFonts w:ascii="Arial" w:cs="Arial" w:eastAsia="Arial" w:hAnsi="Arial"/>
                <w:sz w:val="14"/>
                <w:szCs w:val="14"/>
                <w:b w:val="1"/>
                <w:bCs w:val="1"/>
                <w:color w:val="auto"/>
              </w:rPr>
              <w:t>Reconciliation items</w:t>
            </w: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Amortization of</w:t>
            </w:r>
          </w:p>
        </w:tc>
        <w:tc>
          <w:tcPr>
            <w:tcW w:w="380" w:type="dxa"/>
            <w:vAlign w:val="bottom"/>
          </w:tcPr>
          <w:p>
            <w:pPr>
              <w:spacing w:after="0"/>
              <w:rPr>
                <w:sz w:val="10"/>
                <w:szCs w:val="10"/>
                <w:color w:val="auto"/>
              </w:rPr>
            </w:pPr>
          </w:p>
        </w:tc>
        <w:tc>
          <w:tcPr>
            <w:tcW w:w="1300" w:type="dxa"/>
            <w:vAlign w:val="bottom"/>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w w:val="96"/>
              </w:rPr>
              <w:t>Equity based</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restart"/>
          </w:tcPr>
          <w:p>
            <w:pPr>
              <w:jc w:val="right"/>
              <w:ind w:right="51"/>
              <w:spacing w:after="0"/>
              <w:rPr>
                <w:sz w:val="20"/>
                <w:szCs w:val="20"/>
                <w:color w:val="auto"/>
              </w:rPr>
            </w:pPr>
            <w:r>
              <w:rPr>
                <w:rFonts w:ascii="Arial" w:cs="Arial" w:eastAsia="Arial" w:hAnsi="Arial"/>
                <w:sz w:val="14"/>
                <w:szCs w:val="14"/>
                <w:b w:val="1"/>
                <w:bCs w:val="1"/>
                <w:color w:val="auto"/>
              </w:rPr>
              <w:t>GAAP</w:t>
            </w:r>
          </w:p>
        </w:tc>
        <w:tc>
          <w:tcPr>
            <w:tcW w:w="50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purchased intangible</w:t>
            </w:r>
          </w:p>
        </w:tc>
        <w:tc>
          <w:tcPr>
            <w:tcW w:w="3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85"/>
              </w:rPr>
              <w:t>Tax effect</w:t>
            </w:r>
          </w:p>
        </w:tc>
        <w:tc>
          <w:tcPr>
            <w:tcW w:w="18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assets and other</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expense</w:t>
            </w:r>
          </w:p>
        </w:tc>
        <w:tc>
          <w:tcPr>
            <w:tcW w:w="8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826</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582,458</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(4,369)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578,089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63,104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(872)</w:t>
            </w:r>
          </w:p>
        </w:tc>
        <w:tc>
          <w:tcPr>
            <w:tcW w:w="140" w:type="dxa"/>
            <w:vAlign w:val="bottom"/>
          </w:tcPr>
          <w:p>
            <w:pPr>
              <w:spacing w:after="0"/>
              <w:rPr>
                <w:sz w:val="18"/>
                <w:szCs w:val="18"/>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110,438</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(5,294)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16,180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(16,180)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773,006</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(16,180)</w:t>
            </w: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(10,535)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746,291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3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123,848</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16,180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10,535</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150,563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11,583</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16,805</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110,357</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16,180</w:t>
            </w:r>
          </w:p>
        </w:tc>
        <w:tc>
          <w:tcPr>
            <w:tcW w:w="100" w:type="dxa"/>
            <w:vAlign w:val="bottom"/>
          </w:tcPr>
          <w:p>
            <w:pPr>
              <w:spacing w:after="0"/>
              <w:rPr>
                <w:sz w:val="24"/>
                <w:szCs w:val="24"/>
                <w:color w:val="auto"/>
              </w:rPr>
            </w:pP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10,535</w:t>
            </w:r>
          </w:p>
        </w:tc>
        <w:tc>
          <w:tcPr>
            <w:tcW w:w="48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auto"/>
              </w:rPr>
              <w:t>$ (5,222)</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$ 131,850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6"/>
          </w:tcPr>
          <w:p>
            <w:pPr>
              <w:jc w:val="center"/>
              <w:ind w:left="435"/>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4"/>
                <w:szCs w:val="14"/>
                <w:b w:val="1"/>
                <w:bCs w:val="1"/>
                <w:color w:val="auto"/>
                <w:w w:val="96"/>
              </w:rPr>
              <w:t>March 31, 2013</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gridSpan w:val="6"/>
          </w:tcPr>
          <w:p>
            <w:pPr>
              <w:jc w:val="center"/>
              <w:ind w:left="415"/>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Amortization of</w:t>
            </w:r>
          </w:p>
        </w:tc>
        <w:tc>
          <w:tcPr>
            <w:tcW w:w="380" w:type="dxa"/>
            <w:vAlign w:val="bottom"/>
          </w:tcPr>
          <w:p>
            <w:pPr>
              <w:spacing w:after="0"/>
              <w:rPr>
                <w:sz w:val="10"/>
                <w:szCs w:val="10"/>
                <w:color w:val="auto"/>
              </w:rPr>
            </w:pPr>
          </w:p>
        </w:tc>
        <w:tc>
          <w:tcPr>
            <w:tcW w:w="1300" w:type="dxa"/>
            <w:vAlign w:val="bottom"/>
            <w:gridSpan w:val="3"/>
          </w:tcPr>
          <w:p>
            <w:pPr>
              <w:jc w:val="right"/>
              <w:ind w:right="480"/>
              <w:spacing w:after="0" w:line="119" w:lineRule="exact"/>
              <w:rPr>
                <w:sz w:val="20"/>
                <w:szCs w:val="20"/>
                <w:color w:val="auto"/>
              </w:rPr>
            </w:pPr>
            <w:r>
              <w:rPr>
                <w:rFonts w:ascii="Arial" w:cs="Arial" w:eastAsia="Arial" w:hAnsi="Arial"/>
                <w:sz w:val="13"/>
                <w:szCs w:val="13"/>
                <w:b w:val="1"/>
                <w:bCs w:val="1"/>
                <w:color w:val="auto"/>
                <w:w w:val="98"/>
              </w:rPr>
              <w:t>Equity based</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GAAP</w:t>
            </w:r>
          </w:p>
        </w:tc>
        <w:tc>
          <w:tcPr>
            <w:tcW w:w="50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purchased intangible</w:t>
            </w:r>
          </w:p>
        </w:tc>
        <w:tc>
          <w:tcPr>
            <w:tcW w:w="3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88"/>
              </w:rPr>
              <w:t>Tax effect</w:t>
            </w:r>
          </w:p>
        </w:tc>
        <w:tc>
          <w:tcPr>
            <w:tcW w:w="18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assets and other</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expense</w:t>
            </w:r>
          </w:p>
        </w:tc>
        <w:tc>
          <w:tcPr>
            <w:tcW w:w="8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642</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538,094</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(4,470)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533,624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60,059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(975)</w:t>
            </w:r>
          </w:p>
        </w:tc>
        <w:tc>
          <w:tcPr>
            <w:tcW w:w="14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102,683</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(3,264)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8,605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(8,605)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710,083</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(8,605)</w:t>
            </w: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(8,709)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692,769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3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122,855</w:t>
            </w:r>
          </w:p>
        </w:tc>
        <w:tc>
          <w:tcPr>
            <w:tcW w:w="5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8,709</w:t>
            </w:r>
          </w:p>
        </w:tc>
        <w:tc>
          <w:tcPr>
            <w:tcW w:w="48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140,169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2,926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104,912</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8,605</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8,709</w:t>
            </w:r>
          </w:p>
        </w:tc>
        <w:tc>
          <w:tcPr>
            <w:tcW w:w="860" w:type="dxa"/>
            <w:vAlign w:val="bottom"/>
            <w:gridSpan w:val="3"/>
          </w:tcPr>
          <w:p>
            <w:pPr>
              <w:spacing w:after="0"/>
              <w:rPr>
                <w:sz w:val="20"/>
                <w:szCs w:val="20"/>
                <w:color w:val="auto"/>
              </w:rPr>
            </w:pPr>
            <w:r>
              <w:rPr>
                <w:rFonts w:ascii="Arial" w:cs="Arial" w:eastAsia="Arial" w:hAnsi="Arial"/>
                <w:sz w:val="18"/>
                <w:szCs w:val="18"/>
                <w:color w:val="auto"/>
              </w:rPr>
              <w:t>$ (2,926)</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$ 119,300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Six months ended</w:t>
      </w:r>
    </w:p>
    <w:p>
      <w:pPr>
        <w:jc w:val="center"/>
        <w:ind w:left="5040"/>
        <w:spacing w:after="0" w:line="236"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900" w:type="dxa"/>
            <w:vAlign w:val="bottom"/>
            <w:tcBorders>
              <w:top w:val="single" w:sz="8" w:color="auto"/>
              <w:bottom w:val="single" w:sz="8" w:color="auto"/>
            </w:tcBorders>
            <w:gridSpan w:val="6"/>
          </w:tcPr>
          <w:p>
            <w:pPr>
              <w:jc w:val="center"/>
              <w:ind w:left="415"/>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tcPr>
          <w:p>
            <w:pPr>
              <w:jc w:val="right"/>
              <w:ind w:right="348"/>
              <w:spacing w:after="0" w:line="119" w:lineRule="exact"/>
              <w:rPr>
                <w:sz w:val="20"/>
                <w:szCs w:val="20"/>
                <w:color w:val="auto"/>
              </w:rPr>
            </w:pPr>
            <w:r>
              <w:rPr>
                <w:rFonts w:ascii="Arial" w:cs="Arial" w:eastAsia="Arial" w:hAnsi="Arial"/>
                <w:sz w:val="13"/>
                <w:szCs w:val="13"/>
                <w:b w:val="1"/>
                <w:bCs w:val="1"/>
                <w:color w:val="auto"/>
              </w:rPr>
              <w:t>Amortization of</w:t>
            </w:r>
          </w:p>
        </w:tc>
        <w:tc>
          <w:tcPr>
            <w:tcW w:w="200" w:type="dxa"/>
            <w:vAlign w:val="bottom"/>
          </w:tcPr>
          <w:p>
            <w:pPr>
              <w:spacing w:after="0"/>
              <w:rPr>
                <w:sz w:val="10"/>
                <w:szCs w:val="10"/>
                <w:color w:val="auto"/>
              </w:rPr>
            </w:pPr>
          </w:p>
        </w:tc>
        <w:tc>
          <w:tcPr>
            <w:tcW w:w="128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w w:val="98"/>
              </w:rPr>
              <w:t>Equity based</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GAAP</w:t>
            </w: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purchased intangible</w:t>
            </w:r>
          </w:p>
        </w:tc>
        <w:tc>
          <w:tcPr>
            <w:tcW w:w="20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1"/>
              </w:rPr>
              <w:t>Tax effect</w:t>
            </w:r>
          </w:p>
        </w:tc>
        <w:tc>
          <w:tcPr>
            <w:tcW w:w="20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w w:val="88"/>
              </w:rPr>
              <w:t>assets and other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2"/>
              </w:rPr>
              <w:t>expense</w:t>
            </w:r>
          </w:p>
        </w:tc>
        <w:tc>
          <w:tcPr>
            <w:tcW w:w="8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1,596</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1,139,091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(8,923)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1,130,168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125,429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(1,805)</w:t>
            </w:r>
          </w:p>
        </w:tc>
        <w:tc>
          <w:tcPr>
            <w:tcW w:w="16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222,397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(12,772)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27,848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28"/>
              <w:spacing w:after="0"/>
              <w:rPr>
                <w:sz w:val="20"/>
                <w:szCs w:val="20"/>
                <w:color w:val="auto"/>
              </w:rPr>
            </w:pPr>
            <w:r>
              <w:rPr>
                <w:rFonts w:ascii="Arial" w:cs="Arial" w:eastAsia="Arial" w:hAnsi="Arial"/>
                <w:sz w:val="18"/>
                <w:szCs w:val="18"/>
                <w:color w:val="auto"/>
              </w:rPr>
              <w:t>(27,848)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1,516,361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(27,848)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1,465,013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244,538</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188"/>
              <w:spacing w:after="0"/>
              <w:rPr>
                <w:sz w:val="20"/>
                <w:szCs w:val="20"/>
                <w:color w:val="auto"/>
              </w:rPr>
            </w:pPr>
            <w:r>
              <w:rPr>
                <w:rFonts w:ascii="Arial" w:cs="Arial" w:eastAsia="Arial" w:hAnsi="Arial"/>
                <w:sz w:val="18"/>
                <w:szCs w:val="18"/>
                <w:color w:val="auto"/>
              </w:rPr>
              <w:t>27,848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23,500</w:t>
            </w:r>
          </w:p>
        </w:tc>
        <w:tc>
          <w:tcPr>
            <w:tcW w:w="160" w:type="dxa"/>
            <w:vAlign w:val="bottom"/>
          </w:tcPr>
          <w:p>
            <w:pPr>
              <w:spacing w:after="0"/>
              <w:rPr>
                <w:sz w:val="24"/>
                <w:szCs w:val="24"/>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295,886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8,726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38,160</w:t>
            </w: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211,792</w:t>
            </w:r>
          </w:p>
        </w:tc>
        <w:tc>
          <w:tcPr>
            <w:tcW w:w="4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8"/>
              <w:spacing w:after="0"/>
              <w:rPr>
                <w:sz w:val="20"/>
                <w:szCs w:val="20"/>
                <w:color w:val="auto"/>
              </w:rPr>
            </w:pPr>
            <w:r>
              <w:rPr>
                <w:rFonts w:ascii="Arial" w:cs="Arial" w:eastAsia="Arial" w:hAnsi="Arial"/>
                <w:sz w:val="18"/>
                <w:szCs w:val="18"/>
                <w:color w:val="auto"/>
              </w:rPr>
              <w:t>27,848</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23,500</w:t>
            </w:r>
          </w:p>
        </w:tc>
        <w:tc>
          <w:tcPr>
            <w:tcW w:w="860" w:type="dxa"/>
            <w:vAlign w:val="bottom"/>
            <w:gridSpan w:val="3"/>
          </w:tcPr>
          <w:p>
            <w:pPr>
              <w:spacing w:after="0"/>
              <w:rPr>
                <w:sz w:val="20"/>
                <w:szCs w:val="20"/>
                <w:color w:val="auto"/>
              </w:rPr>
            </w:pPr>
            <w:r>
              <w:rPr>
                <w:rFonts w:ascii="Arial" w:cs="Arial" w:eastAsia="Arial" w:hAnsi="Arial"/>
                <w:sz w:val="18"/>
                <w:szCs w:val="18"/>
                <w:color w:val="auto"/>
              </w:rPr>
              <w:t>$ (8,726)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254,414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6"/>
          </w:tcPr>
          <w:p>
            <w:pPr>
              <w:jc w:val="center"/>
              <w:ind w:left="395"/>
              <w:spacing w:after="0"/>
              <w:rPr>
                <w:sz w:val="20"/>
                <w:szCs w:val="20"/>
                <w:color w:val="auto"/>
              </w:rPr>
            </w:pPr>
            <w:r>
              <w:rPr>
                <w:rFonts w:ascii="Arial" w:cs="Arial" w:eastAsia="Arial" w:hAnsi="Arial"/>
                <w:sz w:val="14"/>
                <w:szCs w:val="14"/>
                <w:b w:val="1"/>
                <w:bCs w:val="1"/>
                <w:color w:val="auto"/>
                <w:w w:val="91"/>
              </w:rPr>
              <w:t>Six months ended</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center"/>
              <w:ind w:right="680"/>
              <w:spacing w:after="0"/>
              <w:rPr>
                <w:sz w:val="20"/>
                <w:szCs w:val="20"/>
                <w:color w:val="auto"/>
              </w:rPr>
            </w:pPr>
            <w:r>
              <w:rPr>
                <w:rFonts w:ascii="Arial" w:cs="Arial" w:eastAsia="Arial" w:hAnsi="Arial"/>
                <w:sz w:val="14"/>
                <w:szCs w:val="14"/>
                <w:b w:val="1"/>
                <w:bCs w:val="1"/>
                <w:color w:val="auto"/>
                <w:w w:val="94"/>
              </w:rPr>
              <w:t>March 31, 2013</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gridSpan w:val="6"/>
          </w:tcPr>
          <w:p>
            <w:pPr>
              <w:jc w:val="center"/>
              <w:ind w:left="415"/>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tcPr>
          <w:p>
            <w:pPr>
              <w:jc w:val="right"/>
              <w:ind w:right="348"/>
              <w:spacing w:after="0" w:line="119" w:lineRule="exact"/>
              <w:rPr>
                <w:sz w:val="20"/>
                <w:szCs w:val="20"/>
                <w:color w:val="auto"/>
              </w:rPr>
            </w:pPr>
            <w:r>
              <w:rPr>
                <w:rFonts w:ascii="Arial" w:cs="Arial" w:eastAsia="Arial" w:hAnsi="Arial"/>
                <w:sz w:val="13"/>
                <w:szCs w:val="13"/>
                <w:b w:val="1"/>
                <w:bCs w:val="1"/>
                <w:color w:val="auto"/>
              </w:rPr>
              <w:t>Amortization of</w:t>
            </w:r>
          </w:p>
        </w:tc>
        <w:tc>
          <w:tcPr>
            <w:tcW w:w="200" w:type="dxa"/>
            <w:vAlign w:val="bottom"/>
          </w:tcPr>
          <w:p>
            <w:pPr>
              <w:spacing w:after="0"/>
              <w:rPr>
                <w:sz w:val="10"/>
                <w:szCs w:val="10"/>
                <w:color w:val="auto"/>
              </w:rPr>
            </w:pPr>
          </w:p>
        </w:tc>
        <w:tc>
          <w:tcPr>
            <w:tcW w:w="12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Equity based</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GAAP</w:t>
            </w: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purchased intangible</w:t>
            </w:r>
          </w:p>
        </w:tc>
        <w:tc>
          <w:tcPr>
            <w:tcW w:w="20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1"/>
              </w:rPr>
              <w:t>Tax effect</w:t>
            </w:r>
          </w:p>
        </w:tc>
        <w:tc>
          <w:tcPr>
            <w:tcW w:w="20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w w:val="88"/>
              </w:rPr>
              <w:t>assets and other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2"/>
              </w:rPr>
              <w:t>expense</w:t>
            </w:r>
          </w:p>
        </w:tc>
        <w:tc>
          <w:tcPr>
            <w:tcW w:w="8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1,278</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1,073,107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(9,503)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1,063,604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119,419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(10,531)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19,838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28"/>
              <w:spacing w:after="0"/>
              <w:rPr>
                <w:sz w:val="20"/>
                <w:szCs w:val="20"/>
                <w:color w:val="auto"/>
              </w:rPr>
            </w:pPr>
            <w:r>
              <w:rPr>
                <w:rFonts w:ascii="Arial" w:cs="Arial" w:eastAsia="Arial" w:hAnsi="Arial"/>
                <w:sz w:val="18"/>
                <w:szCs w:val="18"/>
                <w:color w:val="auto"/>
              </w:rPr>
              <w:t>(19,838)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1,423,785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(19,838)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(22,034)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1,381,913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235,512</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188"/>
              <w:spacing w:after="0"/>
              <w:rPr>
                <w:sz w:val="20"/>
                <w:szCs w:val="20"/>
                <w:color w:val="auto"/>
              </w:rPr>
            </w:pPr>
            <w:r>
              <w:rPr>
                <w:rFonts w:ascii="Arial" w:cs="Arial" w:eastAsia="Arial" w:hAnsi="Arial"/>
                <w:sz w:val="18"/>
                <w:szCs w:val="18"/>
                <w:color w:val="auto"/>
              </w:rPr>
              <w:t>19,838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22,034</w:t>
            </w:r>
          </w:p>
        </w:tc>
        <w:tc>
          <w:tcPr>
            <w:tcW w:w="160" w:type="dxa"/>
            <w:vAlign w:val="bottom"/>
          </w:tcPr>
          <w:p>
            <w:pPr>
              <w:spacing w:after="0"/>
              <w:rPr>
                <w:sz w:val="24"/>
                <w:szCs w:val="24"/>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277,384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36,795</w:t>
            </w: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203,927</w:t>
            </w:r>
          </w:p>
        </w:tc>
        <w:tc>
          <w:tcPr>
            <w:tcW w:w="4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8"/>
              <w:spacing w:after="0"/>
              <w:rPr>
                <w:sz w:val="20"/>
                <w:szCs w:val="20"/>
                <w:color w:val="auto"/>
              </w:rPr>
            </w:pPr>
            <w:r>
              <w:rPr>
                <w:rFonts w:ascii="Arial" w:cs="Arial" w:eastAsia="Arial" w:hAnsi="Arial"/>
                <w:sz w:val="18"/>
                <w:szCs w:val="18"/>
                <w:color w:val="auto"/>
              </w:rPr>
              <w:t>19,838</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22,034</w:t>
            </w:r>
          </w:p>
        </w:tc>
        <w:tc>
          <w:tcPr>
            <w:tcW w:w="860" w:type="dxa"/>
            <w:vAlign w:val="bottom"/>
            <w:gridSpan w:val="3"/>
          </w:tcPr>
          <w:p>
            <w:pPr>
              <w:spacing w:after="0"/>
              <w:rPr>
                <w:sz w:val="20"/>
                <w:szCs w:val="20"/>
                <w:color w:val="auto"/>
              </w:rPr>
            </w:pPr>
            <w:r>
              <w:rPr>
                <w:rFonts w:ascii="Arial" w:cs="Arial" w:eastAsia="Arial" w:hAnsi="Arial"/>
                <w:sz w:val="18"/>
                <w:szCs w:val="18"/>
                <w:color w:val="auto"/>
              </w:rPr>
              <w:t>$ (7,075)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238,724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1,108,689</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1,326,380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Accounts receivable, net, including unbilled of $126,875 and $110,626, respectively</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746,814</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678,219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160,758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160,939</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2,177,200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2,282,074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277,098</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275,544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2,140,208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1,975,060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385,004</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4,979,510</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4,925,813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739,928</w:t>
            </w:r>
          </w:p>
        </w:tc>
        <w:tc>
          <w:tcPr>
            <w:tcW w:w="40" w:type="dxa"/>
            <w:vAlign w:val="bottom"/>
          </w:tcPr>
          <w:p>
            <w:pPr>
              <w:spacing w:after="0"/>
              <w:rPr>
                <w:sz w:val="18"/>
                <w:szCs w:val="18"/>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683,768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172,333</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52,529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964,790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1,074,256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604,962</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3,409,758</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3,274,783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4,979,510</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4,925,813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4"/>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211,792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76,739</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23,500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9,690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679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(30,503)</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(6,424)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(14,867)</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36,041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17,529</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(16,273)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10,088</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18,923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317,553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265,534</w:t>
            </w:r>
          </w:p>
        </w:tc>
        <w:tc>
          <w:tcPr>
            <w:tcW w:w="0" w:type="dxa"/>
            <w:vAlign w:val="bottom"/>
          </w:tcPr>
          <w:p>
            <w:pPr>
              <w:spacing w:after="0"/>
              <w:rPr>
                <w:sz w:val="1"/>
                <w:szCs w:val="1"/>
                <w:color w:val="auto"/>
              </w:rPr>
            </w:pPr>
          </w:p>
        </w:tc>
      </w:tr>
      <w:tr>
        <w:trPr>
          <w:trHeight w:val="331"/>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(51,971)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178,462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144,612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8"/>
              </w:rPr>
              <w:t>(173,643)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0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(189,691)</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(223,077)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(233,692)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(140,430)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10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(200,000)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8"/>
              </w:rPr>
              <w:t>(168,933)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(212,512)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100" w:type="dxa"/>
            <w:vAlign w:val="bottom"/>
          </w:tcPr>
          <w:p>
            <w:pPr>
              <w:spacing w:after="0"/>
              <w:rPr>
                <w:sz w:val="18"/>
                <w:szCs w:val="18"/>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98,327</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(41,564)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Payments under capital lease and other</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8"/>
              </w:rPr>
              <w:t>(312,013)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(342,474)</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Pr>
          <w:p>
            <w:pPr>
              <w:spacing w:after="0"/>
              <w:rPr>
                <w:sz w:val="24"/>
                <w:szCs w:val="2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(228,152)</w:t>
            </w:r>
          </w:p>
        </w:tc>
        <w:tc>
          <w:tcPr>
            <w:tcW w:w="10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(217,370)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1,014,192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879,158</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786,040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4"/>
          </w:tcPr>
          <w:p>
            <w:pPr>
              <w:jc w:val="right"/>
              <w:ind w:right="240"/>
              <w:spacing w:after="0" w:line="119" w:lineRule="exact"/>
              <w:rPr>
                <w:sz w:val="20"/>
                <w:szCs w:val="20"/>
                <w:color w:val="auto"/>
              </w:rPr>
            </w:pPr>
            <w:r>
              <w:rPr>
                <w:rFonts w:ascii="Arial" w:cs="Arial" w:eastAsia="Arial" w:hAnsi="Arial"/>
                <w:sz w:val="13"/>
                <w:szCs w:val="13"/>
                <w:b w:val="1"/>
                <w:bCs w:val="1"/>
                <w:color w:val="auto"/>
                <w:w w:val="96"/>
              </w:rPr>
              <w:t>March 31,</w:t>
            </w:r>
          </w:p>
        </w:tc>
        <w:tc>
          <w:tcPr>
            <w:tcW w:w="240" w:type="dxa"/>
            <w:vAlign w:val="bottom"/>
          </w:tcPr>
          <w:p>
            <w:pPr>
              <w:spacing w:after="0"/>
              <w:rPr>
                <w:sz w:val="10"/>
                <w:szCs w:val="10"/>
                <w:color w:val="auto"/>
              </w:rPr>
            </w:pPr>
          </w:p>
        </w:tc>
        <w:tc>
          <w:tcPr>
            <w:tcW w:w="90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420" w:type="dxa"/>
            <w:vAlign w:val="bottom"/>
          </w:tcPr>
          <w:p>
            <w:pPr>
              <w:spacing w:after="0"/>
              <w:rPr>
                <w:sz w:val="10"/>
                <w:szCs w:val="10"/>
                <w:color w:val="auto"/>
              </w:rPr>
            </w:pPr>
          </w:p>
        </w:tc>
        <w:tc>
          <w:tcPr>
            <w:tcW w:w="134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March 31,</w:t>
            </w:r>
          </w:p>
        </w:tc>
        <w:tc>
          <w:tcPr>
            <w:tcW w:w="100" w:type="dxa"/>
            <w:vAlign w:val="bottom"/>
          </w:tcPr>
          <w:p>
            <w:pPr>
              <w:spacing w:after="0"/>
              <w:rPr>
                <w:sz w:val="10"/>
                <w:szCs w:val="10"/>
                <w:color w:val="auto"/>
              </w:rPr>
            </w:pPr>
          </w:p>
        </w:tc>
      </w:tr>
      <w:tr>
        <w:trPr>
          <w:trHeight w:val="171"/>
        </w:trPr>
        <w:tc>
          <w:tcPr>
            <w:tcW w:w="5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$ 619.2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113.8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117.0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101.9</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99.3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134.4</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Total Revenue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845.2</w:t>
            </w:r>
          </w:p>
        </w:tc>
        <w:tc>
          <w:tcPr>
            <w:tcW w:w="4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841.3</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832.9</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Emerging Markets Revenue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Managed Services Revenue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Customer Experience Systems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12-Month Backlog</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2940"/>
        <w:spacing w:after="0"/>
        <w:rPr>
          <w:sz w:val="20"/>
          <w:szCs w:val="20"/>
          <w:color w:val="auto"/>
        </w:rPr>
      </w:pPr>
      <w:r>
        <w:rPr>
          <w:rFonts w:ascii="Arial" w:cs="Arial" w:eastAsia="Arial" w:hAnsi="Arial"/>
          <w:sz w:val="14"/>
          <w:szCs w:val="14"/>
          <w:b w:val="1"/>
          <w:bCs w:val="1"/>
          <w:color w:val="auto"/>
        </w:rPr>
        <w:t>As of</w:t>
      </w:r>
    </w:p>
    <w:p>
      <w:pPr>
        <w:spacing w:after="0" w:line="10" w:lineRule="exact"/>
        <w:rPr>
          <w:sz w:val="20"/>
          <w:szCs w:val="20"/>
          <w:color w:val="auto"/>
        </w:rPr>
      </w:pPr>
    </w:p>
    <w:tbl>
      <w:tblPr>
        <w:tblLayout w:type="fixed"/>
        <w:tblInd w:w="4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84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0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w w:val="96"/>
              </w:rPr>
              <w:t>June 30,</w:t>
            </w:r>
          </w:p>
        </w:tc>
        <w:tc>
          <w:tcPr>
            <w:tcW w:w="6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March 31,</w:t>
            </w:r>
          </w:p>
        </w:tc>
        <w:tc>
          <w:tcPr>
            <w:tcW w:w="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460" w:type="dxa"/>
            <w:vAlign w:val="bottom"/>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101.3</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20" w:type="dxa"/>
            <w:vAlign w:val="bottom"/>
          </w:tcPr>
          <w:p>
            <w:pPr>
              <w:spacing w:after="0"/>
              <w:rPr>
                <w:sz w:val="18"/>
                <w:szCs w:val="18"/>
                <w:color w:val="auto"/>
              </w:rPr>
            </w:pPr>
          </w:p>
        </w:tc>
      </w:tr>
      <w:tr>
        <w:trPr>
          <w:trHeight w:val="399"/>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900"/>
              <w:spacing w:after="0"/>
              <w:rPr>
                <w:sz w:val="20"/>
                <w:szCs w:val="20"/>
                <w:color w:val="auto"/>
              </w:rPr>
            </w:pPr>
            <w:r>
              <w:rPr>
                <w:rFonts w:ascii="Arial" w:cs="Arial" w:eastAsia="Arial" w:hAnsi="Arial"/>
                <w:sz w:val="14"/>
                <w:szCs w:val="14"/>
                <w:b w:val="1"/>
                <w:bCs w:val="1"/>
                <w:color w:val="auto"/>
                <w:w w:val="85"/>
              </w:rPr>
              <w:t>As of</w:t>
            </w:r>
          </w:p>
        </w:tc>
        <w:tc>
          <w:tcPr>
            <w:tcW w:w="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8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w w:val="96"/>
              </w:rPr>
              <w:t>June 30,</w:t>
            </w: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March 31,</w:t>
            </w:r>
          </w:p>
        </w:tc>
        <w:tc>
          <w:tcPr>
            <w:tcW w:w="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w:t>
            </w:r>
          </w:p>
        </w:tc>
        <w:tc>
          <w:tcPr>
            <w:tcW w:w="460" w:type="dxa"/>
            <w:vAlign w:val="bottom"/>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417.1</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439.8</w:t>
            </w:r>
          </w:p>
        </w:tc>
        <w:tc>
          <w:tcPr>
            <w:tcW w:w="20" w:type="dxa"/>
            <w:vAlign w:val="bottom"/>
          </w:tcPr>
          <w:p>
            <w:pPr>
              <w:spacing w:after="0"/>
              <w:rPr>
                <w:sz w:val="18"/>
                <w:szCs w:val="18"/>
                <w:color w:val="auto"/>
              </w:rPr>
            </w:pPr>
          </w:p>
        </w:tc>
      </w:tr>
      <w:tr>
        <w:trPr>
          <w:trHeight w:val="399"/>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8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w w:val="96"/>
              </w:rPr>
              <w:t>June 30,</w:t>
            </w: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March 31,</w:t>
            </w:r>
          </w:p>
        </w:tc>
        <w:tc>
          <w:tcPr>
            <w:tcW w:w="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863.6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829.6</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809.3</w:t>
            </w:r>
          </w:p>
        </w:tc>
        <w:tc>
          <w:tcPr>
            <w:tcW w:w="460" w:type="dxa"/>
            <w:vAlign w:val="bottom"/>
          </w:tcPr>
          <w:p>
            <w:pPr>
              <w:spacing w:after="0"/>
              <w:rPr>
                <w:sz w:val="16"/>
                <w:szCs w:val="16"/>
                <w:color w:val="auto"/>
              </w:rPr>
            </w:pPr>
          </w:p>
        </w:tc>
        <w:tc>
          <w:tcPr>
            <w:tcW w:w="520" w:type="dxa"/>
            <w:vAlign w:val="bottom"/>
          </w:tcPr>
          <w:p>
            <w:pPr>
              <w:jc w:val="center"/>
              <w:spacing w:after="0" w:line="195" w:lineRule="exact"/>
              <w:rPr>
                <w:sz w:val="20"/>
                <w:szCs w:val="20"/>
                <w:color w:val="auto"/>
              </w:rPr>
            </w:pPr>
            <w:r>
              <w:rPr>
                <w:rFonts w:ascii="Arial" w:cs="Arial" w:eastAsia="Arial" w:hAnsi="Arial"/>
                <w:sz w:val="18"/>
                <w:szCs w:val="18"/>
                <w:color w:val="auto"/>
                <w:w w:val="86"/>
              </w:rPr>
              <w:t>$ 803.2</w:t>
            </w:r>
          </w:p>
        </w:tc>
        <w:tc>
          <w:tcPr>
            <w:tcW w:w="480" w:type="dxa"/>
            <w:vAlign w:val="bottom"/>
          </w:tcPr>
          <w:p>
            <w:pPr>
              <w:spacing w:after="0"/>
              <w:rPr>
                <w:sz w:val="16"/>
                <w:szCs w:val="16"/>
                <w:color w:val="auto"/>
              </w:rPr>
            </w:pPr>
          </w:p>
        </w:tc>
        <w:tc>
          <w:tcPr>
            <w:tcW w:w="120" w:type="dxa"/>
            <w:vAlign w:val="bottom"/>
          </w:tcPr>
          <w:p>
            <w:pPr>
              <w:spacing w:after="0" w:line="195"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rPr>
              <w:t>789.3</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35.9</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43.6</w:t>
            </w: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896.9</w:t>
            </w: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845.2</w:t>
            </w:r>
          </w:p>
        </w:tc>
        <w:tc>
          <w:tcPr>
            <w:tcW w:w="4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841.3</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832.9</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900"/>
              <w:spacing w:after="0"/>
              <w:rPr>
                <w:sz w:val="20"/>
                <w:szCs w:val="20"/>
                <w:color w:val="auto"/>
              </w:rPr>
            </w:pPr>
            <w:r>
              <w:rPr>
                <w:rFonts w:ascii="Arial" w:cs="Arial" w:eastAsia="Arial" w:hAnsi="Arial"/>
                <w:sz w:val="14"/>
                <w:szCs w:val="14"/>
                <w:b w:val="1"/>
                <w:bCs w:val="1"/>
                <w:color w:val="auto"/>
                <w:w w:val="85"/>
              </w:rPr>
              <w:t>As of</w:t>
            </w:r>
          </w:p>
        </w:tc>
        <w:tc>
          <w:tcPr>
            <w:tcW w:w="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8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w w:val="96"/>
              </w:rPr>
              <w:t>June 30,</w:t>
            </w: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March 31,</w:t>
            </w:r>
          </w:p>
        </w:tc>
        <w:tc>
          <w:tcPr>
            <w:tcW w:w="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w:t>
            </w:r>
          </w:p>
        </w:tc>
        <w:tc>
          <w:tcPr>
            <w:tcW w:w="460" w:type="dxa"/>
            <w:vAlign w:val="bottom"/>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2,830</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-2289175</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-1680210</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-1071245</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-770890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-153670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2">
        <w:col w:w="4820" w:space="720"/>
        <w:col w:w="5880"/>
      </w:cols>
      <w:pgMar w:left="240" w:top="27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2019-12-06T19:43:44Z</dcterms:created>
  <dcterms:modified xsi:type="dcterms:W3CDTF">2019-12-06T19:43:44Z</dcterms:modified>
</cp:coreProperties>
</file>