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0"/>
        <w:spacing w:after="0"/>
        <w:rPr>
          <w:sz w:val="20"/>
          <w:szCs w:val="20"/>
          <w:color w:val="auto"/>
        </w:rPr>
      </w:pPr>
      <w:r>
        <w:rPr>
          <w:rFonts w:ascii="Courier New" w:cs="Courier New" w:eastAsia="Courier New" w:hAnsi="Courier New"/>
          <w:sz w:val="15"/>
          <w:szCs w:val="15"/>
          <w:color w:val="auto"/>
        </w:rPr>
        <w:t>As filed with the Securities and Exchange Commission on August 12, 2004</w:t>
      </w:r>
    </w:p>
    <w:p>
      <w:pPr>
        <w:spacing w:after="0" w:line="362" w:lineRule="exact"/>
        <w:rPr>
          <w:sz w:val="24"/>
          <w:szCs w:val="24"/>
          <w:color w:val="auto"/>
        </w:rPr>
      </w:pPr>
    </w:p>
    <w:p>
      <w:pPr>
        <w:jc w:val="right"/>
        <w:ind w:right="2839"/>
        <w:spacing w:after="0"/>
        <w:rPr>
          <w:sz w:val="20"/>
          <w:szCs w:val="20"/>
          <w:color w:val="auto"/>
        </w:rPr>
      </w:pPr>
      <w:r>
        <w:rPr>
          <w:rFonts w:ascii="Courier New" w:cs="Courier New" w:eastAsia="Courier New" w:hAnsi="Courier New"/>
          <w:sz w:val="15"/>
          <w:szCs w:val="15"/>
          <w:color w:val="auto"/>
        </w:rPr>
        <w:t>Registration Statement No. 333-114079</w:t>
      </w:r>
    </w:p>
    <w:p>
      <w:pPr>
        <w:spacing w:after="0" w:line="8" w:lineRule="exact"/>
        <w:rPr>
          <w:sz w:val="24"/>
          <w:szCs w:val="24"/>
          <w:color w:val="auto"/>
        </w:rPr>
      </w:pPr>
    </w:p>
    <w:p>
      <w:pPr>
        <w:jc w:val="right"/>
        <w:ind w:right="2839"/>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AMENDMENT NO. 2 TO</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FORM F-3</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REGISTRATION STATEMENT UNDER</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THE SECURITIES ACT OF 1933</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AMDOCS LIMITED</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46" w:right="1440" w:bottom="608" w:gutter="0" w:footer="0" w:header="0"/>
        </w:sectPr>
      </w:pPr>
    </w:p>
    <w:p>
      <w:pPr>
        <w:spacing w:after="0" w:line="18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ISLAND OF GUERNSEY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NOT APPLICABLE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62" w:lineRule="exact"/>
        <w:rPr>
          <w:sz w:val="24"/>
          <w:szCs w:val="24"/>
          <w:color w:val="auto"/>
        </w:rPr>
      </w:pPr>
    </w:p>
    <w:p>
      <w:pPr>
        <w:sectPr>
          <w:pgSz w:w="11900" w:h="16838" w:orient="portrait"/>
          <w:cols w:equalWidth="0" w:num="2">
            <w:col w:w="3340" w:space="720"/>
            <w:col w:w="6159"/>
          </w:cols>
          <w:pgMar w:left="240" w:top="946" w:right="1440" w:bottom="608" w:gutter="0" w:footer="0" w:header="0"/>
          <w:type w:val="continuous"/>
        </w:sectPr>
      </w:pPr>
    </w:p>
    <w:p>
      <w:pPr>
        <w:jc w:val="center"/>
        <w:ind w:right="283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011-44-1481-728444</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AMDOCS, INC.</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(314) 212-8328</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ROBERT A. SCHWED, ESQ.</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WILMER CUTLER PICKERING HALE AND DORR LLP</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300 PARK AVENUE</w:t>
      </w:r>
    </w:p>
    <w:p>
      <w:pPr>
        <w:spacing w:after="0" w:line="8"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NEW YORK, NEW YORK 10022</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(212) 937-7200</w:t>
      </w:r>
    </w:p>
    <w:p>
      <w:pPr>
        <w:spacing w:after="0" w:line="185" w:lineRule="exact"/>
        <w:rPr>
          <w:sz w:val="24"/>
          <w:szCs w:val="24"/>
          <w:color w:val="auto"/>
        </w:rPr>
      </w:pPr>
    </w:p>
    <w:p>
      <w:pPr>
        <w:ind w:right="2939" w:firstLine="554"/>
        <w:spacing w:after="0" w:line="253" w:lineRule="auto"/>
        <w:rPr>
          <w:sz w:val="20"/>
          <w:szCs w:val="20"/>
          <w:color w:val="auto"/>
        </w:rPr>
      </w:pPr>
      <w:r>
        <w:rPr>
          <w:rFonts w:ascii="Courier New" w:cs="Courier New" w:eastAsia="Courier New" w:hAnsi="Courier New"/>
          <w:sz w:val="15"/>
          <w:szCs w:val="15"/>
          <w:color w:val="auto"/>
        </w:rPr>
        <w:t>APPROXIMATE DATE OF COMMENCEMENT OF PROPOSED SALE TO PUBLIC: From time to time after this Registration Statement becomes effective.</w:t>
      </w:r>
    </w:p>
    <w:p>
      <w:pPr>
        <w:spacing w:after="0" w:line="174" w:lineRule="exact"/>
        <w:rPr>
          <w:sz w:val="24"/>
          <w:szCs w:val="24"/>
          <w:color w:val="auto"/>
        </w:rPr>
      </w:pPr>
    </w:p>
    <w:p>
      <w:pPr>
        <w:ind w:right="2939" w:firstLine="554"/>
        <w:spacing w:after="0" w:line="252"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w:t>
      </w:r>
    </w:p>
    <w:p>
      <w:pPr>
        <w:spacing w:after="0" w:line="176" w:lineRule="exact"/>
        <w:rPr>
          <w:sz w:val="24"/>
          <w:szCs w:val="24"/>
          <w:color w:val="auto"/>
        </w:rPr>
      </w:pPr>
    </w:p>
    <w:p>
      <w:pPr>
        <w:jc w:val="both"/>
        <w:ind w:right="3019" w:firstLine="554"/>
        <w:spacing w:after="0" w:line="251"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w:t>
      </w:r>
    </w:p>
    <w:p>
      <w:pPr>
        <w:spacing w:after="0" w:line="176" w:lineRule="exact"/>
        <w:rPr>
          <w:sz w:val="24"/>
          <w:szCs w:val="24"/>
          <w:color w:val="auto"/>
        </w:rPr>
      </w:pPr>
    </w:p>
    <w:p>
      <w:pPr>
        <w:ind w:right="2839" w:firstLine="554"/>
        <w:spacing w:after="0" w:line="253"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4" w:lineRule="exact"/>
        <w:rPr>
          <w:sz w:val="24"/>
          <w:szCs w:val="24"/>
          <w:color w:val="auto"/>
        </w:rPr>
      </w:pPr>
    </w:p>
    <w:p>
      <w:pPr>
        <w:ind w:left="360" w:right="2939" w:firstLine="369"/>
        <w:spacing w:after="0" w:line="251" w:lineRule="auto"/>
        <w:rPr>
          <w:sz w:val="20"/>
          <w:szCs w:val="20"/>
          <w:color w:val="auto"/>
        </w:rPr>
      </w:pPr>
      <w:r>
        <w:rPr>
          <w:rFonts w:ascii="Courier New" w:cs="Courier New" w:eastAsia="Courier New" w:hAnsi="Courier New"/>
          <w:sz w:val="15"/>
          <w:szCs w:val="15"/>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46" w:right="1440" w:bottom="608" w:gutter="0" w:footer="0" w:header="0"/>
          <w:type w:val="continuous"/>
        </w:sectPr>
      </w:pPr>
    </w:p>
    <w:bookmarkStart w:id="1" w:name="page2"/>
    <w:bookmarkEnd w:id="1"/>
    <w:p>
      <w:pPr>
        <w:ind w:right="2839"/>
        <w:spacing w:after="0" w:line="251" w:lineRule="auto"/>
        <w:rPr>
          <w:sz w:val="20"/>
          <w:szCs w:val="20"/>
          <w:color w:val="auto"/>
        </w:rPr>
      </w:pPr>
      <w:r>
        <w:rPr>
          <w:rFonts w:ascii="Courier New" w:cs="Courier New" w:eastAsia="Courier New" w:hAnsi="Courier New"/>
          <w:sz w:val="15"/>
          <w:szCs w:val="15"/>
          <w:color w:val="auto"/>
        </w:rPr>
        <w:t>THE INFORMATION IN THIS PROSPECTUS IS NOT COMPLETE AND MAY BE CHANGED. THE SELLING SECURITYHOLDERS NAMED IN THIS PROSPECTUS MAY NOT SELL THESE SECURITIES UNTIL THE REGISTRATION STATEMENT FILED WITH THE SECURITIES AND EXCHANGE COMMISSION IS EFFECTIVE. THIS PROSPECTUS IS NOT AN OFFER TO SELL THESE SECURITIES AND THE SELLING SECURITYHOLDERS NAMED IN THIS PROSPECTUS ARE NOT SOLICITING OFFERS TO BUY THESE SECURITIES IN ANY JURISDICTION WHERE THE OFFER OR SALE IS NOT PERMITTED.</w:t>
      </w:r>
    </w:p>
    <w:p>
      <w:pPr>
        <w:spacing w:after="0" w:line="35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SUBJECT TO COMPLETION, DATED AUGUST 12, 2004</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AMDOCS LIMITED</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560,777 ORDINARY SHARES</w:t>
      </w:r>
    </w:p>
    <w:p>
      <w:pPr>
        <w:spacing w:after="0" w:line="185" w:lineRule="exact"/>
        <w:rPr>
          <w:sz w:val="20"/>
          <w:szCs w:val="20"/>
          <w:color w:val="auto"/>
        </w:rPr>
      </w:pPr>
    </w:p>
    <w:p>
      <w:pPr>
        <w:jc w:val="both"/>
        <w:ind w:right="3019" w:firstLine="554"/>
        <w:spacing w:after="0" w:line="252" w:lineRule="auto"/>
        <w:rPr>
          <w:sz w:val="20"/>
          <w:szCs w:val="20"/>
          <w:color w:val="auto"/>
        </w:rPr>
      </w:pPr>
      <w:r>
        <w:rPr>
          <w:rFonts w:ascii="Courier New" w:cs="Courier New" w:eastAsia="Courier New" w:hAnsi="Courier New"/>
          <w:sz w:val="15"/>
          <w:szCs w:val="15"/>
          <w:color w:val="auto"/>
        </w:rPr>
        <w:t>This prospectus relates to the resale from time to time of up to 560,777 ordinary shares previously issued by Amdocs Limited to former shareholders of XACCT Technologies Ltd. in connection with our acquisition of that company.</w:t>
      </w:r>
    </w:p>
    <w:p>
      <w:pPr>
        <w:spacing w:after="0" w:line="175" w:lineRule="exact"/>
        <w:rPr>
          <w:sz w:val="20"/>
          <w:szCs w:val="20"/>
          <w:color w:val="auto"/>
        </w:rPr>
      </w:pPr>
    </w:p>
    <w:p>
      <w:pPr>
        <w:ind w:right="2839" w:firstLine="554"/>
        <w:spacing w:after="0" w:line="253" w:lineRule="auto"/>
        <w:rPr>
          <w:sz w:val="20"/>
          <w:szCs w:val="20"/>
          <w:color w:val="auto"/>
        </w:rPr>
      </w:pPr>
      <w:r>
        <w:rPr>
          <w:rFonts w:ascii="Courier New" w:cs="Courier New" w:eastAsia="Courier New" w:hAnsi="Courier New"/>
          <w:sz w:val="15"/>
          <w:szCs w:val="15"/>
          <w:color w:val="auto"/>
        </w:rPr>
        <w:t>We will not receive any proceeds from sales of the ordinary shares offered by this prospectus.</w:t>
      </w:r>
    </w:p>
    <w:p>
      <w:pPr>
        <w:spacing w:after="0" w:line="174"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The selling securityholders identified in this prospectus, or their pledgees, donees, transferees or other successors-in-interest, may offer the shares from time to time through public or private transactions at prevailing market prices, at prices related to prevailing market prices or at privately negotiated prices.</w:t>
      </w:r>
    </w:p>
    <w:p>
      <w:pPr>
        <w:spacing w:after="0" w:line="354"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Our ordinary shares are traded on the New York Stock Exchange under the symbol "DOX." On August 11, 2004, the closing sale price of our ordinary shares on the New York Stock Exchange was $18.57 per share. You are urged to obtain current market quotations for our ordinary shares.</w:t>
      </w:r>
    </w:p>
    <w:p>
      <w:pPr>
        <w:spacing w:after="0" w:line="35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SEE "RISK FACTORS" BEGINNING ON PAGE 4 TO READ ABOUT FACTORS YOU SHOULD</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CONSIDER BEFORE INVESTING IN OUR ORDINARY SHARES.</w:t>
      </w:r>
    </w:p>
    <w:p>
      <w:pPr>
        <w:spacing w:after="0" w:line="185" w:lineRule="exact"/>
        <w:rPr>
          <w:sz w:val="20"/>
          <w:szCs w:val="20"/>
          <w:color w:val="auto"/>
        </w:rPr>
      </w:pPr>
    </w:p>
    <w:p>
      <w:pPr>
        <w:jc w:val="center"/>
        <w:ind w:right="2839"/>
        <w:spacing w:after="0" w:line="251"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2004.</w:t>
            </w:r>
          </w:p>
        </w:tc>
      </w:tr>
    </w:tbl>
    <w:p>
      <w:pPr>
        <w:sectPr>
          <w:pgSz w:w="11900" w:h="16838" w:orient="portrait"/>
          <w:cols w:equalWidth="0" w:num="1">
            <w:col w:w="10219"/>
          </w:cols>
          <w:pgMar w:left="240" w:top="650" w:right="1440" w:bottom="1440" w:gutter="0" w:footer="0" w:header="0"/>
        </w:sectPr>
      </w:pPr>
    </w:p>
    <w:bookmarkStart w:id="2" w:name="page3"/>
    <w:bookmarkEnd w:id="2"/>
    <w:p>
      <w:pPr>
        <w:ind w:left="29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5"/>
          <w:szCs w:val="15"/>
          <w:color w:val="auto"/>
        </w:rPr>
        <w:t>PAGE</w:t>
      </w:r>
    </w:p>
    <w:p>
      <w:pPr>
        <w:spacing w:after="0" w:line="8"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1</w:t>
      </w:r>
    </w:p>
    <w:p>
      <w:pPr>
        <w:spacing w:after="0" w:line="8"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THE OFFERING</w:t>
      </w:r>
      <w:r>
        <w:rPr>
          <w:sz w:val="20"/>
          <w:szCs w:val="20"/>
          <w:color w:val="auto"/>
        </w:rPr>
        <w:tab/>
      </w:r>
      <w:r>
        <w:rPr>
          <w:rFonts w:ascii="Courier New" w:cs="Courier New" w:eastAsia="Courier New" w:hAnsi="Courier New"/>
          <w:sz w:val="15"/>
          <w:szCs w:val="15"/>
          <w:color w:val="auto"/>
        </w:rPr>
        <w:t>3</w:t>
      </w:r>
    </w:p>
    <w:p>
      <w:pPr>
        <w:spacing w:after="0" w:line="8"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4</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SPECIAL NOTE REGARDING FORWARD-LOOKING INFORMATION</w:t>
      </w:r>
      <w:r>
        <w:rPr>
          <w:sz w:val="20"/>
          <w:szCs w:val="20"/>
          <w:color w:val="auto"/>
        </w:rPr>
        <w:tab/>
      </w:r>
      <w:r>
        <w:rPr>
          <w:rFonts w:ascii="Courier New" w:cs="Courier New" w:eastAsia="Courier New" w:hAnsi="Courier New"/>
          <w:sz w:val="15"/>
          <w:szCs w:val="15"/>
          <w:color w:val="auto"/>
        </w:rPr>
        <w:t>14</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OFFERING STATISTICS AND TIMETABLE</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REASONS FOR THE OFFER AND USE OF PROCEEDS</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MATERIAL CHANGES</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THE OFFER AND LISTING</w:t>
      </w:r>
      <w:r>
        <w:rPr>
          <w:sz w:val="20"/>
          <w:szCs w:val="20"/>
          <w:color w:val="auto"/>
        </w:rPr>
        <w:tab/>
      </w:r>
      <w:r>
        <w:rPr>
          <w:rFonts w:ascii="Courier New" w:cs="Courier New" w:eastAsia="Courier New" w:hAnsi="Courier New"/>
          <w:sz w:val="15"/>
          <w:szCs w:val="15"/>
          <w:color w:val="auto"/>
        </w:rPr>
        <w:t>17</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SELLING SECURITYHOLDERS</w:t>
      </w:r>
      <w:r>
        <w:rPr>
          <w:sz w:val="20"/>
          <w:szCs w:val="20"/>
          <w:color w:val="auto"/>
        </w:rPr>
        <w:tab/>
      </w:r>
      <w:r>
        <w:rPr>
          <w:rFonts w:ascii="Courier New" w:cs="Courier New" w:eastAsia="Courier New" w:hAnsi="Courier New"/>
          <w:sz w:val="15"/>
          <w:szCs w:val="15"/>
          <w:color w:val="auto"/>
        </w:rPr>
        <w:t>19</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23</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COMPARISON OF UNITED STATES AND GUERNSEY CORPORATE LAW</w:t>
      </w:r>
      <w:r>
        <w:rPr>
          <w:sz w:val="20"/>
          <w:szCs w:val="20"/>
          <w:color w:val="auto"/>
        </w:rPr>
        <w:tab/>
      </w:r>
      <w:r>
        <w:rPr>
          <w:rFonts w:ascii="Courier New" w:cs="Courier New" w:eastAsia="Courier New" w:hAnsi="Courier New"/>
          <w:sz w:val="15"/>
          <w:szCs w:val="15"/>
          <w:color w:val="auto"/>
        </w:rPr>
        <w:t>25</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26</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27</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27</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ENFORCEABILITY OF CIVIL LIABILITIES</w:t>
      </w:r>
      <w:r>
        <w:rPr>
          <w:sz w:val="20"/>
          <w:szCs w:val="20"/>
          <w:color w:val="auto"/>
        </w:rPr>
        <w:tab/>
      </w:r>
      <w:r>
        <w:rPr>
          <w:rFonts w:ascii="Courier New" w:cs="Courier New" w:eastAsia="Courier New" w:hAnsi="Courier New"/>
          <w:sz w:val="15"/>
          <w:szCs w:val="15"/>
          <w:color w:val="auto"/>
        </w:rPr>
        <w:t>28</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INCORPORATION OF DOCUMENTS BY REFERENCE</w:t>
      </w:r>
      <w:r>
        <w:rPr>
          <w:sz w:val="20"/>
          <w:szCs w:val="20"/>
          <w:color w:val="auto"/>
        </w:rPr>
        <w:tab/>
      </w:r>
      <w:r>
        <w:rPr>
          <w:rFonts w:ascii="Courier New" w:cs="Courier New" w:eastAsia="Courier New" w:hAnsi="Courier New"/>
          <w:sz w:val="15"/>
          <w:szCs w:val="15"/>
          <w:color w:val="auto"/>
        </w:rPr>
        <w:t>30</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30</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UNAUDITED PRO FORMA CONDENSED CONSOLIDATED FINANCIAL STATEMENTS</w:t>
      </w:r>
      <w:r>
        <w:rPr>
          <w:sz w:val="20"/>
          <w:szCs w:val="20"/>
          <w:color w:val="auto"/>
        </w:rPr>
        <w:tab/>
      </w:r>
      <w:r>
        <w:rPr>
          <w:rFonts w:ascii="Courier New" w:cs="Courier New" w:eastAsia="Courier New" w:hAnsi="Courier New"/>
          <w:sz w:val="15"/>
          <w:szCs w:val="15"/>
          <w:color w:val="auto"/>
        </w:rPr>
        <w:t>31</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UNAUDITED FINANCIAL STATEMENTS OF CERTEN INC</w:t>
      </w:r>
      <w:r>
        <w:rPr>
          <w:sz w:val="20"/>
          <w:szCs w:val="20"/>
          <w:color w:val="auto"/>
        </w:rPr>
        <w:tab/>
      </w: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4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We have not authorized anyone to provide you with information different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that contained or incorporated by reference in this prospectus. The selling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securityholders are offering to sell, and seeking offers to buy, our ordinary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only in jurisdictions where offers and sales are permitted.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contained in this prospectus is accurate only as of the date of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regardless of the time of delivery of this prospectus or of any sale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ordinary shares.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50"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5"/>
          <w:szCs w:val="15"/>
          <w:color w:val="auto"/>
        </w:rPr>
        <w:t>PROSPECTUS SUMMARY</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This summary describes the most significant terms of this offering and the information included or incorporated by reference in this prospectus. This summary does not contain all of the information that you should consider before investing in our ordinary shares. You should read the entire prospectus carefully, especially the risks of investing in our ordinary shares discussed under "Risk Factors."</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AMDOCS LIMITED</w:t>
      </w:r>
    </w:p>
    <w:p>
      <w:pPr>
        <w:spacing w:after="0" w:line="18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8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84"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175" w:lineRule="exact"/>
        <w:rPr>
          <w:sz w:val="20"/>
          <w:szCs w:val="20"/>
          <w:color w:val="auto"/>
        </w:rPr>
      </w:pPr>
    </w:p>
    <w:p>
      <w:pPr>
        <w:jc w:val="both"/>
        <w:ind w:right="3019" w:firstLine="554"/>
        <w:spacing w:after="0" w:line="251"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176" w:lineRule="exact"/>
        <w:rPr>
          <w:sz w:val="20"/>
          <w:szCs w:val="20"/>
          <w:color w:val="auto"/>
        </w:rPr>
      </w:pPr>
    </w:p>
    <w:p>
      <w:pPr>
        <w:ind w:left="1100" w:right="2839" w:hanging="552"/>
        <w:spacing w:after="0" w:line="251" w:lineRule="auto"/>
        <w:tabs>
          <w:tab w:leader="none" w:pos="11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175" w:lineRule="exact"/>
        <w:rPr>
          <w:rFonts w:ascii="Courier New" w:cs="Courier New" w:eastAsia="Courier New" w:hAnsi="Courier New"/>
          <w:sz w:val="15"/>
          <w:szCs w:val="15"/>
          <w:color w:val="auto"/>
        </w:rPr>
      </w:pPr>
    </w:p>
    <w:p>
      <w:pPr>
        <w:ind w:left="1100" w:right="2939" w:hanging="552"/>
        <w:spacing w:after="0" w:line="251" w:lineRule="auto"/>
        <w:tabs>
          <w:tab w:leader="none" w:pos="11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50" w:right="1440" w:bottom="1440" w:gutter="0" w:footer="0" w:header="0"/>
        </w:sectPr>
      </w:pPr>
    </w:p>
    <w:bookmarkStart w:id="4" w:name="page5"/>
    <w:bookmarkEnd w:id="4"/>
    <w:p>
      <w:pPr>
        <w:ind w:left="1100" w:right="2839"/>
        <w:spacing w:after="0" w:line="251" w:lineRule="auto"/>
        <w:rPr>
          <w:sz w:val="20"/>
          <w:szCs w:val="20"/>
          <w:color w:val="auto"/>
        </w:rPr>
      </w:pPr>
      <w:r>
        <w:rPr>
          <w:rFonts w:ascii="Courier New" w:cs="Courier New" w:eastAsia="Courier New" w:hAnsi="Courier New"/>
          <w:sz w:val="15"/>
          <w:szCs w:val="15"/>
          <w:color w:val="auto"/>
        </w:rPr>
        <w:t>strength of our business. By targeting industry leaders that require the most sophisticated information systems solutions, we believe that we are best able to ensure that we remain at the forefront of developments in the industry.</w:t>
      </w:r>
    </w:p>
    <w:p>
      <w:pPr>
        <w:spacing w:after="0" w:line="176" w:lineRule="exact"/>
        <w:rPr>
          <w:sz w:val="20"/>
          <w:szCs w:val="20"/>
          <w:color w:val="auto"/>
        </w:rPr>
      </w:pPr>
    </w:p>
    <w:p>
      <w:pPr>
        <w:ind w:left="1100" w:right="2939" w:hanging="552"/>
        <w:spacing w:after="0" w:line="251"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75" w:lineRule="exact"/>
        <w:rPr>
          <w:rFonts w:ascii="Courier New" w:cs="Courier New" w:eastAsia="Courier New" w:hAnsi="Courier New"/>
          <w:sz w:val="15"/>
          <w:szCs w:val="15"/>
          <w:color w:val="auto"/>
        </w:rPr>
      </w:pPr>
    </w:p>
    <w:p>
      <w:pPr>
        <w:ind w:left="1100" w:right="2839" w:hanging="552"/>
        <w:spacing w:after="0" w:line="250"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2" w:lineRule="exact"/>
        <w:rPr>
          <w:rFonts w:ascii="Courier New" w:cs="Courier New" w:eastAsia="Courier New" w:hAnsi="Courier New"/>
          <w:sz w:val="15"/>
          <w:szCs w:val="15"/>
          <w:color w:val="auto"/>
        </w:rPr>
      </w:pPr>
    </w:p>
    <w:p>
      <w:pPr>
        <w:ind w:left="1100" w:right="2839" w:hanging="552"/>
        <w:spacing w:after="0" w:line="250"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82"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On February 19, 2004, we acquired XACCT Technologies Ltd., or XACCT, a privately-held company organized under the laws of the State of Israel and a provider of mediation software to communications service providers. We acquired the outstanding capital stock of XACCT for a combination of cash and our ordinary shares. All of the ordinary shares covered by this prospectus were issued to shareholders of XACCT in connection with the acquisition.</w:t>
      </w:r>
    </w:p>
    <w:p>
      <w:pPr>
        <w:spacing w:after="0" w:line="176"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RECENT DEVELOPMENTS</w:t>
      </w:r>
    </w:p>
    <w:p>
      <w:pPr>
        <w:spacing w:after="0" w:line="36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5" w:name="page6"/>
    <w:bookmarkEnd w:id="5"/>
    <w:p>
      <w:pPr>
        <w:ind w:right="2939"/>
        <w:spacing w:after="0" w:line="252" w:lineRule="auto"/>
        <w:rPr>
          <w:sz w:val="20"/>
          <w:szCs w:val="20"/>
          <w:color w:val="auto"/>
        </w:rPr>
      </w:pPr>
      <w:r>
        <w:rPr>
          <w:rFonts w:ascii="Courier New" w:cs="Courier New" w:eastAsia="Courier New" w:hAnsi="Courier New"/>
          <w:sz w:val="15"/>
          <w:szCs w:val="15"/>
          <w:color w:val="auto"/>
        </w:rPr>
        <w:t>ordinary shares, and we elected to pay for the 2% Notes solely with cash. As of April 30, 2004, there was $395.5 million aggregate principal amount of notes outstanding.</w:t>
      </w:r>
    </w:p>
    <w:p>
      <w:pPr>
        <w:spacing w:after="0" w:line="200" w:lineRule="exact"/>
        <w:rPr>
          <w:sz w:val="20"/>
          <w:szCs w:val="20"/>
          <w:color w:val="auto"/>
        </w:rPr>
      </w:pPr>
    </w:p>
    <w:p>
      <w:pPr>
        <w:spacing w:after="0" w:line="329"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200" w:lineRule="exact"/>
        <w:rPr>
          <w:sz w:val="20"/>
          <w:szCs w:val="20"/>
          <w:color w:val="auto"/>
        </w:rPr>
      </w:pPr>
    </w:p>
    <w:p>
      <w:pPr>
        <w:spacing w:after="0" w:line="330"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August 10, 2004, we had repurchased approximately 2.2 million ordinary shares, at an average price of $21.10 per share.</w:t>
      </w:r>
    </w:p>
    <w:p>
      <w:pPr>
        <w:spacing w:after="0" w:line="35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Unless the context otherwise requires, references in this prospectus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"we," "us," and "our" refer to Amdocs Limited and its subsidiaries.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650"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 offered by 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560,777 ordinary shares</w:t>
      </w:r>
    </w:p>
    <w:p>
      <w:pPr>
        <w:spacing w:after="0" w:line="185" w:lineRule="exact"/>
        <w:rPr>
          <w:sz w:val="20"/>
          <w:szCs w:val="20"/>
          <w:color w:val="auto"/>
        </w:rPr>
      </w:pPr>
    </w:p>
    <w:p>
      <w:pPr>
        <w:sectPr>
          <w:pgSz w:w="11900" w:h="16838" w:orient="portrait"/>
          <w:cols w:equalWidth="0" w:num="2">
            <w:col w:w="5160" w:space="180"/>
            <w:col w:w="487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359"/>
        <w:spacing w:after="0" w:line="253" w:lineRule="auto"/>
        <w:rPr>
          <w:sz w:val="20"/>
          <w:szCs w:val="20"/>
          <w:color w:val="auto"/>
        </w:rPr>
      </w:pPr>
      <w:r>
        <w:rPr>
          <w:rFonts w:ascii="Courier New" w:cs="Courier New" w:eastAsia="Courier New" w:hAnsi="Courier New"/>
          <w:sz w:val="15"/>
          <w:szCs w:val="15"/>
          <w:color w:val="auto"/>
        </w:rPr>
        <w:t>We will not receive any proceeds from the sale of shares in this offering</w:t>
      </w:r>
    </w:p>
    <w:p>
      <w:pPr>
        <w:spacing w:after="0" w:line="174" w:lineRule="exact"/>
        <w:rPr>
          <w:sz w:val="20"/>
          <w:szCs w:val="20"/>
          <w:color w:val="auto"/>
        </w:rPr>
      </w:pPr>
    </w:p>
    <w:p>
      <w:pPr>
        <w:sectPr>
          <w:pgSz w:w="11900" w:h="16838" w:orient="portrait"/>
          <w:cols w:equalWidth="0" w:num="2">
            <w:col w:w="5160" w:space="180"/>
            <w:col w:w="487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DOX</w:t>
      </w:r>
    </w:p>
    <w:p>
      <w:pPr>
        <w:spacing w:after="0" w:line="200" w:lineRule="exact"/>
        <w:rPr>
          <w:sz w:val="20"/>
          <w:szCs w:val="20"/>
          <w:color w:val="auto"/>
        </w:rPr>
      </w:pPr>
    </w:p>
    <w:p>
      <w:pPr>
        <w:sectPr>
          <w:pgSz w:w="11900" w:h="16838" w:orient="portrait"/>
          <w:cols w:equalWidth="0" w:num="2">
            <w:col w:w="5160" w:space="180"/>
            <w:col w:w="4879"/>
          </w:cols>
          <w:pgMar w:left="240" w:top="650" w:right="1440" w:bottom="1440" w:gutter="0" w:footer="0" w:header="0"/>
          <w:type w:val="continuous"/>
        </w:sectPr>
      </w:pP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650" w:right="1440" w:bottom="1440" w:gutter="0" w:footer="0" w:header="0"/>
          <w:type w:val="continuous"/>
        </w:sectPr>
      </w:pPr>
    </w:p>
    <w:bookmarkStart w:id="6" w:name="page7"/>
    <w:bookmarkEnd w:id="6"/>
    <w:p>
      <w:pPr>
        <w:jc w:val="center"/>
        <w:ind w:right="2839"/>
        <w:spacing w:after="0"/>
        <w:rPr>
          <w:sz w:val="20"/>
          <w:szCs w:val="20"/>
          <w:color w:val="auto"/>
        </w:rPr>
      </w:pPr>
      <w:r>
        <w:rPr>
          <w:rFonts w:ascii="Courier New" w:cs="Courier New" w:eastAsia="Courier New" w:hAnsi="Courier New"/>
          <w:sz w:val="15"/>
          <w:szCs w:val="15"/>
          <w:color w:val="auto"/>
        </w:rPr>
        <w:t>RISK FACTORS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Investing in our ordinary shares involves a high degree of risk. You should carefully consider the following discussion of the most significant factors that make this offering risky, in addition to the other information presented in this prospectus and the documents incorporated by reference in this prospectus, in evaluating our business and an investment in our ordinary shares. Any of the following risks, as well as other risks and uncertainties, could seriously harm our business and financial results and cause the value of our ordinary shares to decline, which in turn could cause you to lose all or part of your investment.</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w:t>
      </w:r>
    </w:p>
    <w:p>
      <w:pPr>
        <w:spacing w:after="0" w:line="185" w:lineRule="exact"/>
        <w:rPr>
          <w:sz w:val="20"/>
          <w:szCs w:val="20"/>
          <w:color w:val="auto"/>
        </w:rPr>
      </w:pPr>
    </w:p>
    <w:p>
      <w:pPr>
        <w:ind w:left="360" w:right="3959"/>
        <w:spacing w:after="0" w:line="253" w:lineRule="auto"/>
        <w:rPr>
          <w:sz w:val="20"/>
          <w:szCs w:val="20"/>
          <w:color w:val="auto"/>
        </w:rPr>
      </w:pPr>
      <w:r>
        <w:rPr>
          <w:rFonts w:ascii="Courier New" w:cs="Courier New" w:eastAsia="Courier New" w:hAnsi="Courier New"/>
          <w:sz w:val="15"/>
          <w:szCs w:val="15"/>
          <w:color w:val="auto"/>
        </w:rPr>
        <w:t>WE ARE EXPOSED TO GENERAL GLOBAL ECONOMIC AND MARKET CONDITIONS, PARTICULARLY THOSE IMPACTING THE COMMUNICATIONS INDUSTRY.</w:t>
      </w:r>
    </w:p>
    <w:p>
      <w:pPr>
        <w:spacing w:after="0" w:line="35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200" w:lineRule="exact"/>
        <w:rPr>
          <w:sz w:val="20"/>
          <w:szCs w:val="20"/>
          <w:color w:val="auto"/>
        </w:rPr>
      </w:pPr>
    </w:p>
    <w:p>
      <w:pPr>
        <w:spacing w:after="0" w:line="338"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0" w:right="2839"/>
        <w:spacing w:after="0" w:line="253" w:lineRule="auto"/>
        <w:rPr>
          <w:sz w:val="20"/>
          <w:szCs w:val="20"/>
          <w:color w:val="auto"/>
        </w:rPr>
      </w:pPr>
      <w:r>
        <w:rPr>
          <w:rFonts w:ascii="Courier New" w:cs="Courier New" w:eastAsia="Courier New" w:hAnsi="Courier New"/>
          <w:sz w:val="15"/>
          <w:szCs w:val="15"/>
          <w:color w:val="auto"/>
        </w:rPr>
        <w:t>IF WE FAIL TO ADAPT TO CHANGING MARKET CONDITIONS AND CANNOT COMPETE SUCCESSFULLY WITH EXISTING OR NEW COMPETITORS, OUR BUSINESS COULD BE HARMED.</w:t>
      </w:r>
    </w:p>
    <w:p>
      <w:pPr>
        <w:spacing w:after="0" w:line="200" w:lineRule="exact"/>
        <w:rPr>
          <w:sz w:val="20"/>
          <w:szCs w:val="20"/>
          <w:color w:val="auto"/>
        </w:rPr>
      </w:pPr>
    </w:p>
    <w:p>
      <w:pPr>
        <w:spacing w:after="0" w:line="329"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359"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82" w:lineRule="exact"/>
        <w:rPr>
          <w:sz w:val="20"/>
          <w:szCs w:val="20"/>
          <w:color w:val="auto"/>
        </w:rPr>
      </w:pPr>
    </w:p>
    <w:p>
      <w:pPr>
        <w:ind w:right="3219" w:firstLine="554"/>
        <w:spacing w:after="0" w:line="253" w:lineRule="auto"/>
        <w:rPr>
          <w:sz w:val="20"/>
          <w:szCs w:val="20"/>
          <w:color w:val="auto"/>
        </w:rPr>
      </w:pPr>
      <w:r>
        <w:rPr>
          <w:rFonts w:ascii="Courier New" w:cs="Courier New" w:eastAsia="Courier New" w:hAnsi="Courier New"/>
          <w:sz w:val="15"/>
          <w:szCs w:val="15"/>
          <w:color w:val="auto"/>
        </w:rPr>
        <w:t>We believe that our ability to compete depends on a number of factors, including:</w:t>
      </w:r>
    </w:p>
    <w:p>
      <w:pPr>
        <w:spacing w:after="0" w:line="174" w:lineRule="exact"/>
        <w:rPr>
          <w:sz w:val="20"/>
          <w:szCs w:val="20"/>
          <w:color w:val="auto"/>
        </w:rPr>
      </w:pPr>
    </w:p>
    <w:p>
      <w:pPr>
        <w:ind w:left="1100" w:right="3019" w:hanging="552"/>
        <w:spacing w:after="0" w:line="253" w:lineRule="auto"/>
        <w:tabs>
          <w:tab w:leader="none" w:pos="11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726" w:gutter="0" w:footer="0" w:header="0"/>
        </w:sectPr>
      </w:pPr>
    </w:p>
    <w:bookmarkStart w:id="7" w:name="page8"/>
    <w:bookmarkEnd w:id="7"/>
    <w:p>
      <w:pPr>
        <w:ind w:left="1100" w:hanging="552"/>
        <w:spacing w:after="0"/>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84" w:lineRule="exact"/>
        <w:rPr>
          <w:rFonts w:ascii="Courier New" w:cs="Courier New" w:eastAsia="Courier New" w:hAnsi="Courier New"/>
          <w:sz w:val="15"/>
          <w:szCs w:val="15"/>
          <w:color w:val="auto"/>
        </w:rPr>
      </w:pPr>
    </w:p>
    <w:p>
      <w:pPr>
        <w:ind w:left="1100" w:right="3299" w:hanging="552"/>
        <w:spacing w:after="0" w:line="253" w:lineRule="auto"/>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62" w:lineRule="exact"/>
        <w:rPr>
          <w:sz w:val="20"/>
          <w:szCs w:val="20"/>
          <w:color w:val="auto"/>
        </w:rPr>
      </w:pPr>
    </w:p>
    <w:p>
      <w:pPr>
        <w:ind w:left="360" w:right="2939"/>
        <w:spacing w:after="0" w:line="253" w:lineRule="auto"/>
        <w:rPr>
          <w:sz w:val="20"/>
          <w:szCs w:val="20"/>
          <w:color w:val="auto"/>
        </w:rPr>
      </w:pPr>
      <w:r>
        <w:rPr>
          <w:rFonts w:ascii="Courier New" w:cs="Courier New" w:eastAsia="Courier New" w:hAnsi="Courier New"/>
          <w:sz w:val="15"/>
          <w:szCs w:val="15"/>
          <w:color w:val="auto"/>
        </w:rPr>
        <w:t>IF WE DO NOT CONTINUALLY ENHANCE OUR PRODUCTS AND SERVICE OFFERINGS, WE MAY HAVE DIFFICULTY RETAINING EXISTING CUSTOMERS AND ATTRACTING NEW CUSTOMERS.</w:t>
      </w:r>
    </w:p>
    <w:p>
      <w:pPr>
        <w:spacing w:after="0" w:line="35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82" w:lineRule="exact"/>
        <w:rPr>
          <w:sz w:val="20"/>
          <w:szCs w:val="20"/>
          <w:color w:val="auto"/>
        </w:rPr>
      </w:pPr>
    </w:p>
    <w:p>
      <w:pPr>
        <w:ind w:left="360" w:right="2839"/>
        <w:spacing w:after="0" w:line="252" w:lineRule="auto"/>
        <w:rPr>
          <w:sz w:val="20"/>
          <w:szCs w:val="20"/>
          <w:color w:val="auto"/>
        </w:rPr>
      </w:pPr>
      <w:r>
        <w:rPr>
          <w:rFonts w:ascii="Courier New" w:cs="Courier New" w:eastAsia="Courier New" w:hAnsi="Courier New"/>
          <w:sz w:val="15"/>
          <w:szCs w:val="15"/>
          <w:color w:val="auto"/>
        </w:rPr>
        <w:t>WE MAY SEEK TO ACQUIRE COMPANIES OR TECHNOLOGIES, WHICH COULD DISRUPT OUR ONGOING BUSINESS, DISTRACT OUR MANAGEMENT AND EMPLOYEES AND ADVERSELY AFFECT OUR RESULTS OF OPERATIONS.</w:t>
      </w:r>
    </w:p>
    <w:p>
      <w:pPr>
        <w:spacing w:after="0" w:line="175"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83" w:lineRule="exact"/>
        <w:rPr>
          <w:sz w:val="20"/>
          <w:szCs w:val="20"/>
          <w:color w:val="auto"/>
        </w:rPr>
      </w:pPr>
    </w:p>
    <w:p>
      <w:pPr>
        <w:jc w:val="both"/>
        <w:ind w:left="360" w:right="3019"/>
        <w:spacing w:after="0" w:line="252" w:lineRule="auto"/>
        <w:rPr>
          <w:sz w:val="20"/>
          <w:szCs w:val="20"/>
          <w:color w:val="auto"/>
        </w:rPr>
      </w:pPr>
      <w:r>
        <w:rPr>
          <w:rFonts w:ascii="Courier New" w:cs="Courier New" w:eastAsia="Courier New" w:hAnsi="Courier New"/>
          <w:sz w:val="15"/>
          <w:szCs w:val="15"/>
          <w:color w:val="auto"/>
        </w:rPr>
        <w:t>OUR BUSINESS IS DEPENDENT ON A LIMITED NUMBER OF SIGNIFICANT CUSTOMERS AND THE LOSS OF ANY ONE OF OUR SIGNIFICANT CUSTOMERS COULD HARM OUR RESULTS OF OPERATIONS.</w:t>
      </w:r>
    </w:p>
    <w:p>
      <w:pPr>
        <w:spacing w:after="0" w:line="35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August 10, 2004, it beneficially owned approximately</w:t>
      </w:r>
    </w:p>
    <w:p>
      <w:pPr>
        <w:spacing w:after="0" w:line="4"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7.4% of our outstanding ordinary shares. The loss of any significant customer or a significant decrease in business from any such customer could harm our results of operations and financial condition.</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8" w:name="page9"/>
    <w:bookmarkEnd w:id="8"/>
    <w:p>
      <w:pPr>
        <w:ind w:right="2939" w:firstLine="554"/>
        <w:spacing w:after="0" w:line="251" w:lineRule="auto"/>
        <w:rPr>
          <w:sz w:val="20"/>
          <w:szCs w:val="20"/>
          <w:color w:val="auto"/>
        </w:rPr>
      </w:pPr>
      <w:r>
        <w:rPr>
          <w:rFonts w:ascii="Courier New" w:cs="Courier New" w:eastAsia="Courier New" w:hAnsi="Courier New"/>
          <w:sz w:val="15"/>
          <w:szCs w:val="15"/>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353" w:lineRule="exact"/>
        <w:rPr>
          <w:sz w:val="20"/>
          <w:szCs w:val="20"/>
          <w:color w:val="auto"/>
        </w:rPr>
      </w:pPr>
    </w:p>
    <w:p>
      <w:pPr>
        <w:jc w:val="both"/>
        <w:ind w:left="360" w:right="3759"/>
        <w:spacing w:after="0" w:line="252" w:lineRule="auto"/>
        <w:rPr>
          <w:sz w:val="20"/>
          <w:szCs w:val="20"/>
          <w:color w:val="auto"/>
        </w:rPr>
      </w:pPr>
      <w:r>
        <w:rPr>
          <w:rFonts w:ascii="Courier New" w:cs="Courier New" w:eastAsia="Courier New" w:hAnsi="Courier New"/>
          <w:sz w:val="15"/>
          <w:szCs w:val="15"/>
          <w:color w:val="auto"/>
        </w:rPr>
        <w:t>OUR FUTURE SUCCESS WILL DEPEND ON OUR ABILITY TO DEVELOP LONG-TERM RELATIONSHIPS WITH OUR CUSTOMERS AND TO MEET THEIR EXPECTATIONS IN PROVIDING PRODUCTS AND PERFORMING SERVICES.</w:t>
      </w:r>
    </w:p>
    <w:p>
      <w:pPr>
        <w:spacing w:after="0" w:line="352" w:lineRule="exact"/>
        <w:rPr>
          <w:sz w:val="20"/>
          <w:szCs w:val="20"/>
          <w:color w:val="auto"/>
        </w:rPr>
      </w:pPr>
    </w:p>
    <w:p>
      <w:pPr>
        <w:jc w:val="both"/>
        <w:ind w:right="2839" w:firstLine="554"/>
        <w:spacing w:after="0" w:line="250" w:lineRule="auto"/>
        <w:rPr>
          <w:sz w:val="20"/>
          <w:szCs w:val="20"/>
          <w:color w:val="auto"/>
        </w:rPr>
      </w:pPr>
      <w:r>
        <w:rPr>
          <w:rFonts w:ascii="Courier New" w:cs="Courier New" w:eastAsia="Courier New" w:hAnsi="Courier New"/>
          <w:sz w:val="15"/>
          <w:szCs w:val="15"/>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w:t>
      </w:r>
    </w:p>
    <w:p>
      <w:pPr>
        <w:spacing w:after="0" w:line="3"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If we are unable to meet customers' expectations in providing products or performing services, our business and results of operations could be harmed.</w:t>
      </w:r>
    </w:p>
    <w:p>
      <w:pPr>
        <w:spacing w:after="0" w:line="174" w:lineRule="exact"/>
        <w:rPr>
          <w:sz w:val="20"/>
          <w:szCs w:val="20"/>
          <w:color w:val="auto"/>
        </w:rPr>
      </w:pPr>
    </w:p>
    <w:p>
      <w:pPr>
        <w:ind w:left="360" w:right="3019"/>
        <w:spacing w:after="0" w:line="253" w:lineRule="auto"/>
        <w:rPr>
          <w:sz w:val="20"/>
          <w:szCs w:val="20"/>
          <w:color w:val="auto"/>
        </w:rPr>
      </w:pPr>
      <w:r>
        <w:rPr>
          <w:rFonts w:ascii="Courier New" w:cs="Courier New" w:eastAsia="Courier New" w:hAnsi="Courier New"/>
          <w:sz w:val="15"/>
          <w:szCs w:val="15"/>
          <w:color w:val="auto"/>
        </w:rPr>
        <w:t>WE MAY BE EXPOSED TO THE CREDIT RISK OF CUSTOMERS THAT HAVE BEEN ADVERSELY AFFECTED BY WEAKENED MARKETS.</w:t>
      </w:r>
    </w:p>
    <w:p>
      <w:pPr>
        <w:spacing w:after="0" w:line="174"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353" w:lineRule="exact"/>
        <w:rPr>
          <w:sz w:val="20"/>
          <w:szCs w:val="20"/>
          <w:color w:val="auto"/>
        </w:rPr>
      </w:pPr>
    </w:p>
    <w:p>
      <w:pPr>
        <w:ind w:left="360" w:right="3299"/>
        <w:spacing w:after="0" w:line="251" w:lineRule="auto"/>
        <w:rPr>
          <w:sz w:val="20"/>
          <w:szCs w:val="20"/>
          <w:color w:val="auto"/>
        </w:rPr>
      </w:pPr>
      <w:r>
        <w:rPr>
          <w:rFonts w:ascii="Courier New" w:cs="Courier New" w:eastAsia="Courier New" w:hAnsi="Courier New"/>
          <w:sz w:val="15"/>
          <w:szCs w:val="15"/>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0" w:lineRule="exact"/>
        <w:rPr>
          <w:sz w:val="20"/>
          <w:szCs w:val="20"/>
          <w:color w:val="auto"/>
        </w:rPr>
      </w:pPr>
    </w:p>
    <w:p>
      <w:pPr>
        <w:spacing w:after="0" w:line="331"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63"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76" w:lineRule="exact"/>
        <w:rPr>
          <w:sz w:val="20"/>
          <w:szCs w:val="20"/>
          <w:color w:val="auto"/>
        </w:rPr>
      </w:pPr>
    </w:p>
    <w:p>
      <w:pPr>
        <w:ind w:left="360" w:right="3019"/>
        <w:spacing w:after="0" w:line="252" w:lineRule="auto"/>
        <w:rPr>
          <w:sz w:val="20"/>
          <w:szCs w:val="20"/>
          <w:color w:val="auto"/>
        </w:rPr>
      </w:pPr>
      <w:r>
        <w:rPr>
          <w:rFonts w:ascii="Courier New" w:cs="Courier New" w:eastAsia="Courier New" w:hAnsi="Courier New"/>
          <w:sz w:val="15"/>
          <w:szCs w:val="15"/>
          <w:color w:val="auto"/>
        </w:rPr>
        <w:t>OUR QUARTERLY OPERATING RESULTS MAY FLUCTUATE, AND A DECLINE IN REVENUE IN ANY QUARTER COULD RESULT IN LOWER PROFITABILITY FOR THAT QUARTER AND FLUCTUATIONS IN THE MARKET PRICE OF OUR ORDINARY SHARES.</w:t>
      </w:r>
    </w:p>
    <w:p>
      <w:pPr>
        <w:spacing w:after="0" w:line="175" w:lineRule="exact"/>
        <w:rPr>
          <w:sz w:val="20"/>
          <w:szCs w:val="20"/>
          <w:color w:val="auto"/>
        </w:rPr>
      </w:pPr>
    </w:p>
    <w:p>
      <w:pPr>
        <w:ind w:right="2839" w:firstLine="554"/>
        <w:spacing w:after="0" w:line="25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movement may continue and could intensify. Fluctuations may result from many factors, including:</w:t>
      </w:r>
    </w:p>
    <w:p>
      <w:pPr>
        <w:spacing w:after="0" w:line="175" w:lineRule="exact"/>
        <w:rPr>
          <w:sz w:val="20"/>
          <w:szCs w:val="20"/>
          <w:color w:val="auto"/>
        </w:rPr>
      </w:pPr>
    </w:p>
    <w:p>
      <w:pPr>
        <w:ind w:left="1100" w:right="3219" w:hanging="552"/>
        <w:spacing w:after="0" w:line="253"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3600" w:right="3219" w:hanging="3052"/>
        <w:spacing w:after="0" w:line="504" w:lineRule="auto"/>
        <w:tabs>
          <w:tab w:leader="none" w:pos="110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or cancellations of significant projects by customers, 6</w:t>
      </w:r>
    </w:p>
    <w:p>
      <w:pPr>
        <w:sectPr>
          <w:pgSz w:w="11900" w:h="16838" w:orient="portrait"/>
          <w:cols w:equalWidth="0" w:num="1">
            <w:col w:w="10219"/>
          </w:cols>
          <w:pgMar w:left="240" w:top="650" w:right="1440" w:bottom="715" w:gutter="0" w:footer="0" w:header="0"/>
        </w:sectPr>
      </w:pPr>
    </w:p>
    <w:bookmarkStart w:id="9" w:name="page10"/>
    <w:bookmarkEnd w:id="9"/>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 fluctuations, and</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conditions.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82" w:lineRule="exact"/>
        <w:rPr>
          <w:sz w:val="20"/>
          <w:szCs w:val="20"/>
          <w:color w:val="auto"/>
        </w:rPr>
      </w:pPr>
    </w:p>
    <w:p>
      <w:pPr>
        <w:jc w:val="both"/>
        <w:ind w:left="360" w:right="3019"/>
        <w:spacing w:after="0" w:line="252" w:lineRule="auto"/>
        <w:rPr>
          <w:sz w:val="20"/>
          <w:szCs w:val="20"/>
          <w:color w:val="auto"/>
        </w:rPr>
      </w:pPr>
      <w:r>
        <w:rPr>
          <w:rFonts w:ascii="Courier New" w:cs="Courier New" w:eastAsia="Courier New" w:hAnsi="Courier New"/>
          <w:sz w:val="15"/>
          <w:szCs w:val="15"/>
          <w:color w:val="auto"/>
        </w:rPr>
        <w:t>OUR REVENUE, EARNINGS AND PROFITABILITY ARE IMPACTED BY THE LENGTH OF OUR SALES CYCLE AND A LONGER SALES CYCLE COULD ADVERSELY AFFECT OUR RESULTS OF OPERATIONS AND FINANCIAL CONDITION.</w:t>
      </w:r>
    </w:p>
    <w:p>
      <w:pPr>
        <w:spacing w:after="0" w:line="35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362" w:lineRule="exact"/>
        <w:rPr>
          <w:sz w:val="20"/>
          <w:szCs w:val="20"/>
          <w:color w:val="auto"/>
        </w:rPr>
      </w:pPr>
    </w:p>
    <w:p>
      <w:pPr>
        <w:ind w:left="360" w:right="3579"/>
        <w:spacing w:after="0" w:line="253" w:lineRule="auto"/>
        <w:rPr>
          <w:sz w:val="20"/>
          <w:szCs w:val="20"/>
          <w:color w:val="auto"/>
        </w:rPr>
      </w:pPr>
      <w:r>
        <w:rPr>
          <w:rFonts w:ascii="Courier New" w:cs="Courier New" w:eastAsia="Courier New" w:hAnsi="Courier New"/>
          <w:sz w:val="15"/>
          <w:szCs w:val="15"/>
          <w:color w:val="auto"/>
        </w:rPr>
        <w:t>IF THE MARKET FOR OUR PRODUCTS DETERIORATES, WE MAY INCUR ADDITIONAL RESTRUCTURING CHARGES.</w:t>
      </w:r>
    </w:p>
    <w:p>
      <w:pPr>
        <w:spacing w:after="0" w:line="174"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352" w:lineRule="exact"/>
        <w:rPr>
          <w:sz w:val="20"/>
          <w:szCs w:val="20"/>
          <w:color w:val="auto"/>
        </w:rPr>
      </w:pPr>
    </w:p>
    <w:p>
      <w:pPr>
        <w:ind w:left="360" w:right="3479"/>
        <w:spacing w:after="0" w:line="253" w:lineRule="auto"/>
        <w:rPr>
          <w:sz w:val="20"/>
          <w:szCs w:val="20"/>
          <w:color w:val="auto"/>
        </w:rPr>
      </w:pPr>
      <w:r>
        <w:rPr>
          <w:rFonts w:ascii="Courier New" w:cs="Courier New" w:eastAsia="Courier New" w:hAnsi="Courier New"/>
          <w:sz w:val="15"/>
          <w:szCs w:val="15"/>
          <w:color w:val="auto"/>
        </w:rPr>
        <w:t>IF WE FAIL TO SUCCESSFULLY PLAN AND MANAGE CHANGES IN THE SIZE OF OUR OPERATIONS OUR BUSINESS WILL SUFFER.</w:t>
      </w:r>
    </w:p>
    <w:p>
      <w:pPr>
        <w:spacing w:after="0" w:line="174" w:lineRule="exact"/>
        <w:rPr>
          <w:sz w:val="20"/>
          <w:szCs w:val="20"/>
          <w:color w:val="auto"/>
        </w:rPr>
      </w:pPr>
    </w:p>
    <w:p>
      <w:pPr>
        <w:ind w:right="3019" w:firstLine="554"/>
        <w:spacing w:after="0" w:line="252" w:lineRule="auto"/>
        <w:rPr>
          <w:sz w:val="20"/>
          <w:szCs w:val="20"/>
          <w:color w:val="auto"/>
        </w:rPr>
      </w:pPr>
      <w:r>
        <w:rPr>
          <w:rFonts w:ascii="Courier New" w:cs="Courier New" w:eastAsia="Courier New" w:hAnsi="Courier New"/>
          <w:sz w:val="15"/>
          <w:szCs w:val="15"/>
          <w:color w:val="auto"/>
        </w:rPr>
        <w:t>Over the last several years, we have both grown and contracted our operations in order to profitably offer our products and services in a rapidly changing market. If we are unable to manage these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10" w:name="page11"/>
    <w:bookmarkEnd w:id="10"/>
    <w:p>
      <w:pPr>
        <w:ind w:right="3299"/>
        <w:spacing w:after="0" w:line="253" w:lineRule="auto"/>
        <w:rPr>
          <w:sz w:val="20"/>
          <w:szCs w:val="20"/>
          <w:color w:val="auto"/>
        </w:rPr>
      </w:pPr>
      <w:r>
        <w:rPr>
          <w:rFonts w:ascii="Courier New" w:cs="Courier New" w:eastAsia="Courier New" w:hAnsi="Courier New"/>
          <w:sz w:val="15"/>
          <w:szCs w:val="15"/>
          <w:color w:val="auto"/>
        </w:rPr>
        <w:t>changes and plan and manage any future changes in the size and scope of our operations, our business will suffer.</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362" w:lineRule="exact"/>
        <w:rPr>
          <w:sz w:val="20"/>
          <w:szCs w:val="20"/>
          <w:color w:val="auto"/>
        </w:rPr>
      </w:pPr>
    </w:p>
    <w:p>
      <w:pPr>
        <w:ind w:left="360" w:right="3479"/>
        <w:spacing w:after="0" w:line="253" w:lineRule="auto"/>
        <w:rPr>
          <w:sz w:val="20"/>
          <w:szCs w:val="20"/>
          <w:color w:val="auto"/>
        </w:rPr>
      </w:pPr>
      <w:r>
        <w:rPr>
          <w:rFonts w:ascii="Courier New" w:cs="Courier New" w:eastAsia="Courier New" w:hAnsi="Courier New"/>
          <w:sz w:val="15"/>
          <w:szCs w:val="15"/>
          <w:color w:val="auto"/>
        </w:rPr>
        <w:t>OUR INTERNATIONAL PRESENCE EXPOSES US TO RISKS ASSOCIATED WITH VARIED AND CHANGING POLITICAL, CULTURAL AND ECONOMIC CONDITIONS WORLDWIDE.</w:t>
      </w:r>
    </w:p>
    <w:p>
      <w:pPr>
        <w:spacing w:after="0" w:line="352"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82" w:lineRule="exact"/>
        <w:rPr>
          <w:sz w:val="20"/>
          <w:szCs w:val="20"/>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84" w:lineRule="exact"/>
        <w:rPr>
          <w:rFonts w:ascii="Courier New" w:cs="Courier New" w:eastAsia="Courier New" w:hAnsi="Courier New"/>
          <w:sz w:val="15"/>
          <w:szCs w:val="15"/>
          <w:color w:val="auto"/>
        </w:rPr>
      </w:pPr>
    </w:p>
    <w:p>
      <w:pPr>
        <w:ind w:left="1100" w:right="2839" w:hanging="552"/>
        <w:spacing w:after="0" w:line="253"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84" w:lineRule="exact"/>
        <w:rPr>
          <w:rFonts w:ascii="Courier New" w:cs="Courier New" w:eastAsia="Courier New" w:hAnsi="Courier New"/>
          <w:sz w:val="15"/>
          <w:szCs w:val="15"/>
          <w:color w:val="auto"/>
        </w:rPr>
      </w:pPr>
    </w:p>
    <w:p>
      <w:pPr>
        <w:ind w:left="1100" w:right="3579" w:hanging="552"/>
        <w:spacing w:after="0" w:line="253"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84" w:lineRule="exact"/>
        <w:rPr>
          <w:rFonts w:ascii="Courier New" w:cs="Courier New" w:eastAsia="Courier New" w:hAnsi="Courier New"/>
          <w:sz w:val="15"/>
          <w:szCs w:val="15"/>
          <w:color w:val="auto"/>
        </w:rPr>
      </w:pPr>
    </w:p>
    <w:p>
      <w:pPr>
        <w:ind w:left="1100" w:right="3119" w:hanging="552"/>
        <w:spacing w:after="0" w:line="253"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4" w:lineRule="exact"/>
        <w:rPr>
          <w:sz w:val="20"/>
          <w:szCs w:val="20"/>
          <w:color w:val="auto"/>
        </w:rPr>
      </w:pPr>
    </w:p>
    <w:p>
      <w:pPr>
        <w:ind w:right="3019" w:firstLine="554"/>
        <w:spacing w:after="0" w:line="252"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 which could harm our results of operations and financial condition.</w:t>
      </w:r>
    </w:p>
    <w:p>
      <w:pPr>
        <w:spacing w:after="0" w:line="352" w:lineRule="exact"/>
        <w:rPr>
          <w:sz w:val="20"/>
          <w:szCs w:val="20"/>
          <w:color w:val="auto"/>
        </w:rPr>
      </w:pPr>
    </w:p>
    <w:p>
      <w:pPr>
        <w:ind w:left="360" w:right="3119"/>
        <w:spacing w:after="0" w:line="252" w:lineRule="auto"/>
        <w:rPr>
          <w:sz w:val="20"/>
          <w:szCs w:val="20"/>
          <w:color w:val="auto"/>
        </w:rPr>
      </w:pPr>
      <w:r>
        <w:rPr>
          <w:rFonts w:ascii="Courier New" w:cs="Courier New" w:eastAsia="Courier New" w:hAnsi="Courier New"/>
          <w:sz w:val="15"/>
          <w:szCs w:val="15"/>
          <w:color w:val="auto"/>
        </w:rPr>
        <w:t>POLITICAL AND ECONOMIC CONDITIONS IN THE MIDDLE EAST MAY ADVERSELY AFFECT OUR BUSINESS AND OUR DEVELOPMENT FACILITY IN CYPRUS MAY BE ADVERSELY AFFECTED BY POLITICAL CONDITIONS IN THAT COUNTRY.</w:t>
      </w:r>
    </w:p>
    <w:p>
      <w:pPr>
        <w:spacing w:after="0" w:line="35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11" w:name="page12"/>
    <w:bookmarkEnd w:id="11"/>
    <w:p>
      <w:pPr>
        <w:ind w:right="2939"/>
        <w:spacing w:after="0" w:line="252" w:lineRule="auto"/>
        <w:rPr>
          <w:sz w:val="20"/>
          <w:szCs w:val="20"/>
          <w:color w:val="auto"/>
        </w:rPr>
      </w:pPr>
      <w:r>
        <w:rPr>
          <w:rFonts w:ascii="Courier New" w:cs="Courier New" w:eastAsia="Courier New" w:hAnsi="Courier New"/>
          <w:sz w:val="15"/>
          <w:szCs w:val="15"/>
          <w:color w:val="auto"/>
        </w:rPr>
        <w:t>outside of Israel. If we have to implement these plans, our operations would be disrupted and we would incur significant additional expenditures, which would adversely affect our business and results of operations.</w:t>
      </w:r>
    </w:p>
    <w:p>
      <w:pPr>
        <w:spacing w:after="0" w:line="17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18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00" w:lineRule="exact"/>
        <w:rPr>
          <w:sz w:val="20"/>
          <w:szCs w:val="20"/>
          <w:color w:val="auto"/>
        </w:rPr>
      </w:pPr>
    </w:p>
    <w:p>
      <w:pPr>
        <w:spacing w:after="0" w:line="330" w:lineRule="exact"/>
        <w:rPr>
          <w:sz w:val="20"/>
          <w:szCs w:val="20"/>
          <w:color w:val="auto"/>
        </w:rPr>
      </w:pPr>
    </w:p>
    <w:p>
      <w:pPr>
        <w:jc w:val="both"/>
        <w:ind w:left="280" w:right="2939"/>
        <w:spacing w:after="0" w:line="253" w:lineRule="auto"/>
        <w:rPr>
          <w:sz w:val="20"/>
          <w:szCs w:val="20"/>
          <w:color w:val="auto"/>
        </w:rPr>
      </w:pPr>
      <w:r>
        <w:rPr>
          <w:rFonts w:ascii="Courier New" w:cs="Courier New" w:eastAsia="Courier New" w:hAnsi="Courier New"/>
          <w:sz w:val="15"/>
          <w:szCs w:val="15"/>
          <w:color w:val="auto"/>
        </w:rPr>
        <w:t>OUR INTERNATIONAL OPERATIONS EXPOSE US TO RISKS ASSOCIATED WITH FLUCTUATIONS IN FOREIGN CURRENCY EXCHANGE RATES THAT COULD ADVERSELY AFFECT OUR BUSINESS.</w:t>
      </w:r>
    </w:p>
    <w:p>
      <w:pPr>
        <w:spacing w:after="0" w:line="200" w:lineRule="exact"/>
        <w:rPr>
          <w:sz w:val="20"/>
          <w:szCs w:val="20"/>
          <w:color w:val="auto"/>
        </w:rPr>
      </w:pPr>
    </w:p>
    <w:p>
      <w:pPr>
        <w:spacing w:after="0" w:line="329"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200" w:lineRule="exact"/>
        <w:rPr>
          <w:sz w:val="20"/>
          <w:szCs w:val="20"/>
          <w:color w:val="auto"/>
        </w:rPr>
      </w:pPr>
    </w:p>
    <w:p>
      <w:pPr>
        <w:spacing w:after="0" w:line="339"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353"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76" w:lineRule="exact"/>
        <w:rPr>
          <w:sz w:val="20"/>
          <w:szCs w:val="20"/>
          <w:color w:val="auto"/>
        </w:rPr>
      </w:pPr>
    </w:p>
    <w:p>
      <w:pPr>
        <w:ind w:right="2939" w:firstLine="554"/>
        <w:spacing w:after="0" w:line="252"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352" w:lineRule="exact"/>
        <w:rPr>
          <w:sz w:val="20"/>
          <w:szCs w:val="20"/>
          <w:color w:val="auto"/>
        </w:rPr>
      </w:pPr>
    </w:p>
    <w:p>
      <w:pPr>
        <w:ind w:left="280" w:right="2839"/>
        <w:spacing w:after="0" w:line="253" w:lineRule="auto"/>
        <w:rPr>
          <w:sz w:val="20"/>
          <w:szCs w:val="20"/>
          <w:color w:val="auto"/>
        </w:rPr>
      </w:pPr>
      <w:r>
        <w:rPr>
          <w:rFonts w:ascii="Courier New" w:cs="Courier New" w:eastAsia="Courier New" w:hAnsi="Courier New"/>
          <w:sz w:val="15"/>
          <w:szCs w:val="15"/>
          <w:color w:val="auto"/>
        </w:rPr>
        <w:t>IF WE ARE UNABLE TO PROTECT OUR PROPRIETARY TECHNOLOGY FROM MISAPPROPRIATION, OUR BUSINESS MAY BE HARMED.</w:t>
      </w:r>
    </w:p>
    <w:p>
      <w:pPr>
        <w:spacing w:after="0" w:line="35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726" w:gutter="0" w:footer="0" w:header="0"/>
        </w:sectPr>
      </w:pPr>
    </w:p>
    <w:bookmarkStart w:id="12" w:name="page13"/>
    <w:bookmarkEnd w:id="12"/>
    <w:p>
      <w:pPr>
        <w:ind w:right="3119"/>
        <w:spacing w:after="0" w:line="251" w:lineRule="auto"/>
        <w:rPr>
          <w:sz w:val="20"/>
          <w:szCs w:val="20"/>
          <w:color w:val="auto"/>
        </w:rPr>
      </w:pPr>
      <w:r>
        <w:rPr>
          <w:rFonts w:ascii="Courier New" w:cs="Courier New" w:eastAsia="Courier New" w:hAnsi="Courier New"/>
          <w:sz w:val="15"/>
          <w:szCs w:val="15"/>
          <w:color w:val="auto"/>
        </w:rPr>
        <w:t>or inhibit unauthorized use, but we generally enter into confidentiality agreements with our employees, consultants, subcontractors, customers and potential customers and limit access to, and distribution of, our proprietary information.</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75" w:lineRule="exact"/>
        <w:rPr>
          <w:sz w:val="20"/>
          <w:szCs w:val="20"/>
          <w:color w:val="auto"/>
        </w:rPr>
      </w:pPr>
    </w:p>
    <w:p>
      <w:pPr>
        <w:ind w:right="3019" w:firstLine="554"/>
        <w:spacing w:after="0" w:line="252"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protracted and expensive and could involve a high degree of risk.</w:t>
      </w:r>
    </w:p>
    <w:p>
      <w:pPr>
        <w:spacing w:after="0" w:line="175" w:lineRule="exact"/>
        <w:rPr>
          <w:sz w:val="20"/>
          <w:szCs w:val="20"/>
          <w:color w:val="auto"/>
        </w:rPr>
      </w:pPr>
    </w:p>
    <w:p>
      <w:pPr>
        <w:ind w:left="360" w:right="3119"/>
        <w:spacing w:after="0" w:line="253"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83"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85"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6"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3" w:name="page14"/>
    <w:bookmarkEnd w:id="13"/>
    <w:p>
      <w:pPr>
        <w:jc w:val="both"/>
        <w:ind w:left="360" w:right="3299"/>
        <w:spacing w:after="0" w:line="252" w:lineRule="auto"/>
        <w:rPr>
          <w:sz w:val="20"/>
          <w:szCs w:val="20"/>
          <w:color w:val="auto"/>
        </w:rPr>
      </w:pPr>
      <w:r>
        <w:rPr>
          <w:rFonts w:ascii="Courier New" w:cs="Courier New" w:eastAsia="Courier New" w:hAnsi="Courier New"/>
          <w:sz w:val="15"/>
          <w:szCs w:val="15"/>
          <w:color w:val="auto"/>
        </w:rPr>
        <w:t>SYSTEM DISRUPTIONS AND FAILURES MAY RESULT IN CUSTOMER DISSATISFACTION, CUSTOMER LOSS OR BOTH, WHICH COULD MATERIALLY AND ADVERSELY AFFECT OUR REPUTATION AND BUSINESS.</w:t>
      </w:r>
    </w:p>
    <w:p>
      <w:pPr>
        <w:spacing w:after="0" w:line="175"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76"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8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75" w:lineRule="exact"/>
        <w:rPr>
          <w:sz w:val="20"/>
          <w:szCs w:val="20"/>
          <w:color w:val="auto"/>
        </w:rPr>
      </w:pPr>
    </w:p>
    <w:p>
      <w:pPr>
        <w:ind w:left="360" w:right="2839"/>
        <w:spacing w:after="0" w:line="253"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352"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00" w:lineRule="exact"/>
        <w:rPr>
          <w:sz w:val="20"/>
          <w:szCs w:val="20"/>
          <w:color w:val="auto"/>
        </w:rPr>
      </w:pPr>
    </w:p>
    <w:p>
      <w:pPr>
        <w:spacing w:after="0" w:line="331"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200" w:lineRule="exact"/>
        <w:rPr>
          <w:sz w:val="20"/>
          <w:szCs w:val="20"/>
          <w:color w:val="auto"/>
        </w:rPr>
      </w:pPr>
    </w:p>
    <w:p>
      <w:pPr>
        <w:spacing w:after="0" w:line="338"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354" w:lineRule="exact"/>
        <w:rPr>
          <w:sz w:val="20"/>
          <w:szCs w:val="20"/>
          <w:color w:val="auto"/>
        </w:rPr>
      </w:pPr>
    </w:p>
    <w:p>
      <w:pPr>
        <w:ind w:right="2839" w:firstLine="554"/>
        <w:spacing w:after="0" w:line="253" w:lineRule="auto"/>
        <w:rPr>
          <w:sz w:val="20"/>
          <w:szCs w:val="20"/>
          <w:color w:val="auto"/>
        </w:rPr>
      </w:pPr>
      <w:r>
        <w:rPr>
          <w:rFonts w:ascii="Courier New" w:cs="Courier New" w:eastAsia="Courier New" w:hAnsi="Courier New"/>
          <w:sz w:val="15"/>
          <w:szCs w:val="15"/>
          <w:color w:val="auto"/>
        </w:rPr>
        <w:t>Any of the following could have a material effect on our overall effective tax rate:</w:t>
      </w:r>
    </w:p>
    <w:p>
      <w:pPr>
        <w:spacing w:after="0" w:line="174" w:lineRule="exact"/>
        <w:rPr>
          <w:sz w:val="20"/>
          <w:szCs w:val="20"/>
          <w:color w:val="auto"/>
        </w:rPr>
      </w:pPr>
    </w:p>
    <w:p>
      <w:pPr>
        <w:ind w:left="1100" w:hanging="552"/>
        <w:spacing w:after="0"/>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84" w:lineRule="exact"/>
        <w:rPr>
          <w:rFonts w:ascii="Courier New" w:cs="Courier New" w:eastAsia="Courier New" w:hAnsi="Courier New"/>
          <w:sz w:val="15"/>
          <w:szCs w:val="15"/>
          <w:color w:val="auto"/>
        </w:rPr>
      </w:pPr>
    </w:p>
    <w:p>
      <w:pPr>
        <w:ind w:left="1100" w:right="2939" w:hanging="552"/>
        <w:spacing w:after="0" w:line="253"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4" w:lineRule="exact"/>
        <w:rPr>
          <w:rFonts w:ascii="Courier New" w:cs="Courier New" w:eastAsia="Courier New" w:hAnsi="Courier New"/>
          <w:sz w:val="15"/>
          <w:szCs w:val="15"/>
          <w:color w:val="auto"/>
        </w:rPr>
      </w:pPr>
    </w:p>
    <w:p>
      <w:pPr>
        <w:ind w:left="1100" w:right="2939" w:hanging="552"/>
        <w:spacing w:after="0" w:line="253"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w:t>
      </w:r>
    </w:p>
    <w:p>
      <w:pPr>
        <w:spacing w:after="0" w:line="174" w:lineRule="exact"/>
        <w:rPr>
          <w:rFonts w:ascii="Courier New" w:cs="Courier New" w:eastAsia="Courier New" w:hAnsi="Courier New"/>
          <w:sz w:val="15"/>
          <w:szCs w:val="15"/>
          <w:color w:val="auto"/>
        </w:rPr>
      </w:pPr>
    </w:p>
    <w:p>
      <w:pPr>
        <w:jc w:val="both"/>
        <w:ind w:left="1100" w:right="3019" w:hanging="552"/>
        <w:spacing w:after="0" w:line="252"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w:t>
      </w:r>
    </w:p>
    <w:p>
      <w:pPr>
        <w:spacing w:after="0" w:line="174" w:lineRule="exact"/>
        <w:rPr>
          <w:rFonts w:ascii="Courier New" w:cs="Courier New" w:eastAsia="Courier New" w:hAnsi="Courier New"/>
          <w:sz w:val="15"/>
          <w:szCs w:val="15"/>
          <w:color w:val="auto"/>
        </w:rPr>
      </w:pPr>
    </w:p>
    <w:p>
      <w:pPr>
        <w:ind w:left="1100" w:right="3019" w:hanging="552"/>
        <w:spacing w:after="0" w:line="253"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required to refund previously recognized tax benefits if we are found to be in violation of the stipulated conditions.</w:t>
      </w:r>
    </w:p>
    <w:p>
      <w:pPr>
        <w:spacing w:after="0" w:line="174" w:lineRule="exact"/>
        <w:rPr>
          <w:sz w:val="20"/>
          <w:szCs w:val="20"/>
          <w:color w:val="auto"/>
        </w:rPr>
      </w:pPr>
    </w:p>
    <w:p>
      <w:pPr>
        <w:ind w:left="360" w:right="2939"/>
        <w:spacing w:after="0" w:line="253" w:lineRule="auto"/>
        <w:rPr>
          <w:sz w:val="20"/>
          <w:szCs w:val="20"/>
          <w:color w:val="auto"/>
        </w:rPr>
      </w:pPr>
      <w:r>
        <w:rPr>
          <w:rFonts w:ascii="Courier New" w:cs="Courier New" w:eastAsia="Courier New" w:hAnsi="Courier New"/>
          <w:sz w:val="15"/>
          <w:szCs w:val="15"/>
          <w:color w:val="auto"/>
        </w:rPr>
        <w:t>WE ARE CURRENTLY A PARTY TO SECURITIES LITIGATION CLASS ACTION LAWSUITS AND A SECURITIES EXCHANGE COMMISSION INVESTIGATION, WHICH COULD NEGATIVELY</w:t>
      </w:r>
    </w:p>
    <w:p>
      <w:pPr>
        <w:sectPr>
          <w:pgSz w:w="11900" w:h="16838" w:orient="portrait"/>
          <w:cols w:equalWidth="0" w:num="1">
            <w:col w:w="10219"/>
          </w:cols>
          <w:pgMar w:left="240" w:top="650" w:right="1440" w:bottom="0" w:gutter="0" w:footer="0" w:header="0"/>
        </w:sectPr>
      </w:pPr>
    </w:p>
    <w:bookmarkStart w:id="14" w:name="page15"/>
    <w:bookmarkEnd w:id="14"/>
    <w:p>
      <w:pPr>
        <w:ind w:left="360"/>
        <w:spacing w:after="0"/>
        <w:rPr>
          <w:sz w:val="20"/>
          <w:szCs w:val="20"/>
          <w:color w:val="auto"/>
        </w:rPr>
      </w:pPr>
      <w:r>
        <w:rPr>
          <w:rFonts w:ascii="Courier New" w:cs="Courier New" w:eastAsia="Courier New" w:hAnsi="Courier New"/>
          <w:sz w:val="15"/>
          <w:szCs w:val="15"/>
          <w:color w:val="auto"/>
        </w:rPr>
        <w:t>AFFECT OUR BUSINESS AND RESULTS OF OPERATIONS.</w:t>
      </w:r>
    </w:p>
    <w:p>
      <w:pPr>
        <w:spacing w:after="0" w:line="36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Beginning in June 2002, a number of complaints were filed by holders of our ordinary shares against us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we and the individual defendants had made false or misleading statements about our</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142" w:right="1440" w:bottom="1440" w:gutter="0" w:footer="0" w:header="0"/>
        </w:sectPr>
      </w:pPr>
    </w:p>
    <w:bookmarkStart w:id="15" w:name="page16"/>
    <w:bookmarkEnd w:id="15"/>
    <w:p>
      <w:pPr>
        <w:ind w:right="2839"/>
        <w:spacing w:after="0" w:line="251" w:lineRule="auto"/>
        <w:rPr>
          <w:sz w:val="20"/>
          <w:szCs w:val="20"/>
          <w:color w:val="auto"/>
        </w:rPr>
      </w:pPr>
      <w:r>
        <w:rPr>
          <w:rFonts w:ascii="Courier New" w:cs="Courier New" w:eastAsia="Courier New" w:hAnsi="Courier New"/>
          <w:sz w:val="15"/>
          <w:szCs w:val="15"/>
          <w:color w:val="auto"/>
        </w:rPr>
        <w:t>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35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In addition, we have been informed that the Midwest Regional Office of the United States Securities and Exchange Commission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360" w:lineRule="exact"/>
        <w:rPr>
          <w:sz w:val="20"/>
          <w:szCs w:val="20"/>
          <w:color w:val="auto"/>
        </w:rPr>
      </w:pPr>
    </w:p>
    <w:p>
      <w:pPr>
        <w:jc w:val="both"/>
        <w:ind w:left="360" w:right="2839"/>
        <w:spacing w:after="0" w:line="253" w:lineRule="auto"/>
        <w:rPr>
          <w:sz w:val="20"/>
          <w:szCs w:val="20"/>
          <w:color w:val="auto"/>
        </w:rPr>
      </w:pPr>
      <w:r>
        <w:rPr>
          <w:rFonts w:ascii="Courier New" w:cs="Courier New" w:eastAsia="Courier New" w:hAnsi="Courier New"/>
          <w:sz w:val="15"/>
          <w:szCs w:val="15"/>
          <w:color w:val="auto"/>
        </w:rPr>
        <w:t>IT MAY BE DIFFICULT FOR OUR SHAREHOLDERS TO ENFORCE ANY JUDGMENT OBTAINED IN THE UNITED STATES AGAINST US, THE SELLING SECURITYHOLDERS OR OUR AFFILIATES.</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many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CAPITAL STRUCTURE</w:t>
      </w:r>
    </w:p>
    <w:p>
      <w:pPr>
        <w:spacing w:after="0" w:line="185" w:lineRule="exact"/>
        <w:rPr>
          <w:sz w:val="20"/>
          <w:szCs w:val="20"/>
          <w:color w:val="auto"/>
        </w:rPr>
      </w:pPr>
    </w:p>
    <w:p>
      <w:pPr>
        <w:ind w:left="360" w:right="3119"/>
        <w:spacing w:after="0" w:line="253"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35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During fiscal year 2003, our ordinary shares traded as high as $27.25 per share and as low as $5.85 per share. Our ordinary shares traded as high as $39.25 per share and as low as $6.10 per share in fiscal 2002 and as high as $80.50 per share and as low as $25.85 per share in fiscal 2001. As of August 11, 2004, the closing price of our ordinary shares was $18.57 per share. Many factors could cause the market price of our ordinary shares to rise and fall, including:</w:t>
      </w:r>
    </w:p>
    <w:p>
      <w:pPr>
        <w:spacing w:after="0" w:line="353" w:lineRule="exact"/>
        <w:rPr>
          <w:sz w:val="20"/>
          <w:szCs w:val="20"/>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84" w:lineRule="exact"/>
        <w:rPr>
          <w:rFonts w:ascii="Courier New" w:cs="Courier New" w:eastAsia="Courier New" w:hAnsi="Courier New"/>
          <w:sz w:val="15"/>
          <w:szCs w:val="15"/>
          <w:color w:val="auto"/>
        </w:rPr>
      </w:pPr>
    </w:p>
    <w:p>
      <w:pPr>
        <w:ind w:left="1100" w:right="3019" w:hanging="552"/>
        <w:spacing w:after="0" w:line="253"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introductions of new products or new pricing policies by us or our competitors,</w:t>
      </w:r>
    </w:p>
    <w:p>
      <w:pPr>
        <w:spacing w:after="0" w:line="17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or software industries,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84" w:lineRule="exact"/>
        <w:rPr>
          <w:rFonts w:ascii="Courier New" w:cs="Courier New" w:eastAsia="Courier New" w:hAnsi="Courier New"/>
          <w:sz w:val="15"/>
          <w:szCs w:val="15"/>
          <w:color w:val="auto"/>
        </w:rPr>
      </w:pPr>
    </w:p>
    <w:p>
      <w:pPr>
        <w:ind w:left="1100" w:right="3479" w:hanging="552"/>
        <w:spacing w:after="0" w:line="253"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developments in the Middle East.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16" w:name="page17"/>
    <w:bookmarkEnd w:id="16"/>
    <w:p>
      <w:pPr>
        <w:ind w:right="2839" w:firstLine="554"/>
        <w:spacing w:after="0" w:line="251" w:lineRule="auto"/>
        <w:rPr>
          <w:sz w:val="20"/>
          <w:szCs w:val="20"/>
          <w:color w:val="auto"/>
        </w:rPr>
      </w:pPr>
      <w:r>
        <w:rPr>
          <w:rFonts w:ascii="Courier New" w:cs="Courier New" w:eastAsia="Courier New" w:hAnsi="Courier New"/>
          <w:sz w:val="15"/>
          <w:szCs w:val="15"/>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7" w:name="page18"/>
    <w:bookmarkEnd w:id="17"/>
    <w:p>
      <w:pPr>
        <w:ind w:left="1380"/>
        <w:spacing w:after="0"/>
        <w:rPr>
          <w:sz w:val="20"/>
          <w:szCs w:val="20"/>
          <w:color w:val="auto"/>
        </w:rPr>
      </w:pPr>
      <w:r>
        <w:rPr>
          <w:rFonts w:ascii="Courier New" w:cs="Courier New" w:eastAsia="Courier New" w:hAnsi="Courier New"/>
          <w:sz w:val="15"/>
          <w:szCs w:val="15"/>
          <w:color w:val="auto"/>
        </w:rPr>
        <w:t>SPECIAL NOTE REGARDING FORWARD-LOOKING INFORMATION</w:t>
      </w:r>
    </w:p>
    <w:p>
      <w:pPr>
        <w:spacing w:after="0" w:line="185" w:lineRule="exact"/>
        <w:rPr>
          <w:sz w:val="20"/>
          <w:szCs w:val="20"/>
          <w:color w:val="auto"/>
        </w:rPr>
      </w:pPr>
    </w:p>
    <w:p>
      <w:pPr>
        <w:ind w:right="3299" w:firstLine="554"/>
        <w:spacing w:after="0" w:line="250" w:lineRule="auto"/>
        <w:rPr>
          <w:sz w:val="20"/>
          <w:szCs w:val="20"/>
          <w:color w:val="auto"/>
        </w:rPr>
      </w:pPr>
      <w:r>
        <w:rPr>
          <w:rFonts w:ascii="Courier New" w:cs="Courier New" w:eastAsia="Courier New" w:hAnsi="Courier New"/>
          <w:sz w:val="15"/>
          <w:szCs w:val="15"/>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w:t>
      </w:r>
    </w:p>
    <w:p>
      <w:pPr>
        <w:spacing w:after="0" w:line="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"anticipate," "believe," "seek," "estimate," "project," "forecast," "continue," "potential," "should," "would," "could" and "may," and other words that convey uncertainty of future events or outcome.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84" w:lineRule="exact"/>
        <w:rPr>
          <w:sz w:val="20"/>
          <w:szCs w:val="20"/>
          <w:color w:val="auto"/>
        </w:rPr>
      </w:pPr>
    </w:p>
    <w:p>
      <w:pPr>
        <w:ind w:right="3019" w:firstLine="554"/>
        <w:spacing w:after="0" w:line="250"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8" w:name="page19"/>
    <w:bookmarkEnd w:id="18"/>
    <w:p>
      <w:pPr>
        <w:jc w:val="center"/>
        <w:ind w:right="2759"/>
        <w:spacing w:after="0"/>
        <w:rPr>
          <w:sz w:val="20"/>
          <w:szCs w:val="20"/>
          <w:color w:val="auto"/>
        </w:rPr>
      </w:pPr>
      <w:r>
        <w:rPr>
          <w:rFonts w:ascii="Courier New" w:cs="Courier New" w:eastAsia="Courier New" w:hAnsi="Courier New"/>
          <w:sz w:val="15"/>
          <w:szCs w:val="15"/>
          <w:color w:val="auto"/>
        </w:rPr>
        <w:t>OFFERING STATISTICS AND TIMETABLE</w:t>
      </w:r>
    </w:p>
    <w:p>
      <w:pPr>
        <w:spacing w:after="0" w:line="18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The 560,777 ordinary shares being offered hereby are being sold by the selling securityholders listed under the caption "Selling Securityholders" beginning on page 20. The offer will be open until the earliest to occur of (1) the date on which all of the ordinary shares being offered hereby have been sold pursuant to the Registration Statement of which this prospectus constitutes a part or pursuant to Rule 144 under the Securities Act of 1933, as amended, which we refer to as to the Securities Act, (2) the date on which all of the shares being offered hereby can be sold without registration without regard to the volume restrictions of Rule 144 under the Securities Act and (3) February 19, 2006.</w:t>
      </w:r>
    </w:p>
    <w:p>
      <w:pPr>
        <w:spacing w:after="0" w:line="18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REASONS FOR THE OFFER AND USE OF PROCEEDS</w:t>
      </w:r>
    </w:p>
    <w:p>
      <w:pPr>
        <w:spacing w:after="0" w:line="36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This prospectus relates to the resale from time to time of up to 560,777 ordinary shares previously issued by us to former shareholders of XACCT in connection with our acquisition of that company. We acquired XACCT's outstanding shares for approximately $28.4 million, of which approximately $13.3 million was paid in cash, with the balance paid in 560,777 of our ordinary shares. The shares were issued in a private placement we believe satisfied the conditions exemptions from registration provided by Section 4(2) and Regulation S under the Securities Act. We will not receive any proceeds from the sale of ordinary shares by the selling securityholders.</w:t>
      </w:r>
    </w:p>
    <w:p>
      <w:pPr>
        <w:spacing w:after="0" w:line="352"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DIVIDEND POLICY</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7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MATERIAL CHANGES</w:t>
      </w:r>
    </w:p>
    <w:p>
      <w:pPr>
        <w:spacing w:after="0" w:line="36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On March 5, 2004, we sold $450.0 million aggregate principal amount of 0.50% Convertible Senior Notes due 2024, referred to herein as the 0.50% Notes, through a private placement to qualified institutional buyers pursuant to Rule 144A under the Securities Act. 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also used net proceeds and other cash resources to repurchase approximately $395.1 million in aggregate principal amount of our 2% Notes through a cash tender offer that we announced on May 3, 2004 and which expired on June 1, 2004. The untendered principal amount of 2% Notes remain as obligations of the Company, due June 1, 2008, in accordance with their terms.</w:t>
      </w:r>
    </w:p>
    <w:p>
      <w:pPr>
        <w:spacing w:after="0" w:line="200" w:lineRule="exact"/>
        <w:rPr>
          <w:sz w:val="20"/>
          <w:szCs w:val="20"/>
          <w:color w:val="auto"/>
        </w:rPr>
      </w:pPr>
    </w:p>
    <w:p>
      <w:pPr>
        <w:spacing w:after="0" w:line="338"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In connection with the sale of the 0.50% Notes, we entered into an Indenture, dated as of March 5, 2004, by and between us and The Bank of New York, as Trustee, and a Registration Rights Agreement, dated as of March 5, 2004, with the initial purchasers of the 0.50% Notes, pursuant to which we agreed to file a registration statement on Form F-3 with respect to the 0.50% Notes and the ordinary shares issuable upon conversion of the 0.50% Notes. We filed three reports on Form 6-K with respect to the 0.50%</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9" w:name="page20"/>
    <w:bookmarkEnd w:id="19"/>
    <w:p>
      <w:pPr>
        <w:ind w:right="3299"/>
        <w:spacing w:after="0" w:line="253" w:lineRule="auto"/>
        <w:rPr>
          <w:sz w:val="20"/>
          <w:szCs w:val="20"/>
          <w:color w:val="auto"/>
        </w:rPr>
      </w:pPr>
      <w:r>
        <w:rPr>
          <w:rFonts w:ascii="Courier New" w:cs="Courier New" w:eastAsia="Courier New" w:hAnsi="Courier New"/>
          <w:sz w:val="15"/>
          <w:szCs w:val="15"/>
          <w:color w:val="auto"/>
        </w:rPr>
        <w:t>Notes, on each of March 1, March 2 and March 5, 2004. See "Incorporation of Documents by Reference" and "Where You Can Find More Information."</w:t>
      </w:r>
    </w:p>
    <w:p>
      <w:pPr>
        <w:spacing w:after="0" w:line="352" w:lineRule="exact"/>
        <w:rPr>
          <w:sz w:val="20"/>
          <w:szCs w:val="20"/>
          <w:color w:val="auto"/>
        </w:rPr>
      </w:pPr>
    </w:p>
    <w:p>
      <w:pPr>
        <w:ind w:right="3119" w:firstLine="554"/>
        <w:spacing w:after="0" w:line="250" w:lineRule="auto"/>
        <w:rPr>
          <w:sz w:val="20"/>
          <w:szCs w:val="20"/>
          <w:color w:val="auto"/>
        </w:rPr>
      </w:pPr>
      <w:r>
        <w:rPr>
          <w:rFonts w:ascii="Courier New" w:cs="Courier New" w:eastAsia="Courier New" w:hAnsi="Courier New"/>
          <w:sz w:val="15"/>
          <w:szCs w:val="15"/>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200" w:lineRule="exact"/>
        <w:rPr>
          <w:sz w:val="20"/>
          <w:szCs w:val="20"/>
          <w:color w:val="auto"/>
        </w:rPr>
      </w:pPr>
    </w:p>
    <w:p>
      <w:pPr>
        <w:spacing w:after="0" w:line="337"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as of August 10, 2004, we had repurchased approximately 2.2 million ordinary shares, at an average price of $21.10 per share.</w:t>
      </w:r>
    </w:p>
    <w:p>
      <w:pPr>
        <w:spacing w:after="0" w:line="200" w:lineRule="exact"/>
        <w:rPr>
          <w:sz w:val="20"/>
          <w:szCs w:val="20"/>
          <w:color w:val="auto"/>
        </w:rPr>
      </w:pPr>
    </w:p>
    <w:p>
      <w:pPr>
        <w:spacing w:after="0" w:line="331" w:lineRule="exact"/>
        <w:rPr>
          <w:sz w:val="20"/>
          <w:szCs w:val="20"/>
          <w:color w:val="auto"/>
        </w:rPr>
      </w:pPr>
    </w:p>
    <w:p>
      <w:pPr>
        <w:ind w:right="3399" w:firstLine="554"/>
        <w:spacing w:after="0" w:line="252" w:lineRule="auto"/>
        <w:rPr>
          <w:sz w:val="20"/>
          <w:szCs w:val="20"/>
          <w:color w:val="auto"/>
        </w:rPr>
      </w:pPr>
      <w:r>
        <w:rPr>
          <w:rFonts w:ascii="Courier New" w:cs="Courier New" w:eastAsia="Courier New" w:hAnsi="Courier New"/>
          <w:sz w:val="15"/>
          <w:szCs w:val="15"/>
          <w:color w:val="auto"/>
        </w:rPr>
        <w:t>Pursuant to a previous share repurchase program, in fiscal 2002 we purchased 7.7 million of our ordinary share at a weighted average price of $14.13 per share.</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20" w:name="page21"/>
    <w:bookmarkEnd w:id="20"/>
    <w:p>
      <w:pPr>
        <w:ind w:left="2760"/>
        <w:spacing w:after="0"/>
        <w:rPr>
          <w:sz w:val="20"/>
          <w:szCs w:val="20"/>
          <w:color w:val="auto"/>
        </w:rPr>
      </w:pPr>
      <w:r>
        <w:rPr>
          <w:rFonts w:ascii="Courier New" w:cs="Courier New" w:eastAsia="Courier New" w:hAnsi="Courier New"/>
          <w:sz w:val="15"/>
          <w:szCs w:val="15"/>
          <w:color w:val="auto"/>
        </w:rPr>
        <w:t>THE OFFER AND LISTING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85" w:lineRule="exact"/>
        <w:rPr>
          <w:sz w:val="20"/>
          <w:szCs w:val="20"/>
          <w:color w:val="auto"/>
        </w:rPr>
      </w:pPr>
    </w:p>
    <w:p>
      <w:pPr>
        <w:ind w:right="2839" w:firstLine="554"/>
        <w:spacing w:after="0" w:line="252"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14"/>
                <w:szCs w:val="14"/>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LOW</w:t>
            </w:r>
          </w:p>
        </w:tc>
      </w:tr>
      <w:tr>
        <w:trPr>
          <w:trHeight w:val="177"/>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1999 .....................................................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2000 .....................................................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19.81</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2001 .....................................................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80.50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25.85</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2002 .....................................................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2003 .....................................................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2002:</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35.90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24.00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23.60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26.27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6.62</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Fourth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2003: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11.98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13.95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9.86</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13.25</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Fourth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18.55</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2004:</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18.90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29.74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22.17</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30.69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22.65</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Fourth Quarter (through August 11,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18.57</w:t>
            </w:r>
          </w:p>
        </w:tc>
      </w:tr>
      <w:tr>
        <w:trPr>
          <w:trHeight w:val="355"/>
        </w:trPr>
        <w:tc>
          <w:tcPr>
            <w:tcW w:w="54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Most Recent Six Months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55"/>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February,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29.45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26.42</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March,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25.77</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April,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30.69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26.50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May,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28.67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23.62</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June,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25.95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22.65</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July,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19.75</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As of August 10, 2004, we had 203,985,984 ordinary shares outstanding and there were approximately 237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331" w:lineRule="exact"/>
        <w:rPr>
          <w:sz w:val="20"/>
          <w:szCs w:val="20"/>
          <w:color w:val="auto"/>
        </w:rPr>
      </w:pPr>
    </w:p>
    <w:p>
      <w:pPr>
        <w:ind w:right="2839" w:firstLine="554"/>
        <w:spacing w:after="0" w:line="253" w:lineRule="auto"/>
        <w:rPr>
          <w:sz w:val="20"/>
          <w:szCs w:val="20"/>
          <w:color w:val="auto"/>
        </w:rPr>
      </w:pPr>
      <w:r>
        <w:rPr>
          <w:rFonts w:ascii="Courier New" w:cs="Courier New" w:eastAsia="Courier New" w:hAnsi="Courier New"/>
          <w:sz w:val="15"/>
          <w:szCs w:val="15"/>
          <w:color w:val="auto"/>
        </w:rPr>
        <w:t>On August 11, 2004, the last reported sale price of our ordinary shares on the NYSE was $18.57.</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28"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EXPENSES OF THE ISSUE</w:t>
      </w:r>
    </w:p>
    <w:p>
      <w:pPr>
        <w:spacing w:after="0" w:line="185"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The selling securityholders will pay any underwriting discounts and commissions and expenses incurred by them for brokerage, accounting, tax or legal services (other than the reasonable fees, costs and expenses of one counsel for the selling securityholders up to an aggregate of $10,000)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Filing Fee - Securities and Exchange Commission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1,885</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Legal fees and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$ 25,000</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Accounting fees and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$ 20,000</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Miscellaneous expenses.........................................</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7"/>
        </w:trPr>
        <w:tc>
          <w:tcPr>
            <w:tcW w:w="59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$ 63,385</w:t>
            </w:r>
          </w:p>
        </w:tc>
      </w:tr>
      <w:tr>
        <w:trPr>
          <w:trHeight w:val="177"/>
        </w:trPr>
        <w:tc>
          <w:tcPr>
            <w:tcW w:w="59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5940" w:type="dxa"/>
            <w:vAlign w:val="bottom"/>
          </w:tcPr>
          <w:p>
            <w:pPr>
              <w:jc w:val="right"/>
              <w:ind w:right="2083"/>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22" w:name="page23"/>
    <w:bookmarkEnd w:id="22"/>
    <w:p>
      <w:pPr>
        <w:ind w:left="2680"/>
        <w:spacing w:after="0"/>
        <w:rPr>
          <w:sz w:val="20"/>
          <w:szCs w:val="20"/>
          <w:color w:val="auto"/>
        </w:rPr>
      </w:pPr>
      <w:r>
        <w:rPr>
          <w:rFonts w:ascii="Courier New" w:cs="Courier New" w:eastAsia="Courier New" w:hAnsi="Courier New"/>
          <w:sz w:val="15"/>
          <w:szCs w:val="15"/>
          <w:color w:val="auto"/>
        </w:rPr>
        <w:t>SELLING SECURITYHOLDERS</w:t>
      </w:r>
    </w:p>
    <w:p>
      <w:pPr>
        <w:spacing w:after="0" w:line="362" w:lineRule="exact"/>
        <w:rPr>
          <w:sz w:val="20"/>
          <w:szCs w:val="20"/>
          <w:color w:val="auto"/>
        </w:rPr>
      </w:pPr>
    </w:p>
    <w:p>
      <w:pPr>
        <w:ind w:right="4160" w:firstLine="554"/>
        <w:spacing w:after="0" w:line="251" w:lineRule="auto"/>
        <w:rPr>
          <w:sz w:val="20"/>
          <w:szCs w:val="20"/>
          <w:color w:val="auto"/>
        </w:rPr>
      </w:pPr>
      <w:r>
        <w:rPr>
          <w:rFonts w:ascii="Courier New" w:cs="Courier New" w:eastAsia="Courier New" w:hAnsi="Courier New"/>
          <w:sz w:val="15"/>
          <w:szCs w:val="15"/>
          <w:color w:val="auto"/>
        </w:rPr>
        <w:t>We issued the ordinary shares covered by this prospectus in a private placement in connection with our acquisition of XACCT in February 2004. The following table sets forth, to our knowledge and as of August 12, 2004, certain information about the selling securityholders based on information provided by or on behalf of the selling securityholders in a questionnaire and supplementally. The percentages set forth below are based on 203,985,984 of our ordinary shares outstanding as of August 10, 2004.</w:t>
      </w:r>
    </w:p>
    <w:p>
      <w:pPr>
        <w:spacing w:after="0" w:line="353" w:lineRule="exact"/>
        <w:rPr>
          <w:sz w:val="20"/>
          <w:szCs w:val="20"/>
          <w:color w:val="auto"/>
        </w:rPr>
      </w:pPr>
    </w:p>
    <w:p>
      <w:pPr>
        <w:ind w:right="4060" w:firstLine="554"/>
        <w:spacing w:after="0" w:line="251"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voting or investment power with respect to shares. Unless otherwise indicated below, to our knowledge, all persons named in the table have sole voting and investment power with respect to their ordinary shares, except to the extent authority is shared by spouses under applicable law. The inclusion of any shares in this table does not constitute an admission of beneficial ownership for the person named below.</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ORDINARY SHARES TO BE</w:t>
            </w:r>
          </w:p>
        </w:tc>
      </w:tr>
      <w:tr>
        <w:trPr>
          <w:trHeight w:val="177"/>
        </w:trPr>
        <w:tc>
          <w:tcPr>
            <w:tcW w:w="5580" w:type="dxa"/>
            <w:vAlign w:val="bottom"/>
          </w:tcPr>
          <w:p>
            <w:pPr>
              <w:spacing w:after="0"/>
              <w:rPr>
                <w:sz w:val="15"/>
                <w:szCs w:val="15"/>
                <w:color w:val="auto"/>
              </w:rPr>
            </w:pPr>
          </w:p>
        </w:tc>
        <w:tc>
          <w:tcPr>
            <w:tcW w:w="234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ORDINARY SHARES</w:t>
            </w:r>
          </w:p>
        </w:tc>
        <w:tc>
          <w:tcPr>
            <w:tcW w:w="1440" w:type="dxa"/>
            <w:vAlign w:val="bottom"/>
          </w:tcPr>
          <w:p>
            <w:pPr>
              <w:spacing w:after="0"/>
              <w:rPr>
                <w:sz w:val="15"/>
                <w:szCs w:val="15"/>
                <w:color w:val="auto"/>
              </w:rPr>
            </w:pPr>
          </w:p>
        </w:tc>
        <w:tc>
          <w:tcPr>
            <w:tcW w:w="20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BENEFICIALLY OWNED</w:t>
            </w:r>
          </w:p>
        </w:tc>
      </w:tr>
      <w:tr>
        <w:trPr>
          <w:trHeight w:val="177"/>
        </w:trPr>
        <w:tc>
          <w:tcPr>
            <w:tcW w:w="5580" w:type="dxa"/>
            <w:vAlign w:val="bottom"/>
          </w:tcPr>
          <w:p>
            <w:pPr>
              <w:spacing w:after="0"/>
              <w:rPr>
                <w:sz w:val="15"/>
                <w:szCs w:val="15"/>
                <w:color w:val="auto"/>
              </w:rPr>
            </w:pPr>
          </w:p>
        </w:tc>
        <w:tc>
          <w:tcPr>
            <w:tcW w:w="23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BENEFICIALLY OWNED</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NUMBER OF</w:t>
            </w:r>
          </w:p>
        </w:tc>
        <w:tc>
          <w:tcPr>
            <w:tcW w:w="880" w:type="dxa"/>
            <w:vAlign w:val="bottom"/>
          </w:tcPr>
          <w:p>
            <w:pPr>
              <w:spacing w:after="0"/>
              <w:rPr>
                <w:sz w:val="15"/>
                <w:szCs w:val="15"/>
                <w:color w:val="auto"/>
              </w:rPr>
            </w:pPr>
          </w:p>
        </w:tc>
        <w:tc>
          <w:tcPr>
            <w:tcW w:w="1200" w:type="dxa"/>
            <w:vAlign w:val="bottom"/>
          </w:tcPr>
          <w:p>
            <w:pPr>
              <w:jc w:val="center"/>
              <w:ind w:right="663"/>
              <w:spacing w:after="0"/>
              <w:rPr>
                <w:sz w:val="20"/>
                <w:szCs w:val="20"/>
                <w:color w:val="auto"/>
              </w:rPr>
            </w:pPr>
            <w:r>
              <w:rPr>
                <w:rFonts w:ascii="Courier New" w:cs="Courier New" w:eastAsia="Courier New" w:hAnsi="Courier New"/>
                <w:sz w:val="15"/>
                <w:szCs w:val="15"/>
                <w:color w:val="auto"/>
              </w:rPr>
              <w:t>AFTER</w:t>
            </w:r>
          </w:p>
        </w:tc>
      </w:tr>
      <w:tr>
        <w:trPr>
          <w:trHeight w:val="177"/>
        </w:trPr>
        <w:tc>
          <w:tcPr>
            <w:tcW w:w="5580" w:type="dxa"/>
            <w:vAlign w:val="bottom"/>
          </w:tcPr>
          <w:p>
            <w:pPr>
              <w:spacing w:after="0"/>
              <w:rPr>
                <w:sz w:val="15"/>
                <w:szCs w:val="15"/>
                <w:color w:val="auto"/>
              </w:rPr>
            </w:pPr>
          </w:p>
        </w:tc>
        <w:tc>
          <w:tcPr>
            <w:tcW w:w="23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PRIOR TO OFFERING (1)</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ORDINARY</w:t>
            </w: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OFFERING (1)(2)</w:t>
            </w:r>
          </w:p>
        </w:tc>
      </w:tr>
      <w:tr>
        <w:trPr>
          <w:trHeight w:val="177"/>
        </w:trPr>
        <w:tc>
          <w:tcPr>
            <w:tcW w:w="5580" w:type="dxa"/>
            <w:vAlign w:val="bottom"/>
          </w:tcPr>
          <w:p>
            <w:pPr>
              <w:spacing w:after="0"/>
              <w:rPr>
                <w:sz w:val="15"/>
                <w:szCs w:val="15"/>
                <w:color w:val="auto"/>
              </w:rPr>
            </w:pPr>
          </w:p>
        </w:tc>
        <w:tc>
          <w:tcPr>
            <w:tcW w:w="23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SHARES</w:t>
            </w: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ind w:left="820"/>
              <w:spacing w:after="0"/>
              <w:rPr>
                <w:sz w:val="20"/>
                <w:szCs w:val="20"/>
                <w:color w:val="auto"/>
              </w:rPr>
            </w:pPr>
            <w:r>
              <w:rPr>
                <w:rFonts w:ascii="Courier New" w:cs="Courier New" w:eastAsia="Courier New" w:hAnsi="Courier New"/>
                <w:sz w:val="15"/>
                <w:szCs w:val="15"/>
                <w:color w:val="auto"/>
              </w:rPr>
              <w:t>NAME OF SELLING SECURITYHOLDER (3)</w:t>
            </w:r>
          </w:p>
        </w:tc>
        <w:tc>
          <w:tcPr>
            <w:tcW w:w="1240" w:type="dxa"/>
            <w:vAlign w:val="bottom"/>
          </w:tcPr>
          <w:p>
            <w:pPr>
              <w:ind w:left="420"/>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PERCENTAGE</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BEING OFFERED</w:t>
            </w:r>
          </w:p>
        </w:tc>
        <w:tc>
          <w:tcPr>
            <w:tcW w:w="880" w:type="dxa"/>
            <w:vAlign w:val="bottom"/>
          </w:tcPr>
          <w:p>
            <w:pPr>
              <w:ind w:left="24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558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Ampal - American Israel Corporation(4)...................</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8,058</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8,058</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Ampal Industries (Israel) Ltd.(4)........................</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74,682</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74,682</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Marinera Ltd.(5).........................................</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2,095</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2,095</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Inveco International, Inc.(6)............................</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845</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845</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Israel Seed Limited Partnership(7).......................</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7,610</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7,610</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Israel Seed II, L.P.(7)..................................</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9,883</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9,883</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Technorov Holdings (1993) Ltd.(8)........................</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9,754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9,754</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WSG Capital, L.P.(9).....................................</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5,071</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5,071</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WSG Capital II, L.P.(9)..................................</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4,823</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4,823</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Information Associates-II, L.P.(10)......................</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61,698</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61,698</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IA-II Affiliates Fund, L.L.C.(10)........................</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3,599</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3,599</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Eucalyptus Ventures LP(11)...............................</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21,966</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21,966</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Eucalyptus Ventures (Israel) LP(11)......................</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1,104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1,104</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Eucalyptus Ventures (Cayman) LP(11)......................</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663</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663</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Eucalyptus Ventures (Affiliated) LP(11)..................</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310</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III (GP)(12).........................................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401</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401</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III, L.P.(12)........................................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1,904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1,904</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III (Q), L.P.(12)....................................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50,613</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50,613</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III Strategic Partners, L.P.(12).....................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2,292</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2,292</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IV, L.P.(12).........................................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71,987</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71,987</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IV Strategic Partners, L.P.(12)......................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2,684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2,684</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Deutsche Bank AG, London Branch(13)......................</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415,794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19,487</w:t>
            </w:r>
          </w:p>
        </w:tc>
        <w:tc>
          <w:tcPr>
            <w:tcW w:w="880" w:type="dxa"/>
            <w:vAlign w:val="bottom"/>
          </w:tcPr>
          <w:p>
            <w:pPr>
              <w:jc w:val="center"/>
              <w:ind w:left="163"/>
              <w:spacing w:after="0"/>
              <w:rPr>
                <w:sz w:val="20"/>
                <w:szCs w:val="20"/>
                <w:color w:val="auto"/>
              </w:rPr>
            </w:pPr>
            <w:r>
              <w:rPr>
                <w:rFonts w:ascii="Courier New" w:cs="Courier New" w:eastAsia="Courier New" w:hAnsi="Courier New"/>
                <w:sz w:val="15"/>
                <w:szCs w:val="15"/>
                <w:color w:val="auto"/>
              </w:rPr>
              <w:t>248,074</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Globe LinQ International Fund I, LLC(14).................</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9,647</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9,647</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Infocom Corporation(15)..................................</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6,493</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6,493</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Sun Microsystems, Inc.(16)...............................</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129,864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129,864</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Dell Ventures L.P.(17)...................................</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32,466</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32,466</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Old Point International Corporation(18)..................</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12,986</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12,986</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Credit Suisse First Boston Venture Fund I, L.P.(19)......</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1,948</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1,948</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John D. Sternfield.......................................</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260</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Edward &amp; Marie Jackson...................................</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260</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532"/>
        </w:trPr>
        <w:tc>
          <w:tcPr>
            <w:tcW w:w="5580" w:type="dxa"/>
            <w:vAlign w:val="bottom"/>
          </w:tcPr>
          <w:p>
            <w:pPr>
              <w:ind w:left="3600"/>
              <w:spacing w:after="0"/>
              <w:rPr>
                <w:sz w:val="20"/>
                <w:szCs w:val="20"/>
                <w:color w:val="auto"/>
              </w:rPr>
            </w:pPr>
            <w:r>
              <w:rPr>
                <w:rFonts w:ascii="Courier New" w:cs="Courier New" w:eastAsia="Courier New" w:hAnsi="Courier New"/>
                <w:sz w:val="15"/>
                <w:szCs w:val="15"/>
                <w:color w:val="auto"/>
              </w:rPr>
              <w:t>19</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40"/>
          </w:cols>
          <w:pgMar w:left="240" w:top="650" w:right="219" w:bottom="1440" w:gutter="0" w:footer="0" w:header="0"/>
        </w:sectPr>
      </w:pPr>
    </w:p>
    <w:bookmarkStart w:id="23" w:name="page24"/>
    <w:bookmarkEnd w:id="23"/>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580" w:type="dxa"/>
            <w:vAlign w:val="bottom"/>
          </w:tcPr>
          <w:p>
            <w:pPr>
              <w:spacing w:after="0"/>
              <w:rPr>
                <w:sz w:val="14"/>
                <w:szCs w:val="14"/>
                <w:color w:val="auto"/>
              </w:rPr>
            </w:pPr>
          </w:p>
        </w:tc>
        <w:tc>
          <w:tcPr>
            <w:tcW w:w="22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ORDINARY SHARES</w:t>
            </w:r>
          </w:p>
        </w:tc>
      </w:tr>
      <w:tr>
        <w:trPr>
          <w:trHeight w:val="177"/>
        </w:trPr>
        <w:tc>
          <w:tcPr>
            <w:tcW w:w="5580" w:type="dxa"/>
            <w:vAlign w:val="bottom"/>
          </w:tcPr>
          <w:p>
            <w:pPr>
              <w:spacing w:after="0"/>
              <w:rPr>
                <w:sz w:val="15"/>
                <w:szCs w:val="15"/>
                <w:color w:val="auto"/>
              </w:rPr>
            </w:pPr>
          </w:p>
        </w:tc>
        <w:tc>
          <w:tcPr>
            <w:tcW w:w="226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BENEFICIALLY OWNED</w:t>
            </w:r>
          </w:p>
        </w:tc>
      </w:tr>
      <w:tr>
        <w:trPr>
          <w:trHeight w:val="177"/>
        </w:trPr>
        <w:tc>
          <w:tcPr>
            <w:tcW w:w="55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PRIOR TO OFFERING (1)</w:t>
            </w:r>
          </w:p>
        </w:tc>
      </w:tr>
      <w:tr>
        <w:trPr>
          <w:trHeight w:val="177"/>
        </w:trPr>
        <w:tc>
          <w:tcPr>
            <w:tcW w:w="55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NAME OF SELLING SECURITYHOLDER (CONTINUED) (3)</w:t>
            </w:r>
          </w:p>
        </w:tc>
        <w:tc>
          <w:tcPr>
            <w:tcW w:w="1100" w:type="dxa"/>
            <w:vAlign w:val="bottom"/>
          </w:tcPr>
          <w:p>
            <w:pPr>
              <w:ind w:left="420"/>
              <w:spacing w:after="0"/>
              <w:rPr>
                <w:sz w:val="20"/>
                <w:szCs w:val="20"/>
                <w:color w:val="auto"/>
              </w:rPr>
            </w:pPr>
            <w:r>
              <w:rPr>
                <w:rFonts w:ascii="Courier New" w:cs="Courier New" w:eastAsia="Courier New" w:hAnsi="Courier New"/>
                <w:sz w:val="15"/>
                <w:szCs w:val="15"/>
                <w:color w:val="auto"/>
              </w:rPr>
              <w:t>NUMBER</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Tad W. Piper(20).........................................</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129</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H&amp;Q Employee Venture Fund 2000, L.P.(21).................</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260</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Hambrecht &amp; Quist California(21).........................</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260</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Eric Zimits..............................................</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Mark Zanoli(22)..........................................</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Erez Levy(23)............................................</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Werner Robert Genieser...................................</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Bill Duff................................................</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Plenus Technologies Ltd.(24).............................</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4,545</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532"/>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957,084</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185" w:hanging="185"/>
        <w:spacing w:after="0"/>
        <w:tabs>
          <w:tab w:leader="none" w:pos="18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85" w:lineRule="exact"/>
        <w:rPr>
          <w:sz w:val="20"/>
          <w:szCs w:val="20"/>
          <w:color w:val="auto"/>
        </w:rPr>
      </w:pPr>
    </w:p>
    <w:p>
      <w:pPr>
        <w:ind w:left="1105" w:right="460" w:hanging="552"/>
        <w:spacing w:after="0" w:line="250" w:lineRule="auto"/>
        <w:tabs>
          <w:tab w:leader="none" w:pos="1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total ordinary shares listed as owned by the selling securityholders, a total of 68,529 ordinary shares are held in an escrow account to secure indemnification obligations of the former shareholders of XACCT to us. We expect that these ordinary shares, less any ordinary shares that may be distributed from the escrow account to us in satisfaction of indemnification claims, will be released from escrow and distributed to the selling securityholders on August 19, 2005. The number of ordinary shares indicated as owned by each selling securityholder includes those ordinary shares that such selling securityholder is entitled to receive upon distribution of these shares from the escrow account.</w:t>
      </w:r>
    </w:p>
    <w:p>
      <w:pPr>
        <w:spacing w:after="0" w:line="182" w:lineRule="exact"/>
        <w:rPr>
          <w:rFonts w:ascii="Courier New" w:cs="Courier New" w:eastAsia="Courier New" w:hAnsi="Courier New"/>
          <w:sz w:val="15"/>
          <w:szCs w:val="15"/>
          <w:color w:val="auto"/>
        </w:rPr>
      </w:pPr>
    </w:p>
    <w:p>
      <w:pPr>
        <w:ind w:left="1105" w:right="460" w:hanging="552"/>
        <w:spacing w:after="0" w:line="250" w:lineRule="auto"/>
        <w:tabs>
          <w:tab w:leader="none" w:pos="1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know when or in what amounts a selling securityholder may offer ordinary shares for sale. The selling securityholders might not sell any or all of the shares offered by this prospectus. Because the selling securityholders may offer all or some of the shares pursuant to this offering, and because there are currently no agreements, arrangements or understandings with respect to the sale of any of the shares, we cannot estimate the number of the ordinary shares that will be held by the selling securityholders after completion of the offering. However, for purposes of this table, we have assumed that, after completion of this offering, none of the ordinary shares covered by this prospectus will be held by the selling securityholder.</w:t>
      </w:r>
    </w:p>
    <w:p>
      <w:pPr>
        <w:spacing w:after="0" w:line="182" w:lineRule="exact"/>
        <w:rPr>
          <w:rFonts w:ascii="Courier New" w:cs="Courier New" w:eastAsia="Courier New" w:hAnsi="Courier New"/>
          <w:sz w:val="15"/>
          <w:szCs w:val="15"/>
          <w:color w:val="auto"/>
        </w:rPr>
      </w:pPr>
    </w:p>
    <w:p>
      <w:pPr>
        <w:ind w:left="1105" w:right="460" w:hanging="552"/>
        <w:spacing w:after="0" w:line="251" w:lineRule="auto"/>
        <w:tabs>
          <w:tab w:leader="none" w:pos="1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shareholders of XACCT appointed Fahn Kanne Trust Limited as their agents and representatives. The address of each of the selling securityholders is c/o Fahn Kanne Trust Limited, 23 Menachem Begin Road, Tel Aviv 66184, Israel.</w:t>
      </w:r>
    </w:p>
    <w:p>
      <w:pPr>
        <w:spacing w:after="0" w:line="176" w:lineRule="exact"/>
        <w:rPr>
          <w:rFonts w:ascii="Courier New" w:cs="Courier New" w:eastAsia="Courier New" w:hAnsi="Courier New"/>
          <w:sz w:val="15"/>
          <w:szCs w:val="15"/>
          <w:color w:val="auto"/>
        </w:rPr>
      </w:pPr>
    </w:p>
    <w:p>
      <w:pPr>
        <w:ind w:left="1105" w:right="460" w:hanging="552"/>
        <w:spacing w:after="0" w:line="251" w:lineRule="auto"/>
        <w:tabs>
          <w:tab w:leader="none" w:pos="1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Ampal Industries (Israel) Ltd. is owned by Ampal Industries Inc., which is owned by Ampal American-Israel Corporation. Ampal American Israel Corporation is a public company traded on the Nasdaq National Market. Mr. Yosef A. Maiman is the beneficial owner of 59.58% of the outstanding shares of Class A stock of Ampal American Israel Corporation.</w:t>
      </w:r>
    </w:p>
    <w:p>
      <w:pPr>
        <w:spacing w:after="0" w:line="175" w:lineRule="exact"/>
        <w:rPr>
          <w:rFonts w:ascii="Courier New" w:cs="Courier New" w:eastAsia="Courier New" w:hAnsi="Courier New"/>
          <w:sz w:val="15"/>
          <w:szCs w:val="15"/>
          <w:color w:val="auto"/>
        </w:rPr>
      </w:pPr>
    </w:p>
    <w:p>
      <w:pPr>
        <w:ind w:left="1105" w:right="640" w:hanging="552"/>
        <w:spacing w:after="0" w:line="251" w:lineRule="auto"/>
        <w:tabs>
          <w:tab w:leader="none" w:pos="1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Daniel Steinmetz holds voting and dispositive power over the ordinary shares held by Marinera Ltd. Mr. Steinmetz disclaims beneficial ownership of any shares held by Marinera Ltd. except to the extent of his pecuniary interest therein.</w:t>
      </w:r>
    </w:p>
    <w:p>
      <w:pPr>
        <w:spacing w:after="0" w:line="176" w:lineRule="exact"/>
        <w:rPr>
          <w:rFonts w:ascii="Courier New" w:cs="Courier New" w:eastAsia="Courier New" w:hAnsi="Courier New"/>
          <w:sz w:val="15"/>
          <w:szCs w:val="15"/>
          <w:color w:val="auto"/>
        </w:rPr>
      </w:pPr>
    </w:p>
    <w:p>
      <w:pPr>
        <w:ind w:left="1105" w:hanging="552"/>
        <w:spacing w:after="0"/>
        <w:tabs>
          <w:tab w:leader="none" w:pos="1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Inveco International, Inc. is owned and controlled by Hillel Peled.</w:t>
      </w:r>
    </w:p>
    <w:p>
      <w:pPr>
        <w:spacing w:after="0" w:line="184" w:lineRule="exact"/>
        <w:rPr>
          <w:rFonts w:ascii="Courier New" w:cs="Courier New" w:eastAsia="Courier New" w:hAnsi="Courier New"/>
          <w:sz w:val="15"/>
          <w:szCs w:val="15"/>
          <w:color w:val="auto"/>
        </w:rPr>
      </w:pPr>
    </w:p>
    <w:p>
      <w:pPr>
        <w:ind w:left="1105" w:right="460" w:hanging="552"/>
        <w:spacing w:after="0" w:line="250" w:lineRule="auto"/>
        <w:tabs>
          <w:tab w:leader="none" w:pos="1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sole General Partner of each of Israel Seed Limited Partnership and Israel Seed II, L.P. (the "Israel Seed Entities") is Seed Venture Partners Ltd. which has sole investment control with respect to the Israel Seed Entities. The sole principals of the investment advisors to Seed Venture Partners Ltd. are Jonathan Medved, Neil Cohen and Michael Eisenberg and, as such, they may be deemed to share voting power over the ordinary shares held by the Israel Seed Entities. Each individual disclaims beneficial ownership of any shares held by the Israel Seed Entities except to the extent of their respective pecuniary interests.</w:t>
      </w:r>
    </w:p>
    <w:p>
      <w:pPr>
        <w:spacing w:after="0" w:line="181" w:lineRule="exact"/>
        <w:rPr>
          <w:rFonts w:ascii="Courier New" w:cs="Courier New" w:eastAsia="Courier New" w:hAnsi="Courier New"/>
          <w:sz w:val="15"/>
          <w:szCs w:val="15"/>
          <w:color w:val="auto"/>
        </w:rPr>
      </w:pPr>
    </w:p>
    <w:p>
      <w:pPr>
        <w:ind w:left="1105" w:right="920" w:hanging="552"/>
        <w:spacing w:after="0" w:line="253" w:lineRule="auto"/>
        <w:tabs>
          <w:tab w:leader="none" w:pos="1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Technorov Holdings (1993) Ltd. is a subsidiary of Alrov Ltd., a widely-held company listed on the Tel Aviv Stock Exchange.</w:t>
      </w:r>
    </w:p>
    <w:p>
      <w:pPr>
        <w:spacing w:after="0" w:line="351" w:lineRule="exact"/>
        <w:rPr>
          <w:rFonts w:ascii="Courier New" w:cs="Courier New" w:eastAsia="Courier New" w:hAnsi="Courier New"/>
          <w:sz w:val="15"/>
          <w:szCs w:val="15"/>
          <w:color w:val="auto"/>
        </w:rPr>
      </w:pPr>
    </w:p>
    <w:p>
      <w:pPr>
        <w:ind w:left="1105" w:right="460" w:hanging="552"/>
        <w:spacing w:after="0" w:line="253" w:lineRule="auto"/>
        <w:tabs>
          <w:tab w:leader="none" w:pos="1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WSG Capital, L.P. and WSG Capital II, L.P. is WSG Management, LLC. All of the membership interests of WSG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ORDINARY SHARES TO BE</w:t>
            </w:r>
          </w:p>
        </w:tc>
      </w:tr>
      <w:tr>
        <w:trPr>
          <w:trHeight w:val="177"/>
        </w:trPr>
        <w:tc>
          <w:tcPr>
            <w:tcW w:w="1340" w:type="dxa"/>
            <w:vAlign w:val="bottom"/>
          </w:tcPr>
          <w:p>
            <w:pPr>
              <w:spacing w:after="0"/>
              <w:rPr>
                <w:sz w:val="15"/>
                <w:szCs w:val="15"/>
                <w:color w:val="auto"/>
              </w:rPr>
            </w:pPr>
          </w:p>
        </w:tc>
        <w:tc>
          <w:tcPr>
            <w:tcW w:w="20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BENEFICIALLY OWNED</w:t>
            </w:r>
          </w:p>
        </w:tc>
      </w:tr>
      <w:tr>
        <w:trPr>
          <w:trHeight w:val="177"/>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840" w:type="dxa"/>
            <w:vAlign w:val="bottom"/>
          </w:tcPr>
          <w:p>
            <w:pPr>
              <w:spacing w:after="0"/>
              <w:rPr>
                <w:sz w:val="15"/>
                <w:szCs w:val="15"/>
                <w:color w:val="auto"/>
              </w:rPr>
            </w:pPr>
          </w:p>
        </w:tc>
        <w:tc>
          <w:tcPr>
            <w:tcW w:w="1240" w:type="dxa"/>
            <w:vAlign w:val="bottom"/>
          </w:tcPr>
          <w:p>
            <w:pPr>
              <w:jc w:val="center"/>
              <w:ind w:right="623"/>
              <w:spacing w:after="0"/>
              <w:rPr>
                <w:sz w:val="20"/>
                <w:szCs w:val="20"/>
                <w:color w:val="auto"/>
              </w:rPr>
            </w:pPr>
            <w:r>
              <w:rPr>
                <w:rFonts w:ascii="Courier New" w:cs="Courier New" w:eastAsia="Courier New" w:hAnsi="Courier New"/>
                <w:sz w:val="15"/>
                <w:szCs w:val="15"/>
                <w:color w:val="auto"/>
              </w:rPr>
              <w:t>AFTER</w:t>
            </w:r>
          </w:p>
        </w:tc>
      </w:tr>
      <w:tr>
        <w:trPr>
          <w:trHeight w:val="177"/>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ORDINARY</w:t>
            </w: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OFFERING (1)(2)</w:t>
            </w:r>
          </w:p>
        </w:tc>
      </w:tr>
      <w:tr>
        <w:trPr>
          <w:trHeight w:val="177"/>
        </w:trPr>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SHARES</w:t>
            </w: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w:t>
            </w:r>
          </w:p>
        </w:tc>
      </w:tr>
      <w:tr>
        <w:trPr>
          <w:trHeight w:val="177"/>
        </w:trPr>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BEING OFFERED</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129</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260</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260</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4,545</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532"/>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560,777</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bl>
    <w:p>
      <w:pPr>
        <w:sectPr>
          <w:pgSz w:w="11900" w:h="16838" w:orient="portrait"/>
          <w:cols w:equalWidth="0" w:num="2">
            <w:col w:w="7845" w:space="180"/>
            <w:col w:w="3420"/>
          </w:cols>
          <w:pgMar w:left="235" w:top="1182" w:right="219" w:bottom="0" w:gutter="0" w:footer="0" w:header="0"/>
        </w:sectPr>
      </w:pPr>
    </w:p>
    <w:bookmarkStart w:id="24" w:name="page25"/>
    <w:bookmarkEnd w:id="24"/>
    <w:p>
      <w:pPr>
        <w:ind w:right="3019"/>
        <w:spacing w:after="0" w:line="251" w:lineRule="auto"/>
        <w:rPr>
          <w:sz w:val="20"/>
          <w:szCs w:val="20"/>
          <w:color w:val="auto"/>
        </w:rPr>
      </w:pPr>
      <w:r>
        <w:rPr>
          <w:rFonts w:ascii="Courier New" w:cs="Courier New" w:eastAsia="Courier New" w:hAnsi="Courier New"/>
          <w:sz w:val="15"/>
          <w:szCs w:val="15"/>
          <w:color w:val="auto"/>
        </w:rPr>
        <w:t>Management, LLC are held in equal parts by Eran Wagner, Limor Schweitzer and Eric Gries. Eran Wagner is the general manager, and Eran Wagner, Limor Schweitzer and Eric Gries are managers of WSG Management, LLC. Eran Wagner, Limor Schweitzer and Eric Gries were each significant shareholders of XACCT. In addition, Mr. Wagner served as Chairman of the Board of Directors and Executive Vice</w:t>
      </w:r>
    </w:p>
    <w:p>
      <w:pPr>
        <w:spacing w:after="0" w:line="35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119"/>
          </w:cols>
          <w:pgMar w:left="1340" w:top="142" w:right="1440" w:bottom="1440" w:gutter="0" w:footer="0" w:header="0"/>
        </w:sectPr>
      </w:pPr>
    </w:p>
    <w:bookmarkStart w:id="25" w:name="page26"/>
    <w:bookmarkEnd w:id="25"/>
    <w:p>
      <w:pPr>
        <w:ind w:left="552" w:right="2839"/>
        <w:spacing w:after="0" w:line="251" w:lineRule="auto"/>
        <w:rPr>
          <w:sz w:val="20"/>
          <w:szCs w:val="20"/>
          <w:color w:val="auto"/>
        </w:rPr>
      </w:pPr>
      <w:r>
        <w:rPr>
          <w:rFonts w:ascii="Courier New" w:cs="Courier New" w:eastAsia="Courier New" w:hAnsi="Courier New"/>
          <w:sz w:val="15"/>
          <w:szCs w:val="15"/>
          <w:color w:val="auto"/>
        </w:rPr>
        <w:t>President-Technologies, Mr. Schweitzer served as Chief Technology Officer and a director, and Mr. Gries served as President and Chief Executive Officer. Each of these persons is currently employed by us or our affiliates. Each of these persons disclaims beneficial ownership of such shares except to the extent of his pecuniary interest therein.</w:t>
      </w:r>
    </w:p>
    <w:p>
      <w:pPr>
        <w:spacing w:after="0" w:line="353" w:lineRule="exact"/>
        <w:rPr>
          <w:sz w:val="20"/>
          <w:szCs w:val="20"/>
          <w:color w:val="auto"/>
        </w:rPr>
      </w:pPr>
    </w:p>
    <w:p>
      <w:pPr>
        <w:ind w:left="552" w:right="2839" w:hanging="552"/>
        <w:spacing w:after="0" w:line="250" w:lineRule="auto"/>
        <w:tabs>
          <w:tab w:leader="none" w:pos="5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Information Associates-II, L.P. and IA-II Affiliates Fund, LLC is Trident Capital Management-II, LLC. Donald R. Dixon, Christopher P. Marshall, John H. Moragne, Robert C. McCormack, Bonnie N. Kennedy and Venetia Kontogouris are Managing Directors of Trident Capital Management-II, LLC and may be deemed to share voting power on behalf of Trident Capital Management-II, LLC. Each individual disclaims beneficial ownership of any shares held by Information Associates-II, L.P. and IA-II Affiliates Fund, LLC except to the extent of their pecuniary interest therein. In addition, Todd A. Springer is a former Managing Director of Trident Capital Management, L.L.C. and a former Managing Director and Member of IA-II Affiliates, L.L.C. Mr. Springer served as a director of XACCT from October 1998 until its acquisition. Mr. Springer disclaims beneficial ownership of such shares except to the extent of his pecuniary interest therein.</w:t>
      </w:r>
    </w:p>
    <w:p>
      <w:pPr>
        <w:spacing w:after="0" w:line="200" w:lineRule="exact"/>
        <w:rPr>
          <w:rFonts w:ascii="Courier New" w:cs="Courier New" w:eastAsia="Courier New" w:hAnsi="Courier New"/>
          <w:sz w:val="15"/>
          <w:szCs w:val="15"/>
          <w:color w:val="auto"/>
        </w:rPr>
      </w:pPr>
    </w:p>
    <w:p>
      <w:pPr>
        <w:spacing w:after="0" w:line="338" w:lineRule="exact"/>
        <w:rPr>
          <w:rFonts w:ascii="Courier New" w:cs="Courier New" w:eastAsia="Courier New" w:hAnsi="Courier New"/>
          <w:sz w:val="15"/>
          <w:szCs w:val="15"/>
          <w:color w:val="auto"/>
        </w:rPr>
      </w:pPr>
    </w:p>
    <w:p>
      <w:pPr>
        <w:ind w:left="552" w:right="2839" w:hanging="552"/>
        <w:spacing w:after="0" w:line="250" w:lineRule="auto"/>
        <w:tabs>
          <w:tab w:leader="none" w:pos="5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Eucalyptus Ventures Management LLC is the general partner of Eucalyptus Ventures L.P., Eucalyptus Ventures (Israel) L.P., Eucalyptus Ventures (Cayman), L.P. and Eucalyptus Ventures (Affiliated) L.P. (the "Eucalyptus Entities"). Eldad Tamir, Danny Fishman, Bruce Crocker and Aaron Mankovski are members of the investment committee of Eucalyptus Ventures Management LLC and may be deemed to share voting power over the ordinary shares held by the Eucalyptus Entities. Each individual disclaims beneficial ownership of any shares held by the Eucalyptus Entities except to the extent of their respective pecuniary interests.</w:t>
      </w:r>
    </w:p>
    <w:p>
      <w:pPr>
        <w:spacing w:after="0" w:line="359" w:lineRule="exact"/>
        <w:rPr>
          <w:rFonts w:ascii="Courier New" w:cs="Courier New" w:eastAsia="Courier New" w:hAnsi="Courier New"/>
          <w:sz w:val="15"/>
          <w:szCs w:val="15"/>
          <w:color w:val="auto"/>
        </w:rPr>
      </w:pPr>
    </w:p>
    <w:p>
      <w:pPr>
        <w:ind w:left="552" w:right="2939" w:hanging="552"/>
        <w:spacing w:after="0" w:line="250" w:lineRule="auto"/>
        <w:tabs>
          <w:tab w:leader="none" w:pos="5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 Q. Reynolds, Jr. is a non-managing Member of Technology Crossover Management III, L.L.C. which is the Managing General Partner of TCV III (GP) and the sole General Partner of TCV III, L.P., TCV III (Q), L.P. and TCV III Strategic Partners, L.P. He is also a non-managing Member of Technology Crossover Management IV, L.L.C. which is the sole General Partner of TCV IV, L.P. and TCV IV Strategic Partners, L.P. Mr. Reynolds was a director of XACCT from October 1999 until its acquisition. Mr. Reynolds disclaims beneficial ownership of such shares except to the extent of his pecuniary interest therein.</w:t>
      </w:r>
    </w:p>
    <w:p>
      <w:pPr>
        <w:spacing w:after="0" w:line="181" w:lineRule="exact"/>
        <w:rPr>
          <w:rFonts w:ascii="Courier New" w:cs="Courier New" w:eastAsia="Courier New" w:hAnsi="Courier New"/>
          <w:sz w:val="15"/>
          <w:szCs w:val="15"/>
          <w:color w:val="auto"/>
        </w:rPr>
      </w:pPr>
    </w:p>
    <w:p>
      <w:pPr>
        <w:ind w:left="552" w:right="2839" w:hanging="552"/>
        <w:spacing w:after="0" w:line="251" w:lineRule="auto"/>
        <w:tabs>
          <w:tab w:leader="none" w:pos="5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Deutsche Bank AG, London Branch is an affiliate of a registered-broker dealer and may be deemed to be an underwriter. The ordinary shares were acquired in the ordinary course of the selling shareholder's investment business and not for the purpose of resale or distribution. Deutsche Bank AG, London Branch has not participated in the distribution of the shares on behalf of the issuer. Deutsche Bank AG, the shares of which are traded on the New York Stock Exchange, is widely held and a reporting company under the Exchange Act.</w:t>
      </w:r>
    </w:p>
    <w:p>
      <w:pPr>
        <w:spacing w:after="0" w:line="175" w:lineRule="exact"/>
        <w:rPr>
          <w:rFonts w:ascii="Courier New" w:cs="Courier New" w:eastAsia="Courier New" w:hAnsi="Courier New"/>
          <w:sz w:val="15"/>
          <w:szCs w:val="15"/>
          <w:color w:val="auto"/>
        </w:rPr>
      </w:pPr>
    </w:p>
    <w:p>
      <w:pPr>
        <w:ind w:left="552" w:right="2839" w:hanging="552"/>
        <w:spacing w:after="0" w:line="251" w:lineRule="auto"/>
        <w:tabs>
          <w:tab w:leader="none" w:pos="5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NAIC-IT, LLC is the managing member of Globe LinQ International Fund I, LLC. Shinichi G. Kawaratani is the President of NAIC-IT, LLC and, by virute of his position, may be deemed to hold voting and dispositive power over the ordinary shares. Mr. Kawaratani disclaims beneficial ownership except to the extent of his pecuniary interest therein.</w:t>
      </w:r>
    </w:p>
    <w:p>
      <w:pPr>
        <w:spacing w:after="0" w:line="175" w:lineRule="exact"/>
        <w:rPr>
          <w:rFonts w:ascii="Courier New" w:cs="Courier New" w:eastAsia="Courier New" w:hAnsi="Courier New"/>
          <w:sz w:val="15"/>
          <w:szCs w:val="15"/>
          <w:color w:val="auto"/>
        </w:rPr>
      </w:pPr>
    </w:p>
    <w:p>
      <w:pPr>
        <w:ind w:left="552" w:right="2939" w:hanging="552"/>
        <w:spacing w:after="0" w:line="251" w:lineRule="auto"/>
        <w:tabs>
          <w:tab w:leader="none" w:pos="5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Atsushi Numa is the Chief Executive Officer of Infocom Corporation and, by virtue of his position, may be deemed to have voting and dispositive power over the ordinary shares. Mr. Numa disclaims beneficial ownership except to the extent of his pecuniary interest therein.</w:t>
      </w:r>
    </w:p>
    <w:p>
      <w:pPr>
        <w:spacing w:after="0" w:line="353" w:lineRule="exact"/>
        <w:rPr>
          <w:rFonts w:ascii="Courier New" w:cs="Courier New" w:eastAsia="Courier New" w:hAnsi="Courier New"/>
          <w:sz w:val="15"/>
          <w:szCs w:val="15"/>
          <w:color w:val="auto"/>
        </w:rPr>
      </w:pPr>
    </w:p>
    <w:p>
      <w:pPr>
        <w:jc w:val="both"/>
        <w:ind w:left="552" w:right="2839" w:hanging="552"/>
        <w:spacing w:after="0" w:line="252" w:lineRule="auto"/>
        <w:tabs>
          <w:tab w:leader="none" w:pos="5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Sun Microsystems, Inc., the shares of which are traded on the Nasdaq National Market, is widely held and is a reporting company under the Exchange Act.</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552" w:right="2939" w:hanging="552"/>
        <w:spacing w:after="0" w:line="252" w:lineRule="auto"/>
        <w:tabs>
          <w:tab w:leader="none" w:pos="5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Dell Ventures L.P. is a wholly-owned subsidiary of Dell Inc. Dell Inc., the shares of which are traded on the Nasdaq National Market, is widely held and is a reporting company under the Exchange Act.</w:t>
      </w:r>
    </w:p>
    <w:p>
      <w:pPr>
        <w:spacing w:after="0" w:line="351" w:lineRule="exact"/>
        <w:rPr>
          <w:rFonts w:ascii="Courier New" w:cs="Courier New" w:eastAsia="Courier New" w:hAnsi="Courier New"/>
          <w:sz w:val="15"/>
          <w:szCs w:val="15"/>
          <w:color w:val="auto"/>
        </w:rPr>
      </w:pPr>
    </w:p>
    <w:p>
      <w:pPr>
        <w:ind w:left="552" w:right="2939" w:hanging="552"/>
        <w:spacing w:after="0" w:line="251" w:lineRule="auto"/>
        <w:tabs>
          <w:tab w:leader="none" w:pos="55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Sage Capital Ltd. is the investment manager of Old Point International Corporation. Daniel Golan is the Chief Executive Officer of Sage Capital Ltd. and, by virtue of his position, may be deemed to have voting and dispositive power over the ordinary shares. Mr. Golan disclaims beneficial ownership of any shares held by Old Point International Corporation except to the extent of his</w:t>
      </w:r>
    </w:p>
    <w:p>
      <w:pPr>
        <w:sectPr>
          <w:pgSz w:w="11900" w:h="16838" w:orient="portrait"/>
          <w:cols w:equalWidth="0" w:num="1">
            <w:col w:w="9671"/>
          </w:cols>
          <w:pgMar w:left="788" w:top="650" w:right="1440" w:bottom="0" w:gutter="0" w:footer="0" w:header="0"/>
        </w:sectPr>
      </w:pPr>
    </w:p>
    <w:bookmarkStart w:id="26" w:name="page27"/>
    <w:bookmarkEnd w:id="26"/>
    <w:p>
      <w:pPr>
        <w:ind w:left="552"/>
        <w:spacing w:after="0"/>
        <w:rPr>
          <w:sz w:val="20"/>
          <w:szCs w:val="20"/>
          <w:color w:val="auto"/>
        </w:rPr>
      </w:pPr>
      <w:r>
        <w:rPr>
          <w:rFonts w:ascii="Courier New" w:cs="Courier New" w:eastAsia="Courier New" w:hAnsi="Courier New"/>
          <w:sz w:val="15"/>
          <w:szCs w:val="15"/>
          <w:color w:val="auto"/>
        </w:rPr>
        <w:t>pecuniary interest therein.</w:t>
      </w:r>
    </w:p>
    <w:p>
      <w:pPr>
        <w:spacing w:after="0" w:line="362" w:lineRule="exact"/>
        <w:rPr>
          <w:sz w:val="20"/>
          <w:szCs w:val="20"/>
          <w:color w:val="auto"/>
        </w:rPr>
      </w:pPr>
    </w:p>
    <w:p>
      <w:pPr>
        <w:ind w:left="552" w:right="2839" w:hanging="552"/>
        <w:spacing w:after="0" w:line="250" w:lineRule="auto"/>
        <w:tabs>
          <w:tab w:leader="none" w:pos="55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Suisse First Boston Venture Fund I, L.P. is an affiliate of a registered-broker dealer and may be deemed to be an underwriter. The ordinary shares were acquired in the ordinary course of the selling shareholder's investment business and not for the purpose of resale or distribution. Credit Suisse First Boston Venture Fund I, L.P. has not participated in the distribution of the shares on behalf of the issuer. The beneficial owner of the ordinary shares is CSFB Technology Holdings 2000, LLC. George F. Boutros and William J.B. Brady, III, each a managing director at Credit Suisse First Boston LLC, are co-presidents of CSFB Technology Holdings 2000, LLC and may be deemed to share voting and dispositive power over the ordinary share. Each individual disclaims beneficial ownership except to the extent of his pecuniary interest therein.</w:t>
      </w:r>
    </w:p>
    <w:p>
      <w:pPr>
        <w:spacing w:after="0" w:line="200" w:lineRule="exact"/>
        <w:rPr>
          <w:rFonts w:ascii="Courier New" w:cs="Courier New" w:eastAsia="Courier New" w:hAnsi="Courier New"/>
          <w:sz w:val="15"/>
          <w:szCs w:val="15"/>
          <w:color w:val="auto"/>
        </w:rPr>
      </w:pPr>
    </w:p>
    <w:p>
      <w:pPr>
        <w:spacing w:after="0" w:line="338" w:lineRule="exact"/>
        <w:rPr>
          <w:rFonts w:ascii="Courier New" w:cs="Courier New" w:eastAsia="Courier New" w:hAnsi="Courier New"/>
          <w:sz w:val="15"/>
          <w:szCs w:val="15"/>
          <w:color w:val="auto"/>
        </w:rPr>
      </w:pPr>
    </w:p>
    <w:p>
      <w:pPr>
        <w:ind w:left="552" w:right="2839" w:hanging="552"/>
        <w:spacing w:after="0" w:line="251" w:lineRule="auto"/>
        <w:tabs>
          <w:tab w:leader="none" w:pos="55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Tad W. Piper is affiliated with a registered broker-dealer and may be deemed to be an underwriter. The ordinary shares were acquired by the selling shareholder for investment purposes and not for the purpose of resale or distribution. Mr. Piper has not participated in the distribution of the shares on behalf of the issuer.</w:t>
      </w:r>
    </w:p>
    <w:p>
      <w:pPr>
        <w:spacing w:after="0" w:line="200" w:lineRule="exact"/>
        <w:rPr>
          <w:rFonts w:ascii="Courier New" w:cs="Courier New" w:eastAsia="Courier New" w:hAnsi="Courier New"/>
          <w:sz w:val="15"/>
          <w:szCs w:val="15"/>
          <w:color w:val="auto"/>
        </w:rPr>
      </w:pPr>
    </w:p>
    <w:p>
      <w:pPr>
        <w:spacing w:after="0" w:line="330" w:lineRule="exact"/>
        <w:rPr>
          <w:rFonts w:ascii="Courier New" w:cs="Courier New" w:eastAsia="Courier New" w:hAnsi="Courier New"/>
          <w:sz w:val="15"/>
          <w:szCs w:val="15"/>
          <w:color w:val="auto"/>
        </w:rPr>
      </w:pPr>
    </w:p>
    <w:p>
      <w:pPr>
        <w:ind w:left="552" w:right="2939" w:hanging="552"/>
        <w:spacing w:after="0" w:line="251" w:lineRule="auto"/>
        <w:tabs>
          <w:tab w:leader="none" w:pos="55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Hambrecht &amp; Quist California and Hambrecht &amp; Quist Employee Venture Fund 2000, LP are affiliates of a registered-broker dealer, J.P. Morgan Securities Inc., and may be deemed to be underwriters. The ordinary shares were acquired in the ordinary course of the selling shareholders' investment business and not for the purpose of resale or distribution. Hambrecht &amp; Quist California and Hambrecht &amp; Quist Employee Venture Fund 2000, LP have not participated in the distribution of the shares on behalf of the issuer. Hambrecht &amp;</w:t>
      </w:r>
    </w:p>
    <w:p>
      <w:pPr>
        <w:spacing w:after="0" w:line="353" w:lineRule="exact"/>
        <w:rPr>
          <w:sz w:val="20"/>
          <w:szCs w:val="20"/>
          <w:color w:val="auto"/>
        </w:rPr>
      </w:pPr>
    </w:p>
    <w:p>
      <w:pPr>
        <w:ind w:left="3052"/>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671"/>
          </w:cols>
          <w:pgMar w:left="788" w:top="142" w:right="1440" w:bottom="1440" w:gutter="0" w:footer="0" w:header="0"/>
        </w:sectPr>
      </w:pPr>
    </w:p>
    <w:bookmarkStart w:id="27" w:name="page28"/>
    <w:bookmarkEnd w:id="27"/>
    <w:p>
      <w:pPr>
        <w:ind w:left="1100" w:right="2839"/>
        <w:spacing w:after="0" w:line="251" w:lineRule="auto"/>
        <w:rPr>
          <w:sz w:val="20"/>
          <w:szCs w:val="20"/>
          <w:color w:val="auto"/>
        </w:rPr>
      </w:pPr>
      <w:r>
        <w:rPr>
          <w:rFonts w:ascii="Courier New" w:cs="Courier New" w:eastAsia="Courier New" w:hAnsi="Courier New"/>
          <w:sz w:val="15"/>
          <w:szCs w:val="15"/>
          <w:color w:val="auto"/>
        </w:rPr>
        <w:t>Quist Employee Venture Fund 2000, LP is a limited partnership whose general partner is H&amp;Q Venture Management LLC, a wholly owned entity of Hambrecht &amp; Quist California. Hambrecht &amp; Quist California is a wholly owned entity of J.P. Morgan Chase &amp; Co, the shares of which are traded on the New York Stock Exchange. J.P. Morgan Chase &amp; Co is widely held and is a reporting company under the Exchange Act.</w:t>
      </w:r>
    </w:p>
    <w:p>
      <w:pPr>
        <w:spacing w:after="0" w:line="353" w:lineRule="exact"/>
        <w:rPr>
          <w:sz w:val="20"/>
          <w:szCs w:val="20"/>
          <w:color w:val="auto"/>
        </w:rPr>
      </w:pPr>
    </w:p>
    <w:p>
      <w:pPr>
        <w:ind w:left="1100" w:right="2839" w:hanging="552"/>
        <w:spacing w:after="0" w:line="251" w:lineRule="auto"/>
        <w:tabs>
          <w:tab w:leader="none" w:pos="11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Zanoli is affiliated with a registered broker-dealer and may be deemed to be an underwriter. The ordinary shares were acquired by the selling shareholder for investment purposes and not for the purpose of resale or distribution. Mr. Zanoli has not participated in the distribution of the shares on behalf of the issuer.</w:t>
      </w:r>
    </w:p>
    <w:p>
      <w:pPr>
        <w:spacing w:after="0" w:line="200" w:lineRule="exact"/>
        <w:rPr>
          <w:rFonts w:ascii="Courier New" w:cs="Courier New" w:eastAsia="Courier New" w:hAnsi="Courier New"/>
          <w:sz w:val="15"/>
          <w:szCs w:val="15"/>
          <w:color w:val="auto"/>
        </w:rPr>
      </w:pPr>
    </w:p>
    <w:p>
      <w:pPr>
        <w:spacing w:after="0" w:line="330" w:lineRule="exact"/>
        <w:rPr>
          <w:rFonts w:ascii="Courier New" w:cs="Courier New" w:eastAsia="Courier New" w:hAnsi="Courier New"/>
          <w:sz w:val="15"/>
          <w:szCs w:val="15"/>
          <w:color w:val="auto"/>
        </w:rPr>
      </w:pPr>
    </w:p>
    <w:p>
      <w:pPr>
        <w:ind w:left="1100" w:right="2939" w:hanging="552"/>
        <w:spacing w:after="0" w:line="251" w:lineRule="auto"/>
        <w:tabs>
          <w:tab w:leader="none" w:pos="11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Erez Levy is affiliated with a registered broker-dealer and may be deemed to be an underwriter. The ordinary shares were acquired by the selling shareholder for investment purposes and not for the purpose of resale or distribution. Mr. Levy has not participated in the distribution of the shares on behalf of the issuer.</w:t>
      </w:r>
    </w:p>
    <w:p>
      <w:pPr>
        <w:spacing w:after="0" w:line="200" w:lineRule="exact"/>
        <w:rPr>
          <w:rFonts w:ascii="Courier New" w:cs="Courier New" w:eastAsia="Courier New" w:hAnsi="Courier New"/>
          <w:sz w:val="15"/>
          <w:szCs w:val="15"/>
          <w:color w:val="auto"/>
        </w:rPr>
      </w:pPr>
    </w:p>
    <w:p>
      <w:pPr>
        <w:spacing w:after="0" w:line="330" w:lineRule="exact"/>
        <w:rPr>
          <w:rFonts w:ascii="Courier New" w:cs="Courier New" w:eastAsia="Courier New" w:hAnsi="Courier New"/>
          <w:sz w:val="15"/>
          <w:szCs w:val="15"/>
          <w:color w:val="auto"/>
        </w:rPr>
      </w:pPr>
    </w:p>
    <w:p>
      <w:pPr>
        <w:ind w:left="1100" w:right="2839" w:hanging="552"/>
        <w:spacing w:after="0" w:line="251" w:lineRule="auto"/>
        <w:tabs>
          <w:tab w:leader="none" w:pos="11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Plenus Venture Lending Fund is Plenus Technology Ltd. Aharon Dovrat, Shlomo Dovrat, Oded Exelrod, Edna Peres Lahish, Arie Savir, Moti Weiss and Ruth Simha are members of the investment committee of Plenus Technology Ltd. and may be deemed to share voting or dispositive power over the ordinary shares held by Plenus Venture Lending Fund. Each individual disclaims beneficial ownership of any shares held by Plenus Venture Lending Fund except to the extent of his or her pecuniary interest therein.</w:t>
      </w:r>
    </w:p>
    <w:p>
      <w:pPr>
        <w:spacing w:after="0" w:line="353" w:lineRule="exact"/>
        <w:rPr>
          <w:sz w:val="20"/>
          <w:szCs w:val="20"/>
          <w:color w:val="auto"/>
        </w:rPr>
      </w:pPr>
    </w:p>
    <w:p>
      <w:pPr>
        <w:jc w:val="both"/>
        <w:ind w:right="3019" w:firstLine="554"/>
        <w:spacing w:after="0" w:line="252" w:lineRule="auto"/>
        <w:rPr>
          <w:sz w:val="20"/>
          <w:szCs w:val="20"/>
          <w:color w:val="auto"/>
        </w:rPr>
      </w:pPr>
      <w:r>
        <w:rPr>
          <w:rFonts w:ascii="Courier New" w:cs="Courier New" w:eastAsia="Courier New" w:hAnsi="Courier New"/>
          <w:sz w:val="15"/>
          <w:szCs w:val="15"/>
          <w:color w:val="auto"/>
        </w:rPr>
        <w:t>Except as noted above, none of the selling securityholders has held any position or office with, or has otherwise had a material relationship with, us or any of our subsidiaries within the past three years.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50" w:right="1440" w:bottom="1440" w:gutter="0" w:footer="0" w:header="0"/>
        </w:sectPr>
      </w:pPr>
    </w:p>
    <w:bookmarkStart w:id="28" w:name="page29"/>
    <w:bookmarkEnd w:id="28"/>
    <w:p>
      <w:pPr>
        <w:ind w:left="2400"/>
        <w:spacing w:after="0"/>
        <w:rPr>
          <w:sz w:val="20"/>
          <w:szCs w:val="20"/>
          <w:color w:val="auto"/>
        </w:rPr>
      </w:pPr>
      <w:r>
        <w:rPr>
          <w:rFonts w:ascii="Courier New" w:cs="Courier New" w:eastAsia="Courier New" w:hAnsi="Courier New"/>
          <w:sz w:val="15"/>
          <w:szCs w:val="15"/>
          <w:color w:val="auto"/>
        </w:rPr>
        <w:t>DESCRIPTION OF SHARE CAPITAL</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354"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August 10, 2004, 203,985,984 ordinary shares were outstanding (net of treasury shares) and no non-voting ordinary shares or preferred shares were outstanding. The rights, preferences and restrictions attaching to each class of the shares are as follows:</w:t>
      </w:r>
    </w:p>
    <w:p>
      <w:pPr>
        <w:spacing w:after="0" w:line="35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SHARES</w:t>
      </w:r>
    </w:p>
    <w:p>
      <w:pPr>
        <w:spacing w:after="0" w:line="185" w:lineRule="exact"/>
        <w:rPr>
          <w:sz w:val="20"/>
          <w:szCs w:val="20"/>
          <w:color w:val="auto"/>
        </w:rPr>
      </w:pPr>
    </w:p>
    <w:p>
      <w:pPr>
        <w:ind w:left="1100" w:right="2839" w:hanging="552"/>
        <w:spacing w:after="0" w:line="253"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 the preferred shares may be issued from time to time in one or more series of any number of shares up to the amount authorized.</w:t>
      </w:r>
    </w:p>
    <w:p>
      <w:pPr>
        <w:spacing w:after="0" w:line="174" w:lineRule="exact"/>
        <w:rPr>
          <w:rFonts w:ascii="Courier New" w:cs="Courier New" w:eastAsia="Courier New" w:hAnsi="Courier New"/>
          <w:sz w:val="15"/>
          <w:szCs w:val="15"/>
          <w:color w:val="auto"/>
        </w:rPr>
      </w:pPr>
    </w:p>
    <w:p>
      <w:pPr>
        <w:ind w:left="1100" w:right="2839" w:hanging="552"/>
        <w:spacing w:after="0" w:line="251"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75" w:lineRule="exact"/>
        <w:rPr>
          <w:rFonts w:ascii="Courier New" w:cs="Courier New" w:eastAsia="Courier New" w:hAnsi="Courier New"/>
          <w:sz w:val="15"/>
          <w:szCs w:val="15"/>
          <w:color w:val="auto"/>
        </w:rPr>
      </w:pPr>
    </w:p>
    <w:p>
      <w:pPr>
        <w:ind w:left="1100" w:right="2939" w:hanging="552"/>
        <w:spacing w:after="0" w:line="251"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76" w:lineRule="exact"/>
        <w:rPr>
          <w:rFonts w:ascii="Courier New" w:cs="Courier New" w:eastAsia="Courier New" w:hAnsi="Courier New"/>
          <w:sz w:val="15"/>
          <w:szCs w:val="15"/>
          <w:color w:val="auto"/>
        </w:rPr>
      </w:pPr>
    </w:p>
    <w:p>
      <w:pPr>
        <w:ind w:left="1100" w:right="2839" w:hanging="552"/>
        <w:spacing w:after="0" w:line="250"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81" w:lineRule="exact"/>
        <w:rPr>
          <w:rFonts w:ascii="Courier New" w:cs="Courier New" w:eastAsia="Courier New" w:hAnsi="Courier New"/>
          <w:sz w:val="15"/>
          <w:szCs w:val="15"/>
          <w:color w:val="auto"/>
        </w:rPr>
      </w:pPr>
    </w:p>
    <w:p>
      <w:pPr>
        <w:ind w:left="1100" w:right="2839" w:hanging="552"/>
        <w:spacing w:after="0" w:line="251"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ORDINARY SHARES AND NON-VOTING ORDINARY SHARES</w:t>
      </w:r>
    </w:p>
    <w:p>
      <w:pPr>
        <w:spacing w:after="0" w:line="185" w:lineRule="exact"/>
        <w:rPr>
          <w:sz w:val="20"/>
          <w:szCs w:val="20"/>
          <w:color w:val="auto"/>
        </w:rPr>
      </w:pPr>
    </w:p>
    <w:p>
      <w:pPr>
        <w:jc w:val="both"/>
        <w:ind w:right="2839" w:firstLine="554"/>
        <w:spacing w:after="0" w:line="252" w:lineRule="auto"/>
        <w:rPr>
          <w:sz w:val="20"/>
          <w:szCs w:val="20"/>
          <w:color w:val="auto"/>
        </w:rPr>
      </w:pPr>
      <w:r>
        <w:rPr>
          <w:rFonts w:ascii="Courier New" w:cs="Courier New" w:eastAsia="Courier New" w:hAnsi="Courier New"/>
          <w:sz w:val="15"/>
          <w:szCs w:val="15"/>
          <w:color w:val="auto"/>
        </w:rPr>
        <w:t>Except as otherwise provided by the Memorandum of Association and Articles of Association, the ordinary shares and non-voting ordinary shares are identical and entitle holders thereof to the same rights and privileges.</w:t>
      </w:r>
    </w:p>
    <w:p>
      <w:pPr>
        <w:spacing w:after="0" w:line="175" w:lineRule="exact"/>
        <w:rPr>
          <w:sz w:val="20"/>
          <w:szCs w:val="20"/>
          <w:color w:val="auto"/>
        </w:rPr>
      </w:pPr>
    </w:p>
    <w:p>
      <w:pPr>
        <w:ind w:left="1100" w:right="2839" w:hanging="552"/>
        <w:spacing w:after="0" w:line="251"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75" w:lineRule="exact"/>
        <w:rPr>
          <w:rFonts w:ascii="Courier New" w:cs="Courier New" w:eastAsia="Courier New" w:hAnsi="Courier New"/>
          <w:sz w:val="15"/>
          <w:szCs w:val="15"/>
          <w:color w:val="auto"/>
        </w:rPr>
      </w:pPr>
    </w:p>
    <w:p>
      <w:pPr>
        <w:ind w:left="1100" w:right="2839" w:hanging="552"/>
        <w:spacing w:after="0" w:line="251"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50" w:right="1440" w:bottom="1440" w:gutter="0" w:footer="0" w:header="0"/>
        </w:sectPr>
      </w:pPr>
    </w:p>
    <w:bookmarkStart w:id="29" w:name="page30"/>
    <w:bookmarkEnd w:id="29"/>
    <w:p>
      <w:pPr>
        <w:ind w:left="552" w:right="2939" w:hanging="552"/>
        <w:spacing w:after="0" w:line="251" w:lineRule="auto"/>
        <w:tabs>
          <w:tab w:leader="none" w:pos="55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76" w:lineRule="exact"/>
        <w:rPr>
          <w:rFonts w:ascii="Courier New" w:cs="Courier New" w:eastAsia="Courier New" w:hAnsi="Courier New"/>
          <w:sz w:val="15"/>
          <w:szCs w:val="15"/>
          <w:color w:val="auto"/>
        </w:rPr>
      </w:pPr>
    </w:p>
    <w:p>
      <w:pPr>
        <w:ind w:left="552" w:right="2839" w:hanging="552"/>
        <w:spacing w:after="0" w:line="253" w:lineRule="auto"/>
        <w:tabs>
          <w:tab w:leader="none" w:pos="55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the holders of voting ordinary shares are entitled to vote on all matters to be voted on by the members, and the holders of non-voting ordinary shares are not entitled to any voting rights.</w:t>
      </w:r>
    </w:p>
    <w:p>
      <w:pPr>
        <w:spacing w:after="0" w:line="349" w:lineRule="exact"/>
        <w:rPr>
          <w:rFonts w:ascii="Courier New" w:cs="Courier New" w:eastAsia="Courier New" w:hAnsi="Courier New"/>
          <w:sz w:val="15"/>
          <w:szCs w:val="15"/>
          <w:color w:val="auto"/>
        </w:rPr>
      </w:pPr>
    </w:p>
    <w:p>
      <w:pPr>
        <w:ind w:left="552" w:right="2839" w:hanging="552"/>
        <w:spacing w:after="0" w:line="251" w:lineRule="auto"/>
        <w:tabs>
          <w:tab w:leader="none" w:pos="55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Preferences -- the voting ordinary shares and non-voting ordinary shares are subject to all the powers, rights, privileges, preferences and priorities of the preferred shares as are set out in the Articles of Association.</w:t>
      </w:r>
    </w:p>
    <w:p>
      <w:pPr>
        <w:spacing w:after="0" w:line="176" w:lineRule="exact"/>
        <w:rPr>
          <w:sz w:val="20"/>
          <w:szCs w:val="20"/>
          <w:color w:val="auto"/>
        </w:rPr>
      </w:pPr>
    </w:p>
    <w:p>
      <w:pPr>
        <w:ind w:left="3052"/>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671"/>
          </w:cols>
          <w:pgMar w:left="788" w:top="650" w:right="1440" w:bottom="1440" w:gutter="0" w:footer="0" w:header="0"/>
        </w:sectPr>
      </w:pPr>
    </w:p>
    <w:bookmarkStart w:id="30" w:name="page31"/>
    <w:bookmarkEnd w:id="30"/>
    <w:p>
      <w:pPr>
        <w:ind w:left="1200"/>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85"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The following discussion is a summary of the material differences between United States and Guernsey corporate law relevant to an investment in the ordinary shares. The following discussion is based upon laws and relevant interpretations thereof in effect as of the date hereof, all of which are subject to change.</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6"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6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8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50" w:right="1440" w:bottom="1440" w:gutter="0" w:footer="0" w:header="0"/>
        </w:sectPr>
      </w:pPr>
    </w:p>
    <w:bookmarkStart w:id="31" w:name="page32"/>
    <w:bookmarkEnd w:id="31"/>
    <w:p>
      <w:pPr>
        <w:ind w:left="2760"/>
        <w:spacing w:after="0"/>
        <w:rPr>
          <w:sz w:val="20"/>
          <w:szCs w:val="20"/>
          <w:color w:val="auto"/>
        </w:rPr>
      </w:pPr>
      <w:r>
        <w:rPr>
          <w:rFonts w:ascii="Courier New" w:cs="Courier New" w:eastAsia="Courier New" w:hAnsi="Courier New"/>
          <w:sz w:val="15"/>
          <w:szCs w:val="15"/>
          <w:color w:val="auto"/>
        </w:rPr>
        <w:t>PLAN OF DISTRIBUTION</w:t>
      </w:r>
    </w:p>
    <w:p>
      <w:pPr>
        <w:spacing w:after="0" w:line="18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The selling securityholders may offer and sell the ordinary shares covered by this prospectus from time to time. The term "selling securityholders" includes donees, pledgees, transferees, distributees or other successors-in-interest selling shares received after the date of this prospectus from a selling securityholder as a gift, pledge, partnership or limited liability company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ordinary shares by one or more of, or a combination of, the following methods:</w:t>
      </w:r>
    </w:p>
    <w:p>
      <w:pPr>
        <w:spacing w:after="0" w:line="183" w:lineRule="exact"/>
        <w:rPr>
          <w:sz w:val="20"/>
          <w:szCs w:val="20"/>
          <w:color w:val="auto"/>
        </w:rPr>
      </w:pPr>
    </w:p>
    <w:p>
      <w:pPr>
        <w:ind w:left="1100" w:right="3399" w:hanging="552"/>
        <w:spacing w:after="0" w:line="253"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broker-dealer as principal and resale by such broker-dealer for its own account pursuant to this prospectus;</w:t>
      </w:r>
    </w:p>
    <w:p>
      <w:pPr>
        <w:spacing w:after="0" w:line="174" w:lineRule="exact"/>
        <w:rPr>
          <w:rFonts w:ascii="Courier New" w:cs="Courier New" w:eastAsia="Courier New" w:hAnsi="Courier New"/>
          <w:sz w:val="15"/>
          <w:szCs w:val="15"/>
          <w:color w:val="auto"/>
        </w:rPr>
      </w:pPr>
    </w:p>
    <w:p>
      <w:pPr>
        <w:ind w:left="1100" w:right="2839" w:hanging="552"/>
        <w:spacing w:after="0" w:line="253"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4" w:lineRule="exact"/>
        <w:rPr>
          <w:rFonts w:ascii="Courier New" w:cs="Courier New" w:eastAsia="Courier New" w:hAnsi="Courier New"/>
          <w:sz w:val="15"/>
          <w:szCs w:val="15"/>
          <w:color w:val="auto"/>
        </w:rPr>
      </w:pPr>
    </w:p>
    <w:p>
      <w:pPr>
        <w:ind w:left="1100" w:right="3019" w:hanging="552"/>
        <w:spacing w:after="0" w:line="252"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 trades in which the broker-dealer so engaged will attempt to sell the shares as agent but may position and resell a portion of the block as principal to facilitate the transaction;</w:t>
      </w:r>
    </w:p>
    <w:p>
      <w:pPr>
        <w:spacing w:after="0" w:line="174" w:lineRule="exact"/>
        <w:rPr>
          <w:rFonts w:ascii="Courier New" w:cs="Courier New" w:eastAsia="Courier New" w:hAnsi="Courier New"/>
          <w:sz w:val="15"/>
          <w:szCs w:val="15"/>
          <w:color w:val="auto"/>
        </w:rPr>
      </w:pPr>
    </w:p>
    <w:p>
      <w:pPr>
        <w:ind w:left="1100" w:right="2839" w:hanging="552"/>
        <w:spacing w:after="0" w:line="252"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national securities exchange or U.S. inter-dealer system of a registered national securities association on which our ordinary shares may be listed or quoted at the time of sale;</w:t>
      </w:r>
    </w:p>
    <w:p>
      <w:pPr>
        <w:spacing w:after="0" w:line="17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privately negotiated transactions; and</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options transactions.</w:t>
      </w:r>
    </w:p>
    <w:p>
      <w:pPr>
        <w:spacing w:after="0" w:line="185" w:lineRule="exact"/>
        <w:rPr>
          <w:sz w:val="20"/>
          <w:szCs w:val="20"/>
          <w:color w:val="auto"/>
        </w:rPr>
      </w:pPr>
    </w:p>
    <w:p>
      <w:pPr>
        <w:ind w:right="2939" w:firstLine="554"/>
        <w:spacing w:after="0" w:line="253" w:lineRule="auto"/>
        <w:rPr>
          <w:sz w:val="20"/>
          <w:szCs w:val="20"/>
          <w:color w:val="auto"/>
        </w:rPr>
      </w:pPr>
      <w:r>
        <w:rPr>
          <w:rFonts w:ascii="Courier New" w:cs="Courier New" w:eastAsia="Courier New" w:hAnsi="Courier New"/>
          <w:sz w:val="15"/>
          <w:szCs w:val="15"/>
          <w:color w:val="auto"/>
        </w:rPr>
        <w:t>In addition, the selling securityholders may sell any shares that qualify for sale under Rule 144 rather than pursuant to this prospectus.</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In connection with distributions of the ordinary shares covered by this prospectus or otherwise, the selling securityholders may enter into hedging transactions with broker-dealers or other financial institutions. In connection with such transactions, broker-dealers or other financial institutions may engage in short sales of the ordinary shares in the course of hedging the positions they assume with selling securityholders. The selling securityholders may also sell ordinary shares short and deliver the shares offered by this prospectus to close out such short positions. The selling securityholders may also enter into option or other transactions with broker-dealers or other financial institutions which require the delivery to such broker-dealer or other financial institution of ordinary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85"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In offering the ordinary shares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treated as underwriting discounts and commissions.</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Our ordinary shares are listed on the New York Stock Exchange.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50" w:right="1440" w:bottom="1440" w:gutter="0" w:footer="0" w:header="0"/>
        </w:sectPr>
      </w:pPr>
    </w:p>
    <w:bookmarkStart w:id="32" w:name="page33"/>
    <w:bookmarkEnd w:id="32"/>
    <w:p>
      <w:pPr>
        <w:ind w:left="5" w:right="2839" w:firstLine="554"/>
        <w:spacing w:after="0" w:line="251" w:lineRule="auto"/>
        <w:rPr>
          <w:sz w:val="20"/>
          <w:szCs w:val="20"/>
          <w:color w:val="auto"/>
        </w:rPr>
      </w:pPr>
      <w:r>
        <w:rPr>
          <w:rFonts w:ascii="Courier New" w:cs="Courier New" w:eastAsia="Courier New" w:hAnsi="Courier New"/>
          <w:sz w:val="15"/>
          <w:szCs w:val="15"/>
          <w:color w:val="auto"/>
        </w:rPr>
        <w:t>In order to comply with the securities laws of some states, the selling securityholders may be required to sell their shares in such jurisdictions only through registered or licensed brokers or dealers. In addition, some states may restrict the selling securityholders from selling their shares unless the shares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5" w:right="2839" w:firstLine="554"/>
        <w:spacing w:after="0" w:line="250" w:lineRule="auto"/>
        <w:rPr>
          <w:sz w:val="20"/>
          <w:szCs w:val="20"/>
          <w:color w:val="auto"/>
        </w:rPr>
      </w:pPr>
      <w:r>
        <w:rPr>
          <w:rFonts w:ascii="Courier New" w:cs="Courier New" w:eastAsia="Courier New" w:hAnsi="Courier New"/>
          <w:sz w:val="15"/>
          <w:szCs w:val="15"/>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NYSE pursuant to Rule 153 under the Securities Act. The selling securityholders may indemnify any broker-dealer that participates in transactions involving the sale of the shares against certain liabilities, including liabilities arising under the Securities Act.</w:t>
      </w:r>
    </w:p>
    <w:p>
      <w:pPr>
        <w:spacing w:after="0" w:line="182" w:lineRule="exact"/>
        <w:rPr>
          <w:sz w:val="20"/>
          <w:szCs w:val="20"/>
          <w:color w:val="auto"/>
        </w:rPr>
      </w:pPr>
    </w:p>
    <w:p>
      <w:pPr>
        <w:ind w:left="5" w:right="3119" w:firstLine="554"/>
        <w:spacing w:after="0" w:line="251" w:lineRule="auto"/>
        <w:rPr>
          <w:sz w:val="20"/>
          <w:szCs w:val="20"/>
          <w:color w:val="auto"/>
        </w:rPr>
      </w:pPr>
      <w:r>
        <w:rPr>
          <w:rFonts w:ascii="Courier New" w:cs="Courier New" w:eastAsia="Courier New" w:hAnsi="Courier New"/>
          <w:sz w:val="15"/>
          <w:szCs w:val="15"/>
          <w:color w:val="auto"/>
        </w:rPr>
        <w:t>At the time a particular offer of shares is made, if required, we will distribute a prospectus supplement that will set forth the number of ordinary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75" w:lineRule="exact"/>
        <w:rPr>
          <w:sz w:val="20"/>
          <w:szCs w:val="20"/>
          <w:color w:val="auto"/>
        </w:rPr>
      </w:pPr>
    </w:p>
    <w:p>
      <w:pPr>
        <w:ind w:left="5" w:right="3119" w:firstLine="554"/>
        <w:spacing w:after="0" w:line="253" w:lineRule="auto"/>
        <w:rPr>
          <w:sz w:val="20"/>
          <w:szCs w:val="20"/>
          <w:color w:val="auto"/>
        </w:rPr>
      </w:pPr>
      <w:r>
        <w:rPr>
          <w:rFonts w:ascii="Courier New" w:cs="Courier New" w:eastAsia="Courier New" w:hAnsi="Courier New"/>
          <w:sz w:val="15"/>
          <w:szCs w:val="15"/>
          <w:color w:val="auto"/>
        </w:rPr>
        <w:t>We have agreed to indemnify the selling securityholders against certain liabilities, including certain liabilities under the Securities Act.</w:t>
      </w:r>
    </w:p>
    <w:p>
      <w:pPr>
        <w:spacing w:after="0" w:line="174" w:lineRule="exact"/>
        <w:rPr>
          <w:sz w:val="20"/>
          <w:szCs w:val="20"/>
          <w:color w:val="auto"/>
        </w:rPr>
      </w:pPr>
    </w:p>
    <w:p>
      <w:pPr>
        <w:ind w:left="5" w:right="2939" w:firstLine="554"/>
        <w:spacing w:after="0" w:line="250" w:lineRule="auto"/>
        <w:rPr>
          <w:sz w:val="20"/>
          <w:szCs w:val="20"/>
          <w:color w:val="auto"/>
        </w:rPr>
      </w:pPr>
      <w:r>
        <w:rPr>
          <w:rFonts w:ascii="Courier New" w:cs="Courier New" w:eastAsia="Courier New" w:hAnsi="Courier New"/>
          <w:sz w:val="15"/>
          <w:szCs w:val="15"/>
          <w:color w:val="auto"/>
        </w:rPr>
        <w:t>We have agreed with the selling securityholders to keep the Registration Statement of which this prospectus constitutes a part effective until the earliest to occur of (1) the date on which all of the shares being offered hereby have been sold pursuant to the Registration Statement of which this prospectus constitutes a part or pursuant to Rule 144 under the Securities Act,</w:t>
      </w:r>
    </w:p>
    <w:p>
      <w:pPr>
        <w:spacing w:after="0" w:line="2" w:lineRule="exact"/>
        <w:rPr>
          <w:sz w:val="20"/>
          <w:szCs w:val="20"/>
          <w:color w:val="auto"/>
        </w:rPr>
      </w:pPr>
    </w:p>
    <w:p>
      <w:pPr>
        <w:ind w:left="5" w:right="2839" w:hanging="5"/>
        <w:spacing w:after="0" w:line="252" w:lineRule="auto"/>
        <w:tabs>
          <w:tab w:leader="none" w:pos="37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all of the shares being offered hereby can be sold without registration without regard to the volume restrictions of Rule 144 under the Securities Act and (3) February 19, 2006.</w:t>
      </w:r>
    </w:p>
    <w:p>
      <w:pPr>
        <w:spacing w:after="0" w:line="175"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LEGAL MATTERS</w:t>
      </w:r>
    </w:p>
    <w:p>
      <w:pPr>
        <w:spacing w:after="0" w:line="185" w:lineRule="exact"/>
        <w:rPr>
          <w:sz w:val="20"/>
          <w:szCs w:val="20"/>
          <w:color w:val="auto"/>
        </w:rPr>
      </w:pPr>
    </w:p>
    <w:p>
      <w:pPr>
        <w:ind w:left="5" w:right="2839" w:firstLine="554"/>
        <w:spacing w:after="0" w:line="253"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Olsen, Island of Guernsey.</w:t>
      </w:r>
    </w:p>
    <w:p>
      <w:pPr>
        <w:spacing w:after="0" w:line="174"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EXPERTS</w:t>
      </w:r>
    </w:p>
    <w:p>
      <w:pPr>
        <w:spacing w:after="0" w:line="362" w:lineRule="exact"/>
        <w:rPr>
          <w:sz w:val="20"/>
          <w:szCs w:val="20"/>
          <w:color w:val="auto"/>
        </w:rPr>
      </w:pPr>
    </w:p>
    <w:p>
      <w:pPr>
        <w:ind w:left="5" w:right="3119" w:firstLine="554"/>
        <w:spacing w:after="0" w:line="251" w:lineRule="auto"/>
        <w:rPr>
          <w:sz w:val="20"/>
          <w:szCs w:val="20"/>
          <w:color w:val="auto"/>
        </w:rPr>
      </w:pPr>
      <w:r>
        <w:rPr>
          <w:rFonts w:ascii="Courier New" w:cs="Courier New" w:eastAsia="Courier New" w:hAnsi="Courier New"/>
          <w:sz w:val="15"/>
          <w:szCs w:val="15"/>
          <w:color w:val="auto"/>
        </w:rPr>
        <w:t>The consolidated financial statements and schedule of Amdocs Limited appearing in Amdocs Limited's Annual Report (Form 20-F)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353"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Deloitte &amp; Touche, LLP, independent registered chartered accountants, have audited the Financial Statements of Certen Inc. as set forth in their report included in our Annual Report on Form 20-F for the year ended September 30, 2003, which is incorporated by reference herein. The Financial Statements of Certen are incorporated by reference in reliance on Deloitte &amp; Touche, LLP's report, given on their authority as experts in accounting and auditing.</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5"/>
          </w:cols>
          <w:pgMar w:left="235" w:top="650" w:right="1440" w:bottom="1440" w:gutter="0" w:footer="0" w:header="0"/>
        </w:sectPr>
      </w:pPr>
    </w:p>
    <w:bookmarkStart w:id="33" w:name="page34"/>
    <w:bookmarkEnd w:id="33"/>
    <w:p>
      <w:pPr>
        <w:ind w:left="2125"/>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8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7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17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76" w:lineRule="exact"/>
        <w:rPr>
          <w:sz w:val="20"/>
          <w:szCs w:val="20"/>
          <w:color w:val="auto"/>
        </w:rPr>
      </w:pPr>
    </w:p>
    <w:p>
      <w:pPr>
        <w:ind w:left="5" w:right="3019" w:firstLine="554"/>
        <w:spacing w:after="0" w:line="251" w:lineRule="auto"/>
        <w:rPr>
          <w:sz w:val="20"/>
          <w:szCs w:val="20"/>
          <w:color w:val="auto"/>
        </w:rPr>
      </w:pPr>
      <w:r>
        <w:rPr>
          <w:rFonts w:ascii="Courier New" w:cs="Courier New" w:eastAsia="Courier New" w:hAnsi="Courier New"/>
          <w:sz w:val="15"/>
          <w:szCs w:val="15"/>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76"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7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76" w:lineRule="exact"/>
        <w:rPr>
          <w:sz w:val="20"/>
          <w:szCs w:val="20"/>
          <w:color w:val="auto"/>
        </w:rPr>
      </w:pPr>
    </w:p>
    <w:p>
      <w:pPr>
        <w:jc w:val="both"/>
        <w:ind w:left="5" w:right="2939" w:firstLine="554"/>
        <w:spacing w:after="0" w:line="252" w:lineRule="auto"/>
        <w:rPr>
          <w:sz w:val="20"/>
          <w:szCs w:val="20"/>
          <w:color w:val="auto"/>
        </w:rPr>
      </w:pPr>
      <w:r>
        <w:rPr>
          <w:rFonts w:ascii="Courier New" w:cs="Courier New" w:eastAsia="Courier New" w:hAnsi="Courier New"/>
          <w:sz w:val="15"/>
          <w:szCs w:val="15"/>
          <w:color w:val="auto"/>
        </w:rPr>
        <w:t>In order for the Royal Court of Guernsey to entertain an action to sue on a foreign judgment, it is expected that the following criteria would have to be met:</w:t>
      </w:r>
    </w:p>
    <w:p>
      <w:pPr>
        <w:spacing w:after="0" w:line="175" w:lineRule="exact"/>
        <w:rPr>
          <w:sz w:val="20"/>
          <w:szCs w:val="20"/>
          <w:color w:val="auto"/>
        </w:rPr>
      </w:pPr>
    </w:p>
    <w:p>
      <w:pPr>
        <w:ind w:left="545" w:right="2839" w:hanging="545"/>
        <w:spacing w:after="0" w:line="252" w:lineRule="auto"/>
        <w:tabs>
          <w:tab w:leader="none" w:pos="54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foreign court is recognized by the Royal Court of Guernsey as having jurisdiction to determine the dispute. It is likely that such jurisdiction will be recognized in the following circumstances:</w:t>
      </w:r>
    </w:p>
    <w:p>
      <w:pPr>
        <w:spacing w:after="0" w:line="174" w:lineRule="exact"/>
        <w:rPr>
          <w:rFonts w:ascii="Courier New" w:cs="Courier New" w:eastAsia="Courier New" w:hAnsi="Courier New"/>
          <w:sz w:val="15"/>
          <w:szCs w:val="15"/>
          <w:color w:val="auto"/>
        </w:rPr>
      </w:pPr>
    </w:p>
    <w:p>
      <w:pPr>
        <w:ind w:left="545" w:right="2939" w:hanging="361"/>
        <w:spacing w:after="0" w:line="253" w:lineRule="auto"/>
        <w:tabs>
          <w:tab w:leader="none" w:pos="545"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was present in the foreign country at the time the foreign proceedings were instituted;</w:t>
      </w:r>
    </w:p>
    <w:p>
      <w:pPr>
        <w:spacing w:after="0" w:line="174" w:lineRule="exact"/>
        <w:rPr>
          <w:rFonts w:ascii="Courier New" w:cs="Courier New" w:eastAsia="Courier New" w:hAnsi="Courier New"/>
          <w:sz w:val="15"/>
          <w:szCs w:val="15"/>
          <w:color w:val="auto"/>
        </w:rPr>
      </w:pPr>
    </w:p>
    <w:p>
      <w:pPr>
        <w:ind w:left="545" w:right="2939" w:hanging="361"/>
        <w:spacing w:after="0" w:line="253" w:lineRule="auto"/>
        <w:tabs>
          <w:tab w:leader="none" w:pos="545"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was claimant or counterclaimant in the proceedings in the foreign court;</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5"/>
          </w:cols>
          <w:pgMar w:left="235" w:top="650" w:right="1440" w:bottom="1440" w:gutter="0" w:footer="0" w:header="0"/>
        </w:sectPr>
      </w:pPr>
    </w:p>
    <w:bookmarkStart w:id="34" w:name="page35"/>
    <w:bookmarkEnd w:id="34"/>
    <w:p>
      <w:pPr>
        <w:ind w:left="545" w:right="2939" w:hanging="361"/>
        <w:spacing w:after="0" w:line="252" w:lineRule="auto"/>
        <w:tabs>
          <w:tab w:leader="none" w:pos="545"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being a defendant in the foreign court, submitted to the jurisdiction of that court by voluntarily appearing in the proceedings; or</w:t>
      </w:r>
    </w:p>
    <w:p>
      <w:pPr>
        <w:spacing w:after="0" w:line="174" w:lineRule="exact"/>
        <w:rPr>
          <w:rFonts w:ascii="Courier New" w:cs="Courier New" w:eastAsia="Courier New" w:hAnsi="Courier New"/>
          <w:sz w:val="15"/>
          <w:szCs w:val="15"/>
          <w:color w:val="auto"/>
        </w:rPr>
      </w:pPr>
    </w:p>
    <w:p>
      <w:pPr>
        <w:ind w:left="545" w:right="3119" w:hanging="361"/>
        <w:spacing w:after="0" w:line="251" w:lineRule="auto"/>
        <w:tabs>
          <w:tab w:leader="none" w:pos="545"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76" w:lineRule="exact"/>
        <w:rPr>
          <w:rFonts w:ascii="Courier New" w:cs="Courier New" w:eastAsia="Courier New" w:hAnsi="Courier New"/>
          <w:sz w:val="15"/>
          <w:szCs w:val="15"/>
          <w:color w:val="auto"/>
        </w:rPr>
      </w:pPr>
    </w:p>
    <w:p>
      <w:pPr>
        <w:ind w:left="545" w:right="2839" w:hanging="545"/>
        <w:spacing w:after="0" w:line="251" w:lineRule="auto"/>
        <w:tabs>
          <w:tab w:leader="none" w:pos="54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76" w:lineRule="exact"/>
        <w:rPr>
          <w:sz w:val="20"/>
          <w:szCs w:val="20"/>
          <w:color w:val="auto"/>
        </w:rPr>
      </w:pPr>
    </w:p>
    <w:p>
      <w:pPr>
        <w:ind w:left="545" w:right="2839"/>
        <w:spacing w:after="0" w:line="252" w:lineRule="auto"/>
        <w:rPr>
          <w:sz w:val="20"/>
          <w:szCs w:val="20"/>
          <w:color w:val="auto"/>
        </w:rPr>
      </w:pPr>
      <w:r>
        <w:rPr>
          <w:rFonts w:ascii="Courier New" w:cs="Courier New" w:eastAsia="Courier New" w:hAnsi="Courier New"/>
          <w:sz w:val="15"/>
          <w:szCs w:val="15"/>
          <w:color w:val="auto"/>
        </w:rPr>
        <w:t>The foreign judgment must be final and conclusive on the merits and is for a definite sum of money, other than a sum in respect of taxes, fines or other penalties.</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5"/>
          </w:cols>
          <w:pgMar w:left="235" w:top="650" w:right="1440" w:bottom="1440" w:gutter="0" w:footer="0" w:header="0"/>
        </w:sectPr>
      </w:pPr>
    </w:p>
    <w:bookmarkStart w:id="35" w:name="page36"/>
    <w:bookmarkEnd w:id="35"/>
    <w:p>
      <w:pPr>
        <w:jc w:val="center"/>
        <w:ind w:right="2754"/>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5" w:lineRule="exact"/>
        <w:rPr>
          <w:sz w:val="20"/>
          <w:szCs w:val="20"/>
          <w:color w:val="auto"/>
        </w:rPr>
      </w:pPr>
    </w:p>
    <w:p>
      <w:pPr>
        <w:ind w:left="5" w:right="2939" w:firstLine="554"/>
        <w:spacing w:after="0" w:line="251" w:lineRule="auto"/>
        <w:rPr>
          <w:sz w:val="20"/>
          <w:szCs w:val="20"/>
          <w:color w:val="auto"/>
        </w:rPr>
      </w:pPr>
      <w:r>
        <w:rPr>
          <w:rFonts w:ascii="Courier New" w:cs="Courier New" w:eastAsia="Courier New" w:hAnsi="Courier New"/>
          <w:sz w:val="15"/>
          <w:szCs w:val="15"/>
          <w:color w:val="auto"/>
        </w:rPr>
        <w:t>We incorporate by reference into this prospectus the documents listed below and any future filings we make with the Securities and Exchange Commission, referred to herein as the SEC, under Sections 13(a), 13(c) or 15(d) of the Securities Exchange Act of 1934, as amended, referred to herein as the Exchange Act, including any filings or submissions after the date of this prospectus, until the selling securityholders have sold all of the ordinary shares to which this prospectus relates:</w:t>
      </w:r>
    </w:p>
    <w:p>
      <w:pPr>
        <w:spacing w:after="0" w:line="176" w:lineRule="exact"/>
        <w:rPr>
          <w:sz w:val="20"/>
          <w:szCs w:val="20"/>
          <w:color w:val="auto"/>
        </w:rPr>
      </w:pPr>
    </w:p>
    <w:p>
      <w:pPr>
        <w:ind w:left="1105" w:right="3019" w:hanging="552"/>
        <w:spacing w:after="0" w:line="253" w:lineRule="auto"/>
        <w:tabs>
          <w:tab w:leader="none" w:pos="110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fiscal year ended September 30, 2003, filed on December 24, 2003;</w:t>
      </w:r>
    </w:p>
    <w:p>
      <w:pPr>
        <w:spacing w:after="0" w:line="174" w:lineRule="exact"/>
        <w:rPr>
          <w:rFonts w:ascii="Courier New" w:cs="Courier New" w:eastAsia="Courier New" w:hAnsi="Courier New"/>
          <w:sz w:val="15"/>
          <w:szCs w:val="15"/>
          <w:color w:val="auto"/>
        </w:rPr>
      </w:pPr>
    </w:p>
    <w:p>
      <w:pPr>
        <w:ind w:left="1105" w:right="2839" w:hanging="552"/>
        <w:spacing w:after="0" w:line="253" w:lineRule="auto"/>
        <w:tabs>
          <w:tab w:leader="none" w:pos="110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on Form 6-K containing our proxy materials for our annual general meeting of shareholders, filed on December 24, 2003;</w:t>
      </w:r>
    </w:p>
    <w:p>
      <w:pPr>
        <w:spacing w:after="0" w:line="174" w:lineRule="exact"/>
        <w:rPr>
          <w:rFonts w:ascii="Courier New" w:cs="Courier New" w:eastAsia="Courier New" w:hAnsi="Courier New"/>
          <w:sz w:val="15"/>
          <w:szCs w:val="15"/>
          <w:color w:val="auto"/>
        </w:rPr>
      </w:pPr>
    </w:p>
    <w:p>
      <w:pPr>
        <w:ind w:left="1105" w:right="3299" w:hanging="552"/>
        <w:spacing w:after="0" w:line="253" w:lineRule="auto"/>
        <w:tabs>
          <w:tab w:leader="none" w:pos="110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on Form 6-K containing our results for the quarterly period ended December 31, 2003, filed on February 17, 2004;</w:t>
      </w:r>
    </w:p>
    <w:p>
      <w:pPr>
        <w:spacing w:after="0" w:line="174" w:lineRule="exact"/>
        <w:rPr>
          <w:rFonts w:ascii="Courier New" w:cs="Courier New" w:eastAsia="Courier New" w:hAnsi="Courier New"/>
          <w:sz w:val="15"/>
          <w:szCs w:val="15"/>
          <w:color w:val="auto"/>
        </w:rPr>
      </w:pPr>
    </w:p>
    <w:p>
      <w:pPr>
        <w:ind w:left="1105" w:right="3219" w:hanging="552"/>
        <w:spacing w:after="0" w:line="252" w:lineRule="auto"/>
        <w:tabs>
          <w:tab w:leader="none" w:pos="110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reports on Form 6-K with respect to our offering of 0.50% Convertible Senior Notes due 2024, filed on March 1, March 2 and March 5, 2004;</w:t>
      </w:r>
    </w:p>
    <w:p>
      <w:pPr>
        <w:spacing w:after="0" w:line="351" w:lineRule="exact"/>
        <w:rPr>
          <w:rFonts w:ascii="Courier New" w:cs="Courier New" w:eastAsia="Courier New" w:hAnsi="Courier New"/>
          <w:sz w:val="15"/>
          <w:szCs w:val="15"/>
          <w:color w:val="auto"/>
        </w:rPr>
      </w:pPr>
    </w:p>
    <w:p>
      <w:pPr>
        <w:ind w:left="1105" w:right="3299" w:hanging="552"/>
        <w:spacing w:after="0" w:line="253" w:lineRule="auto"/>
        <w:tabs>
          <w:tab w:leader="none" w:pos="110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on Form 6-K containing our results for the quarterly period ended March 31, 2004, filed on June 10, 2004;</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1105" w:right="3299" w:hanging="552"/>
        <w:spacing w:after="0" w:line="253" w:lineRule="auto"/>
        <w:tabs>
          <w:tab w:leader="none" w:pos="110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on Form 6-K containing our results for the quarterly period ended June 30, 2004, filed on August 12, 2004; and</w:t>
      </w:r>
    </w:p>
    <w:p>
      <w:pPr>
        <w:spacing w:after="0" w:line="351" w:lineRule="exact"/>
        <w:rPr>
          <w:rFonts w:ascii="Courier New" w:cs="Courier New" w:eastAsia="Courier New" w:hAnsi="Courier New"/>
          <w:sz w:val="15"/>
          <w:szCs w:val="15"/>
          <w:color w:val="auto"/>
        </w:rPr>
      </w:pPr>
    </w:p>
    <w:p>
      <w:pPr>
        <w:ind w:left="1105" w:right="2839" w:hanging="552"/>
        <w:spacing w:after="0" w:line="251" w:lineRule="auto"/>
        <w:tabs>
          <w:tab w:leader="none" w:pos="110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ordinary shares contained in our Registration Statement on Form 8-A filed on June 17, 1998 under Section 12 of the Exchange Act, including any amendment or report updating this description.</w:t>
      </w:r>
    </w:p>
    <w:p>
      <w:pPr>
        <w:spacing w:after="0" w:line="176" w:lineRule="exact"/>
        <w:rPr>
          <w:sz w:val="20"/>
          <w:szCs w:val="20"/>
          <w:color w:val="auto"/>
        </w:rPr>
      </w:pPr>
    </w:p>
    <w:p>
      <w:pPr>
        <w:ind w:left="5" w:right="3119" w:firstLine="554"/>
        <w:spacing w:after="0" w:line="250" w:lineRule="auto"/>
        <w:rPr>
          <w:sz w:val="20"/>
          <w:szCs w:val="20"/>
          <w:color w:val="auto"/>
        </w:rPr>
      </w:pPr>
      <w:r>
        <w:rPr>
          <w:rFonts w:ascii="Courier New" w:cs="Courier New" w:eastAsia="Courier New" w:hAnsi="Courier New"/>
          <w:sz w:val="15"/>
          <w:szCs w:val="15"/>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left="5" w:right="2839" w:hanging="5"/>
        <w:spacing w:after="0" w:line="253" w:lineRule="auto"/>
        <w:tabs>
          <w:tab w:leader="none" w:pos="37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subsequently filed document that is incorporated by reference into this prospectus modifies or supersedes such statement.</w:t>
      </w:r>
    </w:p>
    <w:p>
      <w:pPr>
        <w:spacing w:after="0" w:line="174"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176" w:lineRule="exact"/>
        <w:rPr>
          <w:sz w:val="20"/>
          <w:szCs w:val="20"/>
          <w:color w:val="auto"/>
        </w:rPr>
      </w:pPr>
    </w:p>
    <w:p>
      <w:pPr>
        <w:ind w:left="2125"/>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5" w:lineRule="exact"/>
        <w:rPr>
          <w:sz w:val="20"/>
          <w:szCs w:val="20"/>
          <w:color w:val="auto"/>
        </w:rPr>
      </w:pPr>
    </w:p>
    <w:p>
      <w:pPr>
        <w:ind w:left="5" w:right="2839" w:firstLine="554"/>
        <w:spacing w:after="0" w:line="250" w:lineRule="auto"/>
        <w:rPr>
          <w:sz w:val="20"/>
          <w:szCs w:val="20"/>
          <w:color w:val="auto"/>
        </w:rPr>
      </w:pPr>
      <w:r>
        <w:rPr>
          <w:rFonts w:ascii="Courier New" w:cs="Courier New" w:eastAsia="Courier New" w:hAnsi="Courier New"/>
          <w:sz w:val="15"/>
          <w:szCs w:val="15"/>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182"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5" w:top="650" w:right="1440" w:bottom="1440" w:gutter="0" w:footer="0" w:header="0"/>
        </w:sectPr>
      </w:pPr>
    </w:p>
    <w:bookmarkStart w:id="36" w:name="page37"/>
    <w:bookmarkEnd w:id="36"/>
    <w:p>
      <w:pPr>
        <w:ind w:left="820"/>
        <w:spacing w:after="0"/>
        <w:rPr>
          <w:sz w:val="20"/>
          <w:szCs w:val="20"/>
          <w:color w:val="auto"/>
        </w:rPr>
      </w:pPr>
      <w:r>
        <w:rPr>
          <w:rFonts w:ascii="Courier New" w:cs="Courier New" w:eastAsia="Courier New" w:hAnsi="Courier New"/>
          <w:sz w:val="15"/>
          <w:szCs w:val="15"/>
          <w:color w:val="auto"/>
        </w:rPr>
        <w:t>UNAUDITED PRO FORMA CONDENSED CONSOLIDATED FINANCIAL STATEMENTS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unaudited pro forma condensed consolidated statement of operations for the twelve months ended September 30, 2003, gives effect to the acquisition from Bell Canada of its 90% ownership interest in Certen Inc., which we refer to as Certen, which closed on July 2, 2003, as if it had occurred on October 1, 2002.</w:t>
      </w:r>
    </w:p>
    <w:p>
      <w:pPr>
        <w:spacing w:after="0" w:line="176"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The unaudited pro forma condensed consolidated statements of operations are based upon, and should be read in conjunction with, (i) our historical audited financial statements for the year ended September 30, 2003, (ii) the historical audited financial statements of Certen for the year ended December 31, 2002 (together with the reconciliation to U.S. GAAP), and (iii) the historical unaudited financial statements of Certen for the six months ended June 30, 2003 (together with the reconciliation to U.S. GAAP).</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historical financial statements of Certen have been prepared in accordance with Canadian GAAP. For the purpose of presenting the unaudited pro forma condensed consolidated financial statements, financial statements relating to Certen have been adjusted to conform with accounting policies under U.S. GAAP. In addition, the historical financial information of Certen has been presented in accordance with Amdocs' fiscal year.</w:t>
      </w:r>
    </w:p>
    <w:p>
      <w:pPr>
        <w:spacing w:after="0" w:line="176"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The historical financial statements of Certen were presented in Canadian dollars. For the purpose of presenting the unaudited pro forma condensed consolidated statements, the adjusted income statements of Certen for the nine months ended June 30, 2003 have been translated into U.S. dollars using the average Canadian dollar/U.S. dollar exchange rates for the period presented as listed on Bloomberg. The average Canadian dollar/U.S. dollar exchange rate was 1.493 for the nine months ended June 30, 2003.</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unaudited pro forma financial information has been prepared to provide an analysis of the financial effects of the acquisition of Certen for purposes of illustration only. The pro forma financial information is not intended to be a projection of future results and is not necessarily indicative of the results that would have occurred if the business combination had been in effect on the period presented.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50" w:right="1440" w:bottom="1440" w:gutter="0" w:footer="0" w:header="0"/>
        </w:sectPr>
      </w:pPr>
    </w:p>
    <w:bookmarkStart w:id="37" w:name="page38"/>
    <w:bookmarkEnd w:id="37"/>
    <w:p>
      <w:pPr>
        <w:jc w:val="center"/>
        <w:ind w:right="4135"/>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8"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FOR THE TWELVE MONTHS ENDED SEPTEMBER 30, 2003</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8"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(in U.S. dollars)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AMDOCS</w:t>
            </w:r>
          </w:p>
        </w:tc>
        <w:tc>
          <w:tcPr>
            <w:tcW w:w="320" w:type="dxa"/>
            <w:vAlign w:val="bottom"/>
          </w:tcPr>
          <w:p>
            <w:pPr>
              <w:spacing w:after="0"/>
              <w:rPr>
                <w:sz w:val="14"/>
                <w:szCs w:val="14"/>
                <w:color w:val="auto"/>
              </w:rPr>
            </w:pPr>
          </w:p>
        </w:tc>
        <w:tc>
          <w:tcPr>
            <w:tcW w:w="13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CERTEN</w:t>
            </w:r>
          </w:p>
        </w:tc>
        <w:tc>
          <w:tcPr>
            <w:tcW w:w="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PRO FORMA</w:t>
            </w:r>
          </w:p>
        </w:tc>
      </w:tr>
      <w:tr>
        <w:trPr>
          <w:trHeight w:val="177"/>
        </w:trPr>
        <w:tc>
          <w:tcPr>
            <w:tcW w:w="520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HISTORICAL</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HISTORICAL</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ADJUSTMENTS</w:t>
            </w:r>
          </w:p>
        </w:tc>
        <w:tc>
          <w:tcPr>
            <w:tcW w:w="5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CONSOLIDATED</w:t>
            </w: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U.S. GAAP</w:t>
            </w:r>
          </w:p>
        </w:tc>
        <w:tc>
          <w:tcPr>
            <w:tcW w:w="17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U.S. GAAP (*)</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U.S. GAAP</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U.S. GAAP</w:t>
            </w: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w:t>
            </w: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$1,483,327</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226,579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(87,949)</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$ 1,621,957</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913,359</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214,437</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(27,767)</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(35,196)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1,064,833</w:t>
            </w: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40" w:type="dxa"/>
            <w:vAlign w:val="bottom"/>
          </w:tcPr>
          <w:p>
            <w:pPr>
              <w:spacing w:after="0"/>
              <w:rPr>
                <w:sz w:val="24"/>
                <w:szCs w:val="24"/>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119,256</w:t>
            </w:r>
          </w:p>
        </w:tc>
        <w:tc>
          <w:tcPr>
            <w:tcW w:w="320" w:type="dxa"/>
            <w:vAlign w:val="bottom"/>
          </w:tcPr>
          <w:p>
            <w:pPr>
              <w:spacing w:after="0"/>
              <w:rPr>
                <w:sz w:val="24"/>
                <w:szCs w:val="24"/>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206,265</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8,333</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19,940</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3,738</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23,678</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Restructuring charges and other........................</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14,089</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54</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(4,133)</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1,272,909</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222,824</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(63,358)</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1,432,375</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210,418</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3,755</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(24,591)</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189,582</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Interest income (expense) and other, net...............</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14,759</w:t>
            </w:r>
          </w:p>
        </w:tc>
        <w:tc>
          <w:tcPr>
            <w:tcW w:w="320" w:type="dxa"/>
            <w:vAlign w:val="bottom"/>
          </w:tcPr>
          <w:p>
            <w:pPr>
              <w:spacing w:after="0"/>
              <w:rPr>
                <w:sz w:val="15"/>
                <w:szCs w:val="15"/>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(311)</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(1,314)</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11,979</w:t>
            </w: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(1,931)</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776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225,177</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3,444</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(27,060)</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201,561</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56,294</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2,322</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(8,226)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50,390</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168,883</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1,122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(18,834)</w:t>
            </w:r>
          </w:p>
        </w:tc>
        <w:tc>
          <w:tcPr>
            <w:tcW w:w="56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151,171</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0.78</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0.70</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0.77</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0.69</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215,849</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215,849</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219,876</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219,876</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45" w:right="4140" w:hanging="545"/>
        <w:spacing w:after="0" w:line="251" w:lineRule="auto"/>
        <w:tabs>
          <w:tab w:leader="none" w:pos="54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Certen historical U.S. GAAP statement reflects Certen's results for the nine months ended June 30, 2003. Certen's results for the period from July 1, 2003 to September 30, 2003 are included and consolidated in the historical consolidated financial statement column.</w:t>
      </w:r>
    </w:p>
    <w:p>
      <w:pPr>
        <w:spacing w:after="0" w:line="176"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color w:val="auto"/>
        </w:rPr>
        <w:t>See Notes to Unaudited Pro Forma Condensed Consolidated Financial</w:t>
      </w:r>
    </w:p>
    <w:p>
      <w:pPr>
        <w:spacing w:after="0" w:line="8" w:lineRule="exact"/>
        <w:rPr>
          <w:sz w:val="20"/>
          <w:szCs w:val="20"/>
          <w:color w:val="auto"/>
        </w:rPr>
      </w:pPr>
    </w:p>
    <w:p>
      <w:pPr>
        <w:ind w:left="1745"/>
        <w:spacing w:after="0"/>
        <w:rPr>
          <w:sz w:val="20"/>
          <w:szCs w:val="20"/>
          <w:color w:val="auto"/>
        </w:rPr>
      </w:pPr>
      <w:r>
        <w:rPr>
          <w:rFonts w:ascii="Courier New" w:cs="Courier New" w:eastAsia="Courier New" w:hAnsi="Courier New"/>
          <w:sz w:val="15"/>
          <w:szCs w:val="15"/>
          <w:color w:val="auto"/>
        </w:rPr>
        <w:t>Statements for discussion of adjustments.</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1525"/>
          </w:cols>
          <w:pgMar w:left="235" w:top="650" w:right="139" w:bottom="1440" w:gutter="0" w:footer="0" w:header="0"/>
        </w:sectPr>
      </w:pPr>
    </w:p>
    <w:bookmarkStart w:id="38" w:name="page39"/>
    <w:bookmarkEnd w:id="38"/>
    <w:p>
      <w:pPr>
        <w:jc w:val="center"/>
        <w:ind w:right="2834"/>
        <w:spacing w:after="0"/>
        <w:rPr>
          <w:sz w:val="20"/>
          <w:szCs w:val="20"/>
          <w:color w:val="auto"/>
        </w:rPr>
      </w:pPr>
      <w:r>
        <w:rPr>
          <w:rFonts w:ascii="Courier New" w:cs="Courier New" w:eastAsia="Courier New" w:hAnsi="Courier New"/>
          <w:sz w:val="15"/>
          <w:szCs w:val="15"/>
          <w:color w:val="auto"/>
        </w:rPr>
        <w:t>NOTES TO UNAUDITED PRO FORMA CONDENSED CONSOLIDATED FINANCIAL STATEMENTS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(in thousands)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85" w:lineRule="exact"/>
        <w:rPr>
          <w:sz w:val="20"/>
          <w:szCs w:val="20"/>
          <w:color w:val="auto"/>
        </w:rPr>
      </w:pPr>
    </w:p>
    <w:p>
      <w:pPr>
        <w:ind w:left="545" w:right="2839" w:hanging="545"/>
        <w:spacing w:after="0" w:line="250" w:lineRule="auto"/>
        <w:tabs>
          <w:tab w:leader="none" w:pos="54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 2003, Amdocs acquired from Bell Canada its 90% ownership interest in Certen for approximately U.S. $66 million in cash, pursuant to an Acquisition Agreement, dated as of May 28, 2003. Amdocs and Bell Canada formed Certen, which commenced operations in January 2001, to provide customer care and billing solutions to Bell Canada and a number of Bell Canada's affiliated companies. Prior to the acquisition of Certen, Bell Canada's ownership interest in Certen was 90% and Amdocs owned the remainder. Accordingly, Certen's operations are included in the historical results of Amdocs from July 2, 2003. Since Certen's inception, Amdocs has provided customer care and billing software required by Certen, including related customization, installation, maintenance and other services.</w:t>
      </w:r>
    </w:p>
    <w:p>
      <w:pPr>
        <w:spacing w:after="0" w:line="182"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acquisition of Certen, Amdocs accounted for the investment in Certen under the cost method for its 10% ownership. In the fourth quarter of 2003, Amdocs recognized the cumulative effect of its 10% interest in Certen prior to the acquisition of Certen. The cumulative effect is a loss of $4,133.</w:t>
      </w:r>
    </w:p>
    <w:p>
      <w:pPr>
        <w:spacing w:after="0" w:line="176"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Certen increased the amount of goodwill on the Company's consolidated financial statements by approximately $102,830, an increase of 14% from September 30, 2002. In addition to goodwill, approximately $36,385 of the purchase price was allocated to an intangible for a customer arrangement and approximately $74,307 was allocated to deferred income taxes.</w:t>
      </w:r>
    </w:p>
    <w:p>
      <w:pPr>
        <w:spacing w:after="0" w:line="175" w:lineRule="exact"/>
        <w:rPr>
          <w:rFonts w:ascii="Courier New" w:cs="Courier New" w:eastAsia="Courier New" w:hAnsi="Courier New"/>
          <w:sz w:val="15"/>
          <w:szCs w:val="15"/>
          <w:color w:val="auto"/>
        </w:rPr>
      </w:pPr>
    </w:p>
    <w:p>
      <w:pPr>
        <w:ind w:left="5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the revised preliminary allocation of the purchase price:</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Purchase price</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65,887</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Estimated transaction costs</w:t>
            </w:r>
          </w:p>
        </w:tc>
        <w:tc>
          <w:tcPr>
            <w:tcW w:w="4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Total purchase price</w:t>
            </w:r>
          </w:p>
        </w:tc>
        <w:tc>
          <w:tcPr>
            <w:tcW w:w="4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70,887</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Write-off of deferred revenue and allowance on Amdocs</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460"/>
              <w:spacing w:after="0"/>
              <w:rPr>
                <w:sz w:val="20"/>
                <w:szCs w:val="20"/>
                <w:color w:val="auto"/>
              </w:rPr>
            </w:pPr>
            <w:r>
              <w:rPr>
                <w:rFonts w:ascii="Courier New" w:cs="Courier New" w:eastAsia="Courier New" w:hAnsi="Courier New"/>
                <w:sz w:val="15"/>
                <w:szCs w:val="15"/>
                <w:color w:val="auto"/>
              </w:rPr>
              <w:t>books, net of tax</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(33,666)</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Net amount for purchase price allocation</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37,221</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Allocation of purchase price:</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90% of tangible assets acquired, net of capitalized Amdocs</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460"/>
              <w:spacing w:after="0"/>
              <w:rPr>
                <w:sz w:val="20"/>
                <w:szCs w:val="20"/>
                <w:color w:val="auto"/>
              </w:rPr>
            </w:pPr>
            <w:r>
              <w:rPr>
                <w:rFonts w:ascii="Courier New" w:cs="Courier New" w:eastAsia="Courier New" w:hAnsi="Courier New"/>
                <w:sz w:val="15"/>
                <w:szCs w:val="15"/>
                <w:color w:val="auto"/>
              </w:rPr>
              <w:t>system on Certen's books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80,929</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90% of liabilities assumed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(241,760)</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Net liabilities acquired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(160,831)</w:t>
            </w:r>
          </w:p>
        </w:tc>
      </w:tr>
      <w:tr>
        <w:trPr>
          <w:trHeight w:val="355"/>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Customer arrangement</w:t>
            </w:r>
          </w:p>
        </w:tc>
        <w:tc>
          <w:tcPr>
            <w:tcW w:w="46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36,385</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Adjustment to fair value of pension and other</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460"/>
              <w:spacing w:after="0"/>
              <w:rPr>
                <w:sz w:val="20"/>
                <w:szCs w:val="20"/>
                <w:color w:val="auto"/>
              </w:rPr>
            </w:pPr>
            <w:r>
              <w:rPr>
                <w:rFonts w:ascii="Courier New" w:cs="Courier New" w:eastAsia="Courier New" w:hAnsi="Courier New"/>
                <w:sz w:val="15"/>
                <w:szCs w:val="15"/>
                <w:color w:val="auto"/>
              </w:rPr>
              <w:t>post-employment benefit liabilities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(10,534)</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EITF 95-3 and other liabilities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(4,936)</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Deferred taxes, resulting from the difference between the</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460"/>
              <w:spacing w:after="0"/>
              <w:rPr>
                <w:sz w:val="20"/>
                <w:szCs w:val="20"/>
                <w:color w:val="auto"/>
              </w:rPr>
            </w:pPr>
            <w:r>
              <w:rPr>
                <w:rFonts w:ascii="Courier New" w:cs="Courier New" w:eastAsia="Courier New" w:hAnsi="Courier New"/>
                <w:sz w:val="15"/>
                <w:szCs w:val="15"/>
                <w:color w:val="auto"/>
              </w:rPr>
              <w:t>assigned value of certain assets and liabilities and</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460"/>
              <w:spacing w:after="0"/>
              <w:rPr>
                <w:sz w:val="20"/>
                <w:szCs w:val="20"/>
                <w:color w:val="auto"/>
              </w:rPr>
            </w:pPr>
            <w:r>
              <w:rPr>
                <w:rFonts w:ascii="Courier New" w:cs="Courier New" w:eastAsia="Courier New" w:hAnsi="Courier New"/>
                <w:sz w:val="15"/>
                <w:szCs w:val="15"/>
                <w:color w:val="auto"/>
              </w:rPr>
              <w:t>their respective tax bases</w:t>
            </w:r>
          </w:p>
        </w:tc>
        <w:tc>
          <w:tcPr>
            <w:tcW w:w="4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74,307</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Net fair value of liabilities acquired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(65,609)</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Goodwill</w:t>
            </w:r>
          </w:p>
        </w:tc>
        <w:tc>
          <w:tcPr>
            <w:tcW w:w="4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102,830</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37,221</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532"/>
        </w:trPr>
        <w:tc>
          <w:tcPr>
            <w:tcW w:w="5900" w:type="dxa"/>
            <w:vAlign w:val="bottom"/>
          </w:tcPr>
          <w:p>
            <w:pPr>
              <w:ind w:left="3600"/>
              <w:spacing w:after="0"/>
              <w:rPr>
                <w:sz w:val="20"/>
                <w:szCs w:val="20"/>
                <w:color w:val="auto"/>
              </w:rPr>
            </w:pPr>
            <w:r>
              <w:rPr>
                <w:rFonts w:ascii="Courier New" w:cs="Courier New" w:eastAsia="Courier New" w:hAnsi="Courier New"/>
                <w:sz w:val="15"/>
                <w:szCs w:val="15"/>
                <w:color w:val="auto"/>
              </w:rPr>
              <w:t>33</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25"/>
          </w:cols>
          <w:pgMar w:left="235" w:top="650" w:right="1440" w:bottom="1440" w:gutter="0" w:footer="0" w:header="0"/>
        </w:sectPr>
      </w:pPr>
    </w:p>
    <w:bookmarkStart w:id="39" w:name="page40"/>
    <w:bookmarkEnd w:id="39"/>
    <w:p>
      <w:pPr>
        <w:ind w:left="545" w:right="2939" w:hanging="545"/>
        <w:spacing w:after="0" w:line="253"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revenue to Amdocs attributable to license and services provided to Certen.</w:t>
      </w:r>
    </w:p>
    <w:p>
      <w:pPr>
        <w:spacing w:after="0" w:line="174" w:lineRule="exact"/>
        <w:rPr>
          <w:rFonts w:ascii="Courier New" w:cs="Courier New" w:eastAsia="Courier New" w:hAnsi="Courier New"/>
          <w:sz w:val="15"/>
          <w:szCs w:val="15"/>
          <w:color w:val="auto"/>
        </w:rPr>
      </w:pPr>
    </w:p>
    <w:p>
      <w:pPr>
        <w:ind w:left="545" w:right="3119" w:hanging="545"/>
        <w:spacing w:after="0" w:line="253"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expenses incurred by Certen attributable to Amdocs services that were not capitalized.</w:t>
      </w:r>
    </w:p>
    <w:p>
      <w:pPr>
        <w:spacing w:after="0" w:line="174" w:lineRule="exact"/>
        <w:rPr>
          <w:rFonts w:ascii="Courier New" w:cs="Courier New" w:eastAsia="Courier New" w:hAnsi="Courier New"/>
          <w:sz w:val="15"/>
          <w:szCs w:val="15"/>
          <w:color w:val="auto"/>
        </w:rPr>
      </w:pPr>
    </w:p>
    <w:p>
      <w:pPr>
        <w:ind w:left="545" w:right="3399" w:hanging="545"/>
        <w:spacing w:after="0" w:line="253"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depreciation related to Amdocs system on Certen's books.</w:t>
      </w:r>
    </w:p>
    <w:p>
      <w:pPr>
        <w:spacing w:after="0" w:line="174" w:lineRule="exact"/>
        <w:rPr>
          <w:rFonts w:ascii="Courier New" w:cs="Courier New" w:eastAsia="Courier New" w:hAnsi="Courier New"/>
          <w:sz w:val="15"/>
          <w:szCs w:val="15"/>
          <w:color w:val="auto"/>
        </w:rPr>
      </w:pPr>
    </w:p>
    <w:p>
      <w:pPr>
        <w:ind w:left="545" w:right="3019" w:hanging="545"/>
        <w:spacing w:after="0" w:line="253"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purchased customer arrangements incurred in the acquisition of Certen.</w:t>
      </w:r>
    </w:p>
    <w:p>
      <w:pPr>
        <w:spacing w:after="0" w:line="174" w:lineRule="exact"/>
        <w:rPr>
          <w:rFonts w:ascii="Courier New" w:cs="Courier New" w:eastAsia="Courier New" w:hAnsi="Courier New"/>
          <w:sz w:val="15"/>
          <w:szCs w:val="15"/>
          <w:color w:val="auto"/>
        </w:rPr>
      </w:pPr>
    </w:p>
    <w:p>
      <w:pPr>
        <w:ind w:left="545" w:right="2939" w:hanging="545"/>
        <w:spacing w:after="0" w:line="253"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cumulative effect of Amdocs' 10% interest in Certen results prior to the acquisition of Certen.</w:t>
      </w:r>
    </w:p>
    <w:p>
      <w:pPr>
        <w:spacing w:after="0" w:line="174" w:lineRule="exact"/>
        <w:rPr>
          <w:rFonts w:ascii="Courier New" w:cs="Courier New" w:eastAsia="Courier New" w:hAnsi="Courier New"/>
          <w:sz w:val="15"/>
          <w:szCs w:val="15"/>
          <w:color w:val="auto"/>
        </w:rPr>
      </w:pPr>
    </w:p>
    <w:p>
      <w:pPr>
        <w:ind w:left="545" w:right="3119" w:hanging="545"/>
        <w:spacing w:after="0" w:line="253"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interest income earned on the cash used for the acquisition of Certen.</w:t>
      </w:r>
    </w:p>
    <w:p>
      <w:pPr>
        <w:spacing w:after="0" w:line="174" w:lineRule="exact"/>
        <w:rPr>
          <w:rFonts w:ascii="Courier New" w:cs="Courier New" w:eastAsia="Courier New" w:hAnsi="Courier New"/>
          <w:sz w:val="15"/>
          <w:szCs w:val="15"/>
          <w:color w:val="auto"/>
        </w:rPr>
      </w:pPr>
    </w:p>
    <w:p>
      <w:pPr>
        <w:ind w:left="545" w:right="2839" w:hanging="545"/>
        <w:spacing w:after="0" w:line="253"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capitalized interest expense in Certen related to the convertible debentures issued to Amdocs.</w:t>
      </w:r>
    </w:p>
    <w:p>
      <w:pPr>
        <w:spacing w:after="0" w:line="174" w:lineRule="exact"/>
        <w:rPr>
          <w:rFonts w:ascii="Courier New" w:cs="Courier New" w:eastAsia="Courier New" w:hAnsi="Courier New"/>
          <w:sz w:val="15"/>
          <w:szCs w:val="15"/>
          <w:color w:val="auto"/>
        </w:rPr>
      </w:pPr>
    </w:p>
    <w:p>
      <w:pPr>
        <w:ind w:left="545" w:right="2839" w:hanging="545"/>
        <w:spacing w:after="0" w:line="253"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liability related to adjustment to fair value of capital lease obligations on Certen's books.</w:t>
      </w:r>
    </w:p>
    <w:p>
      <w:pPr>
        <w:spacing w:after="0" w:line="174" w:lineRule="exact"/>
        <w:rPr>
          <w:rFonts w:ascii="Courier New" w:cs="Courier New" w:eastAsia="Courier New" w:hAnsi="Courier New"/>
          <w:sz w:val="15"/>
          <w:szCs w:val="15"/>
          <w:color w:val="auto"/>
        </w:rPr>
      </w:pPr>
    </w:p>
    <w:p>
      <w:pPr>
        <w:ind w:left="545" w:right="3219" w:hanging="545"/>
        <w:spacing w:after="0" w:line="253"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tax adjustment to reflect the combined results at Amdocs' effective tax rate.</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5"/>
          </w:cols>
          <w:pgMar w:left="235" w:top="650" w:right="1440" w:bottom="1440" w:gutter="0" w:footer="0" w:header="0"/>
        </w:sectPr>
      </w:pPr>
    </w:p>
    <w:bookmarkStart w:id="40" w:name="page41"/>
    <w:bookmarkEnd w:id="40"/>
    <w:p>
      <w:pPr>
        <w:ind w:left="1660"/>
        <w:spacing w:after="0"/>
        <w:rPr>
          <w:sz w:val="20"/>
          <w:szCs w:val="20"/>
          <w:color w:val="auto"/>
        </w:rPr>
      </w:pPr>
      <w:r>
        <w:rPr>
          <w:rFonts w:ascii="Courier New" w:cs="Courier New" w:eastAsia="Courier New" w:hAnsi="Courier New"/>
          <w:sz w:val="15"/>
          <w:szCs w:val="15"/>
          <w:color w:val="auto"/>
        </w:rPr>
        <w:t>UNAUDITED FINANCIAL STATEMENTS OF CERTEN INC.</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unaudited financial statements of Certen for the six months ended June 30, 2003 and 2002, are based upon, and should be read in conjunction with, the historical audited financial statements of Certen for the year ended December 31, 2002 and 2001 (together with the reconciliation to U.S. GAAP). The historical financial statements of Certen have been prepared in accordance with Canadian GAAP and presented in Canadian dollars.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50" w:right="1440" w:bottom="1440" w:gutter="0" w:footer="0" w:header="0"/>
        </w:sectPr>
      </w:pPr>
    </w:p>
    <w:bookmarkStart w:id="41" w:name="page42"/>
    <w:bookmarkEnd w:id="41"/>
    <w:p>
      <w:pPr>
        <w:jc w:val="center"/>
        <w:ind w:right="2759"/>
        <w:spacing w:after="0"/>
        <w:rPr>
          <w:sz w:val="20"/>
          <w:szCs w:val="20"/>
          <w:color w:val="auto"/>
        </w:rPr>
      </w:pPr>
      <w:r>
        <w:rPr>
          <w:rFonts w:ascii="Courier New" w:cs="Courier New" w:eastAsia="Courier New" w:hAnsi="Courier New"/>
          <w:sz w:val="15"/>
          <w:szCs w:val="15"/>
          <w:color w:val="auto"/>
        </w:rPr>
        <w:t>CERTEN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STATEMENT OF OPERATIONS AND RETAINED EARNINGS</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(in thousands of dollars)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40" w:type="dxa"/>
            <w:vAlign w:val="bottom"/>
          </w:tcPr>
          <w:p>
            <w:pPr>
              <w:spacing w:after="0"/>
              <w:rPr>
                <w:sz w:val="14"/>
                <w:szCs w:val="14"/>
                <w:color w:val="auto"/>
              </w:rPr>
            </w:pP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spacing w:after="0"/>
              <w:rPr>
                <w:sz w:val="24"/>
                <w:szCs w:val="24"/>
                <w:color w:val="auto"/>
              </w:rPr>
            </w:pPr>
          </w:p>
        </w:tc>
        <w:tc>
          <w:tcPr>
            <w:tcW w:w="10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Billing services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215,881</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184,106</w:t>
            </w:r>
          </w:p>
        </w:tc>
      </w:tr>
      <w:tr>
        <w:trPr>
          <w:trHeight w:val="177"/>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Professional services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11,799</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29,642</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227,680</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213,748</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Cost of services, selling and administrative expenses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169,270</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159,297</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benefit plans expense</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2,139</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637</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earnings before undernoted</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56,271</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53,814</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56,453</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30,843</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Restructuring charge</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80</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721</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(loss)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22,250</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Interest expense - long-term debt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3,615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3,623</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Accretion on convertible debentures due to related party</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3,054</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2,286</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(2,385)</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(5,517)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18,726</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Current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7"/>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Future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(9,163)</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(9,534)</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(6,208)</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9,192</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Retained earnings, beginning of period</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51,068</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35,774</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RETAINED EARNINGS, END OF PERIOD</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44,860</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44,966</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532"/>
        </w:trPr>
        <w:tc>
          <w:tcPr>
            <w:tcW w:w="5340" w:type="dxa"/>
            <w:vAlign w:val="bottom"/>
          </w:tcPr>
          <w:p>
            <w:pPr>
              <w:ind w:left="3600"/>
              <w:spacing w:after="0"/>
              <w:rPr>
                <w:sz w:val="20"/>
                <w:szCs w:val="20"/>
                <w:color w:val="auto"/>
              </w:rPr>
            </w:pPr>
            <w:r>
              <w:rPr>
                <w:rFonts w:ascii="Courier New" w:cs="Courier New" w:eastAsia="Courier New" w:hAnsi="Courier New"/>
                <w:sz w:val="15"/>
                <w:szCs w:val="15"/>
                <w:color w:val="auto"/>
              </w:rPr>
              <w:t>36</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20" w:type="dxa"/>
            <w:vAlign w:val="bottom"/>
          </w:tcPr>
          <w:p>
            <w:pPr>
              <w:jc w:val="center"/>
              <w:ind w:left="1663"/>
              <w:spacing w:after="0"/>
              <w:rPr>
                <w:sz w:val="20"/>
                <w:szCs w:val="20"/>
                <w:color w:val="auto"/>
              </w:rPr>
            </w:pPr>
            <w:r>
              <w:rPr>
                <w:rFonts w:ascii="Courier New" w:cs="Courier New" w:eastAsia="Courier New" w:hAnsi="Courier New"/>
                <w:sz w:val="15"/>
                <w:szCs w:val="15"/>
                <w:color w:val="auto"/>
              </w:rPr>
              <w:t>CERTEN INC.</w:t>
            </w:r>
          </w:p>
        </w:tc>
        <w:tc>
          <w:tcPr>
            <w:tcW w:w="1200" w:type="dxa"/>
            <w:vAlign w:val="bottom"/>
          </w:tcPr>
          <w:p>
            <w:pPr>
              <w:spacing w:after="0"/>
              <w:rPr>
                <w:sz w:val="14"/>
                <w:szCs w:val="14"/>
                <w:color w:val="auto"/>
              </w:rPr>
            </w:pPr>
          </w:p>
        </w:tc>
      </w:tr>
      <w:tr>
        <w:trPr>
          <w:trHeight w:val="177"/>
        </w:trPr>
        <w:tc>
          <w:tcPr>
            <w:tcW w:w="5720" w:type="dxa"/>
            <w:vAlign w:val="bottom"/>
          </w:tcPr>
          <w:p>
            <w:pPr>
              <w:jc w:val="center"/>
              <w:ind w:left="1683"/>
              <w:spacing w:after="0"/>
              <w:rPr>
                <w:sz w:val="20"/>
                <w:szCs w:val="20"/>
                <w:color w:val="auto"/>
              </w:rPr>
            </w:pPr>
            <w:r>
              <w:rPr>
                <w:rFonts w:ascii="Courier New" w:cs="Courier New" w:eastAsia="Courier New" w:hAnsi="Courier New"/>
                <w:sz w:val="15"/>
                <w:szCs w:val="15"/>
                <w:color w:val="auto"/>
              </w:rPr>
              <w:t>BALANCE SHEET</w:t>
            </w:r>
          </w:p>
        </w:tc>
        <w:tc>
          <w:tcPr>
            <w:tcW w:w="1200" w:type="dxa"/>
            <w:vAlign w:val="bottom"/>
          </w:tcPr>
          <w:p>
            <w:pPr>
              <w:spacing w:after="0"/>
              <w:rPr>
                <w:sz w:val="15"/>
                <w:szCs w:val="15"/>
                <w:color w:val="auto"/>
              </w:rPr>
            </w:pPr>
          </w:p>
        </w:tc>
      </w:tr>
      <w:tr>
        <w:trPr>
          <w:trHeight w:val="177"/>
        </w:trPr>
        <w:tc>
          <w:tcPr>
            <w:tcW w:w="5720" w:type="dxa"/>
            <w:vAlign w:val="bottom"/>
          </w:tcPr>
          <w:p>
            <w:pPr>
              <w:jc w:val="center"/>
              <w:ind w:left="1663"/>
              <w:spacing w:after="0"/>
              <w:rPr>
                <w:sz w:val="20"/>
                <w:szCs w:val="20"/>
                <w:color w:val="auto"/>
              </w:rPr>
            </w:pPr>
            <w:r>
              <w:rPr>
                <w:rFonts w:ascii="Courier New" w:cs="Courier New" w:eastAsia="Courier New" w:hAnsi="Courier New"/>
                <w:sz w:val="15"/>
                <w:szCs w:val="15"/>
                <w:color w:val="auto"/>
              </w:rPr>
              <w:t>AS AT JUNE 30, 2003</w:t>
            </w:r>
          </w:p>
        </w:tc>
        <w:tc>
          <w:tcPr>
            <w:tcW w:w="1200" w:type="dxa"/>
            <w:vAlign w:val="bottom"/>
          </w:tcPr>
          <w:p>
            <w:pPr>
              <w:spacing w:after="0"/>
              <w:rPr>
                <w:sz w:val="15"/>
                <w:szCs w:val="15"/>
                <w:color w:val="auto"/>
              </w:rPr>
            </w:pPr>
          </w:p>
        </w:tc>
      </w:tr>
      <w:tr>
        <w:trPr>
          <w:trHeight w:val="177"/>
        </w:trPr>
        <w:tc>
          <w:tcPr>
            <w:tcW w:w="5720" w:type="dxa"/>
            <w:vAlign w:val="bottom"/>
          </w:tcPr>
          <w:p>
            <w:pPr>
              <w:jc w:val="center"/>
              <w:ind w:left="1663"/>
              <w:spacing w:after="0"/>
              <w:rPr>
                <w:sz w:val="20"/>
                <w:szCs w:val="20"/>
                <w:color w:val="auto"/>
              </w:rPr>
            </w:pPr>
            <w:r>
              <w:rPr>
                <w:rFonts w:ascii="Courier New" w:cs="Courier New" w:eastAsia="Courier New" w:hAnsi="Courier New"/>
                <w:sz w:val="15"/>
                <w:szCs w:val="15"/>
                <w:color w:val="auto"/>
              </w:rPr>
              <w:t>(in thousands of dollars)</w:t>
            </w:r>
          </w:p>
        </w:tc>
        <w:tc>
          <w:tcPr>
            <w:tcW w:w="1200" w:type="dxa"/>
            <w:vAlign w:val="bottom"/>
          </w:tcPr>
          <w:p>
            <w:pPr>
              <w:spacing w:after="0"/>
              <w:rPr>
                <w:sz w:val="15"/>
                <w:szCs w:val="15"/>
                <w:color w:val="auto"/>
              </w:rPr>
            </w:pPr>
          </w:p>
        </w:tc>
      </w:tr>
      <w:tr>
        <w:trPr>
          <w:trHeight w:val="177"/>
        </w:trPr>
        <w:tc>
          <w:tcPr>
            <w:tcW w:w="5720" w:type="dxa"/>
            <w:vAlign w:val="bottom"/>
          </w:tcPr>
          <w:p>
            <w:pPr>
              <w:jc w:val="center"/>
              <w:ind w:left="1663"/>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spacing w:after="0"/>
              <w:rPr>
                <w:sz w:val="15"/>
                <w:szCs w:val="15"/>
                <w:color w:val="auto"/>
              </w:rPr>
            </w:pPr>
          </w:p>
        </w:tc>
      </w:tr>
      <w:tr>
        <w:trPr>
          <w:trHeight w:val="887"/>
        </w:trPr>
        <w:tc>
          <w:tcPr>
            <w:tcW w:w="5720" w:type="dxa"/>
            <w:vAlign w:val="bottom"/>
          </w:tcPr>
          <w:p>
            <w:pPr>
              <w:spacing w:after="0"/>
              <w:rPr>
                <w:sz w:val="24"/>
                <w:szCs w:val="24"/>
                <w:color w:val="auto"/>
              </w:rPr>
            </w:pPr>
          </w:p>
        </w:tc>
        <w:tc>
          <w:tcPr>
            <w:tcW w:w="120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00" w:type="dxa"/>
            <w:vAlign w:val="bottom"/>
          </w:tcPr>
          <w:p>
            <w:pPr>
              <w:spacing w:after="0"/>
              <w:rPr>
                <w:sz w:val="15"/>
                <w:szCs w:val="15"/>
                <w:color w:val="auto"/>
              </w:rPr>
            </w:pP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0" w:type="dxa"/>
            <w:vAlign w:val="bottom"/>
          </w:tcPr>
          <w:p>
            <w:pPr>
              <w:spacing w:after="0"/>
              <w:rPr>
                <w:sz w:val="24"/>
                <w:szCs w:val="24"/>
                <w:color w:val="auto"/>
              </w:rPr>
            </w:pP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Cash</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34,358</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4,891</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Other current receivables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24,292</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Prepaid expense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7,471</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71,012</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53,495</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384,277</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Future income taxes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10,082</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Accrued benefit asset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3,046</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521,912</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00" w:type="dxa"/>
            <w:vAlign w:val="bottom"/>
          </w:tcPr>
          <w:p>
            <w:pPr>
              <w:spacing w:after="0"/>
              <w:rPr>
                <w:sz w:val="24"/>
                <w:szCs w:val="24"/>
                <w:color w:val="auto"/>
              </w:rPr>
            </w:pP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0" w:type="dxa"/>
            <w:vAlign w:val="bottom"/>
          </w:tcPr>
          <w:p>
            <w:pPr>
              <w:spacing w:after="0"/>
              <w:rPr>
                <w:sz w:val="24"/>
                <w:szCs w:val="24"/>
                <w:color w:val="auto"/>
              </w:rPr>
            </w:pP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155,110</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Income and other taxes payable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8,241</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loan payable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2,976</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obligation under capital lease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27,740</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Other current liabilities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4,920</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198,987</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Convertible debentures due to related party</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36,281</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Loan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1,529</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Obligation under capital lease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25,179</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Future income taxes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39,493</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10,318</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25,136</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336,923</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00" w:type="dxa"/>
            <w:vAlign w:val="bottom"/>
          </w:tcPr>
          <w:p>
            <w:pPr>
              <w:spacing w:after="0"/>
              <w:rPr>
                <w:sz w:val="24"/>
                <w:szCs w:val="24"/>
                <w:color w:val="auto"/>
              </w:rPr>
            </w:pPr>
          </w:p>
        </w:tc>
      </w:tr>
      <w:tr>
        <w:trPr>
          <w:trHeight w:val="355"/>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Option on convertible debentures due to related party</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37,960</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Common shares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102,169</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Retained earnings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44,860</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184,989</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521,912</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5720" w:type="dxa"/>
            <w:vAlign w:val="bottom"/>
          </w:tcPr>
          <w:p>
            <w:pPr>
              <w:ind w:left="3600"/>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43" w:name="page44"/>
    <w:bookmarkEnd w:id="43"/>
    <w:p>
      <w:pPr>
        <w:jc w:val="center"/>
        <w:ind w:right="2759"/>
        <w:spacing w:after="0"/>
        <w:rPr>
          <w:sz w:val="20"/>
          <w:szCs w:val="20"/>
          <w:color w:val="auto"/>
        </w:rPr>
      </w:pPr>
      <w:r>
        <w:rPr>
          <w:rFonts w:ascii="Courier New" w:cs="Courier New" w:eastAsia="Courier New" w:hAnsi="Courier New"/>
          <w:sz w:val="15"/>
          <w:szCs w:val="15"/>
          <w:color w:val="auto"/>
        </w:rPr>
        <w:t>CERTEN INC.</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STATEMENT OF CASH FLOWS</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 thousands of dollars)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60" w:type="dxa"/>
            <w:vAlign w:val="bottom"/>
          </w:tcPr>
          <w:p>
            <w:pPr>
              <w:spacing w:after="0"/>
              <w:rPr>
                <w:sz w:val="14"/>
                <w:szCs w:val="14"/>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2003</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360" w:type="dxa"/>
            <w:vAlign w:val="bottom"/>
          </w:tcPr>
          <w:p>
            <w:pPr>
              <w:spacing w:after="0"/>
              <w:rPr>
                <w:sz w:val="24"/>
                <w:szCs w:val="24"/>
                <w:color w:val="auto"/>
              </w:rPr>
            </w:pPr>
          </w:p>
        </w:tc>
        <w:tc>
          <w:tcPr>
            <w:tcW w:w="162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5"/>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Net (loss) income</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(6,208)</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9,192</w:t>
            </w: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Adjustments for:</w:t>
            </w: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6360" w:type="dxa"/>
            <w:vAlign w:val="bottom"/>
          </w:tcPr>
          <w:p>
            <w:pPr>
              <w:ind w:left="740"/>
              <w:spacing w:after="0"/>
              <w:rPr>
                <w:sz w:val="20"/>
                <w:szCs w:val="20"/>
                <w:color w:val="auto"/>
              </w:rPr>
            </w:pPr>
            <w:r>
              <w:rPr>
                <w:rFonts w:ascii="Courier New" w:cs="Courier New" w:eastAsia="Courier New" w:hAnsi="Courier New"/>
                <w:sz w:val="15"/>
                <w:szCs w:val="15"/>
                <w:color w:val="auto"/>
              </w:rPr>
              <w:t>Amortization</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56,453</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30,843</w:t>
            </w:r>
          </w:p>
        </w:tc>
      </w:tr>
      <w:tr>
        <w:trPr>
          <w:trHeight w:val="177"/>
        </w:trPr>
        <w:tc>
          <w:tcPr>
            <w:tcW w:w="6360" w:type="dxa"/>
            <w:vAlign w:val="bottom"/>
          </w:tcPr>
          <w:p>
            <w:pPr>
              <w:ind w:left="740"/>
              <w:spacing w:after="0"/>
              <w:rPr>
                <w:sz w:val="20"/>
                <w:szCs w:val="20"/>
                <w:color w:val="auto"/>
              </w:rPr>
            </w:pPr>
            <w:r>
              <w:rPr>
                <w:rFonts w:ascii="Courier New" w:cs="Courier New" w:eastAsia="Courier New" w:hAnsi="Courier New"/>
                <w:sz w:val="15"/>
                <w:szCs w:val="15"/>
                <w:color w:val="auto"/>
              </w:rPr>
              <w:t>Accretion on convertible debentures due to related party</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3,054</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2,286</w:t>
            </w:r>
          </w:p>
        </w:tc>
      </w:tr>
      <w:tr>
        <w:trPr>
          <w:trHeight w:val="177"/>
        </w:trPr>
        <w:tc>
          <w:tcPr>
            <w:tcW w:w="6360" w:type="dxa"/>
            <w:vAlign w:val="bottom"/>
          </w:tcPr>
          <w:p>
            <w:pPr>
              <w:ind w:left="740"/>
              <w:spacing w:after="0"/>
              <w:rPr>
                <w:sz w:val="20"/>
                <w:szCs w:val="20"/>
                <w:color w:val="auto"/>
              </w:rPr>
            </w:pPr>
            <w:r>
              <w:rPr>
                <w:rFonts w:ascii="Courier New" w:cs="Courier New" w:eastAsia="Courier New" w:hAnsi="Courier New"/>
                <w:sz w:val="15"/>
                <w:szCs w:val="15"/>
                <w:color w:val="auto"/>
              </w:rPr>
              <w:t>Gain from sale of property, plant and equipment</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ind w:left="740"/>
              <w:spacing w:after="0"/>
              <w:rPr>
                <w:sz w:val="20"/>
                <w:szCs w:val="20"/>
                <w:color w:val="auto"/>
              </w:rPr>
            </w:pPr>
            <w:r>
              <w:rPr>
                <w:rFonts w:ascii="Courier New" w:cs="Courier New" w:eastAsia="Courier New" w:hAnsi="Courier New"/>
                <w:sz w:val="15"/>
                <w:szCs w:val="15"/>
                <w:color w:val="auto"/>
              </w:rPr>
              <w:t>Future income taxes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691</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9,163</w:t>
            </w:r>
          </w:p>
        </w:tc>
      </w:tr>
      <w:tr>
        <w:trPr>
          <w:trHeight w:val="177"/>
        </w:trPr>
        <w:tc>
          <w:tcPr>
            <w:tcW w:w="6360" w:type="dxa"/>
            <w:vAlign w:val="bottom"/>
          </w:tcPr>
          <w:p>
            <w:pPr>
              <w:ind w:left="740"/>
              <w:spacing w:after="0"/>
              <w:rPr>
                <w:sz w:val="20"/>
                <w:szCs w:val="20"/>
                <w:color w:val="auto"/>
              </w:rPr>
            </w:pPr>
            <w:r>
              <w:rPr>
                <w:rFonts w:ascii="Courier New" w:cs="Courier New" w:eastAsia="Courier New" w:hAnsi="Courier New"/>
                <w:sz w:val="15"/>
                <w:szCs w:val="15"/>
                <w:color w:val="auto"/>
              </w:rPr>
              <w:t>Net benefit plans expense</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2,139</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637</w:t>
            </w: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Net change in non-cash working capital items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47,987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(17,535)</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104,105</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34,586</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(79,311)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(127,823)</w:t>
            </w: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Proceeds from disposal of property, plant and equipment</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332</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(78,979)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(127,823)</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3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5"/>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Repayment of capital leases</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(24,358)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(3,022)</w:t>
            </w: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Issuance of convertible debentures due to related party</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33,859</w:t>
            </w: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Issuance of Common shares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47,241</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(24,358)</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78,078</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768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(15,159)</w:t>
            </w:r>
          </w:p>
        </w:tc>
      </w:tr>
      <w:tr>
        <w:trPr>
          <w:trHeight w:val="177"/>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33,590</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57,693</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34,358</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42,534</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532"/>
        </w:trPr>
        <w:tc>
          <w:tcPr>
            <w:tcW w:w="6360" w:type="dxa"/>
            <w:vAlign w:val="bottom"/>
          </w:tcPr>
          <w:p>
            <w:pPr>
              <w:ind w:left="3600"/>
              <w:spacing w:after="0"/>
              <w:rPr>
                <w:sz w:val="20"/>
                <w:szCs w:val="20"/>
                <w:color w:val="auto"/>
              </w:rPr>
            </w:pPr>
            <w:r>
              <w:rPr>
                <w:rFonts w:ascii="Courier New" w:cs="Courier New" w:eastAsia="Courier New" w:hAnsi="Courier New"/>
                <w:sz w:val="15"/>
                <w:szCs w:val="15"/>
                <w:color w:val="auto"/>
              </w:rPr>
              <w:t>38</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44" w:name="page45"/>
    <w:bookmarkEnd w:id="44"/>
    <w:p>
      <w:pPr>
        <w:jc w:val="center"/>
        <w:ind w:right="2754"/>
        <w:spacing w:after="0"/>
        <w:rPr>
          <w:sz w:val="20"/>
          <w:szCs w:val="20"/>
          <w:color w:val="auto"/>
        </w:rPr>
      </w:pPr>
      <w:r>
        <w:rPr>
          <w:rFonts w:ascii="Courier New" w:cs="Courier New" w:eastAsia="Courier New" w:hAnsi="Courier New"/>
          <w:sz w:val="15"/>
          <w:szCs w:val="15"/>
          <w:color w:val="auto"/>
        </w:rPr>
        <w:t>CERTEN INC.</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NOTES TO THE FINANCIAL STATEMENTS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(unaudited)</w:t>
      </w:r>
    </w:p>
    <w:p>
      <w:pPr>
        <w:spacing w:after="0" w:line="8"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(all tabular amounts are in thousands of dollars except where otherwise noted)</w:t>
      </w:r>
    </w:p>
    <w:p>
      <w:pPr>
        <w:spacing w:after="0" w:line="185" w:lineRule="exact"/>
        <w:rPr>
          <w:sz w:val="20"/>
          <w:szCs w:val="20"/>
          <w:color w:val="auto"/>
        </w:rPr>
      </w:pPr>
    </w:p>
    <w:p>
      <w:pPr>
        <w:ind w:left="545" w:right="3019" w:hanging="545"/>
        <w:spacing w:after="0" w:line="253" w:lineRule="auto"/>
        <w:tabs>
          <w:tab w:leader="none" w:pos="54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RESULTS REPORTED IN ACCORDANCE WITH CANADIAN GENERALLY ACCEPTED ACCOUNTING PRINCIPLES (GAAP) TO UNITED STATES GAAP</w:t>
      </w:r>
    </w:p>
    <w:p>
      <w:pPr>
        <w:spacing w:after="0" w:line="174" w:lineRule="exact"/>
        <w:rPr>
          <w:rFonts w:ascii="Courier New" w:cs="Courier New" w:eastAsia="Courier New" w:hAnsi="Courier New"/>
          <w:sz w:val="15"/>
          <w:szCs w:val="15"/>
          <w:color w:val="auto"/>
        </w:rPr>
      </w:pPr>
    </w:p>
    <w:p>
      <w:pPr>
        <w:ind w:left="545"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 differences between Canadian and United States GAAP affecting Certen's net earnings and shareholders' equity are detailed as follows:</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180" w:type="dxa"/>
            <w:vAlign w:val="bottom"/>
          </w:tcPr>
          <w:p>
            <w:pPr>
              <w:spacing w:after="0"/>
              <w:rPr>
                <w:sz w:val="20"/>
                <w:szCs w:val="20"/>
                <w:color w:val="auto"/>
              </w:rPr>
            </w:pPr>
            <w:r>
              <w:rPr>
                <w:rFonts w:ascii="Courier New" w:cs="Courier New" w:eastAsia="Courier New" w:hAnsi="Courier New"/>
                <w:sz w:val="15"/>
                <w:szCs w:val="15"/>
                <w:color w:val="auto"/>
              </w:rPr>
              <w:t>RECONCILIATION OF NET EARNINGS:</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ind w:left="740"/>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r>
      <w:tr>
        <w:trPr>
          <w:trHeight w:val="355"/>
        </w:trPr>
        <w:tc>
          <w:tcPr>
            <w:tcW w:w="6180" w:type="dxa"/>
            <w:vAlign w:val="bottom"/>
          </w:tcPr>
          <w:p>
            <w:pPr>
              <w:spacing w:after="0"/>
              <w:rPr>
                <w:sz w:val="24"/>
                <w:szCs w:val="24"/>
                <w:color w:val="auto"/>
              </w:rPr>
            </w:pPr>
          </w:p>
        </w:tc>
        <w:tc>
          <w:tcPr>
            <w:tcW w:w="1740" w:type="dxa"/>
            <w:vAlign w:val="bottom"/>
          </w:tcPr>
          <w:p>
            <w:pPr>
              <w:jc w:val="right"/>
              <w:ind w:right="110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CANADIAN GAAP - NET (LOSS) INCOME</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(6,208)</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9,192</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7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Accretion on convertible debentures due to related party (a)</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3,054</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2,286</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Capitalization of training costs (b)</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(1,013)</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Capitalization of interest (c)</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2,939</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1,287</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Income taxes (d)</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(661)</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(424)</w:t>
            </w:r>
          </w:p>
        </w:tc>
      </w:tr>
      <w:tr>
        <w:trPr>
          <w:trHeight w:val="177"/>
        </w:trPr>
        <w:tc>
          <w:tcPr>
            <w:tcW w:w="6180" w:type="dxa"/>
            <w:vAlign w:val="bottom"/>
          </w:tcPr>
          <w:p>
            <w:pPr>
              <w:spacing w:after="0"/>
              <w:rPr>
                <w:sz w:val="15"/>
                <w:szCs w:val="15"/>
                <w:color w:val="auto"/>
              </w:rPr>
            </w:pP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UNITED STATES GAAP - NET (LOSS) INCOME</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(1,889)</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12,341</w:t>
            </w:r>
          </w:p>
        </w:tc>
      </w:tr>
      <w:tr>
        <w:trPr>
          <w:trHeight w:val="177"/>
        </w:trPr>
        <w:tc>
          <w:tcPr>
            <w:tcW w:w="6180" w:type="dxa"/>
            <w:vAlign w:val="bottom"/>
          </w:tcPr>
          <w:p>
            <w:pPr>
              <w:spacing w:after="0"/>
              <w:rPr>
                <w:sz w:val="15"/>
                <w:szCs w:val="15"/>
                <w:color w:val="auto"/>
              </w:rPr>
            </w:pP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887"/>
        </w:trPr>
        <w:tc>
          <w:tcPr>
            <w:tcW w:w="6180" w:type="dxa"/>
            <w:vAlign w:val="bottom"/>
          </w:tcPr>
          <w:p>
            <w:pPr>
              <w:spacing w:after="0"/>
              <w:rPr>
                <w:sz w:val="20"/>
                <w:szCs w:val="20"/>
                <w:color w:val="auto"/>
              </w:rPr>
            </w:pPr>
            <w:r>
              <w:rPr>
                <w:rFonts w:ascii="Courier New" w:cs="Courier New" w:eastAsia="Courier New" w:hAnsi="Courier New"/>
                <w:sz w:val="15"/>
                <w:szCs w:val="15"/>
                <w:color w:val="auto"/>
              </w:rPr>
              <w:t>RECONCILIATION OF SHAREHOLDERS' EQUITY:</w:t>
            </w: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ind w:left="660"/>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355"/>
        </w:trPr>
        <w:tc>
          <w:tcPr>
            <w:tcW w:w="6180" w:type="dxa"/>
            <w:vAlign w:val="bottom"/>
          </w:tcPr>
          <w:p>
            <w:pPr>
              <w:spacing w:after="0"/>
              <w:rPr>
                <w:sz w:val="24"/>
                <w:szCs w:val="24"/>
                <w:color w:val="auto"/>
              </w:rPr>
            </w:pPr>
          </w:p>
        </w:tc>
        <w:tc>
          <w:tcPr>
            <w:tcW w:w="174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CANADIAN GAAP - SHAREHOLDERS' EQUITY</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184,989</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185,096</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7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Accretion on convertible debentures due to related party (a)</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9,419</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3,194</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Option on convertible debentures due to related party (a)</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(37,960)</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(37,960)</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Capitalization of training costs (b)</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(5,859)</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Capitalization of interest (c)</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6,915</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1,366</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Income taxes (d)</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(346)</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(451)</w:t>
            </w:r>
          </w:p>
        </w:tc>
      </w:tr>
      <w:tr>
        <w:trPr>
          <w:trHeight w:val="177"/>
        </w:trPr>
        <w:tc>
          <w:tcPr>
            <w:tcW w:w="6180" w:type="dxa"/>
            <w:vAlign w:val="bottom"/>
          </w:tcPr>
          <w:p>
            <w:pPr>
              <w:spacing w:after="0"/>
              <w:rPr>
                <w:sz w:val="15"/>
                <w:szCs w:val="15"/>
                <w:color w:val="auto"/>
              </w:rPr>
            </w:pP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UNITED STATES GAAP - SHAREHOLDERS' EQUITY</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157,158</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151,245</w:t>
            </w:r>
          </w:p>
        </w:tc>
      </w:tr>
      <w:tr>
        <w:trPr>
          <w:trHeight w:val="177"/>
        </w:trPr>
        <w:tc>
          <w:tcPr>
            <w:tcW w:w="6180" w:type="dxa"/>
            <w:vAlign w:val="bottom"/>
          </w:tcPr>
          <w:p>
            <w:pPr>
              <w:spacing w:after="0"/>
              <w:rPr>
                <w:sz w:val="15"/>
                <w:szCs w:val="15"/>
                <w:color w:val="auto"/>
              </w:rPr>
            </w:pP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45" w:hanging="545"/>
        <w:spacing w:after="0"/>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Accretion on convertible debentures due to related party</w:t>
      </w:r>
    </w:p>
    <w:p>
      <w:pPr>
        <w:spacing w:after="0" w:line="184"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the issuer of financial instruments that contain both a liability and an equity component must separate and classify the instruments according to their nature. Under United States GAAP, the issuer is not required to separate such financial instruments. Consequently, the accretion on convertible debentures due to related party is added back to United States GAAP net earnings.</w:t>
      </w:r>
    </w:p>
    <w:p>
      <w:pPr>
        <w:spacing w:after="0" w:line="175"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training costs</w:t>
      </w:r>
    </w:p>
    <w:p>
      <w:pPr>
        <w:spacing w:after="0" w:line="184" w:lineRule="exact"/>
        <w:rPr>
          <w:rFonts w:ascii="Courier New" w:cs="Courier New" w:eastAsia="Courier New" w:hAnsi="Courier New"/>
          <w:sz w:val="15"/>
          <w:szCs w:val="15"/>
          <w:color w:val="auto"/>
        </w:rPr>
      </w:pPr>
    </w:p>
    <w:p>
      <w:pPr>
        <w:ind w:left="545" w:right="329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training costs incurred in the development of internal-use software is capitalized. Under United States GAAP, these costs are expensed as incurred.</w:t>
      </w:r>
    </w:p>
    <w:p>
      <w:pPr>
        <w:spacing w:after="0" w:line="174"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interest expense</w:t>
      </w:r>
    </w:p>
    <w:p>
      <w:pPr>
        <w:spacing w:after="0" w:line="184" w:lineRule="exact"/>
        <w:rPr>
          <w:rFonts w:ascii="Courier New" w:cs="Courier New" w:eastAsia="Courier New" w:hAnsi="Courier New"/>
          <w:sz w:val="15"/>
          <w:szCs w:val="15"/>
          <w:color w:val="auto"/>
        </w:rPr>
      </w:pPr>
    </w:p>
    <w:p>
      <w:pPr>
        <w:ind w:left="545" w:right="28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United States GAAP, interest expense related to internally developed capital assets must be capitalized. Canadian GAAP makes no such requirements and therefore, Certen has expensed all interest costs.</w:t>
      </w:r>
    </w:p>
    <w:p>
      <w:pPr>
        <w:spacing w:after="0" w:line="174"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5" w:lineRule="exact"/>
        <w:rPr>
          <w:sz w:val="20"/>
          <w:szCs w:val="20"/>
          <w:color w:val="auto"/>
        </w:rPr>
      </w:pPr>
    </w:p>
    <w:p>
      <w:pPr>
        <w:ind w:left="545" w:right="3399"/>
        <w:spacing w:after="0" w:line="253" w:lineRule="auto"/>
        <w:rPr>
          <w:sz w:val="20"/>
          <w:szCs w:val="20"/>
          <w:color w:val="auto"/>
        </w:rPr>
      </w:pPr>
      <w:r>
        <w:rPr>
          <w:rFonts w:ascii="Courier New" w:cs="Courier New" w:eastAsia="Courier New" w:hAnsi="Courier New"/>
          <w:sz w:val="15"/>
          <w:szCs w:val="15"/>
          <w:color w:val="auto"/>
        </w:rPr>
        <w:t>The income tax adjustment reflects the impact on income taxes of the United States GAAP adjustments described above.</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5"/>
          </w:cols>
          <w:pgMar w:left="235" w:top="650" w:right="1440" w:bottom="1440" w:gutter="0" w:footer="0" w:header="0"/>
        </w:sectPr>
      </w:pPr>
    </w:p>
    <w:bookmarkStart w:id="45" w:name="page46"/>
    <w:bookmarkEnd w:id="45"/>
    <w:p>
      <w:pPr>
        <w:jc w:val="center"/>
        <w:ind w:right="2754"/>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8. INDEMNIFICATION OF DIRECTORS AND OFFICERS.</w:t>
      </w:r>
    </w:p>
    <w:p>
      <w:pPr>
        <w:spacing w:after="0" w:line="18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76"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76"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9. EXHIBITS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8"/>
              </w:rPr>
              <w:t>EXHIBIT</w:t>
            </w:r>
          </w:p>
        </w:tc>
        <w:tc>
          <w:tcPr>
            <w:tcW w:w="8260" w:type="dxa"/>
            <w:vAlign w:val="bottom"/>
          </w:tcPr>
          <w:p>
            <w:pPr>
              <w:spacing w:after="0"/>
              <w:rPr>
                <w:sz w:val="14"/>
                <w:szCs w:val="14"/>
                <w:color w:val="auto"/>
              </w:rPr>
            </w:pPr>
          </w:p>
        </w:tc>
      </w:tr>
      <w:tr>
        <w:trPr>
          <w:trHeight w:val="177"/>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NUMBER</w:t>
            </w:r>
          </w:p>
        </w:tc>
        <w:tc>
          <w:tcPr>
            <w:tcW w:w="8260" w:type="dxa"/>
            <w:vAlign w:val="bottom"/>
          </w:tcPr>
          <w:p>
            <w:pPr>
              <w:ind w:left="254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60" w:type="dxa"/>
            <w:vAlign w:val="bottom"/>
          </w:tcPr>
          <w:p>
            <w:pPr>
              <w:ind w:left="2540"/>
              <w:spacing w:after="0"/>
              <w:rPr>
                <w:sz w:val="20"/>
                <w:szCs w:val="20"/>
                <w:color w:val="auto"/>
              </w:rPr>
            </w:pPr>
            <w:r>
              <w:rPr>
                <w:rFonts w:ascii="Courier New" w:cs="Courier New" w:eastAsia="Courier New" w:hAnsi="Courier New"/>
                <w:sz w:val="15"/>
                <w:szCs w:val="15"/>
                <w:color w:val="auto"/>
              </w:rPr>
              <w:t>-----------</w:t>
            </w:r>
          </w:p>
        </w:tc>
      </w:tr>
      <w:tr>
        <w:trPr>
          <w:trHeight w:val="355"/>
        </w:trPr>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4.1</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Memorandum and Articles of Association of Amdocs Limited (incorporated by</w:t>
            </w:r>
          </w:p>
        </w:tc>
      </w:tr>
      <w:tr>
        <w:trPr>
          <w:trHeight w:val="177"/>
        </w:trPr>
        <w:tc>
          <w:tcPr>
            <w:tcW w:w="1060" w:type="dxa"/>
            <w:vAlign w:val="bottom"/>
          </w:tcPr>
          <w:p>
            <w:pPr>
              <w:spacing w:after="0"/>
              <w:rPr>
                <w:sz w:val="15"/>
                <w:szCs w:val="15"/>
                <w:color w:val="auto"/>
              </w:rPr>
            </w:pP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reference to Exhibits 3.1 and 3.2 to Amdocs' Registration Statement on Form F-1</w:t>
            </w:r>
          </w:p>
        </w:tc>
      </w:tr>
      <w:tr>
        <w:trPr>
          <w:trHeight w:val="177"/>
        </w:trPr>
        <w:tc>
          <w:tcPr>
            <w:tcW w:w="1060" w:type="dxa"/>
            <w:vAlign w:val="bottom"/>
          </w:tcPr>
          <w:p>
            <w:pPr>
              <w:spacing w:after="0"/>
              <w:rPr>
                <w:sz w:val="15"/>
                <w:szCs w:val="15"/>
                <w:color w:val="auto"/>
              </w:rPr>
            </w:pP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355"/>
        </w:trPr>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4.2</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Specimen Certificate for the ordinary shares of Amdocs Limited (incorporated by</w:t>
            </w:r>
          </w:p>
        </w:tc>
      </w:tr>
      <w:tr>
        <w:trPr>
          <w:trHeight w:val="177"/>
        </w:trPr>
        <w:tc>
          <w:tcPr>
            <w:tcW w:w="1060" w:type="dxa"/>
            <w:vAlign w:val="bottom"/>
          </w:tcPr>
          <w:p>
            <w:pPr>
              <w:spacing w:after="0"/>
              <w:rPr>
                <w:sz w:val="15"/>
                <w:szCs w:val="15"/>
                <w:color w:val="auto"/>
              </w:rPr>
            </w:pP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reference to Exhibit 4.1 to Amdocs' Registration Statement on Form F-1 dated June 19,</w:t>
            </w:r>
          </w:p>
        </w:tc>
      </w:tr>
      <w:tr>
        <w:trPr>
          <w:trHeight w:val="177"/>
        </w:trPr>
        <w:tc>
          <w:tcPr>
            <w:tcW w:w="1060" w:type="dxa"/>
            <w:vAlign w:val="bottom"/>
          </w:tcPr>
          <w:p>
            <w:pPr>
              <w:spacing w:after="0"/>
              <w:rPr>
                <w:sz w:val="15"/>
                <w:szCs w:val="15"/>
                <w:color w:val="auto"/>
              </w:rPr>
            </w:pP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5"/>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5.1*</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Opinion of Carey Olsen.</w:t>
            </w:r>
          </w:p>
        </w:tc>
      </w:tr>
      <w:tr>
        <w:trPr>
          <w:trHeight w:val="355"/>
        </w:trPr>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23.1</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5"/>
        </w:trPr>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23.2</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5"/>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23.3*</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Consent of Carey Olsen (included in Exhibit 5.1).</w:t>
            </w:r>
          </w:p>
        </w:tc>
      </w:tr>
      <w:tr>
        <w:trPr>
          <w:trHeight w:val="355"/>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24.1*</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Power of Attorney (see page II-4 of this Registration Statement).</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285" w:hanging="285"/>
        <w:spacing w:after="0"/>
        <w:tabs>
          <w:tab w:leader="none" w:pos="28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5"/>
          </w:cols>
          <w:pgMar w:left="235" w:top="650"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ITEM 10. UNDERTAKINGS.</w:t>
      </w:r>
    </w:p>
    <w:p>
      <w:pPr>
        <w:spacing w:after="0" w:line="185" w:lineRule="exact"/>
        <w:rPr>
          <w:sz w:val="20"/>
          <w:szCs w:val="20"/>
          <w:color w:val="auto"/>
        </w:rPr>
      </w:pPr>
    </w:p>
    <w:p>
      <w:pPr>
        <w:ind w:right="3759" w:firstLine="554"/>
        <w:spacing w:after="0" w:line="253" w:lineRule="auto"/>
        <w:rPr>
          <w:sz w:val="20"/>
          <w:szCs w:val="20"/>
          <w:color w:val="auto"/>
        </w:rPr>
      </w:pPr>
      <w:r>
        <w:rPr>
          <w:rFonts w:ascii="Courier New" w:cs="Courier New" w:eastAsia="Courier New" w:hAnsi="Courier New"/>
          <w:sz w:val="15"/>
          <w:szCs w:val="15"/>
          <w:color w:val="auto"/>
        </w:rPr>
        <w:t>Item 512(a) of Regulation S-K. The undersigned Registrant hereby undertakes:</w:t>
      </w:r>
    </w:p>
    <w:p>
      <w:pPr>
        <w:spacing w:after="0" w:line="174" w:lineRule="exact"/>
        <w:rPr>
          <w:sz w:val="20"/>
          <w:szCs w:val="20"/>
          <w:color w:val="auto"/>
        </w:rPr>
      </w:pPr>
    </w:p>
    <w:p>
      <w:pPr>
        <w:ind w:left="1100" w:right="2939" w:hanging="552"/>
        <w:spacing w:after="0" w:line="253" w:lineRule="auto"/>
        <w:tabs>
          <w:tab w:leader="none" w:pos="1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280" w:right="2939" w:firstLine="375"/>
        <w:spacing w:after="0" w:line="253" w:lineRule="auto"/>
        <w:tabs>
          <w:tab w:leader="none" w:pos="2203"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74" w:lineRule="exact"/>
        <w:rPr>
          <w:rFonts w:ascii="Courier New" w:cs="Courier New" w:eastAsia="Courier New" w:hAnsi="Courier New"/>
          <w:sz w:val="15"/>
          <w:szCs w:val="15"/>
          <w:color w:val="auto"/>
        </w:rPr>
      </w:pPr>
    </w:p>
    <w:p>
      <w:pPr>
        <w:ind w:left="1280" w:right="2839" w:firstLine="375"/>
        <w:spacing w:after="0" w:line="250" w:lineRule="auto"/>
        <w:tabs>
          <w:tab w:leader="none" w:pos="2203"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4" w:lineRule="exact"/>
        <w:rPr>
          <w:rFonts w:ascii="Courier New" w:cs="Courier New" w:eastAsia="Courier New" w:hAnsi="Courier New"/>
          <w:sz w:val="15"/>
          <w:szCs w:val="15"/>
          <w:color w:val="auto"/>
        </w:rPr>
      </w:pPr>
    </w:p>
    <w:p>
      <w:pPr>
        <w:ind w:left="1280" w:right="2839" w:firstLine="375"/>
        <w:spacing w:after="0" w:line="251" w:lineRule="auto"/>
        <w:tabs>
          <w:tab w:leader="none" w:pos="2203"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176" w:lineRule="exact"/>
        <w:rPr>
          <w:sz w:val="20"/>
          <w:szCs w:val="20"/>
          <w:color w:val="auto"/>
        </w:rPr>
      </w:pPr>
    </w:p>
    <w:p>
      <w:pPr>
        <w:jc w:val="both"/>
        <w:ind w:right="3299"/>
        <w:spacing w:after="0" w:line="251" w:lineRule="auto"/>
        <w:rPr>
          <w:sz w:val="20"/>
          <w:szCs w:val="20"/>
          <w:color w:val="auto"/>
        </w:rPr>
      </w:pPr>
      <w:r>
        <w:rPr>
          <w:rFonts w:ascii="Courier New" w:cs="Courier New" w:eastAsia="Courier New" w:hAnsi="Courier New"/>
          <w:sz w:val="15"/>
          <w:szCs w:val="15"/>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Securities Exchange Act of 1934, as amended (the "Exchange Act"), that are incorporated by reference in this Registration Statement.</w:t>
      </w:r>
    </w:p>
    <w:p>
      <w:pPr>
        <w:spacing w:after="0" w:line="176" w:lineRule="exact"/>
        <w:rPr>
          <w:sz w:val="20"/>
          <w:szCs w:val="20"/>
          <w:color w:val="auto"/>
        </w:rPr>
      </w:pPr>
    </w:p>
    <w:p>
      <w:pPr>
        <w:ind w:left="1100" w:right="2939" w:hanging="552"/>
        <w:spacing w:after="0" w:line="251" w:lineRule="auto"/>
        <w:tabs>
          <w:tab w:leader="none" w:pos="11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1100" w:right="3019" w:hanging="552"/>
        <w:spacing w:after="0" w:line="252" w:lineRule="auto"/>
        <w:tabs>
          <w:tab w:leader="none" w:pos="11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50" w:right="1440" w:bottom="1440" w:gutter="0" w:footer="0" w:header="0"/>
        </w:sectPr>
      </w:pPr>
    </w:p>
    <w:bookmarkStart w:id="47" w:name="page48"/>
    <w:bookmarkEnd w:id="47"/>
    <w:p>
      <w:pPr>
        <w:ind w:right="2839"/>
        <w:spacing w:after="0" w:line="250" w:lineRule="auto"/>
        <w:rPr>
          <w:sz w:val="20"/>
          <w:szCs w:val="20"/>
          <w:color w:val="auto"/>
        </w:rPr>
      </w:pPr>
      <w:r>
        <w:rPr>
          <w:rFonts w:ascii="Courier New" w:cs="Courier New" w:eastAsia="Courier New" w:hAnsi="Courier New"/>
          <w:sz w:val="15"/>
          <w:szCs w:val="15"/>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50" w:right="1440" w:bottom="1440" w:gutter="0" w:footer="0" w:header="0"/>
        </w:sectPr>
      </w:pPr>
    </w:p>
    <w:bookmarkStart w:id="48" w:name="page49"/>
    <w:bookmarkEnd w:id="48"/>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36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reasonable grounds to believe that it meets all of the requirements for filing on Form F-3 and has duly caused this Amendment No. 2 to Registration Statement to be signed on its behalf by the undersigned, thereunto duly authorized, in the city of New York, State of New York, on this 12th day of August, 2004.</w:t>
      </w:r>
    </w:p>
    <w:p>
      <w:pPr>
        <w:spacing w:after="0" w:line="35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85" w:lineRule="exact"/>
        <w:rPr>
          <w:sz w:val="20"/>
          <w:szCs w:val="20"/>
          <w:color w:val="auto"/>
        </w:rPr>
      </w:pPr>
    </w:p>
    <w:p>
      <w:pPr>
        <w:ind w:left="2940"/>
        <w:spacing w:after="0"/>
        <w:tabs>
          <w:tab w:leader="none" w:pos="3380" w:val="left"/>
        </w:tabs>
        <w:rPr>
          <w:sz w:val="20"/>
          <w:szCs w:val="20"/>
          <w:color w:val="auto"/>
        </w:rPr>
      </w:pPr>
      <w:r>
        <w:rPr>
          <w:rFonts w:ascii="Courier New" w:cs="Courier New" w:eastAsia="Courier New" w:hAnsi="Courier New"/>
          <w:sz w:val="15"/>
          <w:szCs w:val="15"/>
          <w:color w:val="auto"/>
        </w:rPr>
        <w:t>By:</w:t>
        <w:tab/>
        <w:t>/s/ Bruce K. Anderson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Bruce K. Anderson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President and Chairman of the Board</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POWER OF ATTORNEY</w:t>
      </w:r>
    </w:p>
    <w:p>
      <w:pPr>
        <w:spacing w:after="0" w:line="362" w:lineRule="exact"/>
        <w:rPr>
          <w:sz w:val="20"/>
          <w:szCs w:val="20"/>
          <w:color w:val="auto"/>
        </w:rPr>
      </w:pPr>
    </w:p>
    <w:p>
      <w:pPr>
        <w:ind w:right="3119" w:firstLine="554"/>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19"/>
          </w:cols>
          <w:pgMar w:left="240" w:top="6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K. Anderson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K. Anderson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Ron Moskovitz</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 Moskovitz</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A. Minicucci</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Avinoam Naor</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Adrian Gardner</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Chairman of the Board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8" w:lineRule="exact"/>
        <w:rPr>
          <w:sz w:val="20"/>
          <w:szCs w:val="20"/>
          <w:color w:val="auto"/>
        </w:rPr>
      </w:pPr>
    </w:p>
    <w:p>
      <w:pPr>
        <w:sectPr>
          <w:pgSz w:w="11900" w:h="16838" w:orient="portrait"/>
          <w:cols w:equalWidth="0" w:num="3">
            <w:col w:w="3240" w:space="720"/>
            <w:col w:w="4080" w:space="720"/>
            <w:col w:w="145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Dov Baharav</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19"/>
          </w:cols>
          <w:pgMar w:left="240" w:top="650" w:right="1440" w:bottom="1440" w:gutter="0" w:footer="0" w:header="0"/>
          <w:type w:val="continuous"/>
        </w:sectPr>
      </w:pPr>
    </w:p>
    <w:bookmarkStart w:id="49" w:name="page50"/>
    <w:bookmarkEnd w:id="49"/>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Julian A. Brodsky</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E. Foster</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 Gelman</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S. Kahan</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Nehmeia Lemelbaum</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T. McLennan</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Mario Segal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Thomas G. O'Brien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Limited's Authorized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Representative in the United 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pacing w:after="0" w:line="185" w:lineRule="exact"/>
        <w:rPr>
          <w:sz w:val="20"/>
          <w:szCs w:val="20"/>
          <w:color w:val="auto"/>
        </w:rPr>
      </w:pPr>
    </w:p>
    <w:p>
      <w:pPr>
        <w:sectPr>
          <w:pgSz w:w="11900" w:h="16838" w:orient="portrait"/>
          <w:cols w:equalWidth="0" w:num="3">
            <w:col w:w="3240" w:space="720"/>
            <w:col w:w="4080" w:space="720"/>
            <w:col w:w="1459"/>
          </w:cols>
          <w:pgMar w:left="240" w:top="1183"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Thomas G. O'Brien</w:t>
      </w:r>
    </w:p>
    <w:p>
      <w:pPr>
        <w:sectPr>
          <w:pgSz w:w="11900" w:h="16838" w:orient="portrait"/>
          <w:cols w:equalWidth="0" w:num="1">
            <w:col w:w="10219"/>
          </w:cols>
          <w:pgMar w:left="240" w:top="118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Bruce K. Anderson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K. Anderson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Attorney-in-Fact</w:t>
      </w:r>
    </w:p>
    <w:p>
      <w:pPr>
        <w:spacing w:after="0" w:line="185" w:lineRule="exact"/>
        <w:rPr>
          <w:sz w:val="20"/>
          <w:szCs w:val="20"/>
          <w:color w:val="auto"/>
        </w:rPr>
      </w:pPr>
    </w:p>
    <w:p>
      <w:pPr>
        <w:sectPr>
          <w:pgSz w:w="11900" w:h="16838" w:orient="portrait"/>
          <w:cols w:equalWidth="0" w:num="2">
            <w:col w:w="360" w:space="100"/>
            <w:col w:w="9759"/>
          </w:cols>
          <w:pgMar w:left="240" w:top="1183"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19"/>
          </w:cols>
          <w:pgMar w:left="240" w:top="1183" w:right="1440"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72"/>
        </w:trPr>
        <w:tc>
          <w:tcPr>
            <w:tcW w:w="1100" w:type="dxa"/>
            <w:vAlign w:val="bottom"/>
          </w:tcPr>
          <w:p>
            <w:pPr>
              <w:spacing w:after="0"/>
              <w:rPr>
                <w:sz w:val="14"/>
                <w:szCs w:val="14"/>
                <w:color w:val="auto"/>
              </w:rPr>
            </w:pPr>
          </w:p>
        </w:tc>
        <w:tc>
          <w:tcPr>
            <w:tcW w:w="8220" w:type="dxa"/>
            <w:vAlign w:val="bottom"/>
          </w:tcPr>
          <w:p>
            <w:pPr>
              <w:ind w:left="2040"/>
              <w:spacing w:after="0"/>
              <w:rPr>
                <w:sz w:val="20"/>
                <w:szCs w:val="20"/>
                <w:color w:val="auto"/>
              </w:rPr>
            </w:pPr>
            <w:r>
              <w:rPr>
                <w:rFonts w:ascii="Courier New" w:cs="Courier New" w:eastAsia="Courier New" w:hAnsi="Courier New"/>
                <w:sz w:val="15"/>
                <w:szCs w:val="15"/>
                <w:color w:val="auto"/>
              </w:rPr>
              <w:t>Exhibit Index</w:t>
            </w:r>
          </w:p>
        </w:tc>
      </w:tr>
      <w:tr>
        <w:trPr>
          <w:trHeight w:val="710"/>
        </w:trPr>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EXHIBIT\</w:t>
            </w:r>
          </w:p>
        </w:tc>
        <w:tc>
          <w:tcPr>
            <w:tcW w:w="8220" w:type="dxa"/>
            <w:vAlign w:val="bottom"/>
          </w:tcPr>
          <w:p>
            <w:pPr>
              <w:spacing w:after="0"/>
              <w:rPr>
                <w:sz w:val="24"/>
                <w:szCs w:val="24"/>
                <w:color w:val="auto"/>
              </w:rPr>
            </w:pPr>
          </w:p>
        </w:tc>
      </w:tr>
      <w:tr>
        <w:trPr>
          <w:trHeight w:val="177"/>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NUMBER</w:t>
            </w:r>
          </w:p>
        </w:tc>
        <w:tc>
          <w:tcPr>
            <w:tcW w:w="8220" w:type="dxa"/>
            <w:vAlign w:val="bottom"/>
          </w:tcPr>
          <w:p>
            <w:pPr>
              <w:ind w:left="230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8220" w:type="dxa"/>
            <w:vAlign w:val="bottom"/>
          </w:tcPr>
          <w:p>
            <w:pPr>
              <w:ind w:left="2300"/>
              <w:spacing w:after="0"/>
              <w:rPr>
                <w:sz w:val="20"/>
                <w:szCs w:val="20"/>
                <w:color w:val="auto"/>
              </w:rPr>
            </w:pPr>
            <w:r>
              <w:rPr>
                <w:rFonts w:ascii="Courier New" w:cs="Courier New" w:eastAsia="Courier New" w:hAnsi="Courier New"/>
                <w:sz w:val="15"/>
                <w:szCs w:val="15"/>
                <w:color w:val="auto"/>
              </w:rPr>
              <w:t>-----------</w:t>
            </w:r>
          </w:p>
        </w:tc>
      </w:tr>
      <w:tr>
        <w:trPr>
          <w:trHeight w:val="355"/>
        </w:trPr>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4.1</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Memorandum and Articles of Association of Amdocs Limited (incorporated by</w:t>
            </w:r>
          </w:p>
        </w:tc>
      </w:tr>
      <w:tr>
        <w:trPr>
          <w:trHeight w:val="177"/>
        </w:trPr>
        <w:tc>
          <w:tcPr>
            <w:tcW w:w="1100" w:type="dxa"/>
            <w:vAlign w:val="bottom"/>
          </w:tcPr>
          <w:p>
            <w:pPr>
              <w:spacing w:after="0"/>
              <w:rPr>
                <w:sz w:val="15"/>
                <w:szCs w:val="15"/>
                <w:color w:val="auto"/>
              </w:rPr>
            </w:pP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reference to Exhibits 3.1 and 3.2 to Amdocs' Registration Statement on Form F-1</w:t>
            </w:r>
          </w:p>
        </w:tc>
      </w:tr>
      <w:tr>
        <w:trPr>
          <w:trHeight w:val="177"/>
        </w:trPr>
        <w:tc>
          <w:tcPr>
            <w:tcW w:w="1100" w:type="dxa"/>
            <w:vAlign w:val="bottom"/>
          </w:tcPr>
          <w:p>
            <w:pPr>
              <w:spacing w:after="0"/>
              <w:rPr>
                <w:sz w:val="15"/>
                <w:szCs w:val="15"/>
                <w:color w:val="auto"/>
              </w:rPr>
            </w:pP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355"/>
        </w:trPr>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4.2</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Specimen Certificate for the ordinary shares of Amdocs Limited (incorporated by</w:t>
            </w:r>
          </w:p>
        </w:tc>
      </w:tr>
      <w:tr>
        <w:trPr>
          <w:trHeight w:val="177"/>
        </w:trPr>
        <w:tc>
          <w:tcPr>
            <w:tcW w:w="1100" w:type="dxa"/>
            <w:vAlign w:val="bottom"/>
          </w:tcPr>
          <w:p>
            <w:pPr>
              <w:spacing w:after="0"/>
              <w:rPr>
                <w:sz w:val="15"/>
                <w:szCs w:val="15"/>
                <w:color w:val="auto"/>
              </w:rPr>
            </w:pP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reference to Exhibit 4.1 to Amdocs' Registration Statement on Form F-1 dated June 19,</w:t>
            </w:r>
          </w:p>
        </w:tc>
      </w:tr>
      <w:tr>
        <w:trPr>
          <w:trHeight w:val="177"/>
        </w:trPr>
        <w:tc>
          <w:tcPr>
            <w:tcW w:w="1100" w:type="dxa"/>
            <w:vAlign w:val="bottom"/>
          </w:tcPr>
          <w:p>
            <w:pPr>
              <w:spacing w:after="0"/>
              <w:rPr>
                <w:sz w:val="15"/>
                <w:szCs w:val="15"/>
                <w:color w:val="auto"/>
              </w:rPr>
            </w:pP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5"/>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Opinion of Carey Olsen.</w:t>
            </w:r>
          </w:p>
        </w:tc>
      </w:tr>
      <w:tr>
        <w:trPr>
          <w:trHeight w:val="355"/>
        </w:trPr>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23.1</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5"/>
        </w:trPr>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23.2</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5"/>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23.3*</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Consent of Carey Olsen (included in Exhibit 5.1).</w:t>
            </w:r>
          </w:p>
        </w:tc>
      </w:tr>
      <w:tr>
        <w:trPr>
          <w:trHeight w:val="355"/>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24.1*</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Power of Attorney (see page II-4 of this Registration Statement).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280"/>
        <w:spacing w:after="0"/>
        <w:tabs>
          <w:tab w:leader="none" w:pos="520" w:val="left"/>
        </w:tabs>
        <w:rPr>
          <w:sz w:val="20"/>
          <w:szCs w:val="20"/>
          <w:color w:val="auto"/>
        </w:rPr>
      </w:pPr>
      <w:r>
        <w:rPr>
          <w:rFonts w:ascii="Courier New" w:cs="Courier New" w:eastAsia="Courier New" w:hAnsi="Courier New"/>
          <w:sz w:val="15"/>
          <w:szCs w:val="15"/>
          <w:color w:val="auto"/>
        </w:rPr>
        <w:t>*</w:t>
        <w:tab/>
        <w:t>Previously filed.</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50" w:right="1440" w:bottom="1440" w:gutter="0" w:footer="0" w:header="0"/>
        </w:sectPr>
      </w:pPr>
    </w:p>
    <w:bookmarkStart w:id="51" w:name="page52"/>
    <w:bookmarkEnd w:id="51"/>
    <w:p>
      <w:pPr>
        <w:jc w:val="right"/>
        <w:ind w:right="2839"/>
        <w:spacing w:after="0"/>
        <w:rPr>
          <w:sz w:val="20"/>
          <w:szCs w:val="20"/>
          <w:color w:val="auto"/>
        </w:rPr>
      </w:pPr>
      <w:r>
        <w:rPr>
          <w:rFonts w:ascii="Courier New" w:cs="Courier New" w:eastAsia="Courier New" w:hAnsi="Courier New"/>
          <w:sz w:val="15"/>
          <w:szCs w:val="15"/>
          <w:color w:val="auto"/>
        </w:rPr>
        <w:t>EXHIBIT 23.1</w:t>
      </w:r>
    </w:p>
    <w:p>
      <w:pPr>
        <w:spacing w:after="0" w:line="36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CONSENT OF INDEPENDENT REGISTERED PUBLIC ACCOUNTANTS</w:t>
      </w:r>
    </w:p>
    <w:p>
      <w:pPr>
        <w:spacing w:after="0" w:line="36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We consent to the reference to our firm under the caption "Experts" in this Registration Statement on Form F-3 of Amdocs Limited for the registration of 560,777 of its ordinary shares and to the incorporation by reference therein of our report dated October 30, 2003, with respect to the consolidated financial statements and schedule of Amdocs Limited, included in its Annual Report (Form 20-F) for the year ended September 30, 2003, filed with the Securities and Exchange Commission on December 24, 2003.</w:t>
      </w:r>
    </w:p>
    <w:p>
      <w:pPr>
        <w:spacing w:after="0" w:line="17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Ernst &amp; Young LLP</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p>
      <w:pPr>
        <w:sectPr>
          <w:pgSz w:w="11900" w:h="16838" w:orient="portrait"/>
          <w:cols w:equalWidth="0" w:num="1">
            <w:col w:w="10219"/>
          </w:cols>
          <w:pgMar w:left="240" w:top="496" w:right="1440" w:bottom="1440" w:gutter="0" w:footer="0" w:header="0"/>
        </w:sectPr>
      </w:pPr>
    </w:p>
    <w:bookmarkStart w:id="52" w:name="page53"/>
    <w:bookmarkEnd w:id="52"/>
    <w:p>
      <w:pPr>
        <w:jc w:val="right"/>
        <w:ind w:right="283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Registered Chartered Accountants</w:t>
      </w:r>
    </w:p>
    <w:p>
      <w:pPr>
        <w:spacing w:after="0" w:line="200" w:lineRule="exact"/>
        <w:rPr>
          <w:sz w:val="20"/>
          <w:szCs w:val="20"/>
          <w:color w:val="auto"/>
        </w:rPr>
      </w:pPr>
    </w:p>
    <w:p>
      <w:pPr>
        <w:spacing w:after="0" w:line="34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We consent to the incorporation by reference in this Amendment no. 2 to the Registration Statement on Form F-3 of Amdocs Limited (File no. 333-114079) of our report dated March 19, 2003 (except for Note 17, which is as of July 2, 2003), related to the consolidated financial statements of Certen Inc., as of and for the years ended December 31, 2001 and 2002, appearing in the Annual Report of Amdocs Limited on Form 20-F, for the year ended September 30, 2003, filed with the Securities and Exchange Commission on December 24, 2003. We also consent to the reference to us under the heading "Experts" in the prospectus, which is part of this Registration Statement.</w:t>
      </w:r>
    </w:p>
    <w:p>
      <w:pPr>
        <w:spacing w:after="0" w:line="35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/s/</w:t>
        <w:tab/>
        <w:t>Deloitte &amp; Touche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Montreal, Quebec</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12, 2004</w:t>
      </w:r>
    </w:p>
    <w:sectPr>
      <w:pgSz w:w="11900" w:h="16838" w:orient="portrait"/>
      <w:cols w:equalWidth="0" w:num="1">
        <w:col w:w="10219"/>
      </w:cols>
      <w:pgMar w:left="240" w:top="4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lvl w:ilvl="1">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1)"/>
      <w:numFmt w:val="decimal"/>
      <w:start w:val="19"/>
    </w:lvl>
  </w:abstractNum>
  <w:abstractNum w:abstractNumId="13">
    <w:nsid w:val="2443A858"/>
    <w:multiLevelType w:val="hybridMultilevel"/>
    <w:lvl w:ilvl="0">
      <w:lvlJc w:val="left"/>
      <w:lvlText w:val="(%1)"/>
      <w:numFmt w:val="decimal"/>
      <w:start w:val="22"/>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2"/>
    </w:lvl>
  </w:abstractNum>
  <w:abstractNum w:abstractNumId="19">
    <w:nsid w:val="4353D0CD"/>
    <w:multiLevelType w:val="hybridMultilevel"/>
    <w:lvl w:ilvl="0">
      <w:lvlJc w:val="left"/>
      <w:lvlText w:val="%1."/>
      <w:numFmt w:val="decimal"/>
      <w:start w:val="1"/>
    </w:lvl>
    <w:lvl w:ilvl="1">
      <w:lvlJc w:val="left"/>
      <w:lvlText w:val="-"/>
      <w:numFmt w:val="bullet"/>
      <w:start w:val="1"/>
    </w:lvl>
  </w:abstractNum>
  <w:abstractNum w:abstractNumId="20">
    <w:nsid w:val="B03E0C6"/>
    <w:multiLevelType w:val="hybridMultilevel"/>
    <w:lvl w:ilvl="0">
      <w:lvlJc w:val="left"/>
      <w:lvlText w:val="%1."/>
      <w:numFmt w:val="decimal"/>
      <w:start w:val="1"/>
    </w:lvl>
    <w:lvl w:ilvl="1">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2"/>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2"/>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Roman"/>
      <w:start w:val="1"/>
    </w:lvl>
  </w:abstractNum>
  <w:abstractNum w:abstractNumId="30">
    <w:nsid w:val="7C3DBD3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2019-12-14T21:14:14Z</dcterms:created>
  <dcterms:modified xsi:type="dcterms:W3CDTF">2019-12-14T21:14:14Z</dcterms:modified>
</cp:coreProperties>
</file>