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16, 2012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333-114344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9</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F-3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AMDOCS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2040" w:type="dxa"/>
        <w:tblCellMar>
          <w:top w:w="0" w:type="dxa"/>
          <w:left w:w="0" w:type="dxa"/>
          <w:bottom w:w="0" w:type="dxa"/>
          <w:right w:w="0" w:type="dxa"/>
        </w:tblCellMar>
      </w:tblPr>
      <w:tr>
        <w:trPr>
          <w:trHeight w:val="220"/>
        </w:trPr>
        <w:tc>
          <w:tcPr>
            <w:tcW w:w="3840" w:type="dxa"/>
            <w:vAlign w:val="bottom"/>
          </w:tcPr>
          <w:p>
            <w:pPr>
              <w:jc w:val="center"/>
              <w:ind w:right="2066"/>
              <w:spacing w:after="0"/>
              <w:rPr>
                <w:sz w:val="20"/>
                <w:szCs w:val="20"/>
                <w:color w:val="auto"/>
              </w:rPr>
            </w:pPr>
            <w:r>
              <w:rPr>
                <w:rFonts w:ascii="Arial" w:cs="Arial" w:eastAsia="Arial" w:hAnsi="Arial"/>
                <w:sz w:val="18"/>
                <w:szCs w:val="18"/>
                <w:b w:val="1"/>
                <w:bCs w:val="1"/>
                <w:color w:val="auto"/>
                <w:w w:val="87"/>
              </w:rPr>
              <w:t>Island of Guernsey</w:t>
            </w:r>
          </w:p>
        </w:tc>
        <w:tc>
          <w:tcPr>
            <w:tcW w:w="3420" w:type="dxa"/>
            <w:vAlign w:val="bottom"/>
          </w:tcPr>
          <w:p>
            <w:pPr>
              <w:jc w:val="center"/>
              <w:ind w:left="2046"/>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3840" w:type="dxa"/>
            <w:vAlign w:val="bottom"/>
          </w:tcPr>
          <w:p>
            <w:pPr>
              <w:jc w:val="center"/>
              <w:ind w:right="2066"/>
              <w:spacing w:after="0" w:line="149" w:lineRule="exact"/>
              <w:rPr>
                <w:sz w:val="20"/>
                <w:szCs w:val="20"/>
                <w:color w:val="auto"/>
              </w:rPr>
            </w:pPr>
            <w:r>
              <w:rPr>
                <w:rFonts w:ascii="Arial" w:cs="Arial" w:eastAsia="Arial" w:hAnsi="Arial"/>
                <w:sz w:val="14"/>
                <w:szCs w:val="14"/>
                <w:b w:val="1"/>
                <w:bCs w:val="1"/>
                <w:i w:val="1"/>
                <w:iCs w:val="1"/>
                <w:color w:val="auto"/>
                <w:w w:val="84"/>
              </w:rPr>
              <w:t>(State or other jurisdiction of</w:t>
            </w:r>
          </w:p>
        </w:tc>
        <w:tc>
          <w:tcPr>
            <w:tcW w:w="3420" w:type="dxa"/>
            <w:vAlign w:val="bottom"/>
          </w:tcPr>
          <w:p>
            <w:pPr>
              <w:jc w:val="center"/>
              <w:ind w:left="2046"/>
              <w:spacing w:after="0" w:line="149" w:lineRule="exact"/>
              <w:rPr>
                <w:sz w:val="20"/>
                <w:szCs w:val="20"/>
                <w:color w:val="auto"/>
              </w:rPr>
            </w:pPr>
            <w:r>
              <w:rPr>
                <w:rFonts w:ascii="Arial" w:cs="Arial" w:eastAsia="Arial" w:hAnsi="Arial"/>
                <w:sz w:val="14"/>
                <w:szCs w:val="14"/>
                <w:b w:val="1"/>
                <w:bCs w:val="1"/>
                <w:i w:val="1"/>
                <w:iCs w:val="1"/>
                <w:color w:val="auto"/>
                <w:w w:val="87"/>
              </w:rPr>
              <w:t>(I.R.S. Employer</w:t>
            </w:r>
          </w:p>
        </w:tc>
      </w:tr>
      <w:tr>
        <w:trPr>
          <w:trHeight w:val="172"/>
        </w:trPr>
        <w:tc>
          <w:tcPr>
            <w:tcW w:w="3840" w:type="dxa"/>
            <w:vAlign w:val="bottom"/>
          </w:tcPr>
          <w:p>
            <w:pPr>
              <w:jc w:val="center"/>
              <w:ind w:right="2066"/>
              <w:spacing w:after="0"/>
              <w:rPr>
                <w:sz w:val="20"/>
                <w:szCs w:val="20"/>
                <w:color w:val="auto"/>
              </w:rPr>
            </w:pPr>
            <w:r>
              <w:rPr>
                <w:rFonts w:ascii="Arial" w:cs="Arial" w:eastAsia="Arial" w:hAnsi="Arial"/>
                <w:sz w:val="14"/>
                <w:szCs w:val="14"/>
                <w:b w:val="1"/>
                <w:bCs w:val="1"/>
                <w:i w:val="1"/>
                <w:iCs w:val="1"/>
                <w:color w:val="auto"/>
                <w:w w:val="85"/>
              </w:rPr>
              <w:t>incorporation or organization)</w:t>
            </w:r>
          </w:p>
        </w:tc>
        <w:tc>
          <w:tcPr>
            <w:tcW w:w="3420" w:type="dxa"/>
            <w:vAlign w:val="bottom"/>
          </w:tcPr>
          <w:p>
            <w:pPr>
              <w:jc w:val="center"/>
              <w:ind w:left="2046"/>
              <w:spacing w:after="0"/>
              <w:rPr>
                <w:sz w:val="20"/>
                <w:szCs w:val="20"/>
                <w:color w:val="auto"/>
              </w:rPr>
            </w:pPr>
            <w:r>
              <w:rPr>
                <w:rFonts w:ascii="Arial" w:cs="Arial" w:eastAsia="Arial" w:hAnsi="Arial"/>
                <w:sz w:val="14"/>
                <w:szCs w:val="14"/>
                <w:b w:val="1"/>
                <w:bCs w:val="1"/>
                <w:i w:val="1"/>
                <w:iCs w:val="1"/>
                <w:color w:val="auto"/>
                <w:w w:val="87"/>
              </w:rPr>
              <w:t>Identification Number)</w:t>
            </w: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 Peter Port, Island Of Guernsey, GY1 3QT Channel Islands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011-44-1481-728444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1390 Timberlake Manor Parkway,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Chesterfield, Missouri 63017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Attention: Thomas G. O’Brien, Treasurer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314-212-8328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A. Schwed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 World Trade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 Greenwich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212-937-7276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212-230-8888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Approximate date of commencement of proposed sale to public: </w:t>
      </w:r>
      <w:r>
        <w:rPr>
          <w:rFonts w:ascii="Arial" w:cs="Arial" w:eastAsia="Arial" w:hAnsi="Arial"/>
          <w:sz w:val="18"/>
          <w:szCs w:val="18"/>
          <w:b w:val="1"/>
          <w:bCs w:val="1"/>
          <w:color w:val="auto"/>
        </w:rPr>
        <w:t>Completed</w:t>
      </w:r>
    </w:p>
    <w:p>
      <w:pPr>
        <w:spacing w:after="0" w:line="177"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w:t>
      </w:r>
    </w:p>
    <w:p>
      <w:pPr>
        <w:spacing w:after="0" w:line="38" w:lineRule="exact"/>
        <w:rPr>
          <w:sz w:val="24"/>
          <w:szCs w:val="24"/>
          <w:color w:val="auto"/>
        </w:rPr>
      </w:pPr>
    </w:p>
    <w:p>
      <w:pPr>
        <w:spacing w:after="0" w:line="184" w:lineRule="exact"/>
        <w:tabs>
          <w:tab w:leader="none" w:pos="9260" w:val="left"/>
        </w:tabs>
        <w:rPr>
          <w:sz w:val="20"/>
          <w:szCs w:val="20"/>
          <w:color w:val="auto"/>
        </w:rPr>
      </w:pPr>
      <w:r>
        <w:rPr>
          <w:rFonts w:ascii="Arial" w:cs="Arial" w:eastAsia="Arial" w:hAnsi="Arial"/>
          <w:sz w:val="16"/>
          <w:szCs w:val="16"/>
          <w:color w:val="auto"/>
        </w:rPr>
        <w:t xml:space="preserve">the Securities Act registration statement number of the earlier effective registration statement for the same offering.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5338445</wp:posOffset>
            </wp:positionH>
            <wp:positionV relativeFrom="paragraph">
              <wp:posOffset>-3175</wp:posOffset>
            </wp:positionV>
            <wp:extent cx="557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6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w:t>
      </w:r>
    </w:p>
    <w:p>
      <w:pPr>
        <w:spacing w:after="0" w:line="38" w:lineRule="exact"/>
        <w:rPr>
          <w:sz w:val="24"/>
          <w:szCs w:val="24"/>
          <w:color w:val="auto"/>
        </w:rPr>
      </w:pPr>
    </w:p>
    <w:p>
      <w:pPr>
        <w:spacing w:after="0" w:line="207" w:lineRule="exact"/>
        <w:tabs>
          <w:tab w:leader="none" w:pos="7980" w:val="left"/>
        </w:tabs>
        <w:rPr>
          <w:sz w:val="20"/>
          <w:szCs w:val="20"/>
          <w:color w:val="auto"/>
        </w:rPr>
      </w:pPr>
      <w:r>
        <w:rPr>
          <w:rFonts w:ascii="Arial" w:cs="Arial" w:eastAsia="Arial" w:hAnsi="Arial"/>
          <w:sz w:val="18"/>
          <w:szCs w:val="18"/>
          <w:color w:val="auto"/>
        </w:rPr>
        <w:t xml:space="preserve">registration statement number of the earlier effective registration statement for the same offering. </w:t>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4518025</wp:posOffset>
            </wp:positionH>
            <wp:positionV relativeFrom="paragraph">
              <wp:posOffset>-17780</wp:posOffset>
            </wp:positionV>
            <wp:extent cx="557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45" w:lineRule="exact"/>
        <w:rPr>
          <w:sz w:val="24"/>
          <w:szCs w:val="24"/>
          <w:color w:val="auto"/>
        </w:rPr>
      </w:pPr>
    </w:p>
    <w:p>
      <w:pPr>
        <w:ind w:right="28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4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September 23, 2004, the Securities and Exchange Commission declared effective the registration statement on Form F-3 (File No. 333-114344) (the “Registration Statement”) filed by Amdocs Limited (the “Company”) with respect to the resale on a continuous or delayed basis of $450,000,000 aggregate principal amount of 0.5% Convertible Senior Notes due 2024 (the “Notes”) and 10,435,995 ordinary shares, £0.01 par value, of the Company, issuable upon conversion of the Notes (collectively with the Notes, the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Registration Statement was filed for the benefit of holders of the Securities (the “Holders”).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agreed with the initial purchasers of the Notes to keep the Registration Statement effective until the earlier of: (1) such time as all of the registrable securities have been sold pursuant to the Registration Statement or sold to the public pursuant to Rule 144 under the Securities Act, or any other similar provision then in force (but not Rule 144A); or (2) the expiration of the holding period applicable to such securities held by persons that are not affiliates of the Company under Rule 144(k) under the Securities Act, or any successor provision.</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accordance with such agreement, and in accordance with the Company’s undertaking under Regulation S-K Item 512(a)(3), the Company is filing this Post-Effective Amendment No. 9 to the Registration Statement to remove from registration all Securities not sold by the Holders pursuant to the Registration Statement. Accordingly, the Company hereby requests that upon the effectiveness of this Post-Effective Amendment No. 9, such Securities be removed from registration.</w:t>
      </w:r>
    </w:p>
    <w:p>
      <w:pPr>
        <w:sectPr>
          <w:pgSz w:w="11900" w:h="16838" w:orient="portrait"/>
          <w:cols w:equalWidth="0" w:num="1">
            <w:col w:w="11280"/>
          </w:cols>
          <w:pgMar w:left="240" w:top="274" w:right="37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 and has duly caused this Post-Effective Amendment No. 9 on Form F-3 to be signed on its behalf by the undersigned, thereunto duly authorized, in the City of Chesterfield, State of Missouri on August 16, 2012.</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AMDOCS LIMITED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Elizabeth W. Grausam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Elizabeth W. Grausam McDermon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Secretary and Authorized Signatory</w:t>
      </w:r>
    </w:p>
    <w:p>
      <w:pPr>
        <w:spacing w:after="0" w:line="17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requirements of the Securities Act, this Post-Effective Amendment No. 9 to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4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080" w:type="dxa"/>
            <w:vAlign w:val="bottom"/>
          </w:tcPr>
          <w:p>
            <w:pPr>
              <w:ind w:left="120"/>
              <w:spacing w:after="0"/>
              <w:rPr>
                <w:sz w:val="20"/>
                <w:szCs w:val="20"/>
                <w:color w:val="auto"/>
              </w:rPr>
            </w:pPr>
            <w:r>
              <w:rPr>
                <w:rFonts w:ascii="Arial" w:cs="Arial" w:eastAsia="Arial" w:hAnsi="Arial"/>
                <w:sz w:val="14"/>
                <w:szCs w:val="14"/>
                <w:b w:val="1"/>
                <w:bCs w:val="1"/>
                <w:color w:val="auto"/>
              </w:rPr>
              <w:t>Title</w:t>
            </w:r>
          </w:p>
        </w:tc>
        <w:tc>
          <w:tcPr>
            <w:tcW w:w="2100" w:type="dxa"/>
            <w:vAlign w:val="bottom"/>
          </w:tcPr>
          <w:p>
            <w:pPr>
              <w:ind w:left="940"/>
              <w:spacing w:after="0"/>
              <w:rPr>
                <w:sz w:val="20"/>
                <w:szCs w:val="20"/>
                <w:color w:val="auto"/>
              </w:rPr>
            </w:pPr>
            <w:r>
              <w:rPr>
                <w:rFonts w:ascii="Arial" w:cs="Arial" w:eastAsia="Arial" w:hAnsi="Arial"/>
                <w:sz w:val="14"/>
                <w:szCs w:val="14"/>
                <w:b w:val="1"/>
                <w:bCs w:val="1"/>
                <w:color w:val="auto"/>
              </w:rPr>
              <w:t>Date</w:t>
            </w:r>
          </w:p>
        </w:tc>
      </w:tr>
      <w:tr>
        <w:trPr>
          <w:trHeight w:val="31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Minicucci</w:t>
            </w:r>
          </w:p>
        </w:tc>
        <w:tc>
          <w:tcPr>
            <w:tcW w:w="4080" w:type="dxa"/>
            <w:vAlign w:val="bottom"/>
          </w:tcPr>
          <w:p>
            <w:pPr>
              <w:ind w:left="120"/>
              <w:spacing w:after="0"/>
              <w:rPr>
                <w:sz w:val="20"/>
                <w:szCs w:val="20"/>
                <w:color w:val="auto"/>
              </w:rPr>
            </w:pPr>
            <w:r>
              <w:rPr>
                <w:rFonts w:ascii="Arial" w:cs="Arial" w:eastAsia="Arial" w:hAnsi="Arial"/>
                <w:sz w:val="18"/>
                <w:szCs w:val="18"/>
                <w:color w:val="auto"/>
              </w:rPr>
              <w:t>Chairman of the Board of Directors</w:t>
            </w:r>
          </w:p>
        </w:tc>
        <w:tc>
          <w:tcPr>
            <w:tcW w:w="2100" w:type="dxa"/>
            <w:vAlign w:val="bottom"/>
          </w:tcPr>
          <w:p>
            <w:pPr>
              <w:ind w:left="940"/>
              <w:spacing w:after="0"/>
              <w:rPr>
                <w:sz w:val="20"/>
                <w:szCs w:val="20"/>
                <w:color w:val="auto"/>
              </w:rPr>
            </w:pPr>
            <w:r>
              <w:rPr>
                <w:rFonts w:ascii="Arial" w:cs="Arial" w:eastAsia="Arial" w:hAnsi="Arial"/>
                <w:sz w:val="18"/>
                <w:szCs w:val="18"/>
                <w:color w:val="auto"/>
                <w:w w:val="86"/>
              </w:rPr>
              <w:t>August 16, 2012</w:t>
            </w: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Robert A. Minicucci</w:t>
            </w:r>
          </w:p>
        </w:tc>
        <w:tc>
          <w:tcPr>
            <w:tcW w:w="4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Gelman</w:t>
            </w:r>
          </w:p>
        </w:tc>
        <w:tc>
          <w:tcPr>
            <w:tcW w:w="4080" w:type="dxa"/>
            <w:vAlign w:val="bottom"/>
          </w:tcPr>
          <w:p>
            <w:pPr>
              <w:ind w:left="120"/>
              <w:spacing w:after="0"/>
              <w:rPr>
                <w:sz w:val="20"/>
                <w:szCs w:val="20"/>
                <w:color w:val="auto"/>
              </w:rPr>
            </w:pPr>
            <w:r>
              <w:rPr>
                <w:rFonts w:ascii="Arial" w:cs="Arial" w:eastAsia="Arial" w:hAnsi="Arial"/>
                <w:sz w:val="18"/>
                <w:szCs w:val="18"/>
                <w:color w:val="auto"/>
              </w:rPr>
              <w:t>Director, Principal Executive Officer</w:t>
            </w:r>
          </w:p>
        </w:tc>
        <w:tc>
          <w:tcPr>
            <w:tcW w:w="2100" w:type="dxa"/>
            <w:vAlign w:val="bottom"/>
          </w:tcPr>
          <w:p>
            <w:pPr>
              <w:ind w:left="940"/>
              <w:spacing w:after="0"/>
              <w:rPr>
                <w:sz w:val="20"/>
                <w:szCs w:val="20"/>
                <w:color w:val="auto"/>
              </w:rPr>
            </w:pPr>
            <w:r>
              <w:rPr>
                <w:rFonts w:ascii="Arial" w:cs="Arial" w:eastAsia="Arial" w:hAnsi="Arial"/>
                <w:sz w:val="18"/>
                <w:szCs w:val="18"/>
                <w:color w:val="auto"/>
                <w:w w:val="86"/>
              </w:rPr>
              <w:t>August 16, 2012</w:t>
            </w: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Eli Gelman</w:t>
            </w:r>
          </w:p>
        </w:tc>
        <w:tc>
          <w:tcPr>
            <w:tcW w:w="4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Tamar Rapaport-Dagim</w:t>
            </w:r>
          </w:p>
        </w:tc>
        <w:tc>
          <w:tcPr>
            <w:tcW w:w="408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2100" w:type="dxa"/>
            <w:vAlign w:val="bottom"/>
          </w:tcPr>
          <w:p>
            <w:pPr>
              <w:ind w:left="940"/>
              <w:spacing w:after="0"/>
              <w:rPr>
                <w:sz w:val="20"/>
                <w:szCs w:val="20"/>
                <w:color w:val="auto"/>
              </w:rPr>
            </w:pPr>
            <w:r>
              <w:rPr>
                <w:rFonts w:ascii="Arial" w:cs="Arial" w:eastAsia="Arial" w:hAnsi="Arial"/>
                <w:sz w:val="18"/>
                <w:szCs w:val="18"/>
                <w:color w:val="auto"/>
                <w:w w:val="86"/>
              </w:rPr>
              <w:t>August 16, 2012</w:t>
            </w: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Tamar Rapaport-Dagim</w:t>
            </w:r>
          </w:p>
        </w:tc>
        <w:tc>
          <w:tcPr>
            <w:tcW w:w="4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86"/>
              </w:rPr>
              <w:t>August 16, 2012</w:t>
            </w: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Bruce K. Anderson</w:t>
            </w:r>
          </w:p>
        </w:tc>
        <w:tc>
          <w:tcPr>
            <w:tcW w:w="4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86"/>
              </w:rPr>
              <w:t>August 16, 2012</w:t>
            </w: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Adrian Gardner</w:t>
            </w:r>
          </w:p>
        </w:tc>
        <w:tc>
          <w:tcPr>
            <w:tcW w:w="4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86"/>
              </w:rPr>
              <w:t>August 16, 2012</w:t>
            </w: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James S. Kahan</w:t>
            </w:r>
          </w:p>
        </w:tc>
        <w:tc>
          <w:tcPr>
            <w:tcW w:w="4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Olswang</w:t>
            </w:r>
          </w:p>
        </w:tc>
        <w:tc>
          <w:tcPr>
            <w:tcW w:w="4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86"/>
              </w:rPr>
              <w:t>August 16, 2012</w:t>
            </w: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Simon Olswang</w:t>
            </w:r>
          </w:p>
        </w:tc>
        <w:tc>
          <w:tcPr>
            <w:tcW w:w="4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Zohar Zisapel</w:t>
            </w:r>
          </w:p>
        </w:tc>
        <w:tc>
          <w:tcPr>
            <w:tcW w:w="4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86"/>
              </w:rPr>
              <w:t>August 16, 2012</w:t>
            </w: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Zohar Zisapel</w:t>
            </w:r>
          </w:p>
        </w:tc>
        <w:tc>
          <w:tcPr>
            <w:tcW w:w="4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86"/>
              </w:rPr>
              <w:t>August 16, 2012</w:t>
            </w: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Julian A. Brodsky</w:t>
            </w:r>
          </w:p>
        </w:tc>
        <w:tc>
          <w:tcPr>
            <w:tcW w:w="4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86"/>
              </w:rPr>
              <w:t>August 16, 2012</w:t>
            </w: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John T. McLennan</w:t>
            </w:r>
          </w:p>
        </w:tc>
        <w:tc>
          <w:tcPr>
            <w:tcW w:w="4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Giora Yaron</w:t>
            </w:r>
          </w:p>
        </w:tc>
        <w:tc>
          <w:tcPr>
            <w:tcW w:w="4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86"/>
              </w:rPr>
              <w:t>August 16, 2012</w:t>
            </w: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Giora Yaron</w:t>
            </w:r>
          </w:p>
        </w:tc>
        <w:tc>
          <w:tcPr>
            <w:tcW w:w="4080" w:type="dxa"/>
            <w:vAlign w:val="bottom"/>
          </w:tcPr>
          <w:p>
            <w:pPr>
              <w:spacing w:after="0"/>
              <w:rPr>
                <w:sz w:val="18"/>
                <w:szCs w:val="18"/>
                <w:color w:val="auto"/>
              </w:rPr>
            </w:pPr>
          </w:p>
        </w:tc>
        <w:tc>
          <w:tcPr>
            <w:tcW w:w="2100" w:type="dxa"/>
            <w:vAlign w:val="bottom"/>
          </w:tcPr>
          <w:p>
            <w:pPr>
              <w:spacing w:after="0"/>
              <w:rPr>
                <w:sz w:val="18"/>
                <w:szCs w:val="18"/>
                <w:color w:val="auto"/>
              </w:rPr>
            </w:pPr>
          </w:p>
        </w:tc>
      </w:tr>
    </w:tbl>
    <w:p>
      <w:pPr>
        <w:sectPr>
          <w:pgSz w:w="11900" w:h="16838" w:orient="portrait"/>
          <w:cols w:equalWidth="0" w:num="1">
            <w:col w:w="11300"/>
          </w:cols>
          <w:pgMar w:left="240" w:top="274" w:right="3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504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2860" w:type="dxa"/>
            <w:vAlign w:val="bottom"/>
          </w:tcPr>
          <w:p>
            <w:pPr>
              <w:ind w:left="120"/>
              <w:spacing w:after="0"/>
              <w:rPr>
                <w:sz w:val="20"/>
                <w:szCs w:val="20"/>
                <w:color w:val="auto"/>
              </w:rPr>
            </w:pPr>
            <w:r>
              <w:rPr>
                <w:rFonts w:ascii="Arial" w:cs="Arial" w:eastAsia="Arial" w:hAnsi="Arial"/>
                <w:sz w:val="14"/>
                <w:szCs w:val="14"/>
                <w:b w:val="1"/>
                <w:bCs w:val="1"/>
                <w:color w:val="auto"/>
              </w:rPr>
              <w:t>Title</w:t>
            </w:r>
          </w:p>
        </w:tc>
        <w:tc>
          <w:tcPr>
            <w:tcW w:w="3320" w:type="dxa"/>
            <w:vAlign w:val="bottom"/>
          </w:tcPr>
          <w:p>
            <w:pPr>
              <w:ind w:left="2160"/>
              <w:spacing w:after="0"/>
              <w:rPr>
                <w:sz w:val="20"/>
                <w:szCs w:val="20"/>
                <w:color w:val="auto"/>
              </w:rPr>
            </w:pPr>
            <w:r>
              <w:rPr>
                <w:rFonts w:ascii="Arial" w:cs="Arial" w:eastAsia="Arial" w:hAnsi="Arial"/>
                <w:sz w:val="14"/>
                <w:szCs w:val="14"/>
                <w:b w:val="1"/>
                <w:bCs w:val="1"/>
                <w:color w:val="auto"/>
              </w:rPr>
              <w:t>Date</w:t>
            </w:r>
          </w:p>
        </w:tc>
      </w:tr>
      <w:tr>
        <w:trPr>
          <w:trHeight w:val="31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ind w:left="2160"/>
              <w:spacing w:after="0"/>
              <w:rPr>
                <w:sz w:val="20"/>
                <w:szCs w:val="20"/>
                <w:color w:val="auto"/>
              </w:rPr>
            </w:pPr>
            <w:r>
              <w:rPr>
                <w:rFonts w:ascii="Arial" w:cs="Arial" w:eastAsia="Arial" w:hAnsi="Arial"/>
                <w:sz w:val="18"/>
                <w:szCs w:val="18"/>
                <w:color w:val="auto"/>
                <w:w w:val="86"/>
              </w:rPr>
              <w:t>August 16, 2012</w:t>
            </w: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Nehmeia Lemelbaum</w:t>
            </w:r>
          </w:p>
        </w:tc>
        <w:tc>
          <w:tcPr>
            <w:tcW w:w="286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3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T.C. LeFave</w:t>
            </w:r>
          </w:p>
        </w:tc>
        <w:tc>
          <w:tcPr>
            <w:tcW w:w="28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ind w:left="2160"/>
              <w:spacing w:after="0"/>
              <w:rPr>
                <w:sz w:val="20"/>
                <w:szCs w:val="20"/>
                <w:color w:val="auto"/>
              </w:rPr>
            </w:pPr>
            <w:r>
              <w:rPr>
                <w:rFonts w:ascii="Arial" w:cs="Arial" w:eastAsia="Arial" w:hAnsi="Arial"/>
                <w:sz w:val="18"/>
                <w:szCs w:val="18"/>
                <w:color w:val="auto"/>
                <w:w w:val="86"/>
              </w:rPr>
              <w:t>August 16, 2012</w:t>
            </w: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Richard T.C. LeFave</w:t>
            </w:r>
          </w:p>
        </w:tc>
        <w:tc>
          <w:tcPr>
            <w:tcW w:w="2860" w:type="dxa"/>
            <w:vAlign w:val="bottom"/>
          </w:tcPr>
          <w:p>
            <w:pPr>
              <w:spacing w:after="0"/>
              <w:rPr>
                <w:sz w:val="18"/>
                <w:szCs w:val="18"/>
                <w:color w:val="auto"/>
              </w:rPr>
            </w:pPr>
          </w:p>
        </w:tc>
        <w:tc>
          <w:tcPr>
            <w:tcW w:w="3320" w:type="dxa"/>
            <w:vAlign w:val="bottom"/>
          </w:tcPr>
          <w:p>
            <w:pPr>
              <w:spacing w:after="0"/>
              <w:rPr>
                <w:sz w:val="18"/>
                <w:szCs w:val="18"/>
                <w:color w:val="auto"/>
              </w:rPr>
            </w:pPr>
          </w:p>
        </w:tc>
      </w:tr>
    </w:tbl>
    <w:p>
      <w:pPr>
        <w:spacing w:after="0" w:line="188" w:lineRule="exact"/>
        <w:rPr>
          <w:sz w:val="20"/>
          <w:szCs w:val="20"/>
          <w:color w:val="auto"/>
        </w:rPr>
      </w:pPr>
    </w:p>
    <w:p>
      <w:pPr>
        <w:ind w:left="460" w:hanging="452"/>
        <w:spacing w:after="0" w:line="33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By the signature set forth below, the undersigned, pursuant to the duly authorized powers of attorney filed with the Securities and Exchange Commission, has signed this Post-Effective Amendment No. 9 to the Registration Statement on behalf of the persons indicated.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Robert A. Minicucci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A. Minicucci</w:t>
      </w:r>
    </w:p>
    <w:sectPr>
      <w:pgSz w:w="11900" w:h="16838" w:orient="portrait"/>
      <w:cols w:equalWidth="0" w:num="1">
        <w:col w:w="11260"/>
      </w:cols>
      <w:pgMar w:left="240" w:top="27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2019-12-09T12:26:26Z</dcterms:created>
  <dcterms:modified xsi:type="dcterms:W3CDTF">2019-12-09T12:26:26Z</dcterms:modified>
</cp:coreProperties>
</file>