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16, 2012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333-114079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5</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F-3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3860" w:type="dxa"/>
            <w:vAlign w:val="bottom"/>
          </w:tcPr>
          <w:p>
            <w:pPr>
              <w:jc w:val="center"/>
              <w:ind w:right="2046"/>
              <w:spacing w:after="0"/>
              <w:rPr>
                <w:sz w:val="20"/>
                <w:szCs w:val="20"/>
                <w:color w:val="auto"/>
              </w:rPr>
            </w:pPr>
            <w:r>
              <w:rPr>
                <w:rFonts w:ascii="Arial" w:cs="Arial" w:eastAsia="Arial" w:hAnsi="Arial"/>
                <w:sz w:val="18"/>
                <w:szCs w:val="18"/>
                <w:b w:val="1"/>
                <w:bCs w:val="1"/>
                <w:color w:val="auto"/>
                <w:w w:val="87"/>
              </w:rPr>
              <w:t>Island of Guernsey</w:t>
            </w:r>
          </w:p>
        </w:tc>
        <w:tc>
          <w:tcPr>
            <w:tcW w:w="3440" w:type="dxa"/>
            <w:vAlign w:val="bottom"/>
          </w:tcPr>
          <w:p>
            <w:pPr>
              <w:jc w:val="center"/>
              <w:ind w:left="2026"/>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3860" w:type="dxa"/>
            <w:vAlign w:val="bottom"/>
          </w:tcPr>
          <w:p>
            <w:pPr>
              <w:jc w:val="center"/>
              <w:ind w:right="20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440" w:type="dxa"/>
            <w:vAlign w:val="bottom"/>
          </w:tcPr>
          <w:p>
            <w:pPr>
              <w:jc w:val="center"/>
              <w:ind w:left="2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860" w:type="dxa"/>
            <w:vAlign w:val="bottom"/>
          </w:tcPr>
          <w:p>
            <w:pPr>
              <w:jc w:val="center"/>
              <w:ind w:right="2026"/>
              <w:spacing w:after="0"/>
              <w:rPr>
                <w:sz w:val="20"/>
                <w:szCs w:val="20"/>
                <w:color w:val="auto"/>
              </w:rPr>
            </w:pPr>
            <w:r>
              <w:rPr>
                <w:rFonts w:ascii="Arial" w:cs="Arial" w:eastAsia="Arial" w:hAnsi="Arial"/>
                <w:sz w:val="14"/>
                <w:szCs w:val="14"/>
                <w:b w:val="1"/>
                <w:bCs w:val="1"/>
                <w:color w:val="auto"/>
                <w:w w:val="88"/>
              </w:rPr>
              <w:t>incorporation or organization)</w:t>
            </w:r>
          </w:p>
        </w:tc>
        <w:tc>
          <w:tcPr>
            <w:tcW w:w="3440" w:type="dxa"/>
            <w:vAlign w:val="bottom"/>
          </w:tcPr>
          <w:p>
            <w:pPr>
              <w:jc w:val="center"/>
              <w:ind w:left="2026"/>
              <w:spacing w:after="0"/>
              <w:rPr>
                <w:sz w:val="20"/>
                <w:szCs w:val="20"/>
                <w:color w:val="auto"/>
              </w:rPr>
            </w:pPr>
            <w:r>
              <w:rPr>
                <w:rFonts w:ascii="Arial" w:cs="Arial" w:eastAsia="Arial" w:hAnsi="Arial"/>
                <w:sz w:val="14"/>
                <w:szCs w:val="14"/>
                <w:b w:val="1"/>
                <w:bCs w:val="1"/>
                <w:color w:val="auto"/>
                <w:w w:val="90"/>
              </w:rPr>
              <w:t>Identification Number)</w:t>
            </w:r>
          </w:p>
        </w:tc>
      </w:tr>
    </w:tbl>
    <w:p>
      <w:pPr>
        <w:jc w:val="center"/>
        <w:spacing w:after="0"/>
        <w:rPr>
          <w:sz w:val="20"/>
          <w:szCs w:val="20"/>
          <w:color w:val="auto"/>
        </w:rPr>
      </w:pPr>
      <w:r>
        <w:rPr>
          <w:rFonts w:ascii="Arial" w:cs="Arial" w:eastAsia="Arial" w:hAnsi="Arial"/>
          <w:sz w:val="18"/>
          <w:szCs w:val="18"/>
          <w:b w:val="1"/>
          <w:bCs w:val="1"/>
          <w:color w:val="auto"/>
        </w:rPr>
        <w:t>Suite 5, Tower Hill House Le Bordage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011-44-1481-728444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Chesterfield, Missouri 63017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314-212-8328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Schwed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212-937-7276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212-230-8888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Approximate date of commencement of proposed sale to public: </w:t>
      </w:r>
      <w:r>
        <w:rPr>
          <w:rFonts w:ascii="Arial" w:cs="Arial" w:eastAsia="Arial" w:hAnsi="Arial"/>
          <w:sz w:val="18"/>
          <w:szCs w:val="18"/>
          <w:b w:val="1"/>
          <w:bCs w:val="1"/>
          <w:color w:val="auto"/>
        </w:rPr>
        <w:t>Completed</w:t>
      </w:r>
    </w:p>
    <w:p>
      <w:pPr>
        <w:spacing w:after="0" w:line="177"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w:t>
      </w:r>
    </w:p>
    <w:p>
      <w:pPr>
        <w:spacing w:after="0" w:line="38" w:lineRule="exact"/>
        <w:rPr>
          <w:sz w:val="24"/>
          <w:szCs w:val="24"/>
          <w:color w:val="auto"/>
        </w:rPr>
      </w:pPr>
    </w:p>
    <w:p>
      <w:pPr>
        <w:spacing w:after="0" w:line="184" w:lineRule="exact"/>
        <w:tabs>
          <w:tab w:leader="none" w:pos="8920" w:val="left"/>
        </w:tabs>
        <w:rPr>
          <w:sz w:val="20"/>
          <w:szCs w:val="20"/>
          <w:color w:val="auto"/>
        </w:rPr>
      </w:pPr>
      <w:r>
        <w:rPr>
          <w:rFonts w:ascii="Arial" w:cs="Arial" w:eastAsia="Arial" w:hAnsi="Arial"/>
          <w:sz w:val="16"/>
          <w:szCs w:val="16"/>
          <w:color w:val="auto"/>
        </w:rPr>
        <w:t xml:space="preserve">the Securities Act registration statement number of the earlier effective registration statement for the same offering.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5338445</wp:posOffset>
            </wp:positionH>
            <wp:positionV relativeFrom="paragraph">
              <wp:posOffset>-3175</wp:posOffset>
            </wp:positionV>
            <wp:extent cx="334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w:t>
      </w:r>
    </w:p>
    <w:p>
      <w:pPr>
        <w:spacing w:after="0" w:line="38" w:lineRule="exact"/>
        <w:rPr>
          <w:sz w:val="24"/>
          <w:szCs w:val="24"/>
          <w:color w:val="auto"/>
        </w:rPr>
      </w:pPr>
    </w:p>
    <w:p>
      <w:pPr>
        <w:spacing w:after="0" w:line="184" w:lineRule="exact"/>
        <w:tabs>
          <w:tab w:leader="none" w:pos="7620" w:val="left"/>
        </w:tabs>
        <w:rPr>
          <w:sz w:val="20"/>
          <w:szCs w:val="20"/>
          <w:color w:val="auto"/>
        </w:rPr>
      </w:pPr>
      <w:r>
        <w:rPr>
          <w:rFonts w:ascii="Arial" w:cs="Arial" w:eastAsia="Arial" w:hAnsi="Arial"/>
          <w:sz w:val="16"/>
          <w:szCs w:val="16"/>
          <w:color w:val="auto"/>
        </w:rPr>
        <w:t xml:space="preserve">registration statement number of the earlier effective registration statement for the same offering.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4518025</wp:posOffset>
            </wp:positionH>
            <wp:positionV relativeFrom="paragraph">
              <wp:posOffset>-3175</wp:posOffset>
            </wp:positionV>
            <wp:extent cx="334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8" w:lineRule="exact"/>
        <w:rPr>
          <w:sz w:val="24"/>
          <w:szCs w:val="24"/>
          <w:color w:val="auto"/>
        </w:rPr>
      </w:pPr>
    </w:p>
    <w:p>
      <w:pPr>
        <w:ind w:right="28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September 23, 2004, the Securities and Exchange Commission declared effective the registration statement on Form F-3 (File No. 333-114079) (the “Registration Statement”) filed by Amdocs Limited (the “Company”) with respect to the resale from time to time of up to 560,777 ordinary shares (the “Securities”) previously issued by the Company to former shareholders of XACCT Technologies Ltd. (“XACCT”) in connection with the Company’s acquisition of XACCT (the “Selling Securityholders”).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Registration Statement was filed for the benefit of the Selling Securityholders.</w:t>
      </w:r>
    </w:p>
    <w:p>
      <w:pPr>
        <w:spacing w:after="0" w:line="17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Company agreed with the Selling Securityholders to keep the Registration Statement effective until the earliest to occur of (1) the date on which all of the shares being offered thereby have been sold pursuant to the Registration Statement or pursuant to Rule 144 under the Securities Act, (2) the date on which all of the shares being offered thereby can be sold without registration without regard to the volume restrictions of Rule 144 under the Securities Act and (3) February 19, 2006.</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such agreement, and in accordance with the Company’s undertaking under Regulation S-K Item 512(a)(3), the Company is filing this Post-Effective Amendment No. 5 to the Registration Statement to remove from registration all Securities not sold by the Selling Securityholders pursuant to the Registration Statement. Accordingly, the Company hereby requests that upon the effectiveness of this Post-Effective Amendment No. 5, such Securities be removed from registration.</w:t>
      </w:r>
    </w:p>
    <w:p>
      <w:pPr>
        <w:sectPr>
          <w:pgSz w:w="11900" w:h="16838" w:orient="portrait"/>
          <w:cols w:equalWidth="0" w:num="1">
            <w:col w:w="11340"/>
          </w:cols>
          <w:pgMar w:left="240" w:top="274" w:right="3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5 on Form F-3 to be signed on its behalf by the undersigned, thereunto duly authorized, in the City of Chesterfield, State of Missouri on August 16,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AMDOCS LIMITED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Grausam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 and Authorized Signatory</w:t>
      </w:r>
    </w:p>
    <w:p>
      <w:pPr>
        <w:spacing w:after="0" w:line="17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this Post-Effective Amendment No. 5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360" w:type="dxa"/>
            <w:vAlign w:val="bottom"/>
          </w:tcPr>
          <w:p>
            <w:pPr>
              <w:ind w:left="340"/>
              <w:spacing w:after="0"/>
              <w:rPr>
                <w:sz w:val="20"/>
                <w:szCs w:val="20"/>
                <w:color w:val="auto"/>
              </w:rPr>
            </w:pPr>
            <w:r>
              <w:rPr>
                <w:rFonts w:ascii="Arial" w:cs="Arial" w:eastAsia="Arial" w:hAnsi="Arial"/>
                <w:sz w:val="14"/>
                <w:szCs w:val="14"/>
                <w:b w:val="1"/>
                <w:bCs w:val="1"/>
                <w:color w:val="auto"/>
              </w:rPr>
              <w:t>Title</w:t>
            </w:r>
          </w:p>
        </w:tc>
        <w:tc>
          <w:tcPr>
            <w:tcW w:w="2140" w:type="dxa"/>
            <w:vAlign w:val="bottom"/>
          </w:tcPr>
          <w:p>
            <w:pPr>
              <w:ind w:left="980"/>
              <w:spacing w:after="0"/>
              <w:rPr>
                <w:sz w:val="20"/>
                <w:szCs w:val="20"/>
                <w:color w:val="auto"/>
              </w:rPr>
            </w:pPr>
            <w:r>
              <w:rPr>
                <w:rFonts w:ascii="Arial" w:cs="Arial" w:eastAsia="Arial" w:hAnsi="Arial"/>
                <w:sz w:val="14"/>
                <w:szCs w:val="14"/>
                <w:b w:val="1"/>
                <w:bCs w:val="1"/>
                <w:color w:val="auto"/>
              </w:rPr>
              <w:t>Date</w:t>
            </w:r>
          </w:p>
        </w:tc>
      </w:tr>
      <w:tr>
        <w:trPr>
          <w:trHeight w:val="31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Minicucci</w:t>
            </w:r>
          </w:p>
        </w:tc>
        <w:tc>
          <w:tcPr>
            <w:tcW w:w="4360" w:type="dxa"/>
            <w:vAlign w:val="bottom"/>
          </w:tcPr>
          <w:p>
            <w:pPr>
              <w:ind w:left="340"/>
              <w:spacing w:after="0"/>
              <w:rPr>
                <w:sz w:val="20"/>
                <w:szCs w:val="20"/>
                <w:color w:val="auto"/>
              </w:rPr>
            </w:pPr>
            <w:r>
              <w:rPr>
                <w:rFonts w:ascii="Arial" w:cs="Arial" w:eastAsia="Arial" w:hAnsi="Arial"/>
                <w:sz w:val="18"/>
                <w:szCs w:val="18"/>
                <w:color w:val="auto"/>
              </w:rPr>
              <w:t>Chairman of the Board of Directors</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Robert A. Minicucci</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Gelman</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 Principal Executive Officer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Eli Gelman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Tamar Rapaport-Dagim</w:t>
            </w:r>
          </w:p>
        </w:tc>
        <w:tc>
          <w:tcPr>
            <w:tcW w:w="436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Tamar Rapaport-Dagim</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Bruce K. Anderson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Adrian Gardner</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James S. Kahan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Olswang</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Simon Olswang</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Zohar Zisapel</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Zohar Zisapel</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Julian A. Brodsky</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John T. McLennan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Giora Yaron</w:t>
            </w:r>
          </w:p>
        </w:tc>
        <w:tc>
          <w:tcPr>
            <w:tcW w:w="4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98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Giora Yaron</w:t>
            </w:r>
          </w:p>
        </w:tc>
        <w:tc>
          <w:tcPr>
            <w:tcW w:w="436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sectPr>
          <w:pgSz w:w="11900" w:h="16838" w:orient="portrait"/>
          <w:cols w:equalWidth="0" w:num="1">
            <w:col w:w="11300"/>
          </w:cols>
          <w:pgMar w:left="240" w:top="274" w:right="3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3140" w:type="dxa"/>
            <w:vAlign w:val="bottom"/>
          </w:tcPr>
          <w:p>
            <w:pPr>
              <w:ind w:left="340"/>
              <w:spacing w:after="0"/>
              <w:rPr>
                <w:sz w:val="20"/>
                <w:szCs w:val="20"/>
                <w:color w:val="auto"/>
              </w:rPr>
            </w:pPr>
            <w:r>
              <w:rPr>
                <w:rFonts w:ascii="Arial" w:cs="Arial" w:eastAsia="Arial" w:hAnsi="Arial"/>
                <w:sz w:val="14"/>
                <w:szCs w:val="14"/>
                <w:b w:val="1"/>
                <w:bCs w:val="1"/>
                <w:color w:val="auto"/>
              </w:rPr>
              <w:t>Title</w:t>
            </w:r>
          </w:p>
        </w:tc>
        <w:tc>
          <w:tcPr>
            <w:tcW w:w="3360" w:type="dxa"/>
            <w:vAlign w:val="bottom"/>
          </w:tcPr>
          <w:p>
            <w:pPr>
              <w:ind w:left="2200"/>
              <w:spacing w:after="0"/>
              <w:rPr>
                <w:sz w:val="20"/>
                <w:szCs w:val="20"/>
                <w:color w:val="auto"/>
              </w:rPr>
            </w:pPr>
            <w:r>
              <w:rPr>
                <w:rFonts w:ascii="Arial" w:cs="Arial" w:eastAsia="Arial" w:hAnsi="Arial"/>
                <w:sz w:val="14"/>
                <w:szCs w:val="14"/>
                <w:b w:val="1"/>
                <w:bCs w:val="1"/>
                <w:color w:val="auto"/>
              </w:rPr>
              <w:t>Date</w:t>
            </w:r>
          </w:p>
        </w:tc>
      </w:tr>
      <w:tr>
        <w:trPr>
          <w:trHeight w:val="31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Pr>
          <w:p>
            <w:pPr>
              <w:ind w:left="220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Nehmeia Lemelbaum</w:t>
            </w:r>
          </w:p>
        </w:tc>
        <w:tc>
          <w:tcPr>
            <w:tcW w:w="314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438"/>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T.C. LeFave</w:t>
            </w:r>
          </w:p>
        </w:tc>
        <w:tc>
          <w:tcPr>
            <w:tcW w:w="31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Pr>
          <w:p>
            <w:pPr>
              <w:ind w:left="2200"/>
              <w:spacing w:after="0"/>
              <w:rPr>
                <w:sz w:val="20"/>
                <w:szCs w:val="20"/>
                <w:color w:val="auto"/>
              </w:rPr>
            </w:pPr>
            <w:r>
              <w:rPr>
                <w:rFonts w:ascii="Arial" w:cs="Arial" w:eastAsia="Arial" w:hAnsi="Arial"/>
                <w:sz w:val="18"/>
                <w:szCs w:val="18"/>
                <w:color w:val="auto"/>
                <w:w w:val="86"/>
              </w:rPr>
              <w:t>August 16, 2012</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Richard T.C. LeFave</w:t>
            </w:r>
          </w:p>
        </w:tc>
        <w:tc>
          <w:tcPr>
            <w:tcW w:w="3140" w:type="dxa"/>
            <w:vAlign w:val="bottom"/>
          </w:tcPr>
          <w:p>
            <w:pPr>
              <w:spacing w:after="0"/>
              <w:rPr>
                <w:sz w:val="18"/>
                <w:szCs w:val="18"/>
                <w:color w:val="auto"/>
              </w:rPr>
            </w:pPr>
          </w:p>
        </w:tc>
        <w:tc>
          <w:tcPr>
            <w:tcW w:w="3360" w:type="dxa"/>
            <w:vAlign w:val="bottom"/>
          </w:tcPr>
          <w:p>
            <w:pPr>
              <w:spacing w:after="0"/>
              <w:rPr>
                <w:sz w:val="18"/>
                <w:szCs w:val="18"/>
                <w:color w:val="auto"/>
              </w:rPr>
            </w:pPr>
          </w:p>
        </w:tc>
      </w:tr>
    </w:tbl>
    <w:p>
      <w:pPr>
        <w:spacing w:after="0" w:line="201" w:lineRule="exact"/>
        <w:rPr>
          <w:sz w:val="20"/>
          <w:szCs w:val="20"/>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 the signature set forth below, the undersigned, pursuant to the duly authorized powers of attorney filed with the Securities and Exchange Commission, has signed this Post-Effective Amendment No. 5 to the Registration Statement on behalf of the persons indicated.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Minicucci</w:t>
      </w:r>
    </w:p>
    <w:sectPr>
      <w:pgSz w:w="11900" w:h="16838" w:orient="portrait"/>
      <w:cols w:equalWidth="0" w:num="1">
        <w:col w:w="11300"/>
      </w:cols>
      <w:pgMar w:left="240" w:top="2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2019-12-09T13:30:04Z</dcterms:created>
  <dcterms:modified xsi:type="dcterms:W3CDTF">2019-12-09T13:30:04Z</dcterms:modified>
</cp:coreProperties>
</file>