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168910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12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For the fiscal year ended September 30, 2018</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93"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220"/>
        <w:spacing w:after="0"/>
        <w:tabs>
          <w:tab w:leader="none" w:pos="6560" w:val="left"/>
          <w:tab w:leader="none" w:pos="71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-1270</wp:posOffset>
            </wp:positionV>
            <wp:extent cx="669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76"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3900" w:right="2840" w:hanging="3696"/>
        <w:spacing w:after="0" w:line="402" w:lineRule="auto"/>
        <w:tabs>
          <w:tab w:leader="none" w:pos="638"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46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AMDOCS LIMITED</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3"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Island of Guernsey</w:t>
      </w:r>
    </w:p>
    <w:p>
      <w:pPr>
        <w:ind w:left="4340"/>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27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279"/>
        <w:spacing w:after="0" w:line="221" w:lineRule="auto"/>
        <w:rPr>
          <w:sz w:val="20"/>
          <w:szCs w:val="20"/>
          <w:color w:val="auto"/>
        </w:rPr>
      </w:pPr>
      <w:r>
        <w:rPr>
          <w:rFonts w:ascii="Arial" w:cs="Arial" w:eastAsia="Arial" w:hAnsi="Arial"/>
          <w:sz w:val="14"/>
          <w:szCs w:val="14"/>
          <w:b w:val="1"/>
          <w:bCs w:val="1"/>
          <w:color w:val="auto"/>
        </w:rPr>
        <w:t>St. Peter Port, Guernsey, GY1 2NG</w:t>
      </w:r>
    </w:p>
    <w:p>
      <w:pPr>
        <w:jc w:val="center"/>
        <w:ind w:right="-279"/>
        <w:spacing w:after="0" w:line="222" w:lineRule="auto"/>
        <w:rPr>
          <w:sz w:val="20"/>
          <w:szCs w:val="20"/>
          <w:color w:val="auto"/>
        </w:rPr>
      </w:pPr>
      <w:r>
        <w:rPr>
          <w:rFonts w:ascii="Arial" w:cs="Arial" w:eastAsia="Arial" w:hAnsi="Arial"/>
          <w:sz w:val="14"/>
          <w:szCs w:val="14"/>
          <w:b w:val="1"/>
          <w:bCs w:val="1"/>
          <w:color w:val="auto"/>
        </w:rPr>
        <w:t>Amdocs, Inc.</w:t>
      </w:r>
    </w:p>
    <w:p>
      <w:pPr>
        <w:ind w:left="3760"/>
        <w:spacing w:after="0" w:line="221" w:lineRule="auto"/>
        <w:rPr>
          <w:sz w:val="20"/>
          <w:szCs w:val="20"/>
          <w:color w:val="auto"/>
        </w:rPr>
      </w:pPr>
      <w:r>
        <w:rPr>
          <w:rFonts w:ascii="Arial" w:cs="Arial" w:eastAsia="Arial" w:hAnsi="Arial"/>
          <w:sz w:val="14"/>
          <w:szCs w:val="14"/>
          <w:b w:val="1"/>
          <w:bCs w:val="1"/>
          <w:color w:val="auto"/>
        </w:rPr>
        <w:t>1390 Timberlake Manor Parkway, Chesterfield, Missouri 63017</w:t>
      </w:r>
    </w:p>
    <w:p>
      <w:pPr>
        <w:ind w:left="45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0"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Matthew E. Smith</w:t>
      </w:r>
    </w:p>
    <w:p>
      <w:pPr>
        <w:jc w:val="center"/>
        <w:ind w:right="-27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27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27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27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39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0"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1960" w:type="dxa"/>
        <w:tblCellMar>
          <w:top w:w="0" w:type="dxa"/>
          <w:left w:w="0" w:type="dxa"/>
          <w:bottom w:w="0" w:type="dxa"/>
          <w:right w:w="0" w:type="dxa"/>
        </w:tblCellMar>
      </w:tblPr>
      <w:tr>
        <w:trPr>
          <w:trHeight w:val="153"/>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5"/>
              </w:rPr>
              <w:t>Ordinary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Title of Each Class</w:t>
            </w:r>
          </w:p>
        </w:tc>
        <w:tc>
          <w:tcPr>
            <w:tcW w:w="3960" w:type="dxa"/>
            <w:vAlign w:val="bottom"/>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180"/>
        </w:trPr>
        <w:tc>
          <w:tcPr>
            <w:tcW w:w="520" w:type="dxa"/>
            <w:vAlign w:val="bottom"/>
            <w:vMerge w:val="continue"/>
          </w:tcPr>
          <w:p>
            <w:pPr>
              <w:spacing w:after="0"/>
              <w:rPr>
                <w:sz w:val="15"/>
                <w:szCs w:val="15"/>
                <w:color w:val="auto"/>
              </w:rPr>
            </w:pPr>
          </w:p>
        </w:tc>
        <w:tc>
          <w:tcPr>
            <w:tcW w:w="4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par value £0.01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6"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40"/>
          </w:cols>
          <w:pgMar w:left="240" w:top="230" w:right="519" w:bottom="93" w:gutter="0" w:footer="0" w:header="0"/>
        </w:sectPr>
      </w:pPr>
    </w:p>
    <w:p>
      <w:pPr>
        <w:spacing w:after="0" w:line="250"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140,176,828(1)</w:t>
      </w:r>
    </w:p>
    <w:p>
      <w:pPr>
        <w:spacing w:after="0" w:line="37" w:lineRule="exact"/>
        <w:rPr>
          <w:sz w:val="24"/>
          <w:szCs w:val="24"/>
          <w:color w:val="auto"/>
        </w:rPr>
      </w:pPr>
    </w:p>
    <w:p>
      <w:pPr>
        <w:sectPr>
          <w:pgSz w:w="11900" w:h="16838" w:orient="portrait"/>
          <w:cols w:equalWidth="0" w:num="2">
            <w:col w:w="7380" w:space="720"/>
            <w:col w:w="3040"/>
          </w:cols>
          <w:pgMar w:left="240" w:top="230" w:right="519" w:bottom="93" w:gutter="0" w:footer="0" w:header="0"/>
          <w:type w:val="continuous"/>
        </w:sectPr>
      </w:pPr>
    </w:p>
    <w:p>
      <w:pPr>
        <w:ind w:left="2600"/>
        <w:spacing w:after="0"/>
        <w:rPr>
          <w:sz w:val="20"/>
          <w:szCs w:val="20"/>
          <w:color w:val="auto"/>
        </w:rPr>
      </w:pPr>
      <w:r>
        <w:rPr>
          <w:rFonts w:ascii="Arial" w:cs="Arial" w:eastAsia="Arial" w:hAnsi="Arial"/>
          <w:sz w:val="11"/>
          <w:szCs w:val="11"/>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(Number of shares)</w:t>
      </w:r>
    </w:p>
    <w:p>
      <w:pPr>
        <w:spacing w:after="0" w:line="69" w:lineRule="exact"/>
        <w:rPr>
          <w:sz w:val="24"/>
          <w:szCs w:val="24"/>
          <w:color w:val="auto"/>
        </w:rPr>
      </w:pPr>
    </w:p>
    <w:p>
      <w:pPr>
        <w:sectPr>
          <w:pgSz w:w="11900" w:h="16838" w:orient="portrait"/>
          <w:cols w:equalWidth="0" w:num="2">
            <w:col w:w="7320" w:space="720"/>
            <w:col w:w="3100"/>
          </w:cols>
          <w:pgMar w:left="240" w:top="230" w:right="519" w:bottom="93" w:gutter="0" w:footer="0" w:header="0"/>
          <w:type w:val="continuous"/>
        </w:sectPr>
      </w:pPr>
    </w:p>
    <w:p>
      <w:pPr>
        <w:spacing w:after="0" w:line="2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68" w:lineRule="exact"/>
        <w:rPr>
          <w:sz w:val="24"/>
          <w:szCs w:val="24"/>
          <w:color w:val="auto"/>
        </w:rPr>
      </w:pPr>
    </w:p>
    <w:p>
      <w:pPr>
        <w:sectPr>
          <w:pgSz w:w="11900" w:h="16838" w:orient="portrait"/>
          <w:cols w:equalWidth="0" w:num="5">
            <w:col w:w="7300" w:space="120"/>
            <w:col w:w="220" w:space="80"/>
            <w:col w:w="120" w:space="140"/>
            <w:col w:w="180" w:space="80"/>
            <w:col w:w="2900"/>
          </w:cols>
          <w:pgMar w:left="240" w:top="230" w:right="519" w:bottom="93" w:gutter="0" w:footer="0" w:header="0"/>
          <w:type w:val="continuous"/>
        </w:sectPr>
      </w:pPr>
    </w:p>
    <w:p>
      <w:pPr>
        <w:spacing w:after="0" w:line="17" w:lineRule="exact"/>
        <w:rPr>
          <w:sz w:val="24"/>
          <w:szCs w:val="24"/>
          <w:color w:val="auto"/>
        </w:rPr>
      </w:pPr>
    </w:p>
    <w:p>
      <w:pPr>
        <w:ind w:left="200" w:right="240" w:firstLine="331"/>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left="200" w:firstLine="331"/>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0" w:right="100" w:firstLine="33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left="200" w:right="60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52" w:lineRule="exact"/>
        <w:rPr>
          <w:sz w:val="24"/>
          <w:szCs w:val="24"/>
          <w:color w:val="auto"/>
        </w:rPr>
      </w:pPr>
    </w:p>
    <w:p>
      <w:pPr>
        <w:ind w:left="1920"/>
        <w:spacing w:after="0" w:line="161" w:lineRule="exact"/>
        <w:tabs>
          <w:tab w:leader="none" w:pos="3960" w:val="left"/>
          <w:tab w:leader="none" w:pos="5700" w:val="left"/>
          <w:tab w:leader="none" w:pos="7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ind w:left="200" w:right="440" w:firstLine="331"/>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540" w:type="dxa"/>
        <w:tblCellMar>
          <w:top w:w="0" w:type="dxa"/>
          <w:left w:w="0" w:type="dxa"/>
          <w:bottom w:w="0" w:type="dxa"/>
          <w:right w:w="0" w:type="dxa"/>
        </w:tblCellMar>
      </w:tblPr>
      <w:tr>
        <w:trPr>
          <w:trHeight w:val="168"/>
        </w:trPr>
        <w:tc>
          <w:tcPr>
            <w:tcW w:w="2640" w:type="dxa"/>
            <w:vAlign w:val="bottom"/>
          </w:tcPr>
          <w:p>
            <w:pPr>
              <w:ind w:left="62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5480" w:type="dxa"/>
            <w:vAlign w:val="bottom"/>
          </w:tcPr>
          <w:p>
            <w:pPr>
              <w:jc w:val="center"/>
              <w:ind w:right="8"/>
              <w:spacing w:after="0"/>
              <w:rPr>
                <w:sz w:val="20"/>
                <w:szCs w:val="20"/>
                <w:color w:val="auto"/>
              </w:rPr>
            </w:pPr>
            <w:r>
              <w:rPr>
                <w:rFonts w:ascii="Arial" w:cs="Arial" w:eastAsia="Arial" w:hAnsi="Arial"/>
                <w:sz w:val="14"/>
                <w:szCs w:val="14"/>
                <w:color w:val="auto"/>
                <w:w w:val="92"/>
              </w:rPr>
              <w:t>International Financial Reporting Standards as issued</w:t>
            </w:r>
          </w:p>
        </w:tc>
        <w:tc>
          <w:tcPr>
            <w:tcW w:w="1600" w:type="dxa"/>
            <w:vAlign w:val="bottom"/>
          </w:tcPr>
          <w:p>
            <w:pPr>
              <w:ind w:left="1080"/>
              <w:spacing w:after="0" w:line="161" w:lineRule="exact"/>
              <w:rPr>
                <w:sz w:val="20"/>
                <w:szCs w:val="20"/>
                <w:color w:val="auto"/>
              </w:rPr>
            </w:pPr>
            <w:r>
              <w:rPr>
                <w:rFonts w:ascii="Arial" w:cs="Arial" w:eastAsia="Arial" w:hAnsi="Arial"/>
                <w:sz w:val="14"/>
                <w:szCs w:val="14"/>
                <w:color w:val="auto"/>
                <w:w w:val="94"/>
              </w:rPr>
              <w:t xml:space="preserve">Other </w:t>
            </w:r>
            <w:r>
              <w:rPr>
                <w:rFonts w:ascii="MS PGothic" w:cs="MS PGothic" w:eastAsia="MS PGothic" w:hAnsi="MS PGothic"/>
                <w:sz w:val="14"/>
                <w:szCs w:val="14"/>
                <w:color w:val="auto"/>
                <w:w w:val="94"/>
              </w:rPr>
              <w:t>☐</w:t>
            </w:r>
          </w:p>
        </w:tc>
      </w:tr>
      <w:tr>
        <w:trPr>
          <w:trHeight w:val="226"/>
        </w:trPr>
        <w:tc>
          <w:tcPr>
            <w:tcW w:w="2640" w:type="dxa"/>
            <w:vAlign w:val="bottom"/>
          </w:tcPr>
          <w:p>
            <w:pPr>
              <w:spacing w:after="0"/>
              <w:rPr>
                <w:sz w:val="19"/>
                <w:szCs w:val="19"/>
                <w:color w:val="auto"/>
              </w:rPr>
            </w:pPr>
          </w:p>
        </w:tc>
        <w:tc>
          <w:tcPr>
            <w:tcW w:w="5480" w:type="dxa"/>
            <w:vAlign w:val="bottom"/>
          </w:tcPr>
          <w:p>
            <w:pPr>
              <w:jc w:val="center"/>
              <w:ind w:right="8"/>
              <w:spacing w:after="0" w:line="161" w:lineRule="exact"/>
              <w:rPr>
                <w:sz w:val="20"/>
                <w:szCs w:val="20"/>
                <w:color w:val="auto"/>
              </w:rPr>
            </w:pPr>
            <w:r>
              <w:rPr>
                <w:rFonts w:ascii="Arial" w:cs="Arial" w:eastAsia="Arial" w:hAnsi="Arial"/>
                <w:sz w:val="14"/>
                <w:szCs w:val="14"/>
                <w:color w:val="auto"/>
                <w:w w:val="95"/>
              </w:rPr>
              <w:t xml:space="preserve">by the International Accounting Standards Board </w:t>
            </w:r>
            <w:r>
              <w:rPr>
                <w:rFonts w:ascii="MS PGothic" w:cs="MS PGothic" w:eastAsia="MS PGothic" w:hAnsi="MS PGothic"/>
                <w:sz w:val="14"/>
                <w:szCs w:val="14"/>
                <w:color w:val="auto"/>
                <w:w w:val="95"/>
              </w:rPr>
              <w:t>☐</w:t>
            </w:r>
          </w:p>
        </w:tc>
        <w:tc>
          <w:tcPr>
            <w:tcW w:w="1600" w:type="dxa"/>
            <w:vAlign w:val="bottom"/>
          </w:tcPr>
          <w:p>
            <w:pPr>
              <w:spacing w:after="0"/>
              <w:rPr>
                <w:sz w:val="19"/>
                <w:szCs w:val="19"/>
                <w:color w:val="auto"/>
              </w:rPr>
            </w:pPr>
          </w:p>
        </w:tc>
      </w:tr>
      <w:tr>
        <w:trPr>
          <w:trHeight w:val="278"/>
        </w:trPr>
        <w:tc>
          <w:tcPr>
            <w:tcW w:w="8120" w:type="dxa"/>
            <w:vAlign w:val="bottom"/>
            <w:gridSpan w:val="2"/>
          </w:tcPr>
          <w:p>
            <w:pPr>
              <w:spacing w:after="0"/>
              <w:rPr>
                <w:sz w:val="20"/>
                <w:szCs w:val="20"/>
                <w:color w:val="auto"/>
              </w:rPr>
            </w:pPr>
            <w:r>
              <w:rPr>
                <w:rFonts w:ascii="Arial" w:cs="Arial" w:eastAsia="Arial" w:hAnsi="Arial"/>
                <w:sz w:val="14"/>
                <w:szCs w:val="14"/>
                <w:color w:val="auto"/>
                <w:w w:val="94"/>
              </w:rPr>
              <w:t>If this is an annual report, indicate by check mark whether the registrant is a shell company (as defined in Rule 12b-2 of the Exchange Act).</w:t>
            </w:r>
          </w:p>
        </w:tc>
        <w:tc>
          <w:tcPr>
            <w:tcW w:w="160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85" w:lineRule="exact"/>
        <w:rPr>
          <w:sz w:val="24"/>
          <w:szCs w:val="24"/>
          <w:color w:val="auto"/>
        </w:rPr>
      </w:pPr>
    </w:p>
    <w:p>
      <w:pPr>
        <w:ind w:left="520" w:right="20" w:hanging="316"/>
        <w:spacing w:after="0" w:line="253"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135,718,905 shares held in treasury. Does not include 6,525,033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173990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230" w:right="519" w:bottom="9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40" w:type="dxa"/>
            <w:vAlign w:val="bottom"/>
            <w:gridSpan w:val="5"/>
            <w:vMerge w:val="restart"/>
          </w:tcPr>
          <w:p>
            <w:pPr>
              <w:jc w:val="center"/>
              <w:ind w:right="2280"/>
              <w:spacing w:after="0"/>
              <w:rPr>
                <w:sz w:val="20"/>
                <w:szCs w:val="20"/>
                <w:color w:val="auto"/>
              </w:rPr>
            </w:pPr>
            <w:r>
              <w:rPr>
                <w:rFonts w:ascii="Arial" w:cs="Arial" w:eastAsia="Arial" w:hAnsi="Arial"/>
                <w:sz w:val="18"/>
                <w:szCs w:val="18"/>
                <w:b w:val="1"/>
                <w:bCs w:val="1"/>
                <w:color w:val="auto"/>
                <w:w w:val="98"/>
              </w:rPr>
              <w:t>PART I</w:t>
            </w:r>
          </w:p>
        </w:tc>
        <w:tc>
          <w:tcPr>
            <w:tcW w:w="224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gridSpan w:val="5"/>
            <w:vMerge w:val="continue"/>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200" w:type="dxa"/>
            <w:vAlign w:val="bottom"/>
            <w:vMerge w:val="continue"/>
          </w:tcPr>
          <w:p>
            <w:pPr>
              <w:spacing w:after="0"/>
              <w:rPr>
                <w:sz w:val="16"/>
                <w:szCs w:val="16"/>
                <w:color w:val="auto"/>
              </w:rPr>
            </w:pPr>
          </w:p>
        </w:tc>
        <w:tc>
          <w:tcPr>
            <w:tcW w:w="4000" w:type="dxa"/>
            <w:vAlign w:val="bottom"/>
            <w:tcBorders>
              <w:bottom w:val="single" w:sz="8" w:color="0000EE"/>
            </w:tcBorders>
            <w:gridSpan w:val="20"/>
          </w:tcPr>
          <w:p>
            <w:pPr>
              <w:spacing w:after="0" w:line="19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Identity of Directors, Senior Management and Advisers</w:t>
              </w:r>
            </w:hyperlink>
          </w:p>
        </w:tc>
        <w:tc>
          <w:tcPr>
            <w:tcW w:w="3540" w:type="dxa"/>
            <w:vAlign w:val="bottom"/>
            <w:gridSpan w:val="5"/>
          </w:tcPr>
          <w:p>
            <w:pPr>
              <w:spacing w:after="0"/>
              <w:rPr>
                <w:sz w:val="16"/>
                <w:szCs w:val="16"/>
                <w:color w:val="auto"/>
              </w:rPr>
            </w:pPr>
          </w:p>
        </w:tc>
        <w:tc>
          <w:tcPr>
            <w:tcW w:w="22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4660" w:type="dxa"/>
            <w:vAlign w:val="bottom"/>
            <w:gridSpan w:val="1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Key Information</w:t>
              </w:r>
            </w:hyperlink>
          </w:p>
        </w:tc>
        <w:tc>
          <w:tcPr>
            <w:tcW w:w="6340" w:type="dxa"/>
            <w:vAlign w:val="bottom"/>
            <w:gridSpan w:val="2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7540" w:type="dxa"/>
            <w:vAlign w:val="bottom"/>
            <w:gridSpan w:val="2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Information on the Company</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2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Unresolved Staff Comments</w:t>
              </w:r>
            </w:hyperlink>
          </w:p>
        </w:tc>
        <w:tc>
          <w:tcPr>
            <w:tcW w:w="40" w:type="dxa"/>
            <w:vAlign w:val="bottom"/>
            <w:tcBorders>
              <w:top w:val="single" w:sz="8" w:color="0000EE"/>
            </w:tcBorders>
          </w:tcPr>
          <w:p>
            <w:pPr>
              <w:spacing w:after="0"/>
              <w:rPr>
                <w:sz w:val="17"/>
                <w:szCs w:val="17"/>
                <w:color w:val="auto"/>
              </w:rPr>
            </w:pPr>
          </w:p>
        </w:tc>
        <w:tc>
          <w:tcPr>
            <w:tcW w:w="5460" w:type="dxa"/>
            <w:vAlign w:val="bottom"/>
            <w:gridSpan w:val="1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Operating and Financial Review and Prospects</w:t>
              </w:r>
            </w:hyperlink>
          </w:p>
        </w:tc>
        <w:tc>
          <w:tcPr>
            <w:tcW w:w="4160" w:type="dxa"/>
            <w:vAlign w:val="bottom"/>
            <w:gridSpan w:val="9"/>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3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Directors, Senior Management and Employees</w:t>
              </w:r>
            </w:hyperlink>
          </w:p>
        </w:tc>
        <w:tc>
          <w:tcPr>
            <w:tcW w:w="4180" w:type="dxa"/>
            <w:vAlign w:val="bottom"/>
            <w:gridSpan w:val="1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7.</w:t>
            </w: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Major Shareholders and Related Party Transactions</w:t>
              </w:r>
            </w:hyperlink>
          </w:p>
        </w:tc>
        <w:tc>
          <w:tcPr>
            <w:tcW w:w="384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Financial Information</w:t>
              </w:r>
            </w:hyperlink>
          </w:p>
        </w:tc>
        <w:tc>
          <w:tcPr>
            <w:tcW w:w="5960" w:type="dxa"/>
            <w:vAlign w:val="bottom"/>
            <w:gridSpan w:val="19"/>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754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The Offer and Listing</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754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Additional Information</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11.</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3180" w:type="dxa"/>
            <w:vAlign w:val="bottom"/>
            <w:gridSpan w:val="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7540" w:type="dxa"/>
            <w:vAlign w:val="bottom"/>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Description of Securities Other Than Equity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8"/>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rPr>
              <w:t>PART II</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0"/>
        </w:trPr>
        <w:tc>
          <w:tcPr>
            <w:tcW w:w="1200" w:type="dxa"/>
            <w:vAlign w:val="bottom"/>
            <w:vMerge w:val="continue"/>
          </w:tcPr>
          <w:p>
            <w:pPr>
              <w:spacing w:after="0"/>
              <w:rPr>
                <w:sz w:val="16"/>
                <w:szCs w:val="16"/>
                <w:color w:val="auto"/>
              </w:rPr>
            </w:pPr>
          </w:p>
        </w:tc>
        <w:tc>
          <w:tcPr>
            <w:tcW w:w="358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Defaults, Dividend Arrearages and Delinquencies</w:t>
              </w:r>
            </w:hyperlink>
          </w:p>
        </w:tc>
        <w:tc>
          <w:tcPr>
            <w:tcW w:w="3960" w:type="dxa"/>
            <w:vAlign w:val="bottom"/>
            <w:gridSpan w:val="8"/>
          </w:tcPr>
          <w:p>
            <w:pPr>
              <w:spacing w:after="0"/>
              <w:rPr>
                <w:sz w:val="16"/>
                <w:szCs w:val="16"/>
                <w:color w:val="auto"/>
              </w:rPr>
            </w:pPr>
          </w:p>
        </w:tc>
        <w:tc>
          <w:tcPr>
            <w:tcW w:w="22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14.</w:t>
            </w:r>
          </w:p>
        </w:tc>
        <w:tc>
          <w:tcPr>
            <w:tcW w:w="56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Material Modifications to the Rights of Security Holders and Use of Proceeds</w:t>
              </w:r>
            </w:hyperlink>
          </w:p>
        </w:tc>
        <w:tc>
          <w:tcPr>
            <w:tcW w:w="194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7540" w:type="dxa"/>
            <w:vAlign w:val="bottom"/>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16A.</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754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Audit Committee Financial Expert</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Code of Ethics</w:t>
              </w:r>
            </w:hyperlink>
          </w:p>
        </w:tc>
        <w:tc>
          <w:tcPr>
            <w:tcW w:w="5060" w:type="dxa"/>
            <w:vAlign w:val="bottom"/>
            <w:gridSpan w:val="1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16C.</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Principal Accountant Fees and Services</w:t>
              </w:r>
            </w:hyperlink>
          </w:p>
        </w:tc>
        <w:tc>
          <w:tcPr>
            <w:tcW w:w="4680" w:type="dxa"/>
            <w:vAlign w:val="bottom"/>
            <w:gridSpan w:val="1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Exemption from the Listing Standards for Audit Committees</w:t>
              </w:r>
            </w:hyperlink>
          </w:p>
        </w:tc>
        <w:tc>
          <w:tcPr>
            <w:tcW w:w="316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754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Purchases of Equity Securities by the Issuer and Affiliated Purchasers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3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Change in Registrant’s Certifying Accountant</w:t>
              </w:r>
            </w:hyperlink>
          </w:p>
        </w:tc>
        <w:tc>
          <w:tcPr>
            <w:tcW w:w="1720" w:type="dxa"/>
            <w:vAlign w:val="bottom"/>
            <w:tcBorders>
              <w:top w:val="single" w:sz="8" w:color="0000EE"/>
            </w:tcBorders>
            <w:gridSpan w:val="9"/>
          </w:tcPr>
          <w:p>
            <w:pPr>
              <w:spacing w:after="0"/>
              <w:rPr>
                <w:sz w:val="17"/>
                <w:szCs w:val="17"/>
                <w:color w:val="auto"/>
              </w:rPr>
            </w:pPr>
          </w:p>
        </w:tc>
        <w:tc>
          <w:tcPr>
            <w:tcW w:w="252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754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Corporate Governance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16H.</w:t>
            </w: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80" w:type="dxa"/>
            <w:vAlign w:val="bottom"/>
            <w:gridSpan w:val="17"/>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754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Mine Safety Disclosure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8"/>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rPr>
              <w:t>PART III</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0"/>
        </w:trPr>
        <w:tc>
          <w:tcPr>
            <w:tcW w:w="1200" w:type="dxa"/>
            <w:vAlign w:val="bottom"/>
            <w:vMerge w:val="continue"/>
          </w:tcPr>
          <w:p>
            <w:pPr>
              <w:spacing w:after="0"/>
              <w:rPr>
                <w:sz w:val="16"/>
                <w:szCs w:val="16"/>
                <w:color w:val="auto"/>
              </w:rPr>
            </w:pPr>
          </w:p>
        </w:tc>
        <w:tc>
          <w:tcPr>
            <w:tcW w:w="156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Financial Statements</w:t>
              </w:r>
            </w:hyperlink>
          </w:p>
        </w:tc>
        <w:tc>
          <w:tcPr>
            <w:tcW w:w="5980" w:type="dxa"/>
            <w:vAlign w:val="bottom"/>
            <w:gridSpan w:val="20"/>
          </w:tcPr>
          <w:p>
            <w:pPr>
              <w:spacing w:after="0"/>
              <w:rPr>
                <w:sz w:val="16"/>
                <w:szCs w:val="16"/>
                <w:color w:val="auto"/>
              </w:rPr>
            </w:pPr>
          </w:p>
        </w:tc>
        <w:tc>
          <w:tcPr>
            <w:tcW w:w="22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Financial Statements</w:t>
              </w:r>
            </w:hyperlink>
          </w:p>
        </w:tc>
        <w:tc>
          <w:tcPr>
            <w:tcW w:w="6040" w:type="dxa"/>
            <w:vAlign w:val="bottom"/>
            <w:gridSpan w:val="2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Exhibits</w:t>
              </w:r>
            </w:hyperlink>
          </w:p>
        </w:tc>
        <w:tc>
          <w:tcPr>
            <w:tcW w:w="6940" w:type="dxa"/>
            <w:vAlign w:val="bottom"/>
            <w:gridSpan w:val="2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2018 as “fiscal 2018.”</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 CES™ and The New World of Customer Experience™, among others.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2018 is derived from our consolidated financial statements, which have been audited by Ernst &amp; Young LLP, our independent registered public accounting firm. You should read the information presented below in conjunction with those statements.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3"/>
          </w:tcPr>
          <w:p>
            <w:pPr>
              <w:jc w:val="right"/>
              <w:ind w:right="73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$3,974,837</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$3,867,155</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$ 3,718,229</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$ 3,643,538</w:t>
            </w:r>
          </w:p>
        </w:tc>
        <w:tc>
          <w:tcPr>
            <w:tcW w:w="1020" w:type="dxa"/>
            <w:vAlign w:val="bottom"/>
          </w:tcPr>
          <w:p>
            <w:pPr>
              <w:jc w:val="right"/>
              <w:spacing w:after="0"/>
              <w:rPr>
                <w:sz w:val="20"/>
                <w:szCs w:val="20"/>
                <w:color w:val="auto"/>
              </w:rPr>
            </w:pPr>
            <w:r>
              <w:rPr>
                <w:rFonts w:ascii="Arial" w:cs="Arial" w:eastAsia="Arial" w:hAnsi="Arial"/>
                <w:sz w:val="18"/>
                <w:szCs w:val="18"/>
                <w:color w:val="auto"/>
              </w:rPr>
              <w:t>$ 3,563,637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428,307</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517,333</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483,141</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515,948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354,396</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436,826</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409,331</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446,163</w:t>
            </w:r>
          </w:p>
        </w:tc>
        <w:tc>
          <w:tcPr>
            <w:tcW w:w="1020" w:type="dxa"/>
            <w:vAlign w:val="bottom"/>
          </w:tcPr>
          <w:p>
            <w:pPr>
              <w:jc w:val="right"/>
              <w:spacing w:after="0"/>
              <w:rPr>
                <w:sz w:val="20"/>
                <w:szCs w:val="20"/>
                <w:color w:val="auto"/>
              </w:rPr>
            </w:pPr>
            <w:r>
              <w:rPr>
                <w:rFonts w:ascii="Arial" w:cs="Arial" w:eastAsia="Arial" w:hAnsi="Arial"/>
                <w:sz w:val="18"/>
                <w:szCs w:val="18"/>
                <w:color w:val="auto"/>
              </w:rPr>
              <w:t>422,122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2.49</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2.99</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2.74</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2.47</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2.96</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2.71</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0.970</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0.855</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0.755</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0.665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3"/>
              </w:rPr>
              <w:t>Cash, cash equivalents and short-term interest-bearing investments</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  519,216</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  979,608</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$1,095,723</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$1,354,012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$1,424,465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5,347,815</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5,279,380</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5,331,355</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5,324,652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5,185,277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3,492,042</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3,574,070</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3,453,561</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3,406,842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3,395,836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0" w:hanging="436"/>
        <w:spacing w:after="0" w:line="297"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fourth quarter of fiscal 2012, we instituted a discretionary quarterly cash dividend program in the amount of $0.13 per share, with the first payment in the first quarter of fiscal 2013. In January 2014, January 2015, February 2016, January 2017 and January 2018, our shareholders approved increases in the rate of the quarterly cash dividend to $0.155 per share, $0.17 per share, $0.195 per share, $0.22 per share and $0.25, respectively. In November 2018, our Board of Directors approved, subject to shareholder approval at the January 2019 annual general meeting of shareholders, an increase in the rate of the quarterly cash dividend to $0.285 per share, with the first payment anticipated to be paid in April 2019.</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6, 2016 (the “Redemption Date”), we redeemed all of our outstanding convertible notes due 2024 at a redemption price of 100% of the principal amount of the notes, plus accrued and unpaid interest up to, but excluding, the Redemption Date.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80" w:type="dxa"/>
            <w:vAlign w:val="bottom"/>
            <w:gridSpan w:val="4"/>
            <w:vMerge w:val="restart"/>
          </w:tcPr>
          <w:p>
            <w:pPr>
              <w:jc w:val="right"/>
              <w:ind w:right="151"/>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restart"/>
          </w:tcPr>
          <w:p>
            <w:pPr>
              <w:jc w:val="right"/>
              <w:ind w:right="114"/>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6"/>
                <w:szCs w:val="6"/>
                <w:color w:val="auto"/>
              </w:rPr>
            </w:pPr>
          </w:p>
        </w:tc>
        <w:tc>
          <w:tcPr>
            <w:tcW w:w="10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10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194"/>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as of September 30, 2015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4,331</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3,182,573</w:t>
            </w:r>
          </w:p>
        </w:tc>
        <w:tc>
          <w:tcPr>
            <w:tcW w:w="1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89,728</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(7,236)</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(413,423)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147,134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4,377</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3,322,789</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(4,024,527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2017</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144,391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$ 4,410</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$3,458,887</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$(4,365,124)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81,262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(6,337)</w:t>
            </w:r>
          </w:p>
        </w:tc>
        <w:tc>
          <w:tcPr>
            <w:tcW w:w="14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Balance as of September 30,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140,177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4,436</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3,587,625</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(4,784,352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0" w:hanging="436"/>
        <w:spacing w:after="0" w:line="28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From time to time, our Board of Directors can adopt share repurchase plans authorizing the repurchase of our outstanding ordinary shares. In February 2016, our Board of Directors adopted a share repurchase plan authorizing repurchase of up to $750.0 million of our outstanding ordinary shares. In November 2017, our Board of Directors adopted another share repurchase plan authorizing the repurchase of up to an additional $800.0 million of our outstanding ordinary shares. The authorizations have no expiration date and permit us to purchase our ordinary shares in open market or privately negotiated transactions at times and prices that we consider appropriate. In fiscal year 2016, we repurchased 7.2 million ordinary shares at an average price of $57.12 per share (excluding broker and transaction fees). In fiscal year 2017, we repurchased 5.5 million ordinary shares at an average price of $61.70 per share (excluding broker and transaction fees). In fiscal year 2018, we repurchased 6.3 million ordinary shares at an average price of $66.14 per share (excluding broker and transaction fees). In April 2018, we completed the repurchase of the remaining authorized amount under the February 2016 plan and began executing repurchases under the November 2017 plan. As of September 30, 2018, we had remaining authority to repurchase up to $637.1 million of our outstanding ordinary shares under the November 2017 plan.</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high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8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1" w:lineRule="exact"/>
        <w:rPr>
          <w:sz w:val="20"/>
          <w:szCs w:val="20"/>
          <w:color w:val="auto"/>
        </w:rPr>
      </w:pPr>
    </w:p>
    <w:p>
      <w:pPr>
        <w:ind w:left="420" w:right="560"/>
        <w:spacing w:after="0" w:line="277"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16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believe that our ability to compete with other vendors as well as with in-house IT and network departments of communications companies, depends on a number of factors, including:</w:t>
      </w:r>
    </w:p>
    <w:p>
      <w:pPr>
        <w:spacing w:after="0" w:line="76" w:lineRule="exact"/>
        <w:rPr>
          <w:sz w:val="20"/>
          <w:szCs w:val="20"/>
          <w:color w:val="auto"/>
        </w:rPr>
      </w:pPr>
    </w:p>
    <w:p>
      <w:pPr>
        <w:ind w:left="5660" w:right="2020" w:hanging="4916"/>
        <w:spacing w:after="0" w:line="449" w:lineRule="auto"/>
        <w:tabs>
          <w:tab w:leader="none" w:pos="105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 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305" w:lineRule="exact"/>
        <w:rPr>
          <w:sz w:val="20"/>
          <w:szCs w:val="20"/>
          <w:color w:val="auto"/>
        </w:rPr>
      </w:pPr>
    </w:p>
    <w:p>
      <w:pPr>
        <w:ind w:left="420" w:right="820"/>
        <w:spacing w:after="0" w:line="375" w:lineRule="auto"/>
        <w:rPr>
          <w:sz w:val="20"/>
          <w:szCs w:val="20"/>
          <w:color w:val="auto"/>
        </w:rPr>
      </w:pPr>
      <w:r>
        <w:rPr>
          <w:rFonts w:ascii="Arial" w:cs="Arial" w:eastAsia="Arial" w:hAnsi="Arial"/>
          <w:sz w:val="15"/>
          <w:szCs w:val="15"/>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believe that our future success will depend, to a significant extent, upon our ability to enhance our existing products and services, to introduce new products, services and features to meet the requirements of our customers, and to adopt to and leverage new technologies and methodologies such as cloud, microservices-based architecture, DevOps,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8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66" w:lineRule="exact"/>
        <w:rPr>
          <w:sz w:val="20"/>
          <w:szCs w:val="20"/>
          <w:color w:val="auto"/>
        </w:rPr>
      </w:pPr>
    </w:p>
    <w:p>
      <w:pPr>
        <w:jc w:val="both"/>
        <w:ind w:left="420" w:right="100"/>
        <w:spacing w:after="0" w:line="264"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which may materially affect our business and result in potential legal liability.</w:t>
      </w:r>
    </w:p>
    <w:p>
      <w:pPr>
        <w:spacing w:after="0" w:line="73"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our products, services and the internal and external data that we manage. Despite our efforts to implement network security measures, we cannot guarantee that our systems are fully protected from vulnerabilities related to IT-related viruses, worms and other malicious software programs, attacks, break-ins and similar disruptions from unauthorized tampering by computer hackers and others. Such cybersecurity incident could include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17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8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which could adversely affect our business, results of operation and financial condition.</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laws, directives, and regulations relating to the collection, use, retention, disclosure, security and transfer of personal data. These laws, directives, and regulations, and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applies globally to all of our activities conducted from an establishment in the EU, to related products and services that we offer to EU customers and to non-EU customers which offer services in the EU. The GDPR also affect our role as product developers, as we are required to adopt “privacy by design” principles in order to address our customers’ need to apply privacy adequate solutions when handling their subscribers’ data.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attract customers. In addition, Guernsey has introduced legislation similar in form to the GDPR, the Data Protection (Bailiwick of Guernsey) Law, 2017 (as amended) which will apply globally in a similar fashion as the GDPR to our activities conducted from and within Guernsey.</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286"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business is dependent on a limited number of significant customers, of which AT&amp;T has historically been our largest. AT&amp;T accounted for 27% and 33% of our revenue in fiscal years 2018 and 2017, respectively. We cannot assure you that our revenues from AT&amp;T will remain the same or grow in future years. Aggregate revenue derived from the multiple business arrangements we have with the ten largest of our significant customers accounted for approximately 66% of our revenue in fiscal year 2018 and 71% in fiscal year 2017.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182"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262"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seek to acquire companies or technologies and cannot assure you that these acquisitions will enhance our products and services or strengthen our competitive position, and they may adversely affect our results of operations.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Consistent with this strategy, in recent years we have completed numerous acquisitions and we are actively evaluating potential acquisition opportunities, some of which could be significant, stand alone or in the aggregate. In the future, we intend to continue to pursue acquisitions of other companies, products, services and technologies that we believe will advance our business strategy. However, we may not be able to identify suitable future acquisition candidates, consummate acquisitions on favorable terms or complete otherwise favorable acquisitions because of antitrust, regulatory or other concerns.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cannot assure you that the acquisitions we have completed, or any future acquisitions that we may make, will enhance our products and services or strengthen our competitive position. Due to the multiple risks and difficulties associated with any acquisition, there can be no assurance that we will be successful in achieving our expected strategic, operating, and financial goals for any such acquisition.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275"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62"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6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addition, a national union and a group of our employees had attempted in the past to secure the approval of the minimum number of employees needed for union certification with respect to our employees in Israel.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w:t>
      </w:r>
    </w:p>
    <w:p>
      <w:pPr>
        <w:spacing w:after="0" w:line="187"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95"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Generally, our revenue relating to software licenses that require significant customization, modification, implementation and integration is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147"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66"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96" w:lineRule="exact"/>
        <w:rPr>
          <w:sz w:val="20"/>
          <w:szCs w:val="20"/>
          <w:color w:val="auto"/>
        </w:rPr>
      </w:pPr>
    </w:p>
    <w:p>
      <w:pPr>
        <w:ind w:left="420" w:right="8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cash, cash equivalents and short-term interest-bearing investments totaled $519 million, as of September 30, 2018. Our short-term investments consist primarily of bank deposits, corporate bonds, money market funds, U.S. government treasuries, and U.S. agency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83"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hyper inflation,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manner of the United Kingdom exiting the European Union, as and when it occurs.</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28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As we continue our efforts to expand our business internationally, including in emerging markets such as those in Latin America, Africa, Russia and other members of the Commonwealth of Independent States, India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75"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6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7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Of the development centers we maintain worldwide, two of our largest development centers are located in Israel and India. In Israel, the centers are located in several different sites, and approximately 20%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7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40%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279" w:lineRule="exact"/>
        <w:rPr>
          <w:sz w:val="20"/>
          <w:szCs w:val="20"/>
          <w:color w:val="auto"/>
        </w:rPr>
      </w:pPr>
    </w:p>
    <w:p>
      <w:pPr>
        <w:ind w:left="420" w:right="9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62"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For example, in November 2018, we paid a $50 million settlement payment in connection with a lawsuit against certain of our subsidiaries alleging breach of contract and trade secret misappropriation. See “Legal Proceedings” for further details. We also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from.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w:t>
      </w:r>
    </w:p>
    <w:p>
      <w:pPr>
        <w:spacing w:after="0" w:line="275"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200" w:right="340" w:firstLine="441"/>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86" w:lineRule="exact"/>
        <w:rPr>
          <w:sz w:val="20"/>
          <w:szCs w:val="20"/>
          <w:color w:val="auto"/>
        </w:rPr>
      </w:pPr>
    </w:p>
    <w:p>
      <w:pPr>
        <w:jc w:val="both"/>
        <w:ind w:left="420" w:right="16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There can be no assurance that our effective tax rate of 15.9% for the year ended September 30, 2018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For example, 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effect changes to tax treaties which entered into force on July 1, 2018 and through the European Union’s ‘Anti</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Tax Avoidance’ Directives), it is still difficult in some cases to assess to what extent these changes would impact our tax liabilities in the jurisdictions in which we conduct our business or to what extent they may impact the way in which we conduct our business or our effective tax rate due to the unpredictability and interdependency of these potential changes. In the wake of the BEPS project, it is generally expected that tax authorities in various jurisdictions in which we operate might increase their audit activity and might seek to challenge some of the tax positions we have adopted. It is difficult to assess if and to what extent such challenges, if raised, might impact our effective tax rate.</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following the screening by the EU Code of Conduct Group on Business Taxation (“COCG”) of third country jurisdictions to assess their compliance for tax purposes, Guernsey was found to be a co-operative jurisdiction. However, the COCG has requested that Guernsey, along with a number of other jurisdictions, take further steps to ensure that its tax system does not facilitate offshore structures which attract profits without real economic activity. Guernsey has issued a commitment to the EU to address these concerns by implementing legal substance requirements by the end of 2018 and is currently working with COCG in this regard. Draft substance legislation was published on 8 November 2018 and it is expected to apply to the Company.</w:t>
      </w:r>
    </w:p>
    <w:p>
      <w:pPr>
        <w:spacing w:after="0" w:line="19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Further, the recently enacted U.S. Tax Cuts and Jobs Act of 2017 (the Tax Act) significantly changed how corporations are taxed in the United States. The application of the Tax Act is subject to certain uncertainties. The Tax Act includes certain provisions that may increase our overall tax liabilities. Certain provisions of the Tax Act apply to us from fiscal year 2018, while other provisions of the Tax Act will start to apply to us from our fiscal year 2019. We are implementing certain steps to optimize our global tax structure, but there can be no assurance that our global tax liabilities would not increase as a result of the Tax Act. In addition, due to the uncertainty involved in applying certain provisions of the Tax Act to our group, we made reasonable estimates for the future effects on our financial statements for our fiscal year 2019. The U.S. Treasury Department, the Internal Revenue Service and other standards-setting bodies may issue guidance on how the provisions of the Tax Act will be applied that is different from our interpretation. The Tax Act requires complex computations not previously required or produced, and significant judgments and assumptions in the interpretation of the law were made in producing our provisional estimates. As we continue our analyses, and interpret any additional guidance, we may adjust the provisional amounts we have recorded, and those adjustments may materially impact our provision for income taxes in the period in which the adjustments are made.</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communications, media or software industries, including industry consolidation,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54"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software design and development and the media and entertainment domain. In January 2016, we acquired cVidya Networks, Inc., a vendor of revenue assurance and fraud management solutions, which adds to our capabilities in the area of revenue guard and fraud management. Additionally, in September 2016, we acquired Vindicia, Inc., a software-as-a-service subscription management and payment solution provider, BriteBill Group Limited, a provider of personalized digital interactive billing services and Pontis, Inc., a provider of contextual digital engagement solutions, enabling us to expand our digital offerings. In July 2017, we acquired Kenzan Media, LLC, a software engineering services company that provides customized, end-to-end solutions focusing on digital transformation, and platform-as-a-service and cloud native application development using DevOps and microservices. In November 2017, we acquired projekt202, a leader in experience-driven software design and development. In February 2018, we acquired Vubiquity, a leading provider of premium digital content services and technology solutions, in order to further expand our capabilities in the world of media and entertainment which is increasingly converging with our traditional domain of communications. Also in February 2018, we acquired UXP Systems, a leader in user lifecycle management, to enhance our capabilities around digital identity, user entitlements, personalization, and privacy, including consent management.</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As the result of our organic growth and acquisitions, our workforce has increased over the last three years from an approximate average workforce of 22,751 in fiscal 2016 to 24,381 in fiscal 2018. In the past, our workforce has fluctuated with changes in business conditions.</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principal capital expenditures for fiscal 2018 have been for computer equipment in our operating facilities and development centers, for which we spent approximately $118 million and the development of our new campus in Israel for which we spent approximately $96 million. In 2017 and 2016, our principal capital expenditures have been for computer equipment in our operating facilities and development centers, for which we spent approximately $114 million and $111 million,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Amdocs is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J:COM, Rogers Communications and Sky), small to midsized communications businesses and mobile virtual network enablers/mobile virtual network operators and directory publishers and other providers of media and other services. Amdocs also has technology and distribution ties to more than 600 content creators to bring premium content to over 1,000 video distributors worldwide, including Verizon, Turner and Warner Bros.</w:t>
      </w:r>
    </w:p>
    <w:p>
      <w:pPr>
        <w:spacing w:after="0" w:line="189"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software and services, which we develop, implement and manage, are designed to meet the business imperatives of our customers. These business imperatives include the need to grow revenue and deliver a superior user experience; entertain end users and leverage the digital ecosystem; enable the enterprise and connected society; evolve to a service-driven network, and drive agility and operational excellence. Our offerings are based on a product and services mix, using technologies and methodologies such as cloud, microservices, DevOps, open source, bimodal operations and increasing amounts of automation through standard information technology (IT) tools, REST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to further transform into digital service providers, enhance their entertainment offerings, and serve their customers across all channels.</w:t>
      </w:r>
    </w:p>
    <w:p>
      <w:pPr>
        <w:spacing w:after="0" w:line="16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believe the demand for our solutions is driven by our clients continued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and business-to-business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transforming the way they do business, we believe that they seek to differentiate themselves by delivering a customer experience that is simple, personal, contextual and valuable at every point of engagement and across all channels.</w:t>
      </w:r>
    </w:p>
    <w:p>
      <w:pPr>
        <w:spacing w:after="0" w:line="17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In addition to the business value we provide to our customers, we also aim to create value for society: we believe we are a leading provider of sustainable products and services. For example, our network functions virtualization and orchestration solutions are designed to help service providers shift away from costly, space and energy-consuming hardware components, by delivering software-driven capabilities, while our mobile financial services solutions designed to help the unbanked and underbanked to manage their finances, transfer money, shop, buy and pay bills using just their phone. We also take consumer privacy and security seriously and have made it a priority to address the impact of our products and services on both, in order to meet consumer expectations, as well as regulatory demands.</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service providers will maintain a strong focus on growing new revenue streams, cost reduction and driving more efficient operations, and that the trends of ongoing digital transformation, network virtualization, and consolidation within the industry will continue. This is due to service providers seeking to become full-service integrated carriers, providing their customers with a rich portfolio of offerings including core communications; media, advertising and entertainment; enterprise enablement; Internet of Things (IoT) and digital lifestyle services. The smartphone and associated communications and entertainment apps, other connected devices such as tablets, e-readers, wearables, and improvements in IoT technology continue to drive unprecedented growth in the demand for multi-modal customer engagement capabilities and data. In response to the demand for digital experiences, service providers are continuing to focus on providing digital services, as well as enriching their offerings with integrated partner services. Service providers are also preparing for the introduction of 5G, investing in their networks, and virtualizing them, to meet the demand for increased bandwidth, faster pace of innovation for new digital services, as well as to improve their business and operational agility and optimize and monetize their investments in such services.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OTT-focused players and device manufacturers continue to penetrate the communications market and are also competing for customer attention in the entertainment market, while traditional content creators are looking to stream their content direct-to-consumer (D2C). Additionally, social networks such as Facebook and Twitter, alongside OTT-focused players such as Skype, Snapchat and WhatsApp, have become widely-accepted alternatives to traditional voice communications and are also providing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8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To capture new revenue streams, service providers are expanding within existing and non-traditional business models and deploying new network technologies. We believe service providers will place an emphasis on network virtualization and on modernization and transformation projects for their networks and operational and business support systems as they look for innovative ways to improve service agility and operations.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Our goal is to provide software and services solutions and support to communications and media companies of all sizes as they strive to deliver digital engagements and remain competitive. We seek to accomplish our goal by pursuing the strategies described below.</w:t>
      </w:r>
    </w:p>
    <w:p>
      <w:pPr>
        <w:spacing w:after="0" w:line="52" w:lineRule="exact"/>
        <w:rPr>
          <w:sz w:val="20"/>
          <w:szCs w:val="20"/>
          <w:color w:val="auto"/>
        </w:rPr>
      </w:pPr>
    </w:p>
    <w:p>
      <w:pPr>
        <w:ind w:left="1060" w:right="80" w:hanging="316"/>
        <w:spacing w:after="0" w:line="27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Focus on the Communications, Entertainment and Media Industry</w:t>
      </w:r>
      <w:r>
        <w:rPr>
          <w:rFonts w:ascii="Arial" w:cs="Arial" w:eastAsia="Arial" w:hAnsi="Arial"/>
          <w:sz w:val="17"/>
          <w:szCs w:val="17"/>
          <w:color w:val="auto"/>
        </w:rPr>
        <w:t>. We focus our resources and efforts primarily on providing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solutions to service providers in the communications, entertainment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customer experience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83" w:lineRule="exact"/>
        <w:rPr>
          <w:rFonts w:ascii="Arial" w:cs="Arial" w:eastAsia="Arial" w:hAnsi="Arial"/>
          <w:sz w:val="17"/>
          <w:szCs w:val="17"/>
          <w:color w:val="auto"/>
        </w:rPr>
      </w:pPr>
    </w:p>
    <w:p>
      <w:pPr>
        <w:ind w:left="1060" w:right="60" w:hanging="316"/>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92" w:lineRule="exact"/>
        <w:rPr>
          <w:rFonts w:ascii="Arial" w:cs="Arial" w:eastAsia="Arial" w:hAnsi="Arial"/>
          <w:sz w:val="18"/>
          <w:szCs w:val="18"/>
          <w:color w:val="auto"/>
        </w:rPr>
      </w:pPr>
    </w:p>
    <w:p>
      <w:pPr>
        <w:ind w:left="1060" w:right="20" w:hanging="316"/>
        <w:spacing w:after="0" w:line="269"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Continued Expansion into New Geographies and Emerging Markets. </w:t>
      </w:r>
      <w:r>
        <w:rPr>
          <w:rFonts w:ascii="Arial" w:cs="Arial" w:eastAsia="Arial" w:hAnsi="Arial"/>
          <w:sz w:val="17"/>
          <w:szCs w:val="17"/>
          <w:color w:val="auto"/>
        </w:rPr>
        <w:t>We seek to grow our customer base by expanding into new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2018, for example, we succeeded in growing our activities in the Italian market, We are also expanding our presence in other geographies such as South Korea.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5" w:lineRule="exact"/>
        <w:rPr>
          <w:rFonts w:ascii="Arial" w:cs="Arial" w:eastAsia="Arial" w:hAnsi="Arial"/>
          <w:sz w:val="17"/>
          <w:szCs w:val="17"/>
          <w:color w:val="auto"/>
        </w:rPr>
      </w:pPr>
    </w:p>
    <w:p>
      <w:pPr>
        <w:ind w:left="1060" w:hanging="316"/>
        <w:spacing w:after="0" w:line="270"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Provide Customers with a Broad, Open, Deep Set of Modular Integrated Products. </w:t>
      </w:r>
      <w:r>
        <w:rPr>
          <w:rFonts w:ascii="Arial" w:cs="Arial" w:eastAsia="Arial" w:hAnsi="Arial"/>
          <w:sz w:val="17"/>
          <w:szCs w:val="17"/>
          <w:color w:val="auto"/>
        </w:rPr>
        <w:t>With amdocsONE, we seek to provide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with an open, broad, yet integrated, set of modular products to help them deliver a customer experience that is simple, personal and valuable at every point of service. We provide solutions across the business support systems (BSS), operational support systems (OSS) and network domains and multiple lines of business, including wireline, wireless, broadband, cable, satellite services and digital services. Integration of our systems is achieved through a central catalog leveraged by the BSS, OSS and network management layer, as well as with an open, API-first and microservices-based approach in our product portfolio to enable third-party integration. We believe that our ability to provide a broad, open, deep and integrated modular set of products helps position us as a strategic partner for our customers as they continue to transform into digital service providers and provides us with multiple avenues for strengthening and expanding our ongoing customer relationships.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Expand Our Managed Services Capabilities</w:t>
      </w:r>
      <w:r>
        <w:rPr>
          <w:rFonts w:ascii="Arial" w:cs="Arial" w:eastAsia="Arial" w:hAnsi="Arial"/>
          <w:sz w:val="17"/>
          <w:szCs w:val="17"/>
          <w:color w:val="auto"/>
        </w:rPr>
        <w:t>. We seek to assume responsibility for the operation, development and management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Amdocs systems, as well as systems developed by in-house IT departments or by other vendors. Our mandate can extend across the service provider’s entire IT and network environment and encompass key business process operational needs. Our customers receive predictable service levels based on agreed-upon key performance indicators, as well as improved efficiencies and long-term savings over the day-to-day costs of operating and maintaining these systems, as well as an improved end-user experience, so they can focus on their own internal strengths and strategy to grow their business, leaving system concerns to us. Managed services also benefit us, as they can be a source of predictable revenue and long-term relationships.</w:t>
      </w:r>
    </w:p>
    <w:p>
      <w:pPr>
        <w:spacing w:after="0" w:line="83" w:lineRule="exact"/>
        <w:rPr>
          <w:rFonts w:ascii="Arial" w:cs="Arial" w:eastAsia="Arial" w:hAnsi="Arial"/>
          <w:sz w:val="17"/>
          <w:szCs w:val="17"/>
          <w:color w:val="auto"/>
        </w:rPr>
      </w:pPr>
    </w:p>
    <w:p>
      <w:pPr>
        <w:ind w:left="1060" w:right="100" w:hanging="316"/>
        <w:spacing w:after="0" w:line="293"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and services sales, as well as ongoing, long-term support, system enhancement, modernization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amdocsONE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second quarter of fiscal 2018, we relaunched our business offerings, including the Amdocs customer experience solutions (CES) portfolio and Amdocs Optima, as amdocsONE. amdocsONE is designed to meet the challenges facing our customers as they transform into digital service providers within the framework of a hybrid IT environment, which requires them to rapidly introduce new cloud-native applications while still operating legacy systems. It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With amdocsONE’s modular structure, our customers have the flexibility to choose business offerings that address their specific needs and improve their time to market.</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part of amdocsONE, we offer a comprehensive line of services designed to address every stage of a service provider’s lifecycle, from planning, delivery and implementation to ongoing support. Our services include managed services, testing (which we refer to as quality engineering), data and intelligence services, cloud enablement, digital business operations, autonomous network service assurance and advisory services. Using artificial intelligence and predictive analytics, as well as automation and machine learning, our managed services enable faster time to market for new services as well as the cost-effective management of existing offerings. Managed services provide multi-year, flexible and tailored managed services across all verticals, managing IT, business processes and applications services, including application development and maintenance, operations, IT and infrastructure hosting, cloud services and legacy modernization. 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 as usual state.</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Meeting our Customers’ Business Imperatives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amdocsONE consists of a combination of software and services that address service providers’ business and operational needs. Our software and services solutions support the full span of the customer relationship.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service provider business imperatives addressed by amdocsONE are:</w:t>
      </w:r>
    </w:p>
    <w:p>
      <w:pPr>
        <w:spacing w:after="0" w:line="131" w:lineRule="exact"/>
        <w:rPr>
          <w:sz w:val="20"/>
          <w:szCs w:val="20"/>
          <w:color w:val="auto"/>
        </w:rPr>
      </w:pPr>
    </w:p>
    <w:p>
      <w:pPr>
        <w:ind w:left="1060" w:hanging="316"/>
        <w:spacing w:after="0" w:line="270"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Consumer experience and monetization: </w:t>
      </w:r>
      <w:r>
        <w:rPr>
          <w:rFonts w:ascii="Arial" w:cs="Arial" w:eastAsia="Arial" w:hAnsi="Arial"/>
          <w:sz w:val="17"/>
          <w:szCs w:val="17"/>
          <w:color w:val="auto"/>
        </w:rPr>
        <w:t>Our modular solutions are designed to address service providers’ need to differentiate in a hyper-competitive consumer market, as disruptors continuously emerge, and consumer expectations are ever-changing. We support service providers in their goal to deliver a contextual and personalized engagement across all touchpoints of the omni-channel user journey. Our solutions are designed to enable a frictionless digital user relationship, boost new upsell opportunities and through proactive and contextual care further improve consumer loyalty and stickiness. Our 5G-ready, cloud-enabled monetization offerings help to quickly grow and modify the number of digital services offered, enabling service providers to launch new types of multi-play, multi-partner offers, with the necessary payment methods needed to capture new revenues. Our intelligence engine captures and processes every user interaction via an integrated and actionable 360-degree user profile and enables the feedback loop for service providers to boost the recommendation engine in an effort to expand share of the consumer wallet.</w:t>
      </w:r>
    </w:p>
    <w:p>
      <w:pPr>
        <w:spacing w:after="0" w:line="87" w:lineRule="exact"/>
        <w:rPr>
          <w:rFonts w:ascii="Arial" w:cs="Arial" w:eastAsia="Arial" w:hAnsi="Arial"/>
          <w:sz w:val="17"/>
          <w:szCs w:val="17"/>
          <w:color w:val="auto"/>
        </w:rPr>
      </w:pPr>
    </w:p>
    <w:p>
      <w:pPr>
        <w:ind w:left="1060" w:right="80" w:hanging="316"/>
        <w:spacing w:after="0" w:line="27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Media and digital services: </w:t>
      </w:r>
      <w:r>
        <w:rPr>
          <w:rFonts w:ascii="Arial" w:cs="Arial" w:eastAsia="Arial" w:hAnsi="Arial"/>
          <w:sz w:val="17"/>
          <w:szCs w:val="17"/>
          <w:color w:val="auto"/>
        </w:rPr>
        <w:t>Our solutions are designed to enable service providers to build rich, premium content offerings for their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solutions help service providers and premium content owners monetize content through a variety of commercial models. Our solutions provide support for multi-platform viewing, which includes secure distribution across a diverse network of content providers to distributors worldwide, as well as monitoring and reporting. We also help our customers expand services in the hyper-connected world with solutions for consumer IoT, eSIM and digital lifestyle offerings.</w:t>
      </w:r>
    </w:p>
    <w:p>
      <w:pPr>
        <w:spacing w:after="0" w:line="83" w:lineRule="exact"/>
        <w:rPr>
          <w:rFonts w:ascii="Arial" w:cs="Arial" w:eastAsia="Arial" w:hAnsi="Arial"/>
          <w:sz w:val="17"/>
          <w:szCs w:val="17"/>
          <w:color w:val="auto"/>
        </w:rPr>
      </w:pPr>
    </w:p>
    <w:p>
      <w:pPr>
        <w:ind w:left="1060" w:right="40" w:hanging="316"/>
        <w:spacing w:after="0" w:line="290"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Enterprise and connected society: </w:t>
      </w:r>
      <w:r>
        <w:rPr>
          <w:rFonts w:ascii="Arial" w:cs="Arial" w:eastAsia="Arial" w:hAnsi="Arial"/>
          <w:sz w:val="16"/>
          <w:szCs w:val="16"/>
          <w:color w:val="auto"/>
        </w:rPr>
        <w:t>These offerings allow service providers to leverage their B2B customer relationships and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B2B customer journey. At the sales phase, our lead-to-order solution facilitates, secures and helps transform opportunity into an order. Once the customer order is placed, our zero-touch ordering and fulfillment solutions eliminate manual handling and order fallouts. When the order relates to connectivity, our solutions boost the time to activation – whether for traditional connectivity such as fiber, mobile such as eSIM, or new generation connectivity such as SD-WAN. Our NFV/SDN offering includes a large partner ecosystem of virtual network functions (VNFs) and provides upsell opportunities with services such as security, web filtering or vCPE. Our full business enablement suite for enterprise customers also includes functions such as white-label billing, settlement or partner management as well as a large portfolio of competencies to support migration to cloud native, microservices-based environments.</w:t>
      </w:r>
    </w:p>
    <w:p>
      <w:pPr>
        <w:spacing w:after="0" w:line="71" w:lineRule="exact"/>
        <w:rPr>
          <w:rFonts w:ascii="Arial" w:cs="Arial" w:eastAsia="Arial" w:hAnsi="Arial"/>
          <w:sz w:val="16"/>
          <w:szCs w:val="16"/>
          <w:color w:val="auto"/>
        </w:rPr>
      </w:pPr>
    </w:p>
    <w:p>
      <w:pPr>
        <w:ind w:left="1060" w:right="20" w:hanging="316"/>
        <w:spacing w:after="0" w:line="287"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Service-driven networks: </w:t>
      </w:r>
      <w:r>
        <w:rPr>
          <w:rFonts w:ascii="Arial" w:cs="Arial" w:eastAsia="Arial" w:hAnsi="Arial"/>
          <w:sz w:val="16"/>
          <w:szCs w:val="16"/>
          <w:color w:val="auto"/>
        </w:rPr>
        <w:t>These offerings comprise standards-based software solutions to enable service lifecycle management in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and virtual network allowing service providers to automate network operations and simplify the introduction of NFV into existing and next generation networks, including 5G and edge-computing systems. Amdocs NFV powered by ONAP (the Linux Foundation’s Open Network Automation Platform) features software and services capabilities to orchestrate multi-vendor virtual network functions (VNFs) over virtual infrastructures and public clouds such as AWS and Azure, automating VNF onboarding to enable the design, testing and launching of new network services in weeks rather than months, and supporting a live view of services and resources. We also provide operational support systems for fixed line, broadband, wireless and cable TV networks. The offerings facilitate network operational processes, including network planning and rollout across multiple technologies such as fiber, small cell and LTE, essential for 5G readiness, service fulfillment and assurance, inventory management, order orchestration and activation of new services through automation. Our integrated suite of network optimization software and services is designed to help service providers plan, build, launch, manage and optimize their mobile networks. Vendor and technology agnostic, this offering affords service providers the analytics and services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spacing w:after="0" w:line="277" w:lineRule="auto"/>
        <w:rPr>
          <w:sz w:val="20"/>
          <w:szCs w:val="20"/>
          <w:color w:val="auto"/>
        </w:rPr>
      </w:pPr>
      <w:r>
        <w:rPr>
          <w:rFonts w:ascii="Arial" w:cs="Arial" w:eastAsia="Arial" w:hAnsi="Arial"/>
          <w:sz w:val="18"/>
          <w:szCs w:val="18"/>
          <w:color w:val="auto"/>
        </w:rPr>
        <w:t>capabilities needed to maximize network investments, accelerate and automate the roll out and upgrade of network technologies, and optimize network performance and capacity.</w:t>
      </w:r>
    </w:p>
    <w:p>
      <w:pPr>
        <w:spacing w:after="0" w:line="76" w:lineRule="exact"/>
        <w:rPr>
          <w:sz w:val="20"/>
          <w:szCs w:val="20"/>
          <w:color w:val="auto"/>
        </w:rPr>
      </w:pPr>
    </w:p>
    <w:p>
      <w:pPr>
        <w:ind w:left="1060" w:right="360" w:hanging="316"/>
        <w:spacing w:after="0" w:line="293"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Services and agile operations: </w:t>
      </w:r>
      <w:r>
        <w:rPr>
          <w:rFonts w:ascii="Arial" w:cs="Arial" w:eastAsia="Arial" w:hAnsi="Arial"/>
          <w:sz w:val="16"/>
          <w:szCs w:val="16"/>
          <w:color w:val="auto"/>
        </w:rPr>
        <w:t>Our solutions are designed to enable service providers to introduce intelligence and automation into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to accelerate innovation, agility and efficiency; optimize data for intelligence-driven analytics; effectively manage multi-dimensional, dynamic hybrid operations; embark on their cloud and IT modernization paths, and prevent revenue loss and reduce cyber security risks. Using open source, third–party solutions and Amdocs’ unique IP, including tools and methodologies around artificial intelligence, predictive analytics and machine learning, these services span both Amdocs products and third-party software and can be rapidly deployed through DevOps capabilities and are focused on delivering clear business value as well as reducing costs.</w:t>
      </w:r>
    </w:p>
    <w:p>
      <w:pPr>
        <w:spacing w:after="0" w:line="16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As part of amdocsONE, we also offer a broad suite of services designed to help address our customers’ business imperatives. From advisory services through solution development and business operations to managed services and training,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adopting DevOps and orchestrating large-scale transformation projects. 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key services are:</w:t>
      </w:r>
    </w:p>
    <w:p>
      <w:pPr>
        <w:spacing w:after="0" w:line="131" w:lineRule="exact"/>
        <w:rPr>
          <w:sz w:val="20"/>
          <w:szCs w:val="20"/>
          <w:color w:val="auto"/>
        </w:rPr>
      </w:pPr>
    </w:p>
    <w:p>
      <w:pPr>
        <w:jc w:val="both"/>
        <w:ind w:left="1060" w:right="340" w:hanging="316"/>
        <w:spacing w:after="0" w:line="31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Advisory Services </w:t>
      </w:r>
      <w:r>
        <w:rPr>
          <w:rFonts w:ascii="Arial" w:cs="Arial" w:eastAsia="Arial" w:hAnsi="Arial"/>
          <w:sz w:val="16"/>
          <w:szCs w:val="16"/>
          <w:color w:val="auto"/>
        </w:rPr>
        <w:t>— We identify actionable and pragmatic solutions to business and operational challenges. A team of industry experts</w:t>
      </w:r>
      <w:r>
        <w:rPr>
          <w:rFonts w:ascii="Arial" w:cs="Arial" w:eastAsia="Arial" w:hAnsi="Arial"/>
          <w:sz w:val="16"/>
          <w:szCs w:val="16"/>
          <w:i w:val="1"/>
          <w:iCs w:val="1"/>
          <w:color w:val="auto"/>
        </w:rPr>
        <w:t xml:space="preserve"> </w:t>
      </w:r>
      <w:r>
        <w:rPr>
          <w:rFonts w:ascii="Arial" w:cs="Arial" w:eastAsia="Arial" w:hAnsi="Arial"/>
          <w:sz w:val="16"/>
          <w:szCs w:val="16"/>
          <w:color w:val="auto"/>
        </w:rPr>
        <w:t>design insights based on research, trend analysis, global best practices, innovation and partnerships. This service helps service providers meet their objectives, including digital transformation, IoT, customer experience, NFV, DevOps, NextGen IT, cloud, 5G and enterprise.</w:t>
      </w:r>
    </w:p>
    <w:p>
      <w:pPr>
        <w:spacing w:after="0" w:line="52" w:lineRule="exact"/>
        <w:rPr>
          <w:rFonts w:ascii="Arial" w:cs="Arial" w:eastAsia="Arial" w:hAnsi="Arial"/>
          <w:sz w:val="16"/>
          <w:szCs w:val="16"/>
          <w:color w:val="auto"/>
        </w:rPr>
      </w:pPr>
    </w:p>
    <w:p>
      <w:pPr>
        <w:ind w:left="1060" w:right="180" w:hanging="316"/>
        <w:spacing w:after="0" w:line="25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Managed Services </w:t>
      </w:r>
      <w:r>
        <w:rPr>
          <w:rFonts w:ascii="Arial" w:cs="Arial" w:eastAsia="Arial" w:hAnsi="Arial"/>
          <w:sz w:val="18"/>
          <w:szCs w:val="18"/>
          <w:color w:val="auto"/>
        </w:rPr>
        <w:t>— We seek to transform traditional managed services towards autonomous operations, while continuing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legacy systems. This includes rapid deployment of new services through DevOps capabilities, modernization of legacy systems, cloud and infrastructure services, while maintaining ongoing IT operations. Using open source, third–party solutions and Amdocs’ unique IP around artificial intelligence, predictive analytics and machine-to-machine learning, this suite of services spans both Amdocs products and third-party software.</w:t>
      </w:r>
    </w:p>
    <w:p>
      <w:pPr>
        <w:spacing w:after="0" w:line="93"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Autonomous Network Service Assurance </w:t>
      </w:r>
      <w:r>
        <w:rPr>
          <w:rFonts w:ascii="Arial" w:cs="Arial" w:eastAsia="Arial" w:hAnsi="Arial"/>
          <w:sz w:val="18"/>
          <w:szCs w:val="18"/>
          <w:color w:val="auto"/>
        </w:rPr>
        <w:t>— We combine machine learning and artificial intelligence with operational models,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to provide proactive, autonomous network remediation and notifications, reducing operational costs and improving the customer experience. This service integrates BSS, OSS, IT and network information to present service providers a customer-centric view of network events.</w:t>
      </w:r>
    </w:p>
    <w:p>
      <w:pPr>
        <w:spacing w:after="0" w:line="92"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Digital Business Operations </w:t>
      </w:r>
      <w:r>
        <w:rPr>
          <w:rFonts w:ascii="Arial" w:cs="Arial" w:eastAsia="Arial" w:hAnsi="Arial"/>
          <w:sz w:val="18"/>
          <w:szCs w:val="18"/>
          <w:color w:val="auto"/>
        </w:rPr>
        <w:t>— We offer a suite of services for automating and digitalizing business operations, including order to activation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business processes. These services combine domain-specific expertise and advanced technologies such as robotic process automation, predictive analytics, machine learning and technology with real-time, end-to-end visibility over any business process regardless of underlying silos. We aim to improve customer experience, decrease handling time, reduce OPEX and shorten time to introduce digital channels and new services.</w:t>
      </w:r>
    </w:p>
    <w:p>
      <w:pPr>
        <w:spacing w:after="0" w:line="93"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Quality Engineering Services </w:t>
      </w:r>
      <w:r>
        <w:rPr>
          <w:rFonts w:ascii="Arial" w:cs="Arial" w:eastAsia="Arial" w:hAnsi="Arial"/>
          <w:sz w:val="18"/>
          <w:szCs w:val="18"/>
          <w:color w:val="auto"/>
        </w:rPr>
        <w:t>— We offer industry-specific quality assurance services, and a global presence, to help our customers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costs, enhance innovation and ensure the desired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end-user experience, leveraging our advanced automation, intelligence and machine learning technologies.</w:t>
      </w:r>
    </w:p>
    <w:p>
      <w:pPr>
        <w:spacing w:after="0" w:line="131" w:lineRule="exact"/>
        <w:rPr>
          <w:sz w:val="20"/>
          <w:szCs w:val="20"/>
          <w:color w:val="auto"/>
        </w:rPr>
      </w:pPr>
    </w:p>
    <w:p>
      <w:pPr>
        <w:ind w:left="1060" w:right="10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Data &amp; Intelligence Services </w:t>
      </w:r>
      <w:r>
        <w:rPr>
          <w:rFonts w:ascii="Arial" w:cs="Arial" w:eastAsia="Arial" w:hAnsi="Arial"/>
          <w:sz w:val="18"/>
          <w:szCs w:val="18"/>
          <w:color w:val="auto"/>
        </w:rPr>
        <w:t>— We offer advanced, insightful data and analytics services, powered by our IP around customer data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logical data model. From strategy and consulting through optimizing and modernizing data ecosystems, our services deliver self-service business intelligence (BI) reporting, dashboards and efficient data monetization.</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amdocsONE includes our mobile financial services offering, which enables service providers and financial institutions to serve financially underserved customer segments; revenue guard services designed to ensure faster, more accurate detection and resolution of revenue leakage, fraud and cyber fraud; the BriteBill multi-channel bill presentment platform focused on contextual and personalized customer engagements. We also provide advertising and media offerings for media publishers, TV networks, video streaming providers, advertising agencies and service providers.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portfolio architecture allows our applications to work in multiple customer environments.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060" w:right="3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API enabled</w:t>
      </w:r>
      <w:r>
        <w:rPr>
          <w:rFonts w:ascii="Arial" w:cs="Arial" w:eastAsia="Arial" w:hAnsi="Arial"/>
          <w:sz w:val="18"/>
          <w:szCs w:val="18"/>
          <w:color w:val="auto"/>
        </w:rPr>
        <w:t>. Leveraging domain-driven design to expose APIs across key applications and ensure consumption and interaction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Kubernetes, the industry-leading cluster management for containers.</w:t>
      </w:r>
    </w:p>
    <w:p>
      <w:pPr>
        <w:spacing w:after="0" w:line="75"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Amdocs system environment. We believe this modularity provides our customers with a highly flexible solution that is able to incrementally expand with the customer’s growing needs and capabilities.</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Upgradability and Backwards Compatibility</w:t>
      </w:r>
      <w:r>
        <w:rPr>
          <w:rFonts w:ascii="Arial" w:cs="Arial" w:eastAsia="Arial" w:hAnsi="Arial"/>
          <w:sz w:val="18"/>
          <w:szCs w:val="18"/>
          <w:color w:val="auto"/>
        </w:rPr>
        <w:t>. Version interoperability eliminates risky upgrades and allows for a gradual upgrade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of suite elements.</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060" w:right="100" w:hanging="316"/>
        <w:spacing w:after="0" w:line="31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Open Source Software</w:t>
      </w:r>
      <w:r>
        <w:rPr>
          <w:rFonts w:ascii="Arial" w:cs="Arial" w:eastAsia="Arial" w:hAnsi="Arial"/>
          <w:sz w:val="16"/>
          <w:szCs w:val="16"/>
          <w:color w:val="auto"/>
        </w:rPr>
        <w:t>. Enabling rapid time to market and lower-cost functionality introduction, our software leverages open-source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to encourage standardization and improved quality where possible. Amdocs is playing a central role in the development of The Linux Foundation’s ONAP (Open Network Automation Platform), an advanced open source solution for the telecommunication industry.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sales and marketing activities are primarily directed at major communications, cable, entertainment and media companies.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a result of the strategic importance of our amdocsONE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six continents.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partner companies, such as Amazon Web Services, Microsoft, Redhat, Dell EMC and VMware, Adobe, Nokia, Juniper, Hewlett Packard Enterprise and IBM.</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target market is comprised of service providers in the communications, cable, entertainment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85 countries.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customers include service providers, such as:</w:t>
      </w:r>
    </w:p>
    <w:p>
      <w:pPr>
        <w:sectPr>
          <w:pgSz w:w="11900" w:h="16838" w:orient="portrait"/>
          <w:cols w:equalWidth="0" w:num="1">
            <w:col w:w="11040"/>
          </w:cols>
          <w:pgMar w:left="240" w:top="459" w:right="61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20th Century Fox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 Bulgaria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 Telekom Austria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Altice SFR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 Mexico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Botswana Telecommunications Corporation Limited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Cable and Wireless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CenturyLink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Dominican Republic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Dex Media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Dish Network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Proximus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Reliance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Safaricom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Italia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Sunrise 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TELUS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Ireland (Hutchison)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USA</w:t>
      </w:r>
    </w:p>
    <w:p>
      <w:pPr>
        <w:spacing w:after="0" w:line="143" w:lineRule="exact"/>
        <w:rPr>
          <w:sz w:val="20"/>
          <w:szCs w:val="20"/>
          <w:color w:val="auto"/>
        </w:rPr>
      </w:pPr>
    </w:p>
    <w:p>
      <w:pPr>
        <w:sectPr>
          <w:pgSz w:w="11900" w:h="16838" w:orient="portrait"/>
          <w:cols w:equalWidth="0" w:num="2">
            <w:col w:w="5340" w:space="720"/>
            <w:col w:w="4980"/>
          </w:cols>
          <w:pgMar w:left="240" w:top="459" w:right="61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40"/>
          </w:cols>
          <w:pgMar w:left="240" w:top="459" w:right="61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74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519"/>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EE</w:t>
            </w:r>
          </w:p>
        </w:tc>
        <w:tc>
          <w:tcPr>
            <w:tcW w:w="4140" w:type="dxa"/>
            <w:vAlign w:val="bottom"/>
          </w:tcPr>
          <w:p>
            <w:pPr>
              <w:ind w:left="1960"/>
              <w:spacing w:after="0"/>
              <w:rPr>
                <w:sz w:val="20"/>
                <w:szCs w:val="20"/>
                <w:color w:val="auto"/>
              </w:rPr>
            </w:pPr>
            <w:r>
              <w:rPr>
                <w:rFonts w:ascii="Arial" w:cs="Arial" w:eastAsia="Arial" w:hAnsi="Arial"/>
                <w:sz w:val="18"/>
                <w:szCs w:val="18"/>
                <w:color w:val="auto"/>
              </w:rPr>
              <w:t>True Corporation</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Elisa</w:t>
            </w:r>
          </w:p>
        </w:tc>
        <w:tc>
          <w:tcPr>
            <w:tcW w:w="4140" w:type="dxa"/>
            <w:vAlign w:val="bottom"/>
          </w:tcPr>
          <w:p>
            <w:pPr>
              <w:ind w:left="1960"/>
              <w:spacing w:after="0"/>
              <w:rPr>
                <w:sz w:val="20"/>
                <w:szCs w:val="20"/>
                <w:color w:val="auto"/>
              </w:rPr>
            </w:pPr>
            <w:r>
              <w:rPr>
                <w:rFonts w:ascii="Arial" w:cs="Arial" w:eastAsia="Arial" w:hAnsi="Arial"/>
                <w:sz w:val="18"/>
                <w:szCs w:val="18"/>
                <w:color w:val="auto"/>
              </w:rPr>
              <w:t>Turner</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EPIX (an MGM company)</w:t>
            </w:r>
          </w:p>
        </w:tc>
        <w:tc>
          <w:tcPr>
            <w:tcW w:w="4140" w:type="dxa"/>
            <w:vAlign w:val="bottom"/>
          </w:tcPr>
          <w:p>
            <w:pPr>
              <w:ind w:left="1960"/>
              <w:spacing w:after="0"/>
              <w:rPr>
                <w:sz w:val="20"/>
                <w:szCs w:val="20"/>
                <w:color w:val="auto"/>
              </w:rPr>
            </w:pPr>
            <w:r>
              <w:rPr>
                <w:rFonts w:ascii="Arial" w:cs="Arial" w:eastAsia="Arial" w:hAnsi="Arial"/>
                <w:sz w:val="18"/>
                <w:szCs w:val="18"/>
                <w:color w:val="auto"/>
                <w:w w:val="91"/>
              </w:rPr>
              <w:t>UPC Broadband Holding B.V.</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FarEasTone</w:t>
            </w:r>
          </w:p>
        </w:tc>
        <w:tc>
          <w:tcPr>
            <w:tcW w:w="4140" w:type="dxa"/>
            <w:vAlign w:val="bottom"/>
          </w:tcPr>
          <w:p>
            <w:pPr>
              <w:ind w:left="1960"/>
              <w:spacing w:after="0"/>
              <w:rPr>
                <w:sz w:val="20"/>
                <w:szCs w:val="20"/>
                <w:color w:val="auto"/>
              </w:rPr>
            </w:pPr>
            <w:r>
              <w:rPr>
                <w:rFonts w:ascii="Arial" w:cs="Arial" w:eastAsia="Arial" w:hAnsi="Arial"/>
                <w:sz w:val="18"/>
                <w:szCs w:val="18"/>
                <w:color w:val="auto"/>
              </w:rPr>
              <w:t>US Cellular</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Globe Telecom</w:t>
            </w:r>
          </w:p>
        </w:tc>
        <w:tc>
          <w:tcPr>
            <w:tcW w:w="4140" w:type="dxa"/>
            <w:vAlign w:val="bottom"/>
          </w:tcPr>
          <w:p>
            <w:pPr>
              <w:ind w:left="1960"/>
              <w:spacing w:after="0"/>
              <w:rPr>
                <w:sz w:val="20"/>
                <w:szCs w:val="20"/>
                <w:color w:val="auto"/>
              </w:rPr>
            </w:pPr>
            <w:r>
              <w:rPr>
                <w:rFonts w:ascii="Arial" w:cs="Arial" w:eastAsia="Arial" w:hAnsi="Arial"/>
                <w:sz w:val="18"/>
                <w:szCs w:val="18"/>
                <w:color w:val="auto"/>
              </w:rPr>
              <w:t>UTS</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J:COM</w:t>
            </w:r>
          </w:p>
        </w:tc>
        <w:tc>
          <w:tcPr>
            <w:tcW w:w="4140" w:type="dxa"/>
            <w:vAlign w:val="bottom"/>
          </w:tcPr>
          <w:p>
            <w:pPr>
              <w:ind w:left="1960"/>
              <w:spacing w:after="0"/>
              <w:rPr>
                <w:sz w:val="20"/>
                <w:szCs w:val="20"/>
                <w:color w:val="auto"/>
              </w:rPr>
            </w:pPr>
            <w:r>
              <w:rPr>
                <w:rFonts w:ascii="Arial" w:cs="Arial" w:eastAsia="Arial" w:hAnsi="Arial"/>
                <w:sz w:val="18"/>
                <w:szCs w:val="18"/>
                <w:color w:val="auto"/>
              </w:rPr>
              <w:t>Veon</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Kazakhtelecom</w:t>
            </w:r>
          </w:p>
        </w:tc>
        <w:tc>
          <w:tcPr>
            <w:tcW w:w="4140" w:type="dxa"/>
            <w:vAlign w:val="bottom"/>
          </w:tcPr>
          <w:p>
            <w:pPr>
              <w:ind w:left="1960"/>
              <w:spacing w:after="0"/>
              <w:rPr>
                <w:sz w:val="20"/>
                <w:szCs w:val="20"/>
                <w:color w:val="auto"/>
              </w:rPr>
            </w:pPr>
            <w:r>
              <w:rPr>
                <w:rFonts w:ascii="Arial" w:cs="Arial" w:eastAsia="Arial" w:hAnsi="Arial"/>
                <w:sz w:val="18"/>
                <w:szCs w:val="18"/>
                <w:color w:val="auto"/>
              </w:rPr>
              <w:t>Verizon</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Kcell</w:t>
            </w:r>
          </w:p>
        </w:tc>
        <w:tc>
          <w:tcPr>
            <w:tcW w:w="4140" w:type="dxa"/>
            <w:vAlign w:val="bottom"/>
          </w:tcPr>
          <w:p>
            <w:pPr>
              <w:ind w:left="1960"/>
              <w:spacing w:after="0"/>
              <w:rPr>
                <w:sz w:val="20"/>
                <w:szCs w:val="20"/>
                <w:color w:val="auto"/>
              </w:rPr>
            </w:pPr>
            <w:r>
              <w:rPr>
                <w:rFonts w:ascii="Arial" w:cs="Arial" w:eastAsia="Arial" w:hAnsi="Arial"/>
                <w:sz w:val="18"/>
                <w:szCs w:val="18"/>
                <w:color w:val="auto"/>
              </w:rPr>
              <w:t>Virgin Media</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KCOM</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Germany</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KPN</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Hungary</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KT Corporation</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Idea</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Kyivstar</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Ireland</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M1</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Italy</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Magyar Telekom</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Romania</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MTS</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Spain</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NetCom</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 UK</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Oi</w:t>
            </w:r>
          </w:p>
        </w:tc>
        <w:tc>
          <w:tcPr>
            <w:tcW w:w="4140" w:type="dxa"/>
            <w:vAlign w:val="bottom"/>
          </w:tcPr>
          <w:p>
            <w:pPr>
              <w:ind w:left="1960"/>
              <w:spacing w:after="0"/>
              <w:rPr>
                <w:sz w:val="20"/>
                <w:szCs w:val="20"/>
                <w:color w:val="auto"/>
              </w:rPr>
            </w:pPr>
            <w:r>
              <w:rPr>
                <w:rFonts w:ascii="Arial" w:cs="Arial" w:eastAsia="Arial" w:hAnsi="Arial"/>
                <w:sz w:val="18"/>
                <w:szCs w:val="18"/>
                <w:color w:val="auto"/>
              </w:rPr>
              <w:t>VodafoneZiggo</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Optus</w:t>
            </w:r>
          </w:p>
        </w:tc>
        <w:tc>
          <w:tcPr>
            <w:tcW w:w="4140" w:type="dxa"/>
            <w:vAlign w:val="bottom"/>
          </w:tcPr>
          <w:p>
            <w:pPr>
              <w:ind w:left="1960"/>
              <w:spacing w:after="0"/>
              <w:rPr>
                <w:sz w:val="20"/>
                <w:szCs w:val="20"/>
                <w:color w:val="auto"/>
              </w:rPr>
            </w:pPr>
            <w:r>
              <w:rPr>
                <w:rFonts w:ascii="Arial" w:cs="Arial" w:eastAsia="Arial" w:hAnsi="Arial"/>
                <w:sz w:val="18"/>
                <w:szCs w:val="18"/>
                <w:color w:val="auto"/>
              </w:rPr>
              <w:t>Warner Bros</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PLDT</w:t>
            </w:r>
          </w:p>
        </w:tc>
        <w:tc>
          <w:tcPr>
            <w:tcW w:w="4140" w:type="dxa"/>
            <w:vAlign w:val="bottom"/>
          </w:tcPr>
          <w:p>
            <w:pPr>
              <w:ind w:left="1960"/>
              <w:spacing w:after="0"/>
              <w:rPr>
                <w:sz w:val="20"/>
                <w:szCs w:val="20"/>
                <w:color w:val="auto"/>
              </w:rPr>
            </w:pPr>
            <w:r>
              <w:rPr>
                <w:rFonts w:ascii="Arial" w:cs="Arial" w:eastAsia="Arial" w:hAnsi="Arial"/>
                <w:sz w:val="18"/>
                <w:szCs w:val="18"/>
                <w:color w:val="auto"/>
              </w:rPr>
              <w:t>XL Axiata</w:t>
            </w: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Post Luxembourg</w:t>
            </w:r>
          </w:p>
        </w:tc>
        <w:tc>
          <w:tcPr>
            <w:tcW w:w="41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firstLine="441"/>
        <w:spacing w:after="0" w:line="257" w:lineRule="auto"/>
        <w:rPr>
          <w:sz w:val="20"/>
          <w:szCs w:val="20"/>
          <w:color w:val="auto"/>
        </w:rPr>
      </w:pPr>
      <w:r>
        <w:rPr>
          <w:rFonts w:ascii="Arial" w:cs="Arial" w:eastAsia="Arial" w:hAnsi="Arial"/>
          <w:sz w:val="18"/>
          <w:szCs w:val="18"/>
          <w:color w:val="auto"/>
        </w:rPr>
        <w:t xml:space="preserve">Our business is dependent on a limited number of significant customers, of which AT&amp;T has historically been our largest. AT&amp;T accounted for 27% and 33% of our revenue in fiscal 2018 and 2017, respectively. Aggregate revenue derived from the multiple business arrangements we have with the ten largest of our significant customers accounted for approximately 66% of our revenue in fiscal 2018 and 71% in fiscal 2017. See “Risk Factors — </w:t>
      </w:r>
      <w:r>
        <w:rPr>
          <w:rFonts w:ascii="Arial" w:cs="Arial" w:eastAsia="Arial" w:hAnsi="Arial"/>
          <w:sz w:val="18"/>
          <w:szCs w:val="18"/>
          <w:i w:val="1"/>
          <w:iCs w:val="1"/>
          <w:color w:val="auto"/>
        </w:rPr>
        <w:t>Our business is dependent on a limited number of significant customers, and the loss of any one of our significant customers could harm our results of operations</w:t>
      </w:r>
      <w:r>
        <w:rPr>
          <w:rFonts w:ascii="Arial" w:cs="Arial" w:eastAsia="Arial" w:hAnsi="Arial"/>
          <w:sz w:val="18"/>
          <w:szCs w:val="18"/>
          <w:color w:val="auto"/>
        </w:rPr>
        <w: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64.2%</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65.9%</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64.0%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14.4%</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12.6</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13.8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21.4%</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22.2</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The market for customer experience solutions in the communications, cable, entertainment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52" w:lineRule="exact"/>
        <w:rPr>
          <w:sz w:val="20"/>
          <w:szCs w:val="20"/>
          <w:color w:val="auto"/>
        </w:rPr>
      </w:pPr>
    </w:p>
    <w:p>
      <w:pPr>
        <w:ind w:left="1060" w:right="60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providers of BSS/OSS and customer relationship management (CRM)/digital systems, including CSG International, Oracle, Optiva, Salesforce, Pegasystems and SAP;</w:t>
      </w:r>
    </w:p>
    <w:p>
      <w:pPr>
        <w:spacing w:after="0" w:line="75" w:lineRule="exact"/>
        <w:rPr>
          <w:rFonts w:ascii="Arial" w:cs="Arial" w:eastAsia="Arial" w:hAnsi="Arial"/>
          <w:sz w:val="18"/>
          <w:szCs w:val="18"/>
          <w:color w:val="auto"/>
        </w:rPr>
      </w:pPr>
    </w:p>
    <w:p>
      <w:pPr>
        <w:ind w:left="1060" w:right="520" w:hanging="316"/>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DXC Technology, IBM Global Services, Infosys, Tata Consultancy Services, Tech Mahindra and Wipro (some of whom we also cooperate with in certain opportunities and projects);</w:t>
      </w:r>
    </w:p>
    <w:p>
      <w:pPr>
        <w:spacing w:after="0" w:line="29" w:lineRule="exact"/>
        <w:rPr>
          <w:rFonts w:ascii="Arial" w:cs="Arial" w:eastAsia="Arial" w:hAnsi="Arial"/>
          <w:sz w:val="16"/>
          <w:szCs w:val="16"/>
          <w:color w:val="auto"/>
        </w:rPr>
      </w:pPr>
    </w:p>
    <w:p>
      <w:pPr>
        <w:ind w:left="1060" w:right="80" w:hanging="316"/>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network equipment providers such as, Ericsson, Huawei, Nokia Networks, and NEC and its subsidiary NetCracker (some of whom we also cooperate with in certain opportunities and projects and some of whom have also moved into the BSS/OSS space);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46"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niche domain players, often start-up companies, who compete against particular parts of our portfolio, such as Matrixx, Openet in charging; Zuora, Aria, Stripe in subscription billing; Deluxe Entertainment and iNDemand in Media.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ind w:left="1060" w:right="10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applying our over 35-year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design and develop solutions targeted specifically to the communications, cable, entertainment and media industry,</w:t>
      </w:r>
    </w:p>
    <w:p>
      <w:pPr>
        <w:spacing w:after="0" w:line="142"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 diverse, multi-cultural workforce spread across the globe provides strength and a competitive business advantage.</w:t>
      </w:r>
    </w:p>
    <w:p>
      <w:pPr>
        <w:spacing w:after="0" w:line="16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200" w:firstLine="441"/>
        <w:spacing w:after="0" w:line="252"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3.7 million square feet worldwide, including significant leases in the United States, Israel, Canada, Cyprus, India, Philippines, United Kingdom and Mexico. The following table summarizes information with respect to the principal facilities leased by us and our subsidiaries as of September 30, 2018:</w:t>
      </w:r>
    </w:p>
    <w:tbl>
      <w:tblPr>
        <w:tblLayout w:type="fixed"/>
        <w:tblInd w:w="1520" w:type="dxa"/>
        <w:tblCellMar>
          <w:top w:w="0" w:type="dxa"/>
          <w:left w:w="0" w:type="dxa"/>
          <w:bottom w:w="0" w:type="dxa"/>
          <w:right w:w="0" w:type="dxa"/>
        </w:tblCellMar>
      </w:tblPr>
      <w:tr>
        <w:trPr>
          <w:trHeight w:val="135"/>
        </w:trPr>
        <w:tc>
          <w:tcPr>
            <w:tcW w:w="7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158"/>
        </w:trPr>
        <w:tc>
          <w:tcPr>
            <w:tcW w:w="7460" w:type="dxa"/>
            <w:vAlign w:val="bottom"/>
            <w:gridSpan w:val="3"/>
            <w:vMerge w:val="continue"/>
          </w:tcPr>
          <w:p>
            <w:pPr>
              <w:spacing w:after="0"/>
              <w:rPr>
                <w:sz w:val="13"/>
                <w:szCs w:val="13"/>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Champaign, IL</w:t>
            </w:r>
          </w:p>
        </w:tc>
        <w:tc>
          <w:tcPr>
            <w:tcW w:w="860" w:type="dxa"/>
            <w:vAlign w:val="bottom"/>
          </w:tcPr>
          <w:p>
            <w:pPr>
              <w:jc w:val="right"/>
              <w:spacing w:after="0"/>
              <w:rPr>
                <w:sz w:val="20"/>
                <w:szCs w:val="20"/>
                <w:color w:val="auto"/>
              </w:rPr>
            </w:pPr>
            <w:r>
              <w:rPr>
                <w:rFonts w:ascii="Arial" w:cs="Arial" w:eastAsia="Arial" w:hAnsi="Arial"/>
                <w:sz w:val="18"/>
                <w:szCs w:val="18"/>
                <w:color w:val="auto"/>
              </w:rPr>
              <w:t>176,283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 Louis, MO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Burbank, CA</w:t>
            </w:r>
          </w:p>
        </w:tc>
        <w:tc>
          <w:tcPr>
            <w:tcW w:w="860" w:type="dxa"/>
            <w:vAlign w:val="bottom"/>
          </w:tcPr>
          <w:p>
            <w:pPr>
              <w:jc w:val="right"/>
              <w:spacing w:after="0"/>
              <w:rPr>
                <w:sz w:val="20"/>
                <w:szCs w:val="20"/>
                <w:color w:val="auto"/>
              </w:rPr>
            </w:pPr>
            <w:r>
              <w:rPr>
                <w:rFonts w:ascii="Arial" w:cs="Arial" w:eastAsia="Arial" w:hAnsi="Arial"/>
                <w:sz w:val="18"/>
                <w:szCs w:val="18"/>
                <w:color w:val="auto"/>
              </w:rPr>
              <w:t>56,005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Seattle, WA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Eldorado Hills, CA</w:t>
            </w:r>
          </w:p>
        </w:tc>
        <w:tc>
          <w:tcPr>
            <w:tcW w:w="860" w:type="dxa"/>
            <w:vAlign w:val="bottom"/>
          </w:tcPr>
          <w:p>
            <w:pPr>
              <w:jc w:val="right"/>
              <w:spacing w:after="0"/>
              <w:rPr>
                <w:sz w:val="20"/>
                <w:szCs w:val="20"/>
                <w:color w:val="auto"/>
              </w:rPr>
            </w:pPr>
            <w:r>
              <w:rPr>
                <w:rFonts w:ascii="Arial" w:cs="Arial" w:eastAsia="Arial" w:hAnsi="Arial"/>
                <w:sz w:val="18"/>
                <w:szCs w:val="18"/>
                <w:color w:val="auto"/>
              </w:rPr>
              <w:t>40,867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679,835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Ra’anana</w:t>
            </w:r>
          </w:p>
        </w:tc>
        <w:tc>
          <w:tcPr>
            <w:tcW w:w="860" w:type="dxa"/>
            <w:vAlign w:val="bottom"/>
          </w:tcPr>
          <w:p>
            <w:pPr>
              <w:jc w:val="right"/>
              <w:spacing w:after="0"/>
              <w:rPr>
                <w:sz w:val="20"/>
                <w:szCs w:val="20"/>
                <w:color w:val="auto"/>
              </w:rPr>
            </w:pPr>
            <w:r>
              <w:rPr>
                <w:rFonts w:ascii="Arial" w:cs="Arial" w:eastAsia="Arial" w:hAnsi="Arial"/>
                <w:sz w:val="18"/>
                <w:szCs w:val="18"/>
                <w:color w:val="auto"/>
              </w:rPr>
              <w:t>917,795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Sderot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Nazareth</w:t>
            </w:r>
          </w:p>
        </w:tc>
        <w:tc>
          <w:tcPr>
            <w:tcW w:w="860" w:type="dxa"/>
            <w:vAlign w:val="bottom"/>
          </w:tcPr>
          <w:p>
            <w:pPr>
              <w:jc w:val="right"/>
              <w:spacing w:after="0"/>
              <w:rPr>
                <w:sz w:val="20"/>
                <w:szCs w:val="20"/>
                <w:color w:val="auto"/>
              </w:rPr>
            </w:pPr>
            <w:r>
              <w:rPr>
                <w:rFonts w:ascii="Arial" w:cs="Arial" w:eastAsia="Arial" w:hAnsi="Arial"/>
                <w:sz w:val="18"/>
                <w:szCs w:val="18"/>
                <w:color w:val="auto"/>
              </w:rPr>
              <w:t>25,919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1,116,776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Montreal</w:t>
            </w:r>
          </w:p>
        </w:tc>
        <w:tc>
          <w:tcPr>
            <w:tcW w:w="860" w:type="dxa"/>
            <w:vAlign w:val="bottom"/>
          </w:tcPr>
          <w:p>
            <w:pPr>
              <w:jc w:val="right"/>
              <w:spacing w:after="0"/>
              <w:rPr>
                <w:sz w:val="20"/>
                <w:szCs w:val="20"/>
                <w:color w:val="auto"/>
              </w:rPr>
            </w:pPr>
            <w:r>
              <w:rPr>
                <w:rFonts w:ascii="Arial" w:cs="Arial" w:eastAsia="Arial" w:hAnsi="Arial"/>
                <w:sz w:val="18"/>
                <w:szCs w:val="18"/>
                <w:color w:val="auto"/>
              </w:rPr>
              <w:t>60,274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Toronto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Ottawa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Cyprus (Limassol)</w:t>
            </w:r>
          </w:p>
        </w:tc>
        <w:tc>
          <w:tcPr>
            <w:tcW w:w="860" w:type="dxa"/>
            <w:vAlign w:val="bottom"/>
          </w:tcPr>
          <w:p>
            <w:pPr>
              <w:jc w:val="right"/>
              <w:spacing w:after="0"/>
              <w:rPr>
                <w:sz w:val="20"/>
                <w:szCs w:val="20"/>
                <w:color w:val="auto"/>
              </w:rPr>
            </w:pPr>
            <w:r>
              <w:rPr>
                <w:rFonts w:ascii="Arial" w:cs="Arial" w:eastAsia="Arial" w:hAnsi="Arial"/>
                <w:sz w:val="18"/>
                <w:szCs w:val="18"/>
                <w:color w:val="auto"/>
              </w:rPr>
              <w:t>143,730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Pune</w:t>
            </w:r>
          </w:p>
        </w:tc>
        <w:tc>
          <w:tcPr>
            <w:tcW w:w="860" w:type="dxa"/>
            <w:vAlign w:val="bottom"/>
          </w:tcPr>
          <w:p>
            <w:pPr>
              <w:jc w:val="right"/>
              <w:spacing w:after="0"/>
              <w:rPr>
                <w:sz w:val="20"/>
                <w:szCs w:val="20"/>
                <w:color w:val="auto"/>
              </w:rPr>
            </w:pPr>
            <w:r>
              <w:rPr>
                <w:rFonts w:ascii="Arial" w:cs="Arial" w:eastAsia="Arial" w:hAnsi="Arial"/>
                <w:sz w:val="18"/>
                <w:szCs w:val="18"/>
                <w:color w:val="auto"/>
              </w:rPr>
              <w:t>940,420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Delhi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860" w:type="dxa"/>
            <w:vAlign w:val="bottom"/>
          </w:tcPr>
          <w:p>
            <w:pPr>
              <w:jc w:val="right"/>
              <w:spacing w:after="0"/>
              <w:rPr>
                <w:sz w:val="20"/>
                <w:szCs w:val="20"/>
                <w:color w:val="auto"/>
              </w:rPr>
            </w:pPr>
            <w:r>
              <w:rPr>
                <w:rFonts w:ascii="Arial" w:cs="Arial" w:eastAsia="Arial" w:hAnsi="Arial"/>
                <w:sz w:val="18"/>
                <w:szCs w:val="18"/>
                <w:color w:val="auto"/>
              </w:rPr>
              <w:t>76,370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860" w:type="dxa"/>
            <w:vAlign w:val="bottom"/>
          </w:tcPr>
          <w:p>
            <w:pPr>
              <w:jc w:val="right"/>
              <w:spacing w:after="0"/>
              <w:rPr>
                <w:sz w:val="20"/>
                <w:szCs w:val="20"/>
                <w:color w:val="auto"/>
              </w:rPr>
            </w:pPr>
            <w:r>
              <w:rPr>
                <w:rFonts w:ascii="Arial" w:cs="Arial" w:eastAsia="Arial" w:hAnsi="Arial"/>
                <w:sz w:val="18"/>
                <w:szCs w:val="18"/>
                <w:color w:val="auto"/>
              </w:rPr>
              <w:t>70,934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locations (27 countries)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3"/>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leases expire on various dates through 2026, not including various options to terminate or extend lease terms. In December 2017, the Company entered into agreements with Union Investments and Development Limited (“Union”) to partner through a legal entity that would be equally owned by the Company and Union for the purpose of acquiring land which the Company intends to use as the site for a new campus in Ra’anana, Israel that we believe will provide an advanced, optimal working environment that can meet the needs of Amdocs Israel and its employees, and support the Company’s future growth. The design for the new campus is in accordance with LEED requirements and includes advanced energy and water saving systems.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develop amdocsONE solutions over a system of UNIX, Linux and Windows servers owned or leased by us. We use a variety of software products in our development centers, including products by Microsoft, Oracle, Syncsort, Red Hat, CA, IBM, Hewlett-Packard or others. Our data storage is based mainly on equipment from EMC, NetApp, IBM, Hitachi and Hewlett-Packard.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Amdocs is a leading provider of software and services for communications, cable, entertainment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develop, implement and manage software and services designed to meet the business imperatives of our customers. Our technology, design-led thinking approach and expertise help service providers to further transform into digital service providers, enhance their entertainment offerings, and serve their customers across all channels. amdocsONE, our latest set of industry-leading offerings and services, enables service providers to accelerate their continuous digital transformation.</w:t>
      </w:r>
    </w:p>
    <w:p>
      <w:pPr>
        <w:spacing w:after="0" w:line="18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 global communications industry impacted by unprecedented growth in data demand, an increasing number of connected devices, improvement in IoT technologies, and the rising influence of device makers, social networks and OTT players that bypass traditional service providers, consumers expect immediate and constant connectivity to personalized services, information and applications. To capture new revenue streams, service providers are continuing to transform to become digital service providers, investing in their networks to meet the demand for increased bandwidth and are searching for ways to provide new services, particularly content. We seek to address these market forces through a strategy of innovation from the network and business support systems to the device and end user, leveraging cloud-native microservices technologies for high velocity time to market, and delivering in fast DevOps sprints, with full accountability, to control costs, bring optimal scope and drive agility. Our goal is to supply cost-effective, modular, scalable and open software products and services that provide functionality and flexibility to service providers as they and their markets grow and change.</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part, we have sought, through acquisitions, to expand our service offerings and customer base and to enhance our ability to provide managed services to our customers. In recent years, we have completed numerous acquisitions (including our fiscal 2017 acquisition of Kenzan and our fiscal 2018 acquisitions of projekt202, UXP Systems and Vubiquity), which, among other things, we believe will enable us to expand our digital offerings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amdocsONE</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amdocsONE offering consists of software and services that address service providers’ business and operational needs. Its open, modular and integrated solution set introduces a rich group of capabilities built on cloud-native, microservices and machine learning technologies, and is delivered based on modern DevOps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practices. amdocsONE is designed to meet the business imperatives of our customers who are transforming into digital service providers within the framework of a hybrid IT environment, which requires them to rapidly introduce new cloud-native applications while still operating legacy systems. Its solutions help service providers to grow revenue and deliver a superior user experience; entertain end users and leverage the digital ecosystem; enable the enterprise and connected society; evolve to a service-driven network, as well as provide our customers with services to drive agile operations.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comprehensive line of services is designed to address every stage of a service provider’s lifecycle. They include advisory services, managed services, autonomous network service assurance, digital business operations, quality engineering services, and data and intelligence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fiscal 2018, customers in North America accounted for 64.2% of our revenue, while customers in Europe and the rest of the world accounted for 14.4% and 21.4%, respectively. We maintain development facilities in Brazil, Canada, Cyprus, India, Ireland, Israel, Mexico, the Philippines, the United Kingdom and the United States. Historically, AT&amp;T has been our largest customer, accounting for 27% and 33% of our revenue in fiscal 2018 and 2017, respectively. Aggregate revenue derived from the multiple business arrangements we have with our ten largest customers accounted for approximately 66% of our revenue in fiscal 2018 and 71% in fiscal 2017. We believe that demand for our solutions is primarily driven by the following key factors:</w:t>
      </w:r>
    </w:p>
    <w:p>
      <w:pPr>
        <w:spacing w:after="0" w:line="83"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Transformation within the communications industry, including:</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300" w:right="660" w:hanging="218"/>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29" w:lineRule="exact"/>
        <w:rPr>
          <w:rFonts w:ascii="Arial" w:cs="Arial" w:eastAsia="Arial" w:hAnsi="Arial"/>
          <w:sz w:val="16"/>
          <w:szCs w:val="16"/>
          <w:color w:val="auto"/>
        </w:rPr>
      </w:pPr>
    </w:p>
    <w:p>
      <w:pPr>
        <w:ind w:left="1300" w:right="320" w:hanging="218"/>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evolving service provider business models and opportunities like OTT partnerships, content development and offerings, advertising, enterprise and small or medium-sized business modernization, and innovative consumer bundling solutions,</w:t>
      </w:r>
    </w:p>
    <w:p>
      <w:pPr>
        <w:spacing w:after="0" w:line="51" w:lineRule="exact"/>
        <w:rPr>
          <w:rFonts w:ascii="Arial" w:cs="Arial" w:eastAsia="Arial" w:hAnsi="Arial"/>
          <w:sz w:val="17"/>
          <w:szCs w:val="17"/>
          <w:color w:val="auto"/>
        </w:rPr>
      </w:pPr>
    </w:p>
    <w:p>
      <w:pPr>
        <w:ind w:left="1300" w:right="380" w:hanging="218"/>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80" w:hanging="21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long range (LoRa), Narrowband IoT (NB-IOT, network functions virtualization (NFV), network automation and edge computing,</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emerging initiatives like artificial intelligence, including machine learning (ML) and natural language processing (NLP), and blockchain.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300" w:right="440" w:hanging="21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300" w:right="400" w:hanging="21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 and</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proactive multi-modal customer care and commerce.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300" w:right="360" w:hanging="21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75" w:lineRule="exact"/>
        <w:rPr>
          <w:rFonts w:ascii="Arial" w:cs="Arial" w:eastAsia="Arial" w:hAnsi="Arial"/>
          <w:sz w:val="18"/>
          <w:szCs w:val="18"/>
          <w:color w:val="auto"/>
        </w:rPr>
      </w:pPr>
    </w:p>
    <w:p>
      <w:pPr>
        <w:ind w:left="1300" w:right="340" w:hanging="21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BSS/OSS and network solutions,</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225" w:lineRule="exact"/>
        <w:rPr>
          <w:sz w:val="20"/>
          <w:szCs w:val="20"/>
          <w:color w:val="auto"/>
        </w:rPr>
      </w:pPr>
    </w:p>
    <w:p>
      <w:pPr>
        <w:ind w:left="200" w:right="220" w:firstLine="441"/>
        <w:spacing w:after="0" w:line="288" w:lineRule="auto"/>
        <w:rPr>
          <w:sz w:val="20"/>
          <w:szCs w:val="20"/>
          <w:color w:val="auto"/>
        </w:rPr>
      </w:pPr>
      <w:r>
        <w:rPr>
          <w:rFonts w:ascii="Arial" w:cs="Arial" w:eastAsia="Arial" w:hAnsi="Arial"/>
          <w:sz w:val="16"/>
          <w:szCs w:val="16"/>
          <w:color w:val="auto"/>
        </w:rPr>
        <w:t>In fiscal 2018, our total revenue was $3.97 billion, of which $3.93 billion, or 98.9%, was attributable to the sale of amdocsONE. Revenue from managed services arrangements (for amdocsONE and entertainment and media directory systems) is a significant part of our business generating substantial, long-term recurring revenue streams and cash flow. Revenue from managed services arrangements accounted for approximately</w:t>
      </w:r>
    </w:p>
    <w:p>
      <w:pPr>
        <w:ind w:left="200" w:right="120"/>
        <w:spacing w:after="0" w:line="271" w:lineRule="auto"/>
        <w:rPr>
          <w:sz w:val="20"/>
          <w:szCs w:val="20"/>
          <w:color w:val="auto"/>
        </w:rPr>
      </w:pPr>
      <w:r>
        <w:rPr>
          <w:rFonts w:ascii="Arial" w:cs="Arial" w:eastAsia="Arial" w:hAnsi="Arial"/>
          <w:sz w:val="17"/>
          <w:szCs w:val="17"/>
          <w:color w:val="auto"/>
        </w:rPr>
        <w:t>$2.05 billion and $2.01 billion of revenue in fiscal 2018 and 2017,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and associated technologies, for example, DevOps, Continuous Integration/Continuous Development (CI/CD) and Agile, to ensure we are able to develop and deliver our solutions efficiently and cost-effectively.</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Substantially all of our research and development expenditures are directed at our solutions. In recent years, we have also invested our research and development efforts in network control, optimization and orchestration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and network functions virtualization technologies; applications to enable service providers to deploy and monetize technologies such as fiber, LTE, small cells and Wi-Fi; big data analytics and intelligence capabilities leveraging natural language processing and artificial intelligence toward consumer and business satisfaction, marketing effectiveness and network operations and experience; increased focused for the business segment, digital, commerce and entertainment domains,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2018, 2017 and 2016, certain items in our consolidated statements of income reflected as a percentage of revenue (figures may not sum because of rounding):</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6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65.3</w:t>
            </w:r>
          </w:p>
        </w:tc>
        <w:tc>
          <w:tcPr>
            <w:tcW w:w="10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30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6.7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12.1</w:t>
            </w:r>
          </w:p>
        </w:tc>
        <w:tc>
          <w:tcPr>
            <w:tcW w:w="10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w w:val="93"/>
              </w:rPr>
              <w:t>Amortization of purchased intangible assets and other</w:t>
            </w:r>
          </w:p>
        </w:tc>
        <w:tc>
          <w:tcPr>
            <w:tcW w:w="3300" w:type="dxa"/>
            <w:vAlign w:val="bottom"/>
            <w:gridSpan w:val="3"/>
          </w:tcPr>
          <w:p>
            <w:pPr>
              <w:jc w:val="right"/>
              <w:ind w:right="62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020" w:type="dxa"/>
            <w:vAlign w:val="bottom"/>
            <w:tcBorders>
              <w:right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6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6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87.0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10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3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taxes</w:t>
            </w:r>
          </w:p>
        </w:tc>
        <w:tc>
          <w:tcPr>
            <w:tcW w:w="23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11.3%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00" w:type="dxa"/>
            <w:vAlign w:val="bottom"/>
            <w:vMerge w:val="restart"/>
          </w:tcPr>
          <w:p>
            <w:pPr>
              <w:jc w:val="right"/>
              <w:ind w:right="1890"/>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2018 and 2017</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2018, compared to the fiscal year ended September 30, 2017. Following the table is a discussion and analysis of our business and results of operations for these fiscal years.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Year Ended September 30,</w:t>
            </w:r>
          </w:p>
        </w:tc>
        <w:tc>
          <w:tcPr>
            <w:tcW w:w="4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3,974,837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3,867,155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$107,682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2,595,276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2,507,656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87,620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259,097</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17,518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110,291</w:t>
            </w:r>
          </w:p>
        </w:tc>
        <w:tc>
          <w:tcPr>
            <w:tcW w:w="44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(1,802)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3,546,530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3,349,822</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196,708</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517,333</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(89,026)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(4,421)</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(2,345)</w:t>
            </w:r>
          </w:p>
        </w:tc>
        <w:tc>
          <w:tcPr>
            <w:tcW w:w="62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512,912</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76,086</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(8,941)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 (82,430)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by $107.7 million, or 2.8%, to $3,974.8 million in fiscal year 2018, from $3,867.2 million in fiscal year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increase in revenue, which was net of a revenue decrease from the sale of directory systems, was attributable to increased activity in Europe, and to a lesser extent in the rest of the world. The 2.8% increase in revenue, was positively affected by activity related to acquisitions in fiscal year 2018, as well as approximately half percent from foreign exchange fluctuations.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amdocsONE increased by $121.0 million, or 3.2%, to $3,930.1 million in fiscal year 2018, from</w:t>
      </w:r>
    </w:p>
    <w:p>
      <w:pPr>
        <w:spacing w:after="0" w:line="2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$3,809.1 million in fiscal year 2017. The majority of increase in revenue was attributable to increased activity in Europe, and to a lesser extent in the rest of the world. Revenue resulting from the sale of amdocsONE represented 98.9% and 98.5% of our total revenue in fiscal years 2018 and 2017, respectively.</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directory systems decreased by $13.4 million, or 23.1%, to $44.7 million in fiscal year 2018, from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$58.1 million in fiscal year 2017. This decrease was primarily attributable to continued slowness in the directory systems market and we anticipate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the sale of directory systems will continue to decline in fiscal year 2019. Revenue from the sale of directory systems represented 1.1%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 of our total revenue in fiscal years 2018 and 2017, respectively.</w:t>
      </w:r>
    </w:p>
    <w:p>
      <w:pPr>
        <w:spacing w:after="0" w:line="21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fiscal year 2018, revenue from customers in North America, Europe and the rest of the world accounted for 64.2%, 14.4% and 21.4%, respectively, of total revenue, compared to 65.9%, 12.6% and 21.5%, respectively, in fiscal year 2017. Revenue from customers in North America slightly increased in fiscal year 2018, while total revenue increased at a higher rate, which resulted in a decrease of revenue from customers in North America as a percentage of total revenue. The decrease in the percentage of revenue from customers in North America was primarily attributable to lower activity with AT&amp;T. The decrease was partially offset by higher revenue from other key customers in North America as we support the continuous digital transformation of the region’s communications, Pay TV and media companies and by activities related to fiscal year 2018 acquisitions. The increase in revenue from customers in Europe was primarily attributable to higher revenue from development and modernization activities, while we expand our presence in this region, as well as to positive foreign exchange fluctuations.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Revenue from customers in the rest of the world increased in fiscal year 2018, while total revenue increased at a higher rate, which resulted in similar level of revenue from customers in the rest of the world as a percentage of total revenue. The increase in revenue from customers in the rest of the world was driven by increased activity in Asia-Pacific as a result of our progress with new and existing customers which was partially offset by lower revenue from other regions within the rest of the world.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consists primarily of costs associated with providing services to customers, including compensation expense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costs of third-party products, as well as fee and royalty payments to software suppliers. Cost of revenue increased by $87.6 million, or 3.5%,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$2,595.3 million in fiscal year 2018, from $2,507.7 million in fiscal year 2017. As a percentage of revenue, cost of revenue increased to 65.3% in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year 2018 from 64.8% in fiscal year 2017. The decrease in the gross margin in fiscal year 2018 compared to fiscal year 2017 was primarily attributable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a loss resulting from changes in certain acquisition-related liabilities measured at fair value recognized in fiscal year 2018 as well as to an opposite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 in fiscal year 2017 of a gain resulting from changes in certain acquisition-related liabilities measured at fair value recognized.</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Excluding the changes in certain acquisition-related liabilities measured at fair value mentioned above, we were able to maintain our gross margin in fiscal year 2018.</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increased by $17.5 million, or 6.8%, to $276.6 million in fiscal year 2018, from $259.1 million in fiscal year 2017. Research and development expense increased as a percentage of revenue from 6.7% in fiscal year 2017, to 7.0% in fiscal year 2018. We continue to expand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$8.3 million, or 1.8%, to $481.1 million in fiscal year 2018, from $472.8 million in fiscal year 2017. Selling, general and administrative expense decreased as a percentage of revenue from 12.2% in fiscal year 2017, to 12.1% in fiscal year 2018.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decreased by $1.8 million, or 1.6%,</w:t>
      </w:r>
      <w:r>
        <w:rPr>
          <w:rFonts w:ascii="Arial" w:cs="Arial" w:eastAsia="Arial" w:hAnsi="Arial"/>
          <w:sz w:val="18"/>
          <w:szCs w:val="18"/>
          <w:i w:val="1"/>
          <w:iCs w:val="1"/>
          <w:color w:val="auto"/>
        </w:rPr>
        <w:t xml:space="preserve"> </w:t>
      </w:r>
      <w:r>
        <w:rPr>
          <w:rFonts w:ascii="Arial" w:cs="Arial" w:eastAsia="Arial" w:hAnsi="Arial"/>
          <w:sz w:val="18"/>
          <w:szCs w:val="18"/>
          <w:color w:val="auto"/>
        </w:rPr>
        <w:t>to $108.5 million in fiscal year 2018, from $110.3 million in fiscal year 2017. The decrease in amortization of purchased intangible assets and other was primarily attributable to a decrease in amortization caused by fully amortized intangible assets partially offset by increase of amortization of intangible assets due to the acquisitions completed in fiscal year 2018.</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Non-recurring Charges. </w:t>
      </w:r>
      <w:r>
        <w:rPr>
          <w:rFonts w:ascii="Arial" w:cs="Arial" w:eastAsia="Arial" w:hAnsi="Arial"/>
          <w:sz w:val="18"/>
          <w:szCs w:val="18"/>
          <w:color w:val="auto"/>
        </w:rPr>
        <w:t>Non-recurring charges for fiscal year 2018 were $85.1 million, while there were no such charges in the fiscal year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Non-recurring charges include a loss incurred to settle a long-running legal dispute and restructuring charges which were primarily associated with recently completed acquisitions and internal business realignment actions in North America. Please see Note 10 and Note 16 to our consolidated financial statements.</w:t>
      </w:r>
    </w:p>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decreased by $89.0 million, or 17.2%, to $428.3 million in fiscal year 2018, from $517.3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2017. Operating income decreased as a percentage of revenue, from 13.4% in fiscal year 2017 to 10.8% in fiscal year 2018. The decrease in operating income as a percentage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revenue was attributable mainly to operating expenses, particularly to non-recurring charges recognized in fiscal year 2018. Negative foreign exchange impacts on our operating income which resulted from negative impact on our operating expenses, were partially offset by positive foreign exchange impacts on our revenue.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changed from a net loss of $4.4 million in fiscal year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a net loss of $6.8 million in fiscal year 2018. This change in interest and other (expense) income, net, was primarily attributable to foreign exchange impacts.</w:t>
      </w:r>
    </w:p>
    <w:p>
      <w:pPr>
        <w:spacing w:after="0" w:line="18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2018 were $67.1 million on pre-tax income of $421.5 million, resulting in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15.9%, compared to 14.8% in fiscal year 2017. Our effective tax rate may fluctuate between periods as a result of discrete items that may affect a particular period. Please see Note 11 to our consolidated financial statements.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by $82.4 million, or 18.9%, to $354.4 million in fiscal year 2018, from $436.8 million in fiscal year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was primarily attributable to non-recurring charges recognized in fiscal year 2018.</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decreased by $0.49, or 16.6%, to $2.47 in fiscal year 2018, from $2.96 in fiscal year 2017.</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diluted earnings per share was primarily attributable to non-recurring charges, partially offset by the decrease in the diluted weighted average number of shares outstanding, which resulted from share repurchases. Please see also Note 20 to our consolidated financial statements.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2017 and 2016</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2017, compared to the fiscal year ended September 30, 2016. Following the table is a discussion and analysis of our business and results of operations for these fiscal years.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Increase (Decrease)</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3,867,155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3,718,229</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148,926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2,507,656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2,408,040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252,292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109,873</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3,349,822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3,235,088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114,734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517,333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483,141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34,192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484,698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28,214</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409,331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27,495</w:t>
            </w:r>
          </w:p>
        </w:tc>
        <w:tc>
          <w:tcPr>
            <w:tcW w:w="3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by $148.9 million, or 4.0%, to $3,867.2 million in fiscal year 2017, from $3,718.2 million in fiscal year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revenue, which was net of a decrease of approximately 1.0% from the sale of directory systems, was primarily attributable to increased activity in North America and was also positively affected by activities related to Vindicia, Brite:Bill and Pontis, which we acquired in September 2016.</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amdocsONE increased by $179.4 million, or 4.9%, to $3,809.1 million in fiscal year 2017, from</w:t>
      </w:r>
    </w:p>
    <w:p>
      <w:pPr>
        <w:spacing w:after="0" w:line="23"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$3,629.7 million in fiscal year 2016. The increase in revenue was primarily attributable to increased activity in North America and was also positively affected by activities related to Vindicia, Brite:Bill and Pontis, which we acquired in September 2016. Revenue resulting from the sale of amdocsONE represented 98.5% and 97.6% of our total revenue in fiscal years 2017 and 2016, respectively.</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directory systems decreased by $30.4 million, or 34.4%, to $58.1 million in fiscal year 2017, from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$88.5 million in fiscal year 2016. This decrease was primarily attributable to continued slowness in the directory systems market and we anticipate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the sale of directory systems will continue to decline in fiscal year 2018. Revenue from the sale of directory systems represented 1.5%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2.4% of our total revenue in fiscal years 2017 and 2016, respectively.</w:t>
      </w:r>
    </w:p>
    <w:p>
      <w:pPr>
        <w:spacing w:after="0" w:line="211"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In fiscal year 2017, revenue from customers in North America, Europe and the rest of the world accounted for 65.9%, 12.6% and 21.5%, respectively, of total revenue, compared to 64.0%, 13.8% and 22.2%, respectively, in fiscal year 2016. The increase in the percentage of revenue from customers in North America was primarily attributable to increased activity with several customers, particularly AT&amp;T and Pay TV service providers. The decrease in revenue from customers in Europe was attributable to lower revenue from transformation and implementation projects. Revenue from customers in the rest of the world slightly increased in fiscal year 2017, while total revenue increased at a higher rate, which resulted in a decrease in revenue from customers in the rest of the world as a percentage of total revenue. The slight increase in revenue from customers in the rest of the world was driven by increased activity in Asia-Pacific, which was partially offset by lower revenue from customers in Central and Latin America.</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consists primarily of costs associated with providing services to customers, including compensation expense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costs of third-party products, as well as fee and royalty payments to software suppliers. Cost of revenue increased by $99.6 million, or 4.1%,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$2,507.7 million in fiscal year 2017, from $2,408.0 million in fiscal year 2016. As a percentage of revenue, cost of revenue remained flat at 64.8%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both fiscal years 2017 and 2016. We were able to maintain our gross margin in fiscal year 2017 as a result of ongoing focus on achieving operational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efficiencies, despite the negative effect of our activity outside of our established markets, where we continued our penetration efforts in order to expand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 into those markets.</w:t>
      </w:r>
    </w:p>
    <w:p>
      <w:pPr>
        <w:spacing w:after="0" w:line="21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increased by $6.8 million, or 2.7%, to $259.1 million in fiscal year 2017, from $252.3 million in fiscal year 2016. Research and development expense decreased as a percentage of revenue from 6.8% in fiscal year 2016, to 6.7% in fiscal year 2017.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$7.9 million, or 1.7%, to $472.8 million in fiscal year 2017, from $464.9 million in fiscal year 2016. Selling, general and administrative expense decreased as a percentage of revenue from 12.5% in fiscal year 2016, to 12.2% in fiscal year 2017. The decrease in selling, general and administrative expense as a percentage of revenue was primarily attributable to changes in the accounts receivable allowances that were partially offset by activities related to Vindicia, Brite:Bill and Pontis, which we acquired in September 2016. Selling, general and administrative expense may fluctuate from time to time, depending upon such factors as changes in our workforce and sales efforts and the results of any operational efficiency programs that we may undertake.</w:t>
      </w:r>
    </w:p>
    <w:p>
      <w:pPr>
        <w:spacing w:after="0" w:line="18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increased by $0.4 million, or 0.4%,</w:t>
      </w:r>
      <w:r>
        <w:rPr>
          <w:rFonts w:ascii="Arial" w:cs="Arial" w:eastAsia="Arial" w:hAnsi="Arial"/>
          <w:sz w:val="18"/>
          <w:szCs w:val="18"/>
          <w:i w:val="1"/>
          <w:iCs w:val="1"/>
          <w:color w:val="auto"/>
        </w:rPr>
        <w:t xml:space="preserve"> </w:t>
      </w:r>
      <w:r>
        <w:rPr>
          <w:rFonts w:ascii="Arial" w:cs="Arial" w:eastAsia="Arial" w:hAnsi="Arial"/>
          <w:sz w:val="18"/>
          <w:szCs w:val="18"/>
          <w:color w:val="auto"/>
        </w:rPr>
        <w:t>to $110.3 million in fiscal year 2017, from $109.9 million in fiscal year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2016. The increase in amortization of purchased intangible assets and other was attributable to an increase in amortization of intangible assets due to the acquisitions of Vindicia, Brite:Bill and Pontis, which was offset by timing of amortization charges of previously purchased intangible assets and a decrease in acquisition-related costs.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increased by $34.2 million, or 7.1%, to $517.3 million in fiscal year 2017, from $483.1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2016. Operating income increased as a percentage of revenue, from 13.0% in fiscal year 2016 to 13.4% in fiscal year 2017. The increase in operating income as a percentage of revenue was attributable to operating expenses, particularly selling, general and administrative expense, increasing at a lower rate than revenue.</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$1.6 million in fiscal year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a net loss of $4.4 million in fiscal year 2017. This change in interest and other (expense) income, net, was primarily attributable to foreign exchange impacts.</w:t>
      </w:r>
    </w:p>
    <w:p>
      <w:pPr>
        <w:spacing w:after="0" w:line="18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2017 were $76.1 million on pre-tax income of $512.9 million, resulting in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14.8%, compared to 15.5% in fiscal year 2016. Our effective tax rate may fluctuate between periods as a result of discrete items that may affect a particular period. Please see Note 11 to our consolidated financial statements.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$27.5 million, or 6.7%, to $436.8 million in fiscal year 2017, from $409.3 million in fiscal year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income was primarily attributable to the increase in operating income.</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$0.25, or 9.2%, to $2.96 in fiscal year 2017, from $2.71 in fiscal year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diluted earnings per share was primarily attributable to the increase in net income, and, to a lesser extent, the decrease in the diluted weighted average number of shares outstanding, which resulted from share repurchases. Please see also Note 20 to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debt, totaled $519.2 million as of September 30, 2018, compared to $979.6 million as of September 30, 2017. The decrease during fiscal year 2018 was mainly attributable to $419.2 million used to repurchase our ordinary shares, $355.1 net cash paid for acquisitions, $231.1 million for capital expenditures, net, $134.3 million of cash dividend payments, partially offset by $557.2 million in cash flow from operations, $81.3 million of proceeds from stock option exercises and $47.0 million investment by noncontrolling interest, net. Net cash provided by operating activities amounted to $557.2 million and $636.1 million in fiscal years 2018 and 2017, respectively.</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2019, we plan to return to shareholders the majority of our normalized free cash flow before the capital expenditures associated with the multiyear development of our new campus in Israel and a payment related to the settlement of the legal dispute, subject to factors such as mergers and acquisitions, financial markets and prevailing industry conditions, (see also Note 2 and Note 16 to our consolidated financial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statements) through our ongoing share repurchase and dividend program. While having this plan in mind,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bank deposits, corporate bonds, money market funds, U.S. government treasuries, and U.S. agency securities. We believe we have conservative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 policy guidelines. Our interest-bearing investments are stated at fair value with the unrealized gains or losses reported as a separate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component of accumulated other comprehensive income (loss), net of tax, unless a security is other than temporarily impaired, in which case the loss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recorded in the consolidated statements of income. Our interest-bearing investments are priced by pricing vendors and are classified as Level 1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Level 2 investments, since these vendors either provide a quoted market price in an active market or use other observable inputs to price these securities.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fiscal years 2018 and 2017 we did not recognize credit losses. Please see Notes 4 and 5 to our consolidated financial statements.</w:t>
      </w:r>
    </w:p>
    <w:p>
      <w:pPr>
        <w:spacing w:after="0" w:line="21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 xml:space="preserve">Revolving Credit Facility, Letters of Credit and Guarantees. </w:t>
      </w:r>
      <w:r>
        <w:rPr>
          <w:rFonts w:ascii="Arial" w:cs="Arial" w:eastAsia="Arial" w:hAnsi="Arial"/>
          <w:sz w:val="17"/>
          <w:szCs w:val="17"/>
          <w:color w:val="auto"/>
        </w:rPr>
        <w:t>In 2011, we entered into an unsecured $500.0 million five-year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In March 2017, we borrowed an aggregate of $200.0 million under the facility and repaid it in April 2017. In March 2018, we borrowed an aggregate of $120.0 million under the facility and repaid it in April 2018. As of September 30, 2018, we were in compliance with the financial covenants under the revolving credit facility and had no outstanding borrowings under this facility.</w:t>
      </w:r>
    </w:p>
    <w:p>
      <w:pPr>
        <w:spacing w:after="0" w:line="17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September 30, 2018, we had additional uncommitted lines of credit available for general corporate and other specific purposes and had outstanding letters of credit and bank guarantees from various banks totaling $53.9 million. These were supported by a combination of the uncommitted lines of credit that we maintain with various banks.</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fiscal year 2018, we acquired three technology companies to expand our digital and media offering: Vubiquity, projekt202</w:t>
      </w:r>
      <w:r>
        <w:rPr>
          <w:rFonts w:ascii="Arial" w:cs="Arial" w:eastAsia="Arial" w:hAnsi="Arial"/>
          <w:sz w:val="18"/>
          <w:szCs w:val="18"/>
          <w:i w:val="1"/>
          <w:iCs w:val="1"/>
          <w:color w:val="auto"/>
        </w:rPr>
        <w:t xml:space="preserve"> </w:t>
      </w:r>
      <w:r>
        <w:rPr>
          <w:rFonts w:ascii="Arial" w:cs="Arial" w:eastAsia="Arial" w:hAnsi="Arial"/>
          <w:sz w:val="18"/>
          <w:szCs w:val="18"/>
          <w:color w:val="auto"/>
        </w:rPr>
        <w:t>and UXP Systems (“UXP”), for the aggregate purchase price of $355.1 million in cash.</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$231.1 million in fiscal year 2018. Our fiscal year 2018 capital expenditures were mainly attributable to investments in our operating facilities and our development centers around the world. Regarding our expected investment in our new campus in Israel, please see Note 2 to our consolidated financial statements.</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Our Board of Directors adopted a share repurchase plan, on February 2, 2016, which authorized the repurchase of up to $750.0 million of our outstanding ordinary shares with no expiration date. On November 8, 2017, our Board of Directors adopted another share repurchase plan for the repurchase of up to an additional $800.0 million of our outstanding ordinary shares with no expiration date. In April 2018, we completed the repurchase of the remaining authorized amount of ordinary shares under the February, 2016 plan and began executing repurchases under the November 2017 plan. In fiscal year 2018, we repurchased approximately 6.3 million ordinary shares at an average price of $66.14 per share (excluding broker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and transaction fees). The November 2017 plan permits us to purchase our ordinary shares in open market or privately negotiated transactions at times and prices that we consider appropriate. As of September 30, 2018, we had remaining authority to repurchase up to $637.1 million of our outstanding ordinary shares under the November 2017 plan.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2018, 2017 and 2016:</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60" w:type="dxa"/>
            <w:vAlign w:val="bottom"/>
            <w:gridSpan w:val="2"/>
          </w:tcPr>
          <w:p>
            <w:pPr>
              <w:ind w:left="1060"/>
              <w:spacing w:after="0"/>
              <w:rPr>
                <w:sz w:val="20"/>
                <w:szCs w:val="20"/>
                <w:color w:val="auto"/>
              </w:rPr>
            </w:pPr>
            <w:r>
              <w:rPr>
                <w:rFonts w:ascii="Arial" w:cs="Arial" w:eastAsia="Arial" w:hAnsi="Arial"/>
                <w:sz w:val="14"/>
                <w:szCs w:val="14"/>
                <w:b w:val="1"/>
                <w:bCs w:val="1"/>
                <w:color w:val="auto"/>
              </w:rPr>
              <w:t>Dividends Per</w:t>
            </w:r>
          </w:p>
        </w:tc>
        <w:tc>
          <w:tcPr>
            <w:tcW w:w="214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Amount</w:t>
            </w:r>
          </w:p>
        </w:tc>
        <w:tc>
          <w:tcPr>
            <w:tcW w:w="1620" w:type="dxa"/>
            <w:vAlign w:val="bottom"/>
          </w:tcPr>
          <w:p>
            <w:pPr>
              <w:spacing w:after="0"/>
              <w:rPr>
                <w:sz w:val="14"/>
                <w:szCs w:val="14"/>
                <w:color w:val="auto"/>
              </w:rPr>
            </w:pPr>
          </w:p>
        </w:tc>
      </w:tr>
      <w:tr>
        <w:trPr>
          <w:trHeight w:val="185"/>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Ordinary Share</w:t>
            </w:r>
          </w:p>
        </w:tc>
        <w:tc>
          <w:tcPr>
            <w:tcW w:w="21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Record Date</w:t>
            </w: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Payment Date</w:t>
            </w: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July 31, 2018</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0.250</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28, 2018</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19, 2018</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10, 2018</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0.250</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29, 2018</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35.4</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20, 2018</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January 30, 2018</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0.250</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30, 2018</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35.6</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20, 2018</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29, 2017</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31.6</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19, 2018</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August 2, 2017</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29, 2017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31.7</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23, 2017</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9, 2017</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2017</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32.0</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14, 2017</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February 1, 2017</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0.220</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31, 2017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14, 2017</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2016</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30, 2016</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28.6</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13, 2017</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July 26, 2016</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Pr>
          <w:p>
            <w:pPr>
              <w:ind w:left="360"/>
              <w:spacing w:after="0"/>
              <w:rPr>
                <w:sz w:val="20"/>
                <w:szCs w:val="20"/>
                <w:color w:val="auto"/>
              </w:rPr>
            </w:pPr>
            <w:r>
              <w:rPr>
                <w:rFonts w:ascii="Arial" w:cs="Arial" w:eastAsia="Arial" w:hAnsi="Arial"/>
                <w:sz w:val="18"/>
                <w:szCs w:val="18"/>
                <w:color w:val="auto"/>
              </w:rPr>
              <w:t>September 30, 2016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28.7</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21, 2016</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4, 2016</w:t>
            </w:r>
          </w:p>
        </w:tc>
        <w:tc>
          <w:tcPr>
            <w:tcW w:w="1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2016</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28.8</w:t>
            </w:r>
          </w:p>
        </w:tc>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July 15, 2016</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February 2, 2016</w:t>
            </w:r>
          </w:p>
        </w:tc>
        <w:tc>
          <w:tcPr>
            <w:tcW w:w="134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0.195</w:t>
            </w:r>
          </w:p>
        </w:tc>
        <w:tc>
          <w:tcPr>
            <w:tcW w:w="2140" w:type="dxa"/>
            <w:vAlign w:val="bottom"/>
          </w:tcPr>
          <w:p>
            <w:pPr>
              <w:ind w:left="360"/>
              <w:spacing w:after="0"/>
              <w:rPr>
                <w:sz w:val="20"/>
                <w:szCs w:val="20"/>
                <w:color w:val="auto"/>
              </w:rPr>
            </w:pPr>
            <w:r>
              <w:rPr>
                <w:rFonts w:ascii="Arial" w:cs="Arial" w:eastAsia="Arial" w:hAnsi="Arial"/>
                <w:sz w:val="18"/>
                <w:szCs w:val="18"/>
                <w:color w:val="auto"/>
              </w:rPr>
              <w:t>March 31, 2016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29.2</w:t>
            </w:r>
          </w:p>
        </w:tc>
        <w:tc>
          <w:tcPr>
            <w:tcW w:w="1620" w:type="dxa"/>
            <w:vAlign w:val="bottom"/>
          </w:tcPr>
          <w:p>
            <w:pPr>
              <w:ind w:left="360"/>
              <w:spacing w:after="0"/>
              <w:rPr>
                <w:sz w:val="20"/>
                <w:szCs w:val="20"/>
                <w:color w:val="auto"/>
              </w:rPr>
            </w:pPr>
            <w:r>
              <w:rPr>
                <w:rFonts w:ascii="Arial" w:cs="Arial" w:eastAsia="Arial" w:hAnsi="Arial"/>
                <w:sz w:val="18"/>
                <w:szCs w:val="18"/>
                <w:color w:val="auto"/>
              </w:rPr>
              <w:t>April 15, 2016</w:t>
            </w:r>
          </w:p>
        </w:tc>
      </w:tr>
      <w:tr>
        <w:trPr>
          <w:trHeight w:val="216"/>
        </w:trPr>
        <w:tc>
          <w:tcPr>
            <w:tcW w:w="20" w:type="dxa"/>
            <w:vAlign w:val="bottom"/>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0.170</w:t>
            </w:r>
          </w:p>
        </w:tc>
        <w:tc>
          <w:tcPr>
            <w:tcW w:w="2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December 31, 2015</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25.6</w:t>
            </w:r>
          </w:p>
        </w:tc>
        <w:tc>
          <w:tcPr>
            <w:tcW w:w="1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January 15, 2016</w:t>
            </w:r>
          </w:p>
        </w:tc>
      </w:tr>
    </w:tbl>
    <w:p>
      <w:pPr>
        <w:spacing w:after="0" w:line="21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November 8, 2018, our Board of Directors approved a quarterly dividend payment of $0.25 per share, and set December 31, 2018 as the record date for determining the shareholders entitled to receive the dividend, which is payable on January 18, 2019. On November 8, 2018, our Board of Directors also approved, subject to shareholder approval at the January 2019 annual general meeting of shareholders, an increase in the quarterly cash dividend to $0.285 per share, anticipated to be paid in April 2019.</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2018, and the effect such obligations are expected to have on our liquidity and cash flows in future periods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36"/>
              <w:spacing w:after="0"/>
              <w:rPr>
                <w:sz w:val="20"/>
                <w:szCs w:val="20"/>
                <w:color w:val="auto"/>
              </w:rPr>
            </w:pPr>
            <w:r>
              <w:rPr>
                <w:rFonts w:ascii="Arial" w:cs="Arial" w:eastAsia="Arial" w:hAnsi="Arial"/>
                <w:sz w:val="14"/>
                <w:szCs w:val="14"/>
                <w:b w:val="1"/>
                <w:bCs w:val="1"/>
                <w:color w:val="auto"/>
                <w:w w:val="92"/>
              </w:rPr>
              <w:t>Payments Due by Period</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6"/>
              </w:rPr>
              <w:t>Less Than</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1-3</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w w:val="95"/>
              </w:rPr>
              <w:t>4-5</w:t>
            </w:r>
          </w:p>
        </w:tc>
        <w:tc>
          <w:tcPr>
            <w:tcW w:w="116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80" w:type="dxa"/>
            <w:vAlign w:val="bottom"/>
            <w:gridSpan w:val="3"/>
            <w:vMerge w:val="continue"/>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
              <w:spacing w:after="0" w:line="158" w:lineRule="exact"/>
              <w:rPr>
                <w:sz w:val="20"/>
                <w:szCs w:val="20"/>
                <w:color w:val="auto"/>
              </w:rPr>
            </w:pPr>
            <w:r>
              <w:rPr>
                <w:rFonts w:ascii="Arial" w:cs="Arial" w:eastAsia="Arial" w:hAnsi="Arial"/>
                <w:sz w:val="14"/>
                <w:szCs w:val="14"/>
                <w:b w:val="1"/>
                <w:bCs w:val="1"/>
                <w:color w:val="auto"/>
                <w:w w:val="95"/>
              </w:rPr>
              <w:t>1 Year</w:t>
            </w:r>
          </w:p>
        </w:tc>
        <w:tc>
          <w:tcPr>
            <w:tcW w:w="440" w:type="dxa"/>
            <w:vAlign w:val="bottom"/>
          </w:tcPr>
          <w:p>
            <w:pPr>
              <w:spacing w:after="0"/>
              <w:rPr>
                <w:sz w:val="15"/>
                <w:szCs w:val="15"/>
                <w:color w:val="auto"/>
              </w:rPr>
            </w:pPr>
          </w:p>
        </w:tc>
        <w:tc>
          <w:tcPr>
            <w:tcW w:w="5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5"/>
                <w:szCs w:val="15"/>
                <w:color w:val="auto"/>
              </w:rPr>
            </w:pPr>
          </w:p>
        </w:tc>
        <w:tc>
          <w:tcPr>
            <w:tcW w:w="4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Years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Pension funding</w:t>
            </w:r>
          </w:p>
        </w:tc>
        <w:tc>
          <w:tcPr>
            <w:tcW w:w="23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293.9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174.6</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394.4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221.2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36.6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vMerge w:val="restart"/>
          </w:tcPr>
          <w:p>
            <w:pPr>
              <w:jc w:val="right"/>
              <w:ind w:right="75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88" w:lineRule="auto"/>
        <w:rPr>
          <w:sz w:val="20"/>
          <w:szCs w:val="20"/>
          <w:color w:val="auto"/>
        </w:rPr>
      </w:pPr>
      <w:r>
        <w:rPr>
          <w:rFonts w:ascii="Arial" w:cs="Arial" w:eastAsia="Arial" w:hAnsi="Arial"/>
          <w:sz w:val="16"/>
          <w:szCs w:val="16"/>
          <w:color w:val="auto"/>
        </w:rPr>
        <w:t>As discussed in Note 2 to our consolidated financial statements, we purchased specific land to use as the future site of the new campus in Ra’anana, Israel and we are obligated to construct the campus. The total net investment we expect to make in connection with the construction of the new campus is estimated to be approximately $350 million over a period of four years, starting with fiscal year 2018, of which approximately</w:t>
      </w:r>
    </w:p>
    <w:p>
      <w:pPr>
        <w:jc w:val="both"/>
        <w:ind w:left="200" w:right="200"/>
        <w:spacing w:after="0" w:line="255" w:lineRule="auto"/>
        <w:rPr>
          <w:sz w:val="20"/>
          <w:szCs w:val="20"/>
          <w:color w:val="auto"/>
        </w:rPr>
      </w:pPr>
      <w:r>
        <w:rPr>
          <w:rFonts w:ascii="Arial" w:cs="Arial" w:eastAsia="Arial" w:hAnsi="Arial"/>
          <w:sz w:val="18"/>
          <w:szCs w:val="18"/>
          <w:color w:val="auto"/>
        </w:rPr>
        <w:t>$50 million was incurred in fiscal year 2018 and $50 million expected to be incurred in fiscal year 2019. Due to the difficulty in determining the other timing of the net investment in the coming years, these obligations are not included in the above table. Please see Note 2 to our consolidated financial statements.</w:t>
      </w:r>
    </w:p>
    <w:p>
      <w:pPr>
        <w:spacing w:after="0" w:line="19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total amount of unrecognized tax benefits for uncertain tax positions was $187.6 million as of September 30, 2018. Payment of these obligations would result from settlements with taxing authorities. Due to the difficulty in determining the timing of resolution of audits, these obligations are not included in the above table.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As of September 30, 2018, we had deferred tax assets of $112.7 million, which were offset by valuation allowances due to the uncertainty of realizing any tax benefit for such credits and losses. These deferred tax assets derived primarily from tax credits, net capital and operating loss carryforwards related to some of our subsidiaries, see Note 11.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87"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60" w:right="18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 significant portion of our revenue is recognized over the course of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follow very specific and detailed guidelines, several of which are discussed above, in measuring revenue; however, certain judgments affect the application of our revenue recognition policy. We evaluate contracts entered into at or near the same time with the same customer (or related parties of the customer) and determine if the contracts should be combined in accordance with the guidance for revenue recognition.</w:t>
      </w:r>
    </w:p>
    <w:p>
      <w:pPr>
        <w:spacing w:after="0" w:line="166"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193"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Revenue from third-party hardware and software sales is recorded at a gross or net amount according to certain indicators. In certain arrangements, we may earn revenue from other third-party services which is recorded at a gross or net amount according to certain indicators. The application of these indicators for gross and net reporting of revenue depends on the relative facts and circumstances of each sale and requires significant judgment.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6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recognize the tax benefit from an uncertain tax position only if the weight of available evidence indicates that it is more likely than not that the position will be sustained on audit, including resolution of related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8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approach. The cost build-up approach determines fair value by estimating the costs related to fulfilling the obligations plus a normal profit margin.</w:t>
      </w:r>
    </w:p>
    <w:p>
      <w:pPr>
        <w:spacing w:after="0" w:line="23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6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2018, 2017 or 2016.</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2018, 2017 or 2016.</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During fiscal years 2018, 2017 and 2016,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(loss) income. We estimate the fair value of such derivative contracts by reference to forward and spot rates quoted in active markets.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December 3, 2018, our directors and officers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jc w:val="right"/>
              <w:ind w:right="51"/>
              <w:spacing w:after="0"/>
              <w:rPr>
                <w:sz w:val="20"/>
                <w:szCs w:val="20"/>
                <w:color w:val="auto"/>
              </w:rPr>
            </w:pPr>
            <w:r>
              <w:rPr>
                <w:rFonts w:ascii="Arial" w:cs="Arial" w:eastAsia="Arial" w:hAnsi="Arial"/>
                <w:sz w:val="14"/>
                <w:szCs w:val="14"/>
                <w:b w:val="1"/>
                <w:bCs w:val="1"/>
                <w:color w:val="auto"/>
              </w:rPr>
              <w:t>Age</w:t>
            </w:r>
          </w:p>
        </w:tc>
        <w:tc>
          <w:tcPr>
            <w:tcW w:w="5200" w:type="dxa"/>
            <w:vAlign w:val="bottom"/>
          </w:tcPr>
          <w:p>
            <w:pPr>
              <w:ind w:left="24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Minicucci(1)(2)</w:t>
            </w:r>
          </w:p>
        </w:tc>
        <w:tc>
          <w:tcPr>
            <w:tcW w:w="20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66</w:t>
            </w:r>
          </w:p>
        </w:tc>
        <w:tc>
          <w:tcPr>
            <w:tcW w:w="5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Chairman of the Board</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Adrian Gardner(1)</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 and Chairman of the Audit Committee</w:t>
            </w: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T. McLennan(2)</w:t>
            </w:r>
          </w:p>
        </w:tc>
        <w:tc>
          <w:tcPr>
            <w:tcW w:w="2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73</w:t>
            </w:r>
          </w:p>
        </w:tc>
        <w:tc>
          <w:tcPr>
            <w:tcW w:w="5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Director and Chairman of the Management Resources and</w:t>
            </w: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Committee</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Zohar Zisapel(4)</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5200" w:type="dxa"/>
            <w:vAlign w:val="bottom"/>
          </w:tcPr>
          <w:p>
            <w:pPr>
              <w:ind w:left="140"/>
              <w:spacing w:after="0"/>
              <w:rPr>
                <w:sz w:val="20"/>
                <w:szCs w:val="20"/>
                <w:color w:val="auto"/>
              </w:rPr>
            </w:pPr>
            <w:r>
              <w:rPr>
                <w:rFonts w:ascii="Arial" w:cs="Arial" w:eastAsia="Arial" w:hAnsi="Arial"/>
                <w:sz w:val="18"/>
                <w:szCs w:val="18"/>
                <w:color w:val="auto"/>
                <w:w w:val="92"/>
              </w:rPr>
              <w:t>Director and Chairman of the Technology and Innovation Committee</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Julian A. Brodsky(3)</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James S. Kahan(3)</w:t>
            </w:r>
          </w:p>
        </w:tc>
        <w:tc>
          <w:tcPr>
            <w:tcW w:w="20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71</w:t>
            </w:r>
          </w:p>
        </w:tc>
        <w:tc>
          <w:tcPr>
            <w:tcW w:w="5200" w:type="dxa"/>
            <w:vAlign w:val="bottom"/>
          </w:tcPr>
          <w:p>
            <w:pPr>
              <w:ind w:left="140"/>
              <w:spacing w:after="0" w:line="201" w:lineRule="exact"/>
              <w:rPr>
                <w:sz w:val="20"/>
                <w:szCs w:val="20"/>
                <w:color w:val="auto"/>
              </w:rPr>
            </w:pPr>
            <w:r>
              <w:rPr>
                <w:rFonts w:ascii="Arial" w:cs="Arial" w:eastAsia="Arial" w:hAnsi="Arial"/>
                <w:sz w:val="18"/>
                <w:szCs w:val="18"/>
                <w:color w:val="auto"/>
                <w:w w:val="91"/>
              </w:rPr>
              <w:t>Director and Chairman of the Nominating and Corporate Governance</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Committee</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Richard T.C. LeFave(1)(2)(4)</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Giora Yaron(4)</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70</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Ariane de Rothschild(3)</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Rafael de la Vega</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52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Eli Gelman(4)</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Shuky Sheffer</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52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Tamar Rapaport-Dagim</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Financial Officer and Chief Operating Officer</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Rajat Raheja</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5200" w:type="dxa"/>
            <w:vAlign w:val="bottom"/>
          </w:tcPr>
          <w:p>
            <w:pPr>
              <w:ind w:left="140"/>
              <w:spacing w:after="0"/>
              <w:rPr>
                <w:sz w:val="20"/>
                <w:szCs w:val="20"/>
                <w:color w:val="auto"/>
              </w:rPr>
            </w:pPr>
            <w:r>
              <w:rPr>
                <w:rFonts w:ascii="Arial" w:cs="Arial" w:eastAsia="Arial" w:hAnsi="Arial"/>
                <w:sz w:val="18"/>
                <w:szCs w:val="18"/>
                <w:color w:val="auto"/>
                <w:w w:val="99"/>
              </w:rPr>
              <w:t>Division President, Amdocs Development Center India Pvt. Ltd.</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Matthew Smith</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78"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Adrian Gardner has been a director of Amdocs since 1998 and is Chairman of the Audit Committee. Mr. Gardner serves as Chief Financial Officer of Ipes Holdings Limited, a provider of outsourced services to private equity firms, from October 2016. Mr. Gardner has served as a member of the Audit &amp; Risk Committee of Worcester College, Oxford University since May 2017. From 2014 to September 2016, Mr. Gardner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w:t>
      </w:r>
    </w:p>
    <w:p>
      <w:pPr>
        <w:spacing w:after="0" w:line="6" w:lineRule="exact"/>
        <w:rPr>
          <w:sz w:val="20"/>
          <w:szCs w:val="20"/>
          <w:color w:val="auto"/>
        </w:rPr>
      </w:pPr>
    </w:p>
    <w:p>
      <w:pPr>
        <w:ind w:left="200" w:right="60"/>
        <w:spacing w:after="0" w:line="290" w:lineRule="auto"/>
        <w:rPr>
          <w:sz w:val="20"/>
          <w:szCs w:val="20"/>
          <w:color w:val="auto"/>
        </w:rPr>
      </w:pPr>
      <w:r>
        <w:rPr>
          <w:rFonts w:ascii="Arial" w:cs="Arial" w:eastAsia="Arial" w:hAnsi="Arial"/>
          <w:sz w:val="17"/>
          <w:szCs w:val="17"/>
          <w:color w:val="auto"/>
        </w:rPr>
        <w:t>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1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John T.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179"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Zohar Zisapel has been a director of Amdocs since 2008 and is the Chairman of the Technology and Innovation Committee. Mr. Zisapel co-founded RAD Data Communications Ltd., a privately-held voice and data communications company and part of the RAD Group, a family of independent networking and telecommunications companies, and was its CEO from 1982 until 1998 and Chairman from 1998 until 2012. Mr. Zisapel also serves as chairman of Ceragon Networks Ltd. and as a director of Radcom Ltd., both public companies traded on Nasdaq, and on the boards of directors of several privately-held companies. Mr. Zisapel served as chairman of the Israel Association of Electronic Industries from 1998 until 2001. Mr. Zisapel received an Honorary Doctorate from the Technion — Israel Institute of Technology, and he is teaching Entrepreneurship at the Tel Aviv University. Mr. Zisapel’s experience as founder, chairman and director of several public 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private high technology companies, and his leadership in several government organizations, demonstrate his leadership capability and provide him with valuable insights into the voice and data communications industries.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Ventures (formerly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165"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James S.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w:t>
      </w:r>
    </w:p>
    <w:p>
      <w:pPr>
        <w:ind w:left="200" w:right="360"/>
        <w:spacing w:after="0" w:line="254" w:lineRule="auto"/>
        <w:rPr>
          <w:sz w:val="20"/>
          <w:szCs w:val="20"/>
          <w:color w:val="auto"/>
        </w:rPr>
      </w:pPr>
      <w:r>
        <w:rPr>
          <w:rFonts w:ascii="Arial" w:cs="Arial" w:eastAsia="Arial" w:hAnsi="Arial"/>
          <w:sz w:val="18"/>
          <w:szCs w:val="18"/>
          <w:color w:val="auto"/>
        </w:rPr>
        <w:t>Mr. Kahan also serves on the Board of Directors of Live Nation Entertainment, Inc., a publicly-traded live music and ticketing entity, as well as one private company.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193"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Giora Yaron has been a director of Amdocs since 2009.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w:t>
      </w:r>
    </w:p>
    <w:p>
      <w:pPr>
        <w:spacing w:after="0" w:line="6"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5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Baroness Ariane de Rothschild has been a director of Amdocs since January 2018. Since January 2015, she has served as the Chairwoman of the Executive Committee of Edmond de Rothschild Group. Since 2009,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57" w:lineRule="auto"/>
        <w:rPr>
          <w:sz w:val="20"/>
          <w:szCs w:val="20"/>
          <w:color w:val="auto"/>
        </w:rPr>
      </w:pPr>
      <w:r>
        <w:rPr>
          <w:rFonts w:ascii="Arial" w:cs="Arial" w:eastAsia="Arial" w:hAnsi="Arial"/>
          <w:sz w:val="18"/>
          <w:szCs w:val="18"/>
          <w:color w:val="auto"/>
        </w:rPr>
        <w:t>Baroness de Rothschild has served as the vice-president of Edmond de Rothschild Group’s supervisory board and has also served as the vice-president of the Edmond de Rothschild Holding SA since 1999. Baroness de Rothschild now holds various board positions across Holding Benjamin &amp; Edmond de Rothschild Pregny, Compagnie Benjamin de Rothschild Conseil S.A., Siaci Saint-Honoré Insurance Broker, and Barons and Baronne Associés. We believe Baroness de Rothschild’s qualifications to sit on our Board of Directors include her strong financial and banking expertise and her international business experience.</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Rafael de la Vega has been a director of Amdocs since January 2018.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8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Eli Gelman has been a director of Amdocs since 2002.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Shuky Sheffer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8"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color w:val="auto"/>
        </w:rPr>
        <w:t>Tamar Rapaport-Dagim has been our Chief Financial Officer since 2007, and our Chief Operating Officer since October 1, 2018.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Prior to joining Amdocs, Mr. Raheja held leadership positions in Deloitte Consulting, Arthur Andersen, PricewaterhouseCoopers and Tata Telecom.</w:t>
      </w:r>
    </w:p>
    <w:p>
      <w:pPr>
        <w:spacing w:after="0" w:line="24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During fiscal 2018,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 Employee Director and who is not the chairman of such committee received an annual cash payment of $25,000. Each member of our Management Resources and Compensation Committee who is a Non-Employee Director and who is not a committee chairman received an annual cash payment of $15,000. Each member of our Nominating and Corporate Governance and Technology and Innovation Committees who is a Non-Employee Director and who is not a committee chairman received an annual cash payment of $10,000. The Chairman of our Audit Committee received an annual cash payment of $35,000 and the Chairman of our Management Resources and Compensation Committee received an annual cash payment of $25,000. The Chairmen of our Nominating and Corporate Governance and Technology and Innovation Committees each received an annual cash payment of $20,000. Each Non-Employee Director received an annual grant of restricted shares at a total value of $245,000. The Chairman of the Board of Directors received an additional annual amount equal to $200,000 awarded in the form of restricted shares. All restricted share awards to our Non-Employee Directors are fully vested upon grant. Beginning in fiscal 2019, these grants will vest quarterly.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17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total of 17 persons who served either as directors or officers of Amdocs during all or part of fiscal 2018 received remuneration from Amdocs. The aggregate remuneration paid or accrued by us to such persons in fiscal 2018 was approximately $7 million, compared to $6.9 million in each of fiscal 2017 and fiscal 2016,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2018, we granted to such persons options to purchase an aggregate of 115,817 ordinary shares at a weighted average price of $62.60 per share with vesting generally over four-year terms and expiring ten years from the date of grant, and an aggregate of 86,085 restricted shares typically subject to three to four-year vesting and often times, achievement of certain performance thresholds,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Practices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Eleven directors currently serve on our Board of Directors, all of whom were elected at our annual meeting of shareholders on January 26, 2018.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Julian A. Brodsky was granted a waiver to continue as director past the age of 73 years for an additional year in light of Mr. Brodsky’s vast experience in the Multiple System Operators (“MSO”) market which is in the midst of a major modernization cycle.</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Minicucci,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7"/>
          <w:szCs w:val="17"/>
          <w:i w:val="1"/>
          <w:iCs w:val="1"/>
          <w:color w:val="auto"/>
        </w:rPr>
        <w:t>www.amdocs.com.</w:t>
      </w:r>
    </w:p>
    <w:p>
      <w:pPr>
        <w:spacing w:after="0" w:line="182"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Kahan (Chair), Brodsky and Baroness de Rothschild,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9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Gelman, LeFave and Dr. Yaron.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The following table presents the approximate average number of our workforce at each of the fiscal years indicated, by function and by geographical location (in each of which we operate at multiple sites):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Americas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5,598</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5,606</w:t>
            </w:r>
          </w:p>
        </w:tc>
        <w:tc>
          <w:tcPr>
            <w:tcW w:w="620" w:type="dxa"/>
            <w:vAlign w:val="bottom"/>
          </w:tcPr>
          <w:p>
            <w:pPr>
              <w:jc w:val="right"/>
              <w:spacing w:after="0"/>
              <w:rPr>
                <w:sz w:val="20"/>
                <w:szCs w:val="20"/>
                <w:color w:val="auto"/>
              </w:rPr>
            </w:pPr>
            <w:r>
              <w:rPr>
                <w:rFonts w:ascii="Arial" w:cs="Arial" w:eastAsia="Arial" w:hAnsi="Arial"/>
                <w:sz w:val="18"/>
                <w:szCs w:val="18"/>
                <w:color w:val="auto"/>
              </w:rPr>
              <w:t>5,398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6,306</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APAC</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10,851</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10,650</w:t>
            </w:r>
          </w:p>
        </w:tc>
        <w:tc>
          <w:tcPr>
            <w:tcW w:w="620" w:type="dxa"/>
            <w:vAlign w:val="bottom"/>
          </w:tcPr>
          <w:p>
            <w:pPr>
              <w:jc w:val="right"/>
              <w:spacing w:after="0"/>
              <w:rPr>
                <w:sz w:val="20"/>
                <w:szCs w:val="20"/>
                <w:color w:val="auto"/>
              </w:rPr>
            </w:pPr>
            <w:r>
              <w:rPr>
                <w:rFonts w:ascii="Arial" w:cs="Arial" w:eastAsia="Arial" w:hAnsi="Arial"/>
                <w:sz w:val="18"/>
                <w:szCs w:val="18"/>
                <w:color w:val="auto"/>
              </w:rPr>
              <w:t>9,575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22,755</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22,664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Management and Administration</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1,626</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1,573</w:t>
            </w:r>
          </w:p>
        </w:tc>
        <w:tc>
          <w:tcPr>
            <w:tcW w:w="620" w:type="dxa"/>
            <w:vAlign w:val="bottom"/>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Workforce(1)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24,381</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24,237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workforce numbers for fiscal years 2017 and 2016 restated to reflect the average number of our workforce.</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A small number of our employees in Canada,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and in Finland.</w:t>
      </w:r>
    </w:p>
    <w:p>
      <w:pPr>
        <w:spacing w:after="0" w:line="147"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difficult to hire, train and retain, and we could face increased costs to attract and retain our skilled workforce</w:t>
      </w:r>
      <w:r>
        <w:rPr>
          <w:rFonts w:ascii="Arial" w:cs="Arial" w:eastAsia="Arial" w:hAnsi="Arial"/>
          <w:sz w:val="16"/>
          <w:szCs w:val="16"/>
          <w:color w:val="auto"/>
        </w:rPr>
        <w:t>.”</w:t>
      </w:r>
    </w:p>
    <w:p>
      <w:pPr>
        <w:spacing w:after="0" w:line="167"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We consider our relationship with our employees to be good and have never experienced an organized labor dispute, strike or work stoppage. 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As of December 3, 2018, the aggregate number of our ordinary shares beneficially owned by our directors and executive officers was 2,104,041 shares. As of December 3, 2018, none of our directors or members of senior management beneficially owned 1% or more of our outstanding ordinary shares.</w:t>
      </w:r>
    </w:p>
    <w:p>
      <w:pPr>
        <w:spacing w:after="0" w:line="181" w:lineRule="exact"/>
        <w:rPr>
          <w:sz w:val="20"/>
          <w:szCs w:val="20"/>
          <w:color w:val="auto"/>
        </w:rPr>
      </w:pPr>
    </w:p>
    <w:p>
      <w:pPr>
        <w:jc w:val="both"/>
        <w:ind w:left="200" w:right="100" w:firstLine="441"/>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67,550,000 of our ordinary shares may be issued.</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2018, of the 67,550,000 ordinary shares available for issuance under the Equity Incentive Plan, 54,302,894 ordinary shares had been issued as a result of option exercises and restricted share issuances. As of September 30, 2018, 6,722,073 ordinary shares remained available for future grants, subject to a sublimit applicable to the award of restricted shares or awards dominated in stock units. As of December 3, 2018, there were outstanding options to purchase an aggregate of 6,939,385 ordinary shares at exercise prices ranging from $16.92 to $68.40 per share and 106,216 shares are subject to outstanding restricted stock units.</w:t>
      </w:r>
    </w:p>
    <w:p>
      <w:pPr>
        <w:spacing w:after="0" w:line="16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240" w:top="459"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specified information with respect to the beneficial ownership of the ordinary shares as of December 3, 2018 of</w:t>
      </w:r>
    </w:p>
    <w:p>
      <w:pPr>
        <w:spacing w:after="0" w:line="35" w:lineRule="exact"/>
        <w:rPr>
          <w:sz w:val="20"/>
          <w:szCs w:val="20"/>
          <w:color w:val="auto"/>
        </w:rPr>
      </w:pPr>
    </w:p>
    <w:p>
      <w:pPr>
        <w:ind w:left="200" w:right="40" w:firstLine="4"/>
        <w:spacing w:after="0" w:line="252" w:lineRule="auto"/>
        <w:tabs>
          <w:tab w:leader="none" w:pos="4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139,575,585 ordinary shares outstanding as of December 3, 2018, net of shares held in treasury. Information concerning shareholders other than our directors and officers is based on periodic public filings made by such shareholders and may not necessarily be accurate as of December 3, 2018. None of our major shareholders have voting rights that are different from those of any other shareholder.</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20" w:type="dxa"/>
            <w:vAlign w:val="bottom"/>
            <w:gridSpan w:val="3"/>
            <w:vMerge w:val="continue"/>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FMR LLC(1)</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16,167,614</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Janus Henderson Group plc (2)</w:t>
            </w:r>
          </w:p>
        </w:tc>
        <w:tc>
          <w:tcPr>
            <w:tcW w:w="860" w:type="dxa"/>
            <w:vAlign w:val="bottom"/>
          </w:tcPr>
          <w:p>
            <w:pPr>
              <w:jc w:val="right"/>
              <w:spacing w:after="0"/>
              <w:rPr>
                <w:sz w:val="20"/>
                <w:szCs w:val="20"/>
                <w:color w:val="auto"/>
              </w:rPr>
            </w:pPr>
            <w:r>
              <w:rPr>
                <w:rFonts w:ascii="Arial" w:cs="Arial" w:eastAsia="Arial" w:hAnsi="Arial"/>
                <w:sz w:val="18"/>
                <w:szCs w:val="18"/>
                <w:color w:val="auto"/>
              </w:rPr>
              <w:t>7,545,647</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(15 persons)(3)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2,104,041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40" w:hanging="436"/>
        <w:spacing w:after="0" w:line="26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a Schedule 13G/A filed by FMR LLC, or FMR, with the SEC on February 13, 2018, as of December 29, 2017, FMR had sole power to vote or direct the vote over 1,227,489 shares and sole power to dispose or direct the disposition of 16,167,614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3" w:lineRule="exact"/>
        <w:rPr>
          <w:rFonts w:ascii="Arial" w:cs="Arial" w:eastAsia="Arial" w:hAnsi="Arial"/>
          <w:sz w:val="17"/>
          <w:szCs w:val="17"/>
          <w:color w:val="auto"/>
        </w:rPr>
      </w:pPr>
    </w:p>
    <w:p>
      <w:pPr>
        <w:ind w:left="640" w:hanging="436"/>
        <w:spacing w:after="0" w:line="284"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12, 2018, as of December 31, 2017, Janus had an indirect 97.11% ownership stake in IntechInvestment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7,383,458 shares or 5.1%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142,920 shares or 0.1%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HGINA may be deemed to be the beneficial owner of 12,256 shares or 0.0% of the shares outstanding of Amdocs Common Stock held by such Managed Portfolios. However, HGINA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7,023 shares or 0.0% of the shares</w:t>
      </w: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56" w:lineRule="auto"/>
        <w:rPr>
          <w:sz w:val="20"/>
          <w:szCs w:val="20"/>
          <w:color w:val="auto"/>
        </w:rPr>
      </w:pPr>
      <w:r>
        <w:rPr>
          <w:rFonts w:ascii="Arial" w:cs="Arial" w:eastAsia="Arial" w:hAnsi="Arial"/>
          <w:sz w:val="18"/>
          <w:szCs w:val="18"/>
          <w:color w:val="auto"/>
        </w:rPr>
        <w:t>outstanding of Amdocs Common Stock held by such Managed Portfolios. However, HGIL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ind w:left="640" w:right="20" w:hanging="436"/>
        <w:spacing w:after="0" w:line="26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3, 2018. As of such date, none of our directors or executive officers beneficially owned 1% or more of our outstanding ordinary shares.</w:t>
      </w:r>
    </w:p>
    <w:p>
      <w:pPr>
        <w:spacing w:after="0" w:line="76"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As of December 3, 2018, our ordinary shares were held by 1,670 record holders. Based on a review of the information provided to us by our transfer agent, 775 record holders, holding approximately 77% of our outstanding ordinary shares held of record, were residents of the United States.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Zohar Zisapel, a member of our board of directors, is a member of the board of directors and a significant shareholder of Radcom Ltd (“Radcom”). In 2015, certain of our subsidiaries entered into a number of contracts with Radcom for it to act as a subcontractor for us and/or a value added reseller. In addition, in the ordinary course of business we purchase certain products from other entities in which Mr. Zisapel has an interest. In fiscal 2018, our aggregate payments with respect to all these transactions were substantially less than 1% of our total operating expenses.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See “Financial Statements” for our audited Consolidated Financial Statements and Financial Statement Schedule filed as part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consolidated financial position, results of operations or cash flows.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Since 2014, we have been defending a lawsuit against certain of our subsidiaries in the U.S. District Court in Oregon alleging breach of contract and trade secret misappropriation. According to the suit, we improperly utilized information received in connection with our electronic payment processing solution, which is one of several components of our mobile financial services offerings. During fiscal year 2016, the District Court denied our motions to dismiss and to compel arbitration with respect to certain of the claims, and the proceedings continued. The District Court scheduled a tentative jury trial date for late October 2018. We filed a motion for summary judgment with the District Court during fiscal year 2018 and the District Court partially granted the motion with respect to two trade secrets. In October 2018, while continuing to deny the plaintiff’s allegations, we entered into a settlement agreement with the plaintiff, which included a $50 million settlement payment by us, in consideration for a mutual release of each party and its respective customers with no admission of liability or fault. As a result of the settlement, the lawsuit was dismissed with prejudice on November 13, 2018. In addition to the settlement amount of $50 million, we also accrued legal fees and other associated costs of $5 million.</w:t>
      </w:r>
    </w:p>
    <w:p>
      <w:pPr>
        <w:spacing w:after="0" w:line="16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Certain of our subsidiaries are currently in a dispute with a state-owned telecom enterprise in Ecuador, which appears to have political aspects. Our counterparty has claimed monetary damages. The dispute is over a contract, under which we were providing certain services, which has been terminated by the counterparty in connection with such dispute, and is under scrutiny by certain local governmental authorities. We believe we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have solid arguments and are vigorously defending our rights. To date, however, such defense efforts, including motions alleging constitutional defects, have encountered a dismissive approach by the Ecuadorian Courts, with reasoning that we believe is inconsistent with applicable law. We are unable to reasonably estimate the ultimate outcome of the above dispute.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 The following table sets forth the high and low reported sale prices for our ordinary shares for the periods indicated:</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$48.99</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$36.39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$61.46</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$44.06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$61.33</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$50.06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$67.98</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$54.91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$71.72</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$61.00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i w:val="1"/>
                <w:iCs w:val="1"/>
                <w:color w:val="auto"/>
              </w:rPr>
              <w:t>Fiscal 2017: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$61.11</w:t>
            </w: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$54.91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$62.65</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$56.10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$66.48</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$60.30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$67.98</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$62.13</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$66.99</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$61.00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$71.72</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$62.56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$70.31</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$65.00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$69.16</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$63.04</w:t>
            </w:r>
          </w:p>
        </w:tc>
      </w:tr>
      <w:tr>
        <w:trPr>
          <w:trHeight w:val="216"/>
        </w:trPr>
        <w:tc>
          <w:tcPr>
            <w:tcW w:w="7700" w:type="dxa"/>
            <w:vAlign w:val="bottom"/>
          </w:tcPr>
          <w:p>
            <w:pPr>
              <w:spacing w:after="0"/>
              <w:rPr>
                <w:sz w:val="20"/>
                <w:szCs w:val="20"/>
                <w:color w:val="auto"/>
              </w:rPr>
            </w:pPr>
            <w:r>
              <w:rPr>
                <w:rFonts w:ascii="Arial" w:cs="Arial" w:eastAsia="Arial" w:hAnsi="Arial"/>
                <w:sz w:val="18"/>
                <w:szCs w:val="18"/>
                <w:i w:val="1"/>
                <w:iCs w:val="1"/>
                <w:color w:val="auto"/>
              </w:rPr>
              <w:t>Fiscal 2019: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$67.57</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$60.50</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June 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$70.31</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$65.79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July 2018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$69.16</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$65.58</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August 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$68.99</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$63.04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September 2018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$66.87</w:t>
            </w:r>
          </w:p>
        </w:tc>
        <w:tc>
          <w:tcPr>
            <w:tcW w:w="240" w:type="dxa"/>
            <w:vAlign w:val="bottom"/>
          </w:tcPr>
          <w:p>
            <w:pPr>
              <w:spacing w:after="0"/>
              <w:rPr>
                <w:sz w:val="18"/>
                <w:szCs w:val="18"/>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$64.25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$66.41</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$60.50</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November 2018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$67.57</w:t>
            </w:r>
          </w:p>
        </w:tc>
        <w:tc>
          <w:tcPr>
            <w:tcW w:w="240" w:type="dxa"/>
            <w:vAlign w:val="bottom"/>
          </w:tcPr>
          <w:p>
            <w:pPr>
              <w:spacing w:after="0"/>
              <w:rPr>
                <w:sz w:val="20"/>
                <w:szCs w:val="20"/>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$62.32</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2018, 140,176,828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53" w:lineRule="exact"/>
        <w:rPr>
          <w:rFonts w:ascii="Arial" w:cs="Arial" w:eastAsia="Arial" w:hAnsi="Arial"/>
          <w:sz w:val="16"/>
          <w:szCs w:val="16"/>
          <w:color w:val="auto"/>
        </w:rPr>
      </w:pPr>
    </w:p>
    <w:p>
      <w:pPr>
        <w:ind w:left="1060" w:right="120" w:hanging="316"/>
        <w:spacing w:after="0" w:line="26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shares and to provide for the designations, powers, preferences and relative participating, optional or other special rights and qualifications, limitations or restrictions thereon.</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060" w:right="20" w:hanging="316"/>
        <w:spacing w:after="0" w:line="27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3" w:lineRule="exact"/>
        <w:rPr>
          <w:rFonts w:ascii="Arial" w:cs="Arial" w:eastAsia="Arial" w:hAnsi="Arial"/>
          <w:sz w:val="17"/>
          <w:szCs w:val="17"/>
          <w:color w:val="auto"/>
        </w:rPr>
      </w:pPr>
    </w:p>
    <w:p>
      <w:pPr>
        <w:ind w:left="1060" w:right="380" w:hanging="316"/>
        <w:spacing w:after="0" w:line="26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060" w:hanging="316"/>
        <w:spacing w:after="0" w:line="286"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when and as dividends are declared on our shares, the holders of voting ordinary shares and non-voting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70" w:lineRule="exact"/>
        <w:rPr>
          <w:rFonts w:ascii="Arial" w:cs="Arial" w:eastAsia="Arial" w:hAnsi="Arial"/>
          <w:sz w:val="17"/>
          <w:szCs w:val="17"/>
          <w:color w:val="auto"/>
        </w:rPr>
      </w:pPr>
    </w:p>
    <w:p>
      <w:pPr>
        <w:ind w:left="1060" w:right="4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to any third party not affiliated with such original holder, non-voting ordinary shares are redesignated in our books as voting ordinary shares and automatically convert into the same number of voting ordinary shares.</w:t>
      </w:r>
    </w:p>
    <w:p>
      <w:pPr>
        <w:spacing w:after="0" w:line="86" w:lineRule="exact"/>
        <w:rPr>
          <w:rFonts w:ascii="Arial" w:cs="Arial" w:eastAsia="Arial" w:hAnsi="Arial"/>
          <w:sz w:val="18"/>
          <w:szCs w:val="18"/>
          <w:color w:val="auto"/>
        </w:rPr>
      </w:pPr>
    </w:p>
    <w:p>
      <w:pPr>
        <w:ind w:left="1060" w:right="12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paid in full shall be distributed to the holders of voting ordinary shares and non-voting ordinary shares equally share for share.</w:t>
      </w:r>
    </w:p>
    <w:p>
      <w:pPr>
        <w:spacing w:after="0" w:line="29"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non-voting ordinary shares are not entitled to any voting rights.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7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jc w:val="center"/>
        <w:ind w:left="440" w:right="440"/>
        <w:spacing w:after="0" w:line="449" w:lineRule="auto"/>
        <w:rPr>
          <w:sz w:val="20"/>
          <w:szCs w:val="20"/>
          <w:color w:val="auto"/>
        </w:rPr>
      </w:pPr>
      <w:r>
        <w:rPr>
          <w:rFonts w:ascii="Arial" w:cs="Arial" w:eastAsia="Arial" w:hAnsi="Arial"/>
          <w:sz w:val="18"/>
          <w:szCs w:val="18"/>
          <w:color w:val="auto"/>
        </w:rPr>
        <w:t>There are no provisions in the Memorandum or Articles that provide for a classified board of directors or for cumulative voting for directors. 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December 2017, we entered into an Amended and Restated Credit Agreement among us, certain of our subsidiaries, the lenders from time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party thereto, JPMorgan Chase Bank, N.A., as administrative agent, J.P. Morgan Europe Limited, as London agent, and JPMorgan Chase Bank,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 Toronto branch, as Canadian agent, providing for an unsecured $500 million five-year revolving credit facility with a syndicate of banks.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facility is available for general corporate purposes, including acquisitions and repurchases of our ordinary shares that we may consider from time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time, and has a maturity date in December 2022. The Amended and Restated Credit Agreement replaces our Credit Agreement, dated as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12, 2014, by and among us, certain of our subsidiaries, JPMorgan Chase Bank, N.A., as administrative agent, J.P. Morgan Europe Limited,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London agent, and JPMorgan Chase Bank, N.A., Toronto branch, as Canadian agent. A copy of the Amended and Restated Credit Agreement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as Exhibit 4.c to this Annual Report.</w:t>
      </w:r>
    </w:p>
    <w:p>
      <w:pPr>
        <w:spacing w:after="0" w:line="211" w:lineRule="exact"/>
        <w:rPr>
          <w:sz w:val="20"/>
          <w:szCs w:val="20"/>
          <w:color w:val="auto"/>
        </w:rPr>
      </w:pPr>
    </w:p>
    <w:p>
      <w:pPr>
        <w:jc w:val="both"/>
        <w:ind w:left="200" w:right="580" w:firstLine="441"/>
        <w:spacing w:after="0" w:line="259" w:lineRule="auto"/>
        <w:rPr>
          <w:sz w:val="20"/>
          <w:szCs w:val="20"/>
          <w:color w:val="auto"/>
        </w:rPr>
      </w:pPr>
      <w:r>
        <w:rPr>
          <w:rFonts w:ascii="Arial" w:cs="Arial" w:eastAsia="Arial" w:hAnsi="Arial"/>
          <w:sz w:val="18"/>
          <w:szCs w:val="18"/>
          <w:color w:val="auto"/>
        </w:rPr>
        <w:t>In February 2017, we entered into a Master Services Agreement with AT&amp;T Services, Inc., which replaces in its entirety the Software and Professional Services that we entered into with AT&amp;T Services, Inc. effective August 7, 2003. The agreement provides that Amdocs will provide software and services to AT&amp;T as specified therein and remains in effect until September 30, 2021. A copy of the Master Services Agreement is included as Exhibit 4.a.1 to this Annual Report.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past two years, we have not entered into any other material contracts other than contracts entered into in the ordinary course of our business.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effective tax rate was 15.9% for fiscal 2018, compared to 14.8% for fiscal 2017 and 15.5% for fiscal 2016.</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currently assessing, of the recent tax reform in the United States. Moreover, our effective tax rate in future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2018, the corporate tax rate applicable in India on trading activities was 34.94%. Our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88"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During the year 2016-17 our main subsidiary in India changed its corporate legal structure from a private limited company (PLC) to a limited liability partnership (LLP) through conversion by process of law effective 28th Feb 2017. Thereafter, all rights and liabilities of the PLC under agreements are vested in the LLP by operation of law.</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20% and can be carried forward for 10 years to be credited against corporate income taxes. As for the LLP, as a result of the conversion certain accumulated tax credits will not be available to be set off against future income of the LLP, however, for LLP the Alternative Minimum Tax, or AMT, provisions are applicable such that LLPs are subject to AMT at a rate of 21.34% on adjusted total income (Income as computed under the normal provisions, increased by prescribed adjustments) if tax on income under normal provisions is lower than the AMT, and can be carried forward for 10 years.</w:t>
      </w:r>
    </w:p>
    <w:p>
      <w:pPr>
        <w:spacing w:after="0" w:line="19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Our main Indian subsidiary is subject to a separate tax entitlement under which its operating units are exempt from tax on the respective tax incentive-eligible activity for the first five years of operations and enjoys a 50% reduction on its corporate income tax for such activity for the following five years. If it meets additional requirements, an additional 50% deduction may be available for another 5 years.</w:t>
      </w:r>
    </w:p>
    <w:p>
      <w:pPr>
        <w:spacing w:after="0" w:line="166"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Further, in 2018 a new operation was commenced in another subsidiary in India with effect from May 1, 2018. The activity conducted by this entity is generally entitled to a 100 % reduction on its corporate income tax for the first five years of operation and a 50% reduction for the following 5 years.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23%. However, the effective tax rate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of an Israeli company that is eligible for tax benefits by virtue of the Law for the Encouragement of Capital Investments may be considerably lower.</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Our primary Israeli subsidiary has elected the alternative benefits’ route with respect to its existing Approved Enterprise and its expansions, pursuant to which it enjoys,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exempt income generated during the tax 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6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recent years changes were introduced to the Investment Law, specifically a major amendment of the Investment Law in 2011 and 2017.</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2011 amendment (“Preferred Enterprise”)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Our primary Israeli subsidiary has not yet made such election.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Amendment 73 to the Investment Law, which came into effect January 1, 2017, was followed by regulations promulgated on May 28, 2017, which incorporated the “Nexus Principles,” based on OECD guidelines recently published as part of the Base Erosion and Profit Shifting (BEPS) project, into Israeli law. The OECD has since then confirmed that the regime adopted by Israel is “not harmful”.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new incentives regime applies to “Preferred Technological Enterprises” that meet certain conditions.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The corporate tax rate applicable to the Preferred Technological Income generated by a Special Preferred Technological Enterprise (companies which are part of a group with annual consolidated revenue in excess of NIS 10 billion - approximately US$2.7 billion at current exchange rates -) is 6%. The reduced tax rate applies only with respect to the revenue attributable to the portion of intellectual property developed in Israel.</w:t>
      </w:r>
    </w:p>
    <w:p>
      <w:pPr>
        <w:spacing w:after="0" w:line="14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2018, our primary Israeli subsidiary continues to apply the benefits under the terms of the law as provided prior to the 2011 amendment. We are continuously evaluating the potential benefits of applying the 2011 and 2017 amendments.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6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62" w:lineRule="exact"/>
        <w:rPr>
          <w:sz w:val="20"/>
          <w:szCs w:val="20"/>
          <w:color w:val="auto"/>
        </w:rPr>
      </w:pPr>
    </w:p>
    <w:p>
      <w:pPr>
        <w:ind w:left="1280" w:hanging="212"/>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40" w:hanging="27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17" w:lineRule="exact"/>
        <w:rPr>
          <w:rFonts w:ascii="Arial" w:cs="Arial" w:eastAsia="Arial" w:hAnsi="Arial"/>
          <w:sz w:val="18"/>
          <w:szCs w:val="18"/>
          <w:color w:val="auto"/>
        </w:rPr>
      </w:pPr>
    </w:p>
    <w:p>
      <w:pPr>
        <w:ind w:left="1380" w:hanging="312"/>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28" w:lineRule="exact"/>
        <w:rPr>
          <w:rFonts w:ascii="Arial" w:cs="Arial" w:eastAsia="Arial" w:hAnsi="Arial"/>
          <w:sz w:val="17"/>
          <w:szCs w:val="17"/>
          <w:color w:val="auto"/>
        </w:rPr>
      </w:pPr>
    </w:p>
    <w:p>
      <w:pPr>
        <w:ind w:left="640" w:right="280" w:firstLine="428"/>
        <w:spacing w:after="0" w:line="277" w:lineRule="auto"/>
        <w:tabs>
          <w:tab w:leader="none" w:pos="13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6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 xml:space="preserve">Disposition of Ordinary Shares. </w:t>
      </w:r>
      <w:r>
        <w:rPr>
          <w:rFonts w:ascii="Arial" w:cs="Arial" w:eastAsia="Arial" w:hAnsi="Arial"/>
          <w:sz w:val="18"/>
          <w:szCs w:val="18"/>
          <w:color w:val="auto"/>
        </w:rPr>
        <w:t>Subject to the PFIC rules described below, upon the sale, exchange or other disposition of our ordinary shares, a</w:t>
      </w:r>
      <w:r>
        <w:rPr>
          <w:rFonts w:ascii="Arial" w:cs="Arial" w:eastAsia="Arial" w:hAnsi="Arial"/>
          <w:sz w:val="18"/>
          <w:szCs w:val="18"/>
          <w:i w:val="1"/>
          <w:iCs w:val="1"/>
          <w:color w:val="auto"/>
        </w:rPr>
        <w:t xml:space="preserve"> </w:t>
      </w:r>
      <w:r>
        <w:rPr>
          <w:rFonts w:ascii="Arial" w:cs="Arial" w:eastAsia="Arial" w:hAnsi="Arial"/>
          <w:sz w:val="18"/>
          <w:szCs w:val="18"/>
          <w:color w:val="auto"/>
        </w:rPr>
        <w:t>U.S. holder generally will recognize capital gain or loss in an amount equal to the difference between the amount realized on the disposition by such U.S. holder and its tax basis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Passive Foreign Investment Company Considerations. </w:t>
      </w:r>
      <w:r>
        <w:rPr>
          <w:rFonts w:ascii="Arial" w:cs="Arial" w:eastAsia="Arial" w:hAnsi="Arial"/>
          <w:sz w:val="18"/>
          <w:szCs w:val="18"/>
          <w:color w:val="auto"/>
        </w:rPr>
        <w:t>If, for any taxable year, 75% or more of our gross income consists of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passive income, or the average quarterly value during a taxable year of our passive assets (generally assets that generate passive income) is 50% or more of the value of all of our assets (including goodwill) for such year,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93"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2018.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 generally must file annual reports to the IRS.</w:t>
      </w:r>
    </w:p>
    <w:p>
      <w:pPr>
        <w:spacing w:after="0" w:line="21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U.S. holders generally will be subject to information reporting requirements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(currently at a 24%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our ordinary shares or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 xml:space="preserve">20549. You may call the SEC at 1-800-SEC-0330 for further information about the Public Reference Room. Such reports are also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Some of this information may also be found on our website at </w:t>
      </w:r>
      <w:r>
        <w:rPr>
          <w:rFonts w:ascii="Arial" w:cs="Arial" w:eastAsia="Arial" w:hAnsi="Arial"/>
          <w:sz w:val="17"/>
          <w:szCs w:val="17"/>
          <w:i w:val="1"/>
          <w:iCs w:val="1"/>
          <w:color w:val="auto"/>
        </w:rPr>
        <w:t>www.amdocs.com.</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315" w:lineRule="exact"/>
        <w:rPr>
          <w:sz w:val="20"/>
          <w:szCs w:val="20"/>
          <w:color w:val="auto"/>
        </w:rPr>
      </w:pPr>
    </w:p>
    <w:p>
      <w:pPr>
        <w:ind w:left="200" w:right="4060"/>
        <w:spacing w:after="0" w:line="378"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jc w:val="both"/>
        <w:ind w:left="200" w:right="14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fiscal year 2018, approximately 70% to 80% of our revenue and approximately 50% to 60% of our operating expenses were in U.S. dollars or linked to the U.S. dollar.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British Pounds and European Euros, and anticipated costs to be incurred in a foreign currency, primarily Israeli shekels, Indian rupees and Mexican Pesos. We also use such contracts to hedge the net impact of the variability in exchange rates on certain balance sheet items such as accounts receivable and employee related accruals denominated primarily in Israeli shekels and European Euros, as well as other foreign currency of jurisdictions in which we operate. We seek to minimize the </w:t>
      </w:r>
      <w:r>
        <w:rPr>
          <w:rFonts w:ascii="Arial" w:cs="Arial" w:eastAsia="Arial" w:hAnsi="Arial"/>
          <w:sz w:val="16"/>
          <w:szCs w:val="16"/>
          <w:b w:val="1"/>
          <w:bCs w:val="1"/>
          <w:color w:val="auto"/>
        </w:rPr>
        <w:t>net</w:t>
      </w:r>
      <w:r>
        <w:rPr>
          <w:rFonts w:ascii="Arial" w:cs="Arial" w:eastAsia="Arial" w:hAnsi="Arial"/>
          <w:sz w:val="16"/>
          <w:szCs w:val="16"/>
          <w:color w:val="auto"/>
        </w:rPr>
        <w:t xml:space="preserve">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16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2018. Notional values are in U.S. dollars and are translated and calculated based on forward rates as of September 30, 2018, for forward contracts, and based on spot rates as of September 30, 2018 for options.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w w:val="93"/>
              </w:rPr>
              <w:t>Notional Value*</w:t>
            </w:r>
          </w:p>
        </w:tc>
        <w:tc>
          <w:tcPr>
            <w:tcW w:w="1900" w:type="dxa"/>
            <w:vAlign w:val="bottom"/>
            <w:gridSpan w:val="4"/>
          </w:tcPr>
          <w:p>
            <w:pPr>
              <w:ind w:left="980"/>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1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Our interest expenses and income are sensitive to changes in interest rates, as all of our cash investments and some of our borrowings, are subject to interest rate changes. Our short-term interest-bearing investments are invested in short-term conservative debt instruments, primarily U.S. dollar-denominated, and consist mainly of bank deposits, corporate bonds, money market funds, U.S. government treasuries, and U.S. agency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2018, which is included herein.</w:t>
      </w:r>
    </w:p>
    <w:p>
      <w:pPr>
        <w:spacing w:after="0" w:line="18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2018 that has materially affected, or is reasonably likely to materially affect, our internal control over financial reporting.</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81"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Ernst &amp; Young billed us approximately $4.0 million for audit services for fiscal 2018, including fees associated with the annual audit and reviews of our quarterly financial results submitted on Form 6-K, consultations on various accounting issues and performance of local statutory audits. Ernst &amp; Young billed us approximately $3.6 million for audit services for fiscal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Ernst &amp; Young billed us approximately $2.3 million for audit-related services for fiscal 2018. Audit-related services principally include SOC 1 report issuances and due diligence examinations. Ernst &amp; Young billed us approximately $1.2 million for audit-related services for fiscal 2017.</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Ernst &amp; Young billed us approximately $1.6 million for tax advice, including fees associated with tax compliance, tax advice and tax planning services for fiscal 2018. Ernst &amp; Young billed us approximately $1.7 million for tax advice in fiscal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2018 or fiscal 2017.</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2018, our Audit Committee approved all of the services provided by Ernst &amp; Young.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2018 of equity securities that are registered by us pursuant to Section 12 of the Exchange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(b)</w:t>
            </w:r>
          </w:p>
        </w:tc>
        <w:tc>
          <w:tcPr>
            <w:tcW w:w="1880" w:type="dxa"/>
            <w:vAlign w:val="bottom"/>
            <w:gridSpan w:val="2"/>
          </w:tcPr>
          <w:p>
            <w:pPr>
              <w:jc w:val="center"/>
              <w:ind w:left="651"/>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760" w:type="dxa"/>
            <w:vAlign w:val="bottom"/>
          </w:tcPr>
          <w:p>
            <w:pPr>
              <w:spacing w:after="0"/>
              <w:rPr>
                <w:sz w:val="12"/>
                <w:szCs w:val="12"/>
                <w:color w:val="auto"/>
              </w:rPr>
            </w:pPr>
          </w:p>
        </w:tc>
        <w:tc>
          <w:tcPr>
            <w:tcW w:w="1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20" w:type="dxa"/>
            <w:vAlign w:val="bottom"/>
            <w:gridSpan w:val="2"/>
          </w:tcPr>
          <w:p>
            <w:pPr>
              <w:jc w:val="center"/>
              <w:ind w:left="1111"/>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2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4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158"/>
        </w:trPr>
        <w:tc>
          <w:tcPr>
            <w:tcW w:w="244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w:t>
            </w:r>
          </w:p>
        </w:tc>
        <w:tc>
          <w:tcPr>
            <w:tcW w:w="1860" w:type="dxa"/>
            <w:vAlign w:val="bottom"/>
            <w:gridSpan w:val="3"/>
          </w:tcPr>
          <w:p>
            <w:pPr>
              <w:ind w:left="760"/>
              <w:spacing w:after="0" w:line="158" w:lineRule="exact"/>
              <w:rPr>
                <w:sz w:val="20"/>
                <w:szCs w:val="20"/>
                <w:color w:val="auto"/>
              </w:rPr>
            </w:pPr>
            <w:r>
              <w:rPr>
                <w:rFonts w:ascii="Arial" w:cs="Arial" w:eastAsia="Arial" w:hAnsi="Arial"/>
                <w:sz w:val="14"/>
                <w:szCs w:val="14"/>
                <w:b w:val="1"/>
                <w:bCs w:val="1"/>
                <w:color w:val="auto"/>
                <w:w w:val="93"/>
              </w:rPr>
              <w:t>Paid per Share(1)</w:t>
            </w:r>
          </w:p>
        </w:tc>
        <w:tc>
          <w:tcPr>
            <w:tcW w:w="76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10/1/17-10/31/17</w:t>
            </w:r>
          </w:p>
        </w:tc>
        <w:tc>
          <w:tcPr>
            <w:tcW w:w="1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336,221</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65.43</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336,221</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234,261,338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11/1/17-11/30/17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748,489</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748,489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986,452,363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12/1/17-12/31/17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767,411</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767,411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936,389,892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01/1/18-01/31/18</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309,425</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309,425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915,400,866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02/1/18-02/28/18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762,230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762,230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865,019,278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03/1/18-03/31/18</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716,084</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67.71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716,084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816,535,701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04/1/18-04/30/18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301,268</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796,443,427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05/1/18-05/31/18</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559,087</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66.35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559,087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759,345,919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06/1/18-06/30/18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472,320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726,741,836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07/1/18-07/31/18</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310,170</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310,170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705,710,919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08/1/18-08/31/18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695,815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695,815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660,602,200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09/1/18-09/30/18</w:t>
            </w:r>
          </w:p>
        </w:tc>
        <w:tc>
          <w:tcPr>
            <w:tcW w:w="1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358,675</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65.45</w:t>
            </w:r>
          </w:p>
        </w:tc>
        <w:tc>
          <w:tcPr>
            <w:tcW w:w="7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637,126,788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6,337,195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6,337,195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637,126,788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right="120" w:hanging="436"/>
        <w:spacing w:after="0" w:line="255"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November 8, 2017, our Board of Directors adopted a share repurchase plan authorizing the repurchase of up to $800.0 million of our outstanding ordinary shares. The authorizations have no expiration date and permit us to purchase our ordinary shares in open market or privately negotiated transactions at times and prices that we consider appropriate.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2018, and to our website at www.amdocs.com.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 And Schedule</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2018, 2017 and 2016, are included at the end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September 30, 2018 and 2017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Income for the fiscal years ended September 30, 2018, 2017 and 2016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Income for the fiscal years ended September 30, 2018, 2017 and 2016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Changes in Equity for the fiscal years ended September 30, 2018, 2017 and 2016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fiscal years ended September 30, 2018, 2017 and 2016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the Consolidated Financial Statements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schedules have been omitted since they are either not required or not applicable, or the information has otherwise been included.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3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0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Amended and Restated Memorandum of Incorporation of Amdocs Limited (incorporated by reference to Exhibit 99.1 to Amdocs’ Form</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6-K filed January 26, 2009)</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1.2</w:t>
            </w:r>
          </w:p>
        </w:tc>
        <w:tc>
          <w:tcPr>
            <w:tcW w:w="60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Amended and Restated Articles of Incorporation of Amdocs Limited (incorporated by reference to Exhibit 1.2 to Amdocs’ Annual</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Report on Form 20-F, filed December 7, 2010)</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w w:val="91"/>
              </w:rPr>
              <w:t>4.a.1†</w:t>
            </w:r>
          </w:p>
        </w:tc>
        <w:tc>
          <w:tcPr>
            <w:tcW w:w="600" w:type="dxa"/>
            <w:vAlign w:val="bottom"/>
          </w:tcPr>
          <w:p>
            <w:pPr>
              <w:spacing w:after="0"/>
              <w:rPr>
                <w:sz w:val="24"/>
                <w:szCs w:val="24"/>
                <w:color w:val="auto"/>
              </w:rPr>
            </w:pPr>
          </w:p>
        </w:tc>
        <w:tc>
          <w:tcPr>
            <w:tcW w:w="9260" w:type="dxa"/>
            <w:vAlign w:val="bottom"/>
            <w:tcBorders>
              <w:bottom w:val="single" w:sz="8" w:color="0000EE"/>
            </w:tcBorders>
            <w:gridSpan w:val="9"/>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Agreement between Amdocs, Inc. and AT&amp;T Services, Inc. for Software and Professional Services, effective February 28, 2017</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(incorporated by reference to Exhibit 4.b.6 to Amdocs’ Annual Report on Form 20-F, filed December 11, 2017)</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8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4.a.2</w:t>
            </w:r>
          </w:p>
        </w:tc>
        <w:tc>
          <w:tcPr>
            <w:tcW w:w="60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0000EE"/>
                <w:w w:val="93"/>
              </w:rPr>
              <w:t>Supplemental Agreement dated September 30, 2018 to the Agreement for Software and Professional Services effective February 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2017 that is filed as Exhibit 4.a.1 hereto.</w:t>
            </w:r>
          </w:p>
        </w:tc>
        <w:tc>
          <w:tcPr>
            <w:tcW w:w="6600" w:type="dxa"/>
            <w:vAlign w:val="bottom"/>
            <w:tcBorders>
              <w:top w:val="single" w:sz="8" w:color="0000EE"/>
            </w:tcBorders>
            <w:gridSpan w:val="9"/>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4.b</w:t>
            </w:r>
          </w:p>
        </w:tc>
        <w:tc>
          <w:tcPr>
            <w:tcW w:w="60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Amdocs Limited 1998 Stock Option and Incentive Plan, as amended (incorporated by reference to Exhibit 99.1 to Amdocs’ Registration</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Statement on Form S-8, filed on February 12, 2018)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4.c</w:t>
            </w:r>
          </w:p>
        </w:tc>
        <w:tc>
          <w:tcPr>
            <w:tcW w:w="60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Amended and Restated Credit Agreement, dated as of December 11, 2017, among Amdocs Limited, certain of its subsidiaries,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lenders from time to time party thereto, JPMorgan Chase Bank, N.A., as administrative agent, J.P. Morgan Europe Limited, as London</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agent, and JPMorgan Chase Bank, N.A., Toronto branch, as Canadian agent (incorporated by reference to Exhibit 4.d to Amdocs’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Report on Form 20-F, filed on December 11, 2017)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320" w:hanging="891"/>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EE"/>
        </w:rPr>
        <w:t>Subsidiaries of Amdocs Limited</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12.1</w:t>
            </w:r>
          </w:p>
        </w:tc>
        <w:tc>
          <w:tcPr>
            <w:tcW w:w="9820" w:type="dxa"/>
            <w:vAlign w:val="bottom"/>
            <w:gridSpan w:val="6"/>
          </w:tcPr>
          <w:p>
            <w:pPr>
              <w:spacing w:after="0"/>
              <w:rPr>
                <w:sz w:val="20"/>
                <w:szCs w:val="20"/>
                <w:color w:val="auto"/>
              </w:rPr>
            </w:pPr>
            <w:r>
              <w:rPr>
                <w:rFonts w:ascii="Arial" w:cs="Arial" w:eastAsia="Arial" w:hAnsi="Arial"/>
                <w:sz w:val="18"/>
                <w:szCs w:val="18"/>
                <w:color w:val="0000EE"/>
              </w:rPr>
              <w:t>Certification of Chief Executive Officer pursuant to Rule 13a-14(a)/15d-14(a)</w:t>
            </w: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12.2</w:t>
            </w:r>
          </w:p>
        </w:tc>
        <w:tc>
          <w:tcPr>
            <w:tcW w:w="5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Rule 13a-14(a)/15d-14(a)</w:t>
            </w:r>
          </w:p>
        </w:tc>
        <w:tc>
          <w:tcPr>
            <w:tcW w:w="4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13.1</w:t>
            </w:r>
          </w:p>
        </w:tc>
        <w:tc>
          <w:tcPr>
            <w:tcW w:w="4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Executive Officer pursuant to 18 U.S.C. 1350</w:t>
            </w:r>
          </w:p>
        </w:tc>
        <w:tc>
          <w:tcPr>
            <w:tcW w:w="4940" w:type="dxa"/>
            <w:vAlign w:val="bottom"/>
            <w:gridSpan w:val="3"/>
          </w:tcPr>
          <w:p>
            <w:pPr>
              <w:spacing w:after="0"/>
              <w:rPr>
                <w:sz w:val="24"/>
                <w:szCs w:val="24"/>
                <w:color w:val="auto"/>
              </w:rPr>
            </w:pP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13.2</w:t>
            </w:r>
          </w:p>
        </w:tc>
        <w:tc>
          <w:tcPr>
            <w:tcW w:w="9820" w:type="dxa"/>
            <w:vAlign w:val="bottom"/>
            <w:gridSpan w:val="6"/>
          </w:tcPr>
          <w:p>
            <w:pPr>
              <w:spacing w:after="0"/>
              <w:rPr>
                <w:sz w:val="20"/>
                <w:szCs w:val="20"/>
                <w:color w:val="auto"/>
              </w:rPr>
            </w:pPr>
            <w:r>
              <w:rPr>
                <w:rFonts w:ascii="Arial" w:cs="Arial" w:eastAsia="Arial" w:hAnsi="Arial"/>
                <w:sz w:val="18"/>
                <w:szCs w:val="18"/>
                <w:color w:val="0000EE"/>
              </w:rPr>
              <w:t>Certification of Chief Financial Officer pursuant to 18 U.S.C. 1350</w:t>
            </w: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14.1</w:t>
            </w:r>
          </w:p>
        </w:tc>
        <w:tc>
          <w:tcPr>
            <w:tcW w:w="48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Ernst &amp; Young LLP</w:t>
            </w:r>
          </w:p>
        </w:tc>
        <w:tc>
          <w:tcPr>
            <w:tcW w:w="5000" w:type="dxa"/>
            <w:vAlign w:val="bottom"/>
            <w:gridSpan w:val="4"/>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r>
      <w:tr>
        <w:trPr>
          <w:trHeight w:val="33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100.1</w:t>
            </w:r>
          </w:p>
        </w:tc>
        <w:tc>
          <w:tcPr>
            <w:tcW w:w="9820" w:type="dxa"/>
            <w:vAlign w:val="bottom"/>
            <w:gridSpan w:val="6"/>
          </w:tcPr>
          <w:p>
            <w:pPr>
              <w:spacing w:after="0"/>
              <w:rPr>
                <w:sz w:val="20"/>
                <w:szCs w:val="20"/>
                <w:color w:val="auto"/>
              </w:rPr>
            </w:pPr>
            <w:r>
              <w:rPr>
                <w:rFonts w:ascii="Arial" w:cs="Arial" w:eastAsia="Arial" w:hAnsi="Arial"/>
                <w:sz w:val="18"/>
                <w:szCs w:val="18"/>
                <w:color w:val="auto"/>
                <w:w w:val="96"/>
              </w:rPr>
              <w:t>The following financial information from Amdocs Limited’s Annual Report on Form 20-F for the year ended September 30, 2018,</w:t>
            </w:r>
          </w:p>
        </w:tc>
      </w:tr>
      <w:tr>
        <w:trPr>
          <w:trHeight w:val="216"/>
        </w:trPr>
        <w:tc>
          <w:tcPr>
            <w:tcW w:w="1120" w:type="dxa"/>
            <w:vAlign w:val="bottom"/>
          </w:tcPr>
          <w:p>
            <w:pPr>
              <w:spacing w:after="0"/>
              <w:rPr>
                <w:sz w:val="18"/>
                <w:szCs w:val="18"/>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as of September 30, 2018 and 2017, (ii)</w:t>
            </w:r>
          </w:p>
        </w:tc>
      </w:tr>
      <w:tr>
        <w:trPr>
          <w:trHeight w:val="230"/>
        </w:trPr>
        <w:tc>
          <w:tcPr>
            <w:tcW w:w="1120" w:type="dxa"/>
            <w:vAlign w:val="bottom"/>
          </w:tcPr>
          <w:p>
            <w:pPr>
              <w:spacing w:after="0"/>
              <w:rPr>
                <w:sz w:val="20"/>
                <w:szCs w:val="20"/>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7"/>
              </w:rPr>
              <w:t>Consolidated Statements of Income for the years ended September 30, 2018, 2017 and 2016, (iii) Consolidated Statements of</w:t>
            </w:r>
          </w:p>
        </w:tc>
      </w:tr>
    </w:tbl>
    <w:p>
      <w:pPr>
        <w:ind w:left="1320" w:right="80"/>
        <w:spacing w:after="0" w:line="261" w:lineRule="auto"/>
        <w:rPr>
          <w:sz w:val="20"/>
          <w:szCs w:val="20"/>
          <w:color w:val="auto"/>
        </w:rPr>
      </w:pPr>
      <w:r>
        <w:rPr>
          <w:rFonts w:ascii="Arial" w:cs="Arial" w:eastAsia="Arial" w:hAnsi="Arial"/>
          <w:sz w:val="18"/>
          <w:szCs w:val="18"/>
          <w:color w:val="auto"/>
        </w:rPr>
        <w:t>Comprehensive Income for the years ended September 30, 2018, 2017 and 2016, (iv) the Consolidated Statements of Cash Flows for the years ended September 30, 2018, 2017 and 2016, and (iv)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420" w:right="240" w:hanging="216"/>
        <w:spacing w:after="0" w:line="27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December 10,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60"/>
          </w:cols>
          <w:pgMar w:left="240" w:top="459" w:right="11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Management’s Report on Internal Control Over Financial Reporting</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Reports of Independent Registered Public Accounting Firm</w:t>
              </w:r>
            </w:hyperlink>
          </w:p>
        </w:tc>
        <w:tc>
          <w:tcPr>
            <w:tcW w:w="600" w:type="dxa"/>
            <w:vAlign w:val="bottom"/>
            <w:tcBorders>
              <w:top w:val="single" w:sz="8" w:color="0000EE"/>
            </w:tcBorders>
            <w:gridSpan w:val="2"/>
          </w:tcPr>
          <w:p>
            <w:pPr>
              <w:spacing w:after="0"/>
              <w:rPr>
                <w:sz w:val="17"/>
                <w:szCs w:val="17"/>
                <w:color w:val="auto"/>
              </w:rPr>
            </w:pPr>
          </w:p>
        </w:tc>
        <w:tc>
          <w:tcPr>
            <w:tcW w:w="53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Balance Sheets as of September 30, 2018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Income for the fiscal years ended September 30, 2018, 2017 and 2016</w:t>
              </w:r>
            </w:hyperlink>
          </w:p>
        </w:tc>
        <w:tc>
          <w:tcPr>
            <w:tcW w:w="31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Comprehensive Income for the fiscal years ended September 30, 2018, 2017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4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Consolidated Statements of Changes in Equity for the fiscal years ended September 30, 2018, 2017 and 2016</w:t>
              </w:r>
            </w:hyperlink>
          </w:p>
        </w:tc>
        <w:tc>
          <w:tcPr>
            <w:tcW w:w="1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Cash Flows for the fiscal years ended September 30, 2018, 2017 and 2016</w:t>
              </w:r>
            </w:hyperlink>
          </w:p>
        </w:tc>
        <w:tc>
          <w:tcPr>
            <w:tcW w:w="480" w:type="dxa"/>
            <w:vAlign w:val="bottom"/>
            <w:tcBorders>
              <w:top w:val="single" w:sz="8" w:color="0000EE"/>
            </w:tcBorders>
          </w:tcPr>
          <w:p>
            <w:pPr>
              <w:spacing w:after="0"/>
              <w:rPr>
                <w:sz w:val="17"/>
                <w:szCs w:val="17"/>
                <w:color w:val="auto"/>
              </w:rPr>
            </w:pPr>
          </w:p>
        </w:tc>
        <w:tc>
          <w:tcPr>
            <w:tcW w:w="23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Notes to the Consolidated Financial Statements</w:t>
              </w:r>
            </w:hyperlink>
          </w:p>
        </w:tc>
        <w:tc>
          <w:tcPr>
            <w:tcW w:w="68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22"/>
        </w:trPr>
        <w:tc>
          <w:tcPr>
            <w:tcW w:w="1058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113">
              <w:r>
                <w:rPr>
                  <w:rFonts w:ascii="Arial" w:cs="Arial" w:eastAsia="Arial" w:hAnsi="Arial"/>
                  <w:sz w:val="18"/>
                  <w:szCs w:val="18"/>
                  <w:color w:val="0000EE"/>
                </w:rPr>
                <w:t>Valuation and Qualifying Accounts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5"/>
          </w:tcPr>
          <w:p>
            <w:pPr>
              <w:ind w:left="1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060" w:right="16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2018. In making this assessment, the Company’s management used the criteria set forth by the Committee of Sponsoring Organizations of the Treadway Commission (2013 framework) in Internal Control-Integrated Framework.</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Based on its assessment, management concluded that, as of September 30, 2018, the Company’s internal control over financial reporting is effective based on those criteria.</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audited the accompanying consolidated balance sheets of Amdocs Limited (the “Company”) as of September 30, 2018 and 2017, the related consolidated statements of income, comprehensive income, changes in equity and cash flows for each of the three years in the period ended September 30, 2018,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2018 and 2017, and the results of its operations and its cash flows for each of the three years in the period ended September 30, 2018, in conformity with U.S. generally accepted accounting principles.</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2018, based on criteria established in Internal Control-Integrated Framework issued by the Committee of Sponsoring Organizations of the Treadway Commission “(2013 framework),” and our report dated December 10, 2018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1988.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10,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have audited Amdocs Limited’s internal control over financial reporting as of September 30, 2018, based on criteria established in Internal Control —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2018, based on the COSO criteria.</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September 30, 2018 and 2017, the related consolidated statements of income, comprehensive income, changes in equity and cash flows for each of the three years in the period ended September 30, 2018, and the related notes and the financial statement schedule listed in the Index at Item 18 of Part III and our report dated December 10, 2018 expressed an unqualified opinion thereon.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10, 2018</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900"/>
          </w:cols>
          <w:pgMar w:left="240" w:top="459" w:right="7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vMerge w:val="restart"/>
          </w:tcPr>
          <w:p>
            <w:pPr>
              <w:ind w:left="510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418,783</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649,611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interest-bearing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971,502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1,720,717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2,048,486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2,444,895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2,221,209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5,347,815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428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194,738</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Accrued personnel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1,294,957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1,172,946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1,855,773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1,705,310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Ordinary Shares — Authorized 700,000 shares; £0.01 par value; 275,896 and 273,773 issued and 140,177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144,391 outstanding, in 2018 and 2017, respectively</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3,587,625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3,458,887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 135,719 and 129,382 ordinary shares in 2018 and 2017,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(4,784,352)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(4,365,124)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(32,731)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4,673,901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4,457,107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Amdocs Limited shareholders’ equity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3,448,879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3,574,070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70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3,492,042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3,574,070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5,347,815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3,974,837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3,867,155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2,595,276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2,507,656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259,097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110,291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3,546,530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3,349,822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3,235,088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(6,766)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taxes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436,826</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4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$354,396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$436,826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$409,331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(51,116)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(1,182)</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(978)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actuarial gain (loss) on defined benefit plan(3)</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(2,067)</w:t>
            </w: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302,875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449,521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432,179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of tax benefit (expense) of $4,482, $651 and $(7,053) for the fiscal years ended September 30, 2018, 2017 and 2016, respectively.</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benefit (expense) of $9, $(4) and $(1) for the fiscal years ended September 30, 2018, 2017 and 2016, respectively.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(expense) benefit of $(254), $(697) and $747 for the fiscal years ended September 30, 2018, 2017 and 2016, respectively.</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Amdocs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00" w:type="dxa"/>
            <w:vAlign w:val="bottom"/>
            <w:gridSpan w:val="5"/>
            <w:vMerge w:val="restart"/>
          </w:tcPr>
          <w:p>
            <w:pPr>
              <w:jc w:val="right"/>
              <w:ind w:right="32"/>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Limited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100" w:type="dxa"/>
            <w:vAlign w:val="bottom"/>
            <w:tcBorders>
              <w:bottom w:val="single" w:sz="8" w:color="auto"/>
            </w:tcBorders>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53"/>
              <w:spacing w:after="0" w:line="11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780" w:type="dxa"/>
            <w:vAlign w:val="bottom"/>
            <w:gridSpan w:val="2"/>
          </w:tcPr>
          <w:p>
            <w:pPr>
              <w:jc w:val="right"/>
              <w:ind w:right="200"/>
              <w:spacing w:after="0" w:line="115" w:lineRule="exact"/>
              <w:rPr>
                <w:sz w:val="20"/>
                <w:szCs w:val="20"/>
                <w:color w:val="auto"/>
              </w:rPr>
            </w:pPr>
            <w:r>
              <w:rPr>
                <w:rFonts w:ascii="Arial" w:cs="Arial" w:eastAsia="Arial" w:hAnsi="Arial"/>
                <w:sz w:val="13"/>
                <w:szCs w:val="13"/>
                <w:b w:val="1"/>
                <w:bCs w:val="1"/>
                <w:color w:val="auto"/>
              </w:rPr>
              <w:t>Treasury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15" w:lineRule="exact"/>
              <w:rPr>
                <w:sz w:val="20"/>
                <w:szCs w:val="20"/>
                <w:color w:val="auto"/>
              </w:rPr>
            </w:pPr>
            <w:r>
              <w:rPr>
                <w:rFonts w:ascii="Arial" w:cs="Arial" w:eastAsia="Arial" w:hAnsi="Arial"/>
                <w:sz w:val="13"/>
                <w:szCs w:val="13"/>
                <w:b w:val="1"/>
                <w:bCs w:val="1"/>
                <w:color w:val="auto"/>
                <w:w w:val="90"/>
              </w:rPr>
              <w:t>Retained</w:t>
            </w:r>
          </w:p>
        </w:tc>
        <w:tc>
          <w:tcPr>
            <w:tcW w:w="940" w:type="dxa"/>
            <w:vAlign w:val="bottom"/>
            <w:gridSpan w:val="4"/>
          </w:tcPr>
          <w:p>
            <w:pPr>
              <w:ind w:left="60"/>
              <w:spacing w:after="0" w:line="115" w:lineRule="exact"/>
              <w:rPr>
                <w:sz w:val="20"/>
                <w:szCs w:val="20"/>
                <w:color w:val="auto"/>
              </w:rPr>
            </w:pPr>
            <w:r>
              <w:rPr>
                <w:rFonts w:ascii="Arial" w:cs="Arial" w:eastAsia="Arial" w:hAnsi="Arial"/>
                <w:sz w:val="13"/>
                <w:szCs w:val="13"/>
                <w:b w:val="1"/>
                <w:bCs w:val="1"/>
                <w:color w:val="auto"/>
                <w:w w:val="99"/>
              </w:rPr>
              <w:t>Shareholders’</w:t>
            </w:r>
          </w:p>
        </w:tc>
        <w:tc>
          <w:tcPr>
            <w:tcW w:w="680" w:type="dxa"/>
            <w:vAlign w:val="bottom"/>
            <w:gridSpan w:val="3"/>
          </w:tcPr>
          <w:p>
            <w:pPr>
              <w:ind w:left="80"/>
              <w:spacing w:after="0" w:line="115" w:lineRule="exact"/>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0"/>
                <w:szCs w:val="10"/>
                <w:color w:val="auto"/>
              </w:rPr>
            </w:pPr>
          </w:p>
        </w:tc>
        <w:tc>
          <w:tcPr>
            <w:tcW w:w="700" w:type="dxa"/>
            <w:vAlign w:val="bottom"/>
            <w:gridSpan w:val="2"/>
          </w:tcPr>
          <w:p>
            <w:pPr>
              <w:jc w:val="right"/>
              <w:ind w:right="26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3"/>
          </w:tcPr>
          <w:p>
            <w:pPr>
              <w:ind w:left="60"/>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(Loss)(1)</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3"/>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b w:val="1"/>
                <w:bCs w:val="1"/>
                <w:color w:val="auto"/>
                <w:w w:val="81"/>
              </w:rPr>
              <w:t>interests</w:t>
            </w:r>
          </w:p>
        </w:tc>
        <w:tc>
          <w:tcPr>
            <w:tcW w:w="14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151,150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4,331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$3,182,573</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 (3,611,105)</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(16,753)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$3,847,796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3,406,842</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$3,406,842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409,331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409,331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409,331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22,848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432,179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89,728</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89,767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(413,422)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(413,422)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7,788</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($0.755 per ordinary share)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(112,300)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(112,300)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526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42,700</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September 30, 2016</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147,134</w:t>
            </w:r>
          </w:p>
        </w:tc>
        <w:tc>
          <w:tcPr>
            <w:tcW w:w="12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1"/>
              </w:rPr>
              <w:t>4,377</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$3,322,789</w:t>
            </w:r>
          </w:p>
        </w:tc>
        <w:tc>
          <w:tcPr>
            <w:tcW w:w="90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$(4,024,527)</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6,095</w:t>
            </w:r>
          </w:p>
        </w:tc>
        <w:tc>
          <w:tcPr>
            <w:tcW w:w="10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$4,144,827</w:t>
            </w:r>
          </w:p>
        </w:tc>
        <w:tc>
          <w:tcPr>
            <w:tcW w:w="100" w:type="dxa"/>
            <w:vAlign w:val="bottom"/>
          </w:tcPr>
          <w:p>
            <w:pPr>
              <w:spacing w:after="0"/>
              <w:rPr>
                <w:sz w:val="13"/>
                <w:szCs w:val="13"/>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9"/>
              </w:rPr>
              <w:t>3,453,561</w:t>
            </w:r>
          </w:p>
        </w:tc>
        <w:tc>
          <w:tcPr>
            <w:tcW w:w="100" w:type="dxa"/>
            <w:vAlign w:val="bottom"/>
          </w:tcPr>
          <w:p>
            <w:pPr>
              <w:spacing w:after="0"/>
              <w:rPr>
                <w:sz w:val="13"/>
                <w:szCs w:val="13"/>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$3,453,561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ind w:left="260"/>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449,521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449,521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87,948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(340,597)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(340,597)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(340,597)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declared ($0.855 per ordinary share)</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(124,546)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(124,546)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(124,546)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556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44,539</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44,539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44,539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144,391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4,410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$3,458,887</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$(4,365,124)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$4,457,107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3,574,070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$3,574,070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ind w:left="260"/>
              <w:spacing w:after="0" w:line="149" w:lineRule="exact"/>
              <w:rPr>
                <w:sz w:val="20"/>
                <w:szCs w:val="20"/>
                <w:color w:val="auto"/>
              </w:rPr>
            </w:pPr>
            <w:r>
              <w:rPr>
                <w:rFonts w:ascii="Arial" w:cs="Arial" w:eastAsia="Arial" w:hAnsi="Arial"/>
                <w:sz w:val="14"/>
                <w:szCs w:val="14"/>
                <w:color w:val="auto"/>
              </w:rPr>
              <w:t>Other comprehensive loss</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(51,521)</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302,875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302,875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81,262</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(419,228)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(419,228)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declared ($0.970 per ordinary share)</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(137,602)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(137,602)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(137,602)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323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47,476</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47,476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of Noncontrolling interests</w:t>
            </w: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43,163</w:t>
            </w: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September 30, 2018</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140,177</w:t>
            </w:r>
          </w:p>
        </w:tc>
        <w:tc>
          <w:tcPr>
            <w:tcW w:w="12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1"/>
              </w:rPr>
              <w:t>4,436</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3,587,625</w:t>
            </w:r>
          </w:p>
        </w:tc>
        <w:tc>
          <w:tcPr>
            <w:tcW w:w="90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(4,784,352)</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(32,731)</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4,673,901</w:t>
            </w:r>
          </w:p>
        </w:tc>
        <w:tc>
          <w:tcPr>
            <w:tcW w:w="100" w:type="dxa"/>
            <w:vAlign w:val="bottom"/>
          </w:tcPr>
          <w:p>
            <w:pPr>
              <w:spacing w:after="0"/>
              <w:rPr>
                <w:sz w:val="13"/>
                <w:szCs w:val="13"/>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9"/>
              </w:rPr>
              <w:t>3,448,879</w:t>
            </w:r>
          </w:p>
        </w:tc>
        <w:tc>
          <w:tcPr>
            <w:tcW w:w="100" w:type="dxa"/>
            <w:vAlign w:val="bottom"/>
          </w:tcPr>
          <w:p>
            <w:pPr>
              <w:spacing w:after="0"/>
              <w:rPr>
                <w:sz w:val="13"/>
                <w:szCs w:val="13"/>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43,163</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3,492,042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520" w:hanging="31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September 30, 2018, 2017 and 2016, accumulated other comprehensive(loss) income is comprised of unrealized (loss) gain on derivatives, net of tax, of $(26,608),</w:t>
      </w:r>
    </w:p>
    <w:p>
      <w:pPr>
        <w:spacing w:after="0" w:line="13" w:lineRule="exact"/>
        <w:rPr>
          <w:rFonts w:ascii="Arial" w:cs="Arial" w:eastAsia="Arial" w:hAnsi="Arial"/>
          <w:sz w:val="14"/>
          <w:szCs w:val="14"/>
          <w:color w:val="auto"/>
        </w:rPr>
      </w:pPr>
    </w:p>
    <w:p>
      <w:pPr>
        <w:ind w:left="520" w:right="40"/>
        <w:spacing w:after="0" w:line="239" w:lineRule="auto"/>
        <w:rPr>
          <w:rFonts w:ascii="Arial" w:cs="Arial" w:eastAsia="Arial" w:hAnsi="Arial"/>
          <w:sz w:val="14"/>
          <w:szCs w:val="14"/>
          <w:color w:val="auto"/>
        </w:rPr>
      </w:pPr>
      <w:r>
        <w:rPr>
          <w:rFonts w:ascii="Arial" w:cs="Arial" w:eastAsia="Arial" w:hAnsi="Arial"/>
          <w:sz w:val="15"/>
          <w:szCs w:val="15"/>
          <w:color w:val="auto"/>
        </w:rPr>
        <w:t>$24,508 and $12,514 , unrealized (loss) gain on short-term interest-bearing investments, net of tax, of $(1,592), $(410) and $568 and unrealized (loss) on defined benefit plan, net of tax, of $(4,531), $(5,308) and $(6,987).</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Year Ended 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354,396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436,826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211,224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214,885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rPr>
              <w:t>(66,451)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(41,075)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(18,736)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(52,667)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(50,230)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(31,036)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rPr>
              <w:t>(8,718)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557,249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636,112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8"/>
              </w:rPr>
              <w:t>(231,146)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(133,392)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303,090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278,066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(76,037)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(281,983)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w w:val="88"/>
              </w:rPr>
              <w:t>(355,142)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(18,533)</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(362,392</w:t>
            </w:r>
          </w:p>
        </w:tc>
        <w:tc>
          <w:tcPr>
            <w:tcW w:w="240" w:type="dxa"/>
            <w:vAlign w:val="bottom"/>
          </w:tcPr>
          <w:p>
            <w:pPr>
              <w:jc w:val="right"/>
              <w:ind w:right="144"/>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(185,313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(440,851)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8"/>
              </w:rPr>
              <w:t>(120,000)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Repurchase of shares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w w:val="88"/>
              </w:rPr>
              <w:t>(419,228)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(340,597)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w w:val="88"/>
              </w:rPr>
              <w:t>(134,292)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(121,503)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88"/>
              </w:rPr>
              <w:t>(425,685)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(569,848)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(446,296)</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(230,828)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(119,049)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(266,913)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649,611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768,660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418,783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649,611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and Income Taxes Paid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55,938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67,544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designs, develops, markets, supports, implements and operates amdocsONE, an open and modular solution set.</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 and are denominated in US Dollar unless indicated otherwise.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 2018 the new entity had negligible earnings or losses and, therefore, an immaterial effect on consolidated financial statements of Amdocs Limited.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40" w:firstLine="441"/>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classifies all of its short-term interest-bearing investments as available-for-sale securities. Such short-term interest-bearing investments consist primarily of bank deposits, corporate bonds, money market funds, U.S. government treasuries, and U.S. agency securities, which are stated at market value. Unrealized gains and losses are comprised of the difference between market value and amortized costs of such securities and are reflected, net of tax, as “accumulated other comprehensive (loss) income” in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(loss) income.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4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8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Company capitalizes the expenditures related to the new campus in Israel, which are classified as building and land. Amortization will begin when the new campus is ready for use and will be amortized on the straight-line basis over the estimated useful life.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89"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300" w:hanging="21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360" w:hanging="275"/>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400" w:hanging="315"/>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Any earn-out which is not considered a contingent consideration is recognized as compensation expense over expected service period.</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9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8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 See Note 11 to the consolidated financial statements.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collectability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revenue is generally recognized over the course of these projects, using the percentage of completion method of accounting,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 The Company evaluates contracts entered into at or near the same time with the same customer (or related parties of the customer) and determines if the contracts should be combined in accordance with the guidance for revenue recognition.</w:t>
      </w:r>
    </w:p>
    <w:p>
      <w:pPr>
        <w:spacing w:after="0" w:line="16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Initial license fee for software revenue is recognized as work is performed, under the percentage of completion method of accounting. Contingent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166"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Revenue that does not involve significant ongoing obligations is recognized as services are rendered.</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managed services contracts and in other long-term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hardware and software sales was less than 10% of revenue in each of fiscal years 2018, 2017 and 2016. In certain arrangements, the Company may earn revenue from other third-party services which is recorded at a gross or net amount according to certain indicators.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1"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17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 Billed accounts receivables include all outstanding invoices to customers, as well as amounts allowed to be billed according to contractual or other arrangements with customers.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Cost of revenue consists of all costs associated with providing software licenses and services to customers, including identified losses on contracts. Estimated losses on contracts accounted for using the percentage of completion method of accounting are recognized in the period in which the loss is identified. Cost of revenue includes license fees and royalty payments to software suppliers.</w:t>
      </w:r>
    </w:p>
    <w:p>
      <w:pPr>
        <w:spacing w:after="0" w:line="166"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Cost of revenue also includes costs of third-party products associated with selling third-party computer hardware and software products to customers and other third-party services, when the related revenue is recorded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at the gross amount. Customers purchasing third-party products and services from the Company generally do so in conjunction with the purchase of the Company’s software and services.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15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2018, the Company had one customer with an accounts receivable balance of more than 10% of total accounts receivable, amounting to 19%, which was lower than its respective portion of total revenue. As of September 30, 2017, the Company had one customer with an accounts receivable balance of more than 10% of total accounts receivable, amounting to 27%, which was lower than its respective portion of total revenue.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November 2018, the Financial Accounting Standards Board, or FASB issued an ASU No. 2018-18</w:t>
      </w:r>
      <w:r>
        <w:rPr>
          <w:rFonts w:ascii="Arial" w:cs="Arial" w:eastAsia="Arial" w:hAnsi="Arial"/>
          <w:sz w:val="16"/>
          <w:szCs w:val="16"/>
          <w:i w:val="1"/>
          <w:iCs w:val="1"/>
          <w:color w:val="auto"/>
        </w:rPr>
        <w:t>, “Collaborative Arrangements</w:t>
      </w:r>
      <w:r>
        <w:rPr>
          <w:rFonts w:ascii="Arial" w:cs="Arial" w:eastAsia="Arial" w:hAnsi="Arial"/>
          <w:sz w:val="16"/>
          <w:szCs w:val="16"/>
          <w:color w:val="auto"/>
        </w:rPr>
        <w:t>”. The ASU clarifies the interaction between collaborative arrangements and the new revenue standards. This ASU will be effective for the Company on October 1, 2020, and early adoption is permitted The Company is currently evaluating the impact of adoption of this ASU on its consolidated financial statements.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August 2018, the Financial Accounting Standards Board, or FASB issued an ASU No. 2018-15</w:t>
      </w:r>
      <w:r>
        <w:rPr>
          <w:rFonts w:ascii="Arial" w:cs="Arial" w:eastAsia="Arial" w:hAnsi="Arial"/>
          <w:sz w:val="18"/>
          <w:szCs w:val="18"/>
          <w:i w:val="1"/>
          <w:iCs w:val="1"/>
          <w:color w:val="auto"/>
        </w:rPr>
        <w:t>, “Customer’s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Incurred in a Cloud Computing Arrangement That Is a Service Contract”. </w:t>
      </w:r>
      <w:r>
        <w:rPr>
          <w:rFonts w:ascii="Arial" w:cs="Arial" w:eastAsia="Arial" w:hAnsi="Arial"/>
          <w:sz w:val="18"/>
          <w:szCs w:val="18"/>
          <w:color w:val="auto"/>
        </w:rPr>
        <w:t>The ASU amends the definition of hosting arrangement and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in a hosting arrangement that is a service contract to capitalize certain implementation costs as if the arrangement was an internal-use software project. This ASU will be effective for the Company on October 1, 2020, and early adoption is permitted The Company is currently evaluating the impact of adoption of this ASU on its consolidated financial statements.</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August 2018, the Financial Accounting Standards Board, or FASB issued an ASU No. 2018-13</w:t>
      </w:r>
      <w:r>
        <w:rPr>
          <w:rFonts w:ascii="Arial" w:cs="Arial" w:eastAsia="Arial" w:hAnsi="Arial"/>
          <w:sz w:val="18"/>
          <w:szCs w:val="18"/>
          <w:i w:val="1"/>
          <w:iCs w:val="1"/>
          <w:color w:val="auto"/>
        </w:rPr>
        <w:t>, “</w:t>
      </w:r>
      <w:r>
        <w:rPr>
          <w:rFonts w:ascii="Arial" w:cs="Arial" w:eastAsia="Arial" w:hAnsi="Arial"/>
          <w:sz w:val="18"/>
          <w:szCs w:val="18"/>
          <w:color w:val="auto"/>
        </w:rPr>
        <w:t>Fair Value Measurement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is currently evaluating the impact of adoption of this ASU on its consolidated financial statements.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August 2018, the FASB issued an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the adoption of this ASU will not have a material impact on its consolidated financial statements.</w:t>
      </w:r>
    </w:p>
    <w:p>
      <w:pPr>
        <w:spacing w:after="0" w:line="18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In June 2018, the FASB issued an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specific limitations. The Company expects the adoption of this ASU will not have a material impact on its consolidated financial statements.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December 2017, SEC issued Staff Accounting Bulletin No. 118 (“SAB No. 118”) due to the new tax legislation in the United States (The Tax Cuts and Jobs Act or “The Act”) which allows the Company to record provisional amounts during a one-year measurement period. The Act, which was enacted in December 22, 2017, reduces the US federal corporate tax rate from 35% to 21%, requires companies to pay a one-time transition tax on earnings of certain foreign subsidiaries and creates new taxes on certain foreign sourced earnings. As of September 30, 2018, the Company has not completed its accounting for the tax effects of enactment of the Act and made a reasonable estimate of the effects on its existing deferred tax balances and the one-time transition tax. The Company will continue to make and refine its calculations as additional analysis is completed and as it gains a more thorough understanding of the tax law, see also Note 11.</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August 2017, the FASB issued an ASU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The ASU will be effective on October 2020 and earlier adoption by one year is permitted. The Company is currently evaluating the impact of adoption of this ASU on its consolidated financial statements.</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ASU revises and narrows the definition of a business and provides a framework that gives entities a basis for making reasonable judgments about whether a transaction involves an asset or a business. This ASU is effective for the Company with respect to transactions occurring on or after October 1, 2018. The Company expects the adoption of this ASU will not have a material impact on its consolidated financial statements.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August 2016, the FASB issued an ASU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The ASU intends to reduce diversity in practice in how certain transactions are classified in the statement of cash flows. The ASU is effective for the Company on October 1, 2018.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June 2016, the FASB issued an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ASU which introduces an impairment model that is based on expected losses rather than incurred losses and will apply to financial assets subject to credit losses and measured at amortized cost, and certain off-balance sheet credit exposures. The ASU will be effective on October 2020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 xml:space="preserve">In February 2016, the FASB issued an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on October 1, 2019,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2016, the FASB issued an ASU 2016-01,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This ASU is effective for the Company on October 1, 2018. The Company expects adoption of this ASU may result in changes in its financial statements presentation but will not affect the content of its consolidated financial statements.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May 2014, the FASB issued an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The ASU on revenue from contracts with customers, or the new revenue standard, which outlines a single comprehensive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model for entities to use in accounting for revenue arising from contracts with customers. The new revenue standard supersedes most current revenue recognition guidance and will be effective for the Company beginning in the first quarter of fiscal year 2019.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Entities have the option of adopting the new revenue standard using either a full retrospective or a modified approach with the cumulative effect of applying the standard recognized at the date of initial application. The Company will adopt the new revenue standard on October 1, 2018 using the modified retrospective transition approach. The estimated cumulative adjustment to retained earnings will have an immaterial effect to its consolidated financial statements.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March 2016, the FASB issued an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payments. The ASU simplifies several aspects related to how share-based payments are accounted for and presented in the financial statements, including income taxes, accounting for forfeitures and classification in the statements of cash flows. The Company prospectively adopted this ASU effective October 1, 2017 and as a result did not adjust the prior period amounts that are presented in its consolidated statements of cash flows.</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September 2015, the FASB issued an ASU 2015-16, “</w:t>
      </w:r>
      <w:r>
        <w:rPr>
          <w:rFonts w:ascii="Arial" w:cs="Arial" w:eastAsia="Arial" w:hAnsi="Arial"/>
          <w:sz w:val="18"/>
          <w:szCs w:val="18"/>
          <w:i w:val="1"/>
          <w:iCs w:val="1"/>
          <w:color w:val="auto"/>
        </w:rPr>
        <w:t>Business combination</w:t>
      </w:r>
      <w:r>
        <w:rPr>
          <w:rFonts w:ascii="Arial" w:cs="Arial" w:eastAsia="Arial" w:hAnsi="Arial"/>
          <w:sz w:val="18"/>
          <w:szCs w:val="18"/>
          <w:color w:val="auto"/>
        </w:rPr>
        <w:t>”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The Company prospectively adopted this ASU effective October 1, 2017. There was no material impact on the Company’s consolidated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2018, the Company acquired three technology companies for an aggregate consideration of $355,142 in cash: Vubiquity, a leading provider of premium content services and technology solutions, projekt202, a leader in experience-driven software design and development, and UXP systems (“UXP”) whose User Lifecycle Management solution is a leading platform for empowering digital user relationships and digital identity. See Note 9 to the consolidated financial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 Fair Value Measurements</w:t>
      </w:r>
    </w:p>
    <w:p>
      <w:pPr>
        <w:spacing w:after="0" w:line="121" w:lineRule="exact"/>
        <w:rPr>
          <w:sz w:val="20"/>
          <w:szCs w:val="20"/>
          <w:color w:val="auto"/>
        </w:rPr>
      </w:pPr>
    </w:p>
    <w:p>
      <w:pPr>
        <w:jc w:val="both"/>
        <w:ind w:left="200" w:right="26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60"/>
          </w:cols>
          <w:pgMar w:left="24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640" w:right="20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September 30, 2018 and 2017:</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47,531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54,141</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(27,842)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(27,842)</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0"/>
              </w:rPr>
              <w:t>(37,954)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(37,954)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(37,954)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September 30, 2017</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385,197</w:t>
            </w:r>
          </w:p>
        </w:tc>
        <w:tc>
          <w:tcPr>
            <w:tcW w:w="100" w:type="dxa"/>
            <w:vAlign w:val="bottom"/>
            <w:shd w:val="clear" w:color="auto" w:fill="CCEEFF"/>
          </w:tcPr>
          <w:p>
            <w:pPr>
              <w:spacing w:after="0"/>
              <w:rPr>
                <w:sz w:val="18"/>
                <w:szCs w:val="18"/>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(21,972)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(21,972)</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136,867</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275,682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(21,972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390,577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2018 or fiscal year 2017. Level 3 amounts relate to certain acquisition-related liabilities, which were valued using a Monte-Carlo simulation model. These liabilities were included in accrued expenses and other current liabilities and also in other noncurrent liabilities as of September 30, 2018 and 2017. $17,692 of the increase in Level 3 liabilities during fiscal year 2018 was recorded in the consolidated statements of income and the rest of the increase was recorded against goodwill.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September 30, 2018</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0"/>
              </w:rPr>
              <w:t>Gross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300" w:type="dxa"/>
            <w:vAlign w:val="bottom"/>
            <w:gridSpan w:val="3"/>
          </w:tcPr>
          <w:p>
            <w:pPr>
              <w:ind w:left="6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80" w:type="dxa"/>
            <w:vAlign w:val="bottom"/>
            <w:gridSpan w:val="3"/>
          </w:tcPr>
          <w:p>
            <w:pPr>
              <w:jc w:val="center"/>
              <w:ind w:left="499"/>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2"/>
              </w:rPr>
              <w:t>Losses</w:t>
            </w:r>
          </w:p>
        </w:tc>
        <w:tc>
          <w:tcPr>
            <w:tcW w:w="6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30,883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16,297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132,908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00" w:hanging="436"/>
        <w:spacing w:after="0" w:line="279"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2018, $100,433 of securities were classified as short-term interest-bearing investments and $30,883 of securities were classified as cash and cash equivalents.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September 30, 2017</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Amortized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8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6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6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176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84,558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33,448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ind w:left="420"/>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385,598</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176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385,197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0" w:hanging="436"/>
        <w:spacing w:after="0" w:line="27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from the date of acquisition were included in cash and cash equivalents on the Company’s balance sheet. As of September 30, 2017, $329,997 of securities were classified as short-term interest-bearing investments and $55,200 of securities were classified as cash and cash equivalents.</w:t>
      </w:r>
    </w:p>
    <w:p>
      <w:pPr>
        <w:spacing w:after="0" w:line="124"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As of September 30, 2018,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2018, 2017 and 2016.</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2018, the Company’s available-for-sale securities had the following maturity dates: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44,615</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2,382</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131,316</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$659 as of September 30, 2018. The Company has limited its credit risk by entering into derivative transactions exclusively with investment-grade rated financial institutions and monitors the creditworthiness of these financial institutions on an ongoing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2018. Notional values are in U.S. dollars and are translated and calculated based on forward rates as of September 30, 2018 for forward contracts, and based on spot rates as of September 30, 2018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1,147,934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see Note 4 to the consolidated financial statements. The fair value of the open foreign exchange contracts recorded as an asset or a liability by the Company on its consolidated balance sheets as of September 30, 2018 and September 30, 2017,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$30,141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(17,681)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(10,030)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(27,465)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(3,368)</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(27,842)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2018 is scheduled to mature within the next 12 months.</w:t>
      </w:r>
    </w:p>
    <w:p>
      <w:pPr>
        <w:spacing w:after="0" w:line="15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income, net.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2018, 2017 and 2016, respectively, which partially offsets the foreign currency impact from the underlying exposures, is summarized as follows:</w:t>
      </w:r>
    </w:p>
    <w:p>
      <w:pPr>
        <w:spacing w:after="0" w:line="143"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Gains (Losses) Reclassified from</w:t>
      </w:r>
    </w:p>
    <w:p>
      <w:pPr>
        <w:jc w:val="center"/>
        <w:ind w:left="6360"/>
        <w:spacing w:after="0" w:line="226" w:lineRule="auto"/>
        <w:rPr>
          <w:sz w:val="20"/>
          <w:szCs w:val="20"/>
          <w:color w:val="auto"/>
        </w:rPr>
      </w:pPr>
      <w:r>
        <w:rPr>
          <w:rFonts w:ascii="Arial" w:cs="Arial" w:eastAsia="Arial" w:hAnsi="Arial"/>
          <w:sz w:val="14"/>
          <w:szCs w:val="14"/>
          <w:b w:val="1"/>
          <w:bCs w:val="1"/>
          <w:color w:val="auto"/>
        </w:rPr>
        <w:t>Other Comprehensive (Loss)Income</w:t>
      </w:r>
    </w:p>
    <w:p>
      <w:pPr>
        <w:jc w:val="center"/>
        <w:ind w:left="6360"/>
        <w:spacing w:after="0" w:line="222" w:lineRule="auto"/>
        <w:rPr>
          <w:sz w:val="20"/>
          <w:szCs w:val="20"/>
          <w:color w:val="auto"/>
        </w:rPr>
      </w:pPr>
      <w:r>
        <w:rPr>
          <w:rFonts w:ascii="Arial" w:cs="Arial" w:eastAsia="Arial" w:hAnsi="Arial"/>
          <w:sz w:val="14"/>
          <w:szCs w:val="14"/>
          <w:b w:val="1"/>
          <w:bCs w:val="1"/>
          <w:color w:val="auto"/>
        </w:rPr>
        <w:t>(Effective Portion)</w:t>
      </w:r>
    </w:p>
    <w:p>
      <w:pPr>
        <w:jc w:val="center"/>
        <w:ind w:left="6360"/>
        <w:spacing w:after="0" w:line="231" w:lineRule="auto"/>
        <w:rPr>
          <w:sz w:val="20"/>
          <w:szCs w:val="20"/>
          <w:color w:val="auto"/>
        </w:rPr>
      </w:pPr>
      <w:r>
        <w:rPr>
          <w:rFonts w:ascii="Arial" w:cs="Arial" w:eastAsia="Arial" w:hAnsi="Arial"/>
          <w:sz w:val="14"/>
          <w:szCs w:val="14"/>
          <w:b w:val="1"/>
          <w:bCs w:val="1"/>
          <w:color w:val="auto"/>
        </w:rPr>
        <w:t>Year Ended September 30,</w:t>
      </w:r>
    </w:p>
    <w:tbl>
      <w:tblPr>
        <w:tblLayout w:type="fixed"/>
        <w:tblInd w:w="1080" w:type="dxa"/>
        <w:tblCellMar>
          <w:top w:w="0" w:type="dxa"/>
          <w:left w:w="0" w:type="dxa"/>
          <w:bottom w:w="0" w:type="dxa"/>
          <w:right w:w="0" w:type="dxa"/>
        </w:tblCellMar>
      </w:tblPr>
      <w:tr>
        <w:trPr>
          <w:trHeight w:val="142"/>
        </w:trPr>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60" w:type="dxa"/>
            <w:vAlign w:val="bottom"/>
            <w:gridSpan w:val="4"/>
          </w:tcPr>
          <w:p>
            <w:pPr>
              <w:jc w:val="right"/>
              <w:ind w:right="420"/>
              <w:spacing w:after="0"/>
              <w:rPr>
                <w:sz w:val="20"/>
                <w:szCs w:val="20"/>
                <w:color w:val="auto"/>
              </w:rPr>
            </w:pPr>
            <w:r>
              <w:rPr>
                <w:rFonts w:ascii="Arial" w:cs="Arial" w:eastAsia="Arial" w:hAnsi="Arial"/>
                <w:sz w:val="18"/>
                <w:szCs w:val="18"/>
                <w:color w:val="auto"/>
                <w:w w:val="85"/>
              </w:rPr>
              <w:t>$ (1,129)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 (1,021)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15,877</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(2,131)</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3,127</w:t>
            </w:r>
          </w:p>
        </w:tc>
        <w:tc>
          <w:tcPr>
            <w:tcW w:w="4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3,462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(1,175)</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21,337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(4,141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activity related to the changes in net unrealized (losses) gains on cash flow hedges recorded in accumulated other comprehensive (loss)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net of tax, is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Year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82"/>
        </w:trPr>
        <w:tc>
          <w:tcPr>
            <w:tcW w:w="6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unrealized gain (loss) on cash flow hedges, net of tax, beginning of</w:t>
            </w: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$ 24,508</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$ 12,514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$(12,152)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(31,908)</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36,765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20,911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 loss into earnings, net of tax</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(19,208)</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(24,771)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unrealized (loss) gain on cash flow hedges, net of tax, end of period</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(26,608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$ 24,508</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$ 12,514</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Net unrealized gain (loss) from cash flow hedges recognized in other comprehensive (loss) income were ($34,260), $39,692 and $27,578, or ($31,908), $36,765 and $20,911, net of taxes, during the fiscal years ended September 30, 2018, 2017 and 2016, respectively.</w:t>
      </w:r>
    </w:p>
    <w:p>
      <w:pPr>
        <w:spacing w:after="0" w:line="14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(loss) income as of September 30, 2018, a net loss of ($16,592) will be reclassified into earnings during fiscal 2019 and will partially offset the foreign currency impact from the underlying exposures. The amount ultimately realized in earnings will likely differ due to future changes in foreign exchange rates.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2018, 2017 and 2016, was not material.</w:t>
      </w:r>
    </w:p>
    <w:p>
      <w:pPr>
        <w:spacing w:after="0" w:line="170"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2018, 2017 and 2016, respectively, which partially offsets the foreign currency impact from the underlying exposure, is summarized as follows:</w:t>
      </w:r>
    </w:p>
    <w:p>
      <w:pPr>
        <w:spacing w:after="0" w:line="200"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(Losses) Gains</w:t>
      </w:r>
    </w:p>
    <w:p>
      <w:pPr>
        <w:jc w:val="center"/>
        <w:ind w:left="616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160"/>
        <w:spacing w:after="0" w:line="232" w:lineRule="auto"/>
        <w:rPr>
          <w:sz w:val="20"/>
          <w:szCs w:val="20"/>
          <w:color w:val="auto"/>
        </w:rPr>
      </w:pPr>
      <w:r>
        <w:rPr>
          <w:rFonts w:ascii="Arial" w:cs="Arial" w:eastAsia="Arial" w:hAnsi="Arial"/>
          <w:sz w:val="14"/>
          <w:szCs w:val="14"/>
          <w:b w:val="1"/>
          <w:bCs w:val="1"/>
          <w:color w:val="auto"/>
        </w:rPr>
        <w:t>Year Ended September 30,</w:t>
      </w:r>
    </w:p>
    <w:tbl>
      <w:tblPr>
        <w:tblLayout w:type="fixed"/>
        <w:tblInd w:w="20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(67)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(4,577)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Interest and other (expense) income,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7,038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(10,514)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(4,848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(7,786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 consists of the following:</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w w:val="99"/>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$728,716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$664,099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7"/>
          </w:tcPr>
          <w:p>
            <w:pPr>
              <w:jc w:val="right"/>
              <w:ind w:right="40"/>
              <w:spacing w:after="0"/>
              <w:rPr>
                <w:sz w:val="20"/>
                <w:szCs w:val="20"/>
                <w:color w:val="auto"/>
              </w:rPr>
            </w:pPr>
            <w:r>
              <w:rPr>
                <w:rFonts w:ascii="Arial" w:cs="Arial" w:eastAsia="Arial" w:hAnsi="Arial"/>
                <w:sz w:val="18"/>
                <w:szCs w:val="18"/>
                <w:color w:val="auto"/>
              </w:rPr>
              <w:t>263,997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229,695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(21,211)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80"/>
              <w:spacing w:after="0"/>
              <w:rPr>
                <w:sz w:val="20"/>
                <w:szCs w:val="20"/>
                <w:color w:val="auto"/>
              </w:rPr>
            </w:pPr>
            <w:r>
              <w:rPr>
                <w:rFonts w:ascii="Arial" w:cs="Arial" w:eastAsia="Arial" w:hAnsi="Arial"/>
                <w:sz w:val="18"/>
                <w:szCs w:val="18"/>
                <w:color w:val="auto"/>
              </w:rPr>
              <w:t>Accounts receivable, net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971,502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865,068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The components of property and equipment, net are: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w w:val="93"/>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4"/>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$1,027,825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978,040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Building and land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6"/>
          </w:tcPr>
          <w:p>
            <w:pPr>
              <w:jc w:val="right"/>
              <w:ind w:right="150"/>
              <w:spacing w:after="0"/>
              <w:rPr>
                <w:sz w:val="20"/>
                <w:szCs w:val="20"/>
                <w:color w:val="auto"/>
              </w:rPr>
            </w:pPr>
            <w:r>
              <w:rPr>
                <w:rFonts w:ascii="Arial" w:cs="Arial" w:eastAsia="Arial" w:hAnsi="Arial"/>
                <w:sz w:val="18"/>
                <w:szCs w:val="18"/>
                <w:color w:val="auto"/>
              </w:rPr>
              <w:t>97,782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50"/>
              <w:spacing w:after="0"/>
              <w:rPr>
                <w:sz w:val="20"/>
                <w:szCs w:val="20"/>
                <w:color w:val="auto"/>
              </w:rPr>
            </w:pPr>
            <w:r>
              <w:rPr>
                <w:rFonts w:ascii="Arial" w:cs="Arial" w:eastAsia="Arial" w:hAnsi="Arial"/>
                <w:sz w:val="18"/>
                <w:szCs w:val="18"/>
                <w:color w:val="auto"/>
              </w:rPr>
              <w:t>222,812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213,166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Furniture, fixtures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jc w:val="right"/>
              <w:ind w:right="150"/>
              <w:spacing w:after="0"/>
              <w:rPr>
                <w:sz w:val="20"/>
                <w:szCs w:val="20"/>
                <w:color w:val="auto"/>
              </w:rPr>
            </w:pPr>
            <w:r>
              <w:rPr>
                <w:rFonts w:ascii="Arial" w:cs="Arial" w:eastAsia="Arial" w:hAnsi="Arial"/>
                <w:sz w:val="18"/>
                <w:szCs w:val="18"/>
                <w:color w:val="auto"/>
              </w:rPr>
              <w:t>43,518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56,324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1,391,937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1,247,530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right"/>
              <w:ind w:right="90"/>
              <w:spacing w:after="0"/>
              <w:rPr>
                <w:sz w:val="20"/>
                <w:szCs w:val="20"/>
                <w:color w:val="auto"/>
              </w:rPr>
            </w:pPr>
            <w:r>
              <w:rPr>
                <w:rFonts w:ascii="Arial" w:cs="Arial" w:eastAsia="Arial" w:hAnsi="Arial"/>
                <w:sz w:val="18"/>
                <w:szCs w:val="18"/>
                <w:color w:val="auto"/>
              </w:rPr>
              <w:t>(895,352)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(891,845)</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50"/>
              <w:spacing w:after="0"/>
              <w:rPr>
                <w:sz w:val="20"/>
                <w:szCs w:val="20"/>
                <w:color w:val="auto"/>
              </w:rPr>
            </w:pPr>
            <w:r>
              <w:rPr>
                <w:rFonts w:ascii="Arial" w:cs="Arial" w:eastAsia="Arial" w:hAnsi="Arial"/>
                <w:sz w:val="18"/>
                <w:szCs w:val="18"/>
                <w:color w:val="auto"/>
                <w:w w:val="96"/>
              </w:rPr>
              <w:t>$  496,585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355,685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depreciation expense for fiscal years 2018, 2017 and 2016, was $105,439, $105,027 and $113,717, respectively.</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September 30, 2018, and 2017, the unamortized software assets developed for internal use were $152,366 and $127,080, respectively, and are presented under Computer equipment in the table above.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240" w:top="459" w:right="5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fiscal year 2018, the Company purchased a land and capitalized costs related to the new building, see also Note 2.</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860" w:type="dxa"/>
            <w:vAlign w:val="bottom"/>
            <w:gridSpan w:val="3"/>
          </w:tcPr>
          <w:p>
            <w:pPr>
              <w:ind w:left="42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vMerge w:val="restart"/>
          </w:tcPr>
          <w:p>
            <w:pPr>
              <w:spacing w:after="0"/>
              <w:rPr>
                <w:sz w:val="21"/>
                <w:szCs w:val="21"/>
                <w:color w:val="auto"/>
              </w:rPr>
            </w:pPr>
          </w:p>
        </w:tc>
        <w:tc>
          <w:tcPr>
            <w:tcW w:w="68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 of October 1, 2016</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 resulting from acquisitions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18,535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780" w:type="dxa"/>
            <w:vAlign w:val="bottom"/>
            <w:gridSpan w:val="2"/>
          </w:tcPr>
          <w:p>
            <w:pPr>
              <w:ind w:left="680"/>
              <w:spacing w:after="0"/>
              <w:rPr>
                <w:sz w:val="20"/>
                <w:szCs w:val="20"/>
                <w:color w:val="auto"/>
              </w:rPr>
            </w:pPr>
            <w:r>
              <w:rPr>
                <w:rFonts w:ascii="Arial" w:cs="Arial" w:eastAsia="Arial" w:hAnsi="Arial"/>
                <w:sz w:val="18"/>
                <w:szCs w:val="18"/>
                <w:color w:val="auto"/>
              </w:rPr>
              <w:t>As of September 30, 2017</w:t>
            </w:r>
          </w:p>
        </w:tc>
        <w:tc>
          <w:tcPr>
            <w:tcW w:w="14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2,221,209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acquisitions(1)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14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2,444,895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00" w:hanging="436"/>
        <w:spacing w:after="0" w:line="272"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Mainly relates to the acquisitions of Vubiquity, projekt202 and UXP. In allocating the total preliminary purchase price for Vubiquity, based on estimated fair values, the Company recorded $146,912 of goodwill, $38,630 of customer relationships to be amortized over approximately nine years, $45,692 of core technology to be amortized over approximately five years, $10,104 of trade mark to be amortized over eight years. In allocating the total preliminary purchase price of projekt202, based on estimated fair values, the Company recorded $34,032 of goodwill and $19,835 of customer relationships to be amortized over four years. In allocating the total preliminary purchase price of UXP, based on estimated fair values, the Company recorded $41,468 of goodwill, $31,552 of core technology to be amortized over five years and $6,552 of customer relationships to be amortized over approximately five years.</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2018, 2017 or 2016.</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Gross</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2018</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Core technology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721,384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(576,936)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563,656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110,519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Intellectual property rights and purchased computer software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43,646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1,380,682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(1,115,433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265,249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Core technology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604,673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(513,501)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91,172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497,296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(414,654)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82,642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Intellectual property rights and purchased computer software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1,187,507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(1,010,181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177,326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400" w:type="dxa"/>
            <w:vAlign w:val="bottom"/>
            <w:gridSpan w:val="2"/>
          </w:tcPr>
          <w:p>
            <w:pPr>
              <w:jc w:val="right"/>
              <w:ind w:right="965"/>
              <w:spacing w:after="0"/>
              <w:rPr>
                <w:sz w:val="20"/>
                <w:szCs w:val="20"/>
                <w:color w:val="auto"/>
              </w:rPr>
            </w:pPr>
            <w:r>
              <w:rPr>
                <w:rFonts w:ascii="Arial" w:cs="Arial" w:eastAsia="Arial" w:hAnsi="Arial"/>
                <w:sz w:val="18"/>
                <w:szCs w:val="18"/>
                <w:color w:val="auto"/>
                <w:w w:val="91"/>
              </w:rPr>
              <w:t>F-27</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3"/>
              </w:rPr>
              <w:t>Year Ended September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105,213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108,453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96,465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105,785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109,858</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98,074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2018 is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92,693</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61,527</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42,554</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30,380</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14,682</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6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265,249</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Non-recurring charges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During fiscal year 2018 the Company incurred non-recurring charges of a loss incurred to settle a long-running legal dispute in total amount of $55,000 including legal costs, of which $50,000 was paid in November 2018, see also Note 16, and also incurred restructuring charges of $30,057 primarily related to employee severance expenses, which partially were paid in fiscal year 2018, and the remaining amount will be paid over the next several quarters.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9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36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$42,047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$69,535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$77,682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Deferred</w:t>
            </w:r>
          </w:p>
        </w:tc>
        <w:tc>
          <w:tcPr>
            <w:tcW w:w="600" w:type="dxa"/>
            <w:vAlign w:val="bottom"/>
          </w:tcPr>
          <w:p>
            <w:pPr>
              <w:jc w:val="right"/>
              <w:spacing w:after="0"/>
              <w:rPr>
                <w:sz w:val="20"/>
                <w:szCs w:val="20"/>
                <w:color w:val="auto"/>
              </w:rPr>
            </w:pPr>
            <w:r>
              <w:rPr>
                <w:rFonts w:ascii="Arial" w:cs="Arial" w:eastAsia="Arial" w:hAnsi="Arial"/>
                <w:sz w:val="18"/>
                <w:szCs w:val="18"/>
                <w:color w:val="auto"/>
              </w:rPr>
              <w:t>25,098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6,551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(2,315)</w:t>
            </w:r>
          </w:p>
        </w:tc>
      </w:tr>
      <w:tr>
        <w:trPr>
          <w:trHeight w:val="27"/>
        </w:trPr>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67,145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76,086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75,367</w:t>
            </w:r>
          </w:p>
        </w:tc>
      </w:tr>
      <w:tr>
        <w:trPr>
          <w:trHeight w:val="20"/>
        </w:trPr>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maintained a tax receivable balance of $55,198 and $38,445 as of September 30, 2018 and 2017, respectively which is included in Prepaid expenses and other current assets.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24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30,596</w:t>
            </w:r>
          </w:p>
        </w:tc>
        <w:tc>
          <w:tcPr>
            <w:tcW w:w="44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44,571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72,218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87,204</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9,793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14,997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 net capital and operating loss carryforwards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184,450</w:t>
            </w:r>
          </w:p>
        </w:tc>
        <w:tc>
          <w:tcPr>
            <w:tcW w:w="4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155,478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49,732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78,114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346,789</w:t>
            </w:r>
          </w:p>
        </w:tc>
        <w:tc>
          <w:tcPr>
            <w:tcW w:w="4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380,364</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Valuation allowances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w w:val="88"/>
              </w:rPr>
              <w:t>(112,727)</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(94,573)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 net</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234,062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285,791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6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Anticipated withholdings on subsidiaries’ earnings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(68,394)</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(74,419)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w w:val="88"/>
              </w:rPr>
              <w:t>(114,094)</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(136,238)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(31,750)</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(32,736)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(214,238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(243,393</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19,824</w:t>
            </w: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42,398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ind w:left="420"/>
              <w:spacing w:after="0"/>
              <w:rPr>
                <w:sz w:val="20"/>
                <w:szCs w:val="20"/>
                <w:color w:val="auto"/>
              </w:rPr>
            </w:pPr>
            <w:r>
              <w:rPr>
                <w:rFonts w:ascii="Arial" w:cs="Arial" w:eastAsia="Arial" w:hAnsi="Arial"/>
                <w:sz w:val="18"/>
                <w:szCs w:val="18"/>
                <w:color w:val="auto"/>
                <w:w w:val="97"/>
              </w:rPr>
              <w:t>The effective income tax rate varied from the statutory Guernsey tax rate as follows: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4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Foreign taxes(1)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14.8%</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76" w:lineRule="exact"/>
        <w:rPr>
          <w:sz w:val="20"/>
          <w:szCs w:val="20"/>
          <w:color w:val="auto"/>
        </w:rPr>
      </w:pPr>
    </w:p>
    <w:p>
      <w:pPr>
        <w:ind w:left="640" w:right="40" w:hanging="436"/>
        <w:spacing w:after="0" w:line="273"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fiscal year 2018, foreign taxes included a benefit of $9,564 due to conclusions of tax audits in certain jurisdictions, which resulted in an increase to the Company’s tax credits carryforwards and a reduction to the Company’s provision for gross unrecognized tax benefits. In addition, foreign taxes in fiscal year 2018 included a benefit of $18,022 that was attributable to the expiration of the periods set forth in statutes of limitations related to unrecognized tax benefits accumulated over several years in certain jurisdictions. Foreign taxes in fiscal year 2018 also included a tax expenses of $12,032 resulting from the creation of valuation allowances on deferred tax assets at certain of the Company’s subsidiaries, which may not be realized based on the Company’s projections of future taxable income.</w:t>
      </w:r>
    </w:p>
    <w:p>
      <w:pPr>
        <w:spacing w:after="0" w:line="70" w:lineRule="exact"/>
        <w:rPr>
          <w:rFonts w:ascii="Arial" w:cs="Arial" w:eastAsia="Arial" w:hAnsi="Arial"/>
          <w:sz w:val="17"/>
          <w:szCs w:val="17"/>
          <w:color w:val="auto"/>
        </w:rPr>
      </w:pPr>
    </w:p>
    <w:p>
      <w:pPr>
        <w:ind w:left="640"/>
        <w:spacing w:after="0" w:line="259" w:lineRule="auto"/>
        <w:rPr>
          <w:rFonts w:ascii="Arial" w:cs="Arial" w:eastAsia="Arial" w:hAnsi="Arial"/>
          <w:sz w:val="17"/>
          <w:szCs w:val="17"/>
          <w:color w:val="auto"/>
        </w:rPr>
      </w:pPr>
      <w:r>
        <w:rPr>
          <w:rFonts w:ascii="Arial" w:cs="Arial" w:eastAsia="Arial" w:hAnsi="Arial"/>
          <w:sz w:val="18"/>
          <w:szCs w:val="18"/>
          <w:color w:val="auto"/>
        </w:rPr>
        <w:t>In addition, foreign taxes in fiscal year 2018 included a provisional expense of $2,321 relating to changes in tax law in the United States pursuant to SAB No. 118 (see Note 2). The provisional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240" w:top="459"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As an indirect consequence to the changes in tax law in the United States the Company no longer makes a permanently reinvest assertion relating to one of its subsidiaries, therefore, a provisional tax liability of $4,059 was recorded related to the tax implications of remitting earnings that were previously asserted as permanently reinvested.</w:t>
      </w:r>
    </w:p>
    <w:p>
      <w:pPr>
        <w:spacing w:after="0" w:line="73" w:lineRule="exact"/>
        <w:rPr>
          <w:sz w:val="20"/>
          <w:szCs w:val="20"/>
          <w:color w:val="auto"/>
        </w:rPr>
      </w:pPr>
    </w:p>
    <w:p>
      <w:pPr>
        <w:ind w:left="640" w:right="700"/>
        <w:spacing w:after="0" w:line="342" w:lineRule="auto"/>
        <w:rPr>
          <w:sz w:val="20"/>
          <w:szCs w:val="20"/>
          <w:color w:val="auto"/>
        </w:rPr>
      </w:pPr>
      <w:r>
        <w:rPr>
          <w:rFonts w:ascii="Arial" w:cs="Arial" w:eastAsia="Arial" w:hAnsi="Arial"/>
          <w:sz w:val="16"/>
          <w:szCs w:val="16"/>
          <w:color w:val="auto"/>
        </w:rPr>
        <w:t>During fiscal year 2018, as a result of funding decisions for the construction of the Company’s new campus in Israel, see also Note 2, the Company recorded a tax benefit of $28,795 related to the release of withholding and income tax reserves for unremitted earnings.</w:t>
      </w:r>
    </w:p>
    <w:p>
      <w:pPr>
        <w:spacing w:after="0" w:line="16" w:lineRule="exact"/>
        <w:rPr>
          <w:sz w:val="20"/>
          <w:szCs w:val="20"/>
          <w:color w:val="auto"/>
        </w:rPr>
      </w:pPr>
    </w:p>
    <w:p>
      <w:pPr>
        <w:ind w:left="640" w:right="80"/>
        <w:spacing w:after="0" w:line="271" w:lineRule="auto"/>
        <w:rPr>
          <w:sz w:val="20"/>
          <w:szCs w:val="20"/>
          <w:color w:val="auto"/>
        </w:rPr>
      </w:pPr>
      <w:r>
        <w:rPr>
          <w:rFonts w:ascii="Arial" w:cs="Arial" w:eastAsia="Arial" w:hAnsi="Arial"/>
          <w:sz w:val="17"/>
          <w:szCs w:val="17"/>
          <w:color w:val="auto"/>
        </w:rPr>
        <w:t>In fiscal year 2017, foreign taxes included a benefit of $9,450 due to conclusions of tax audits in certain jurisdictions, which resulted in a reduction to the Company’s provision for gross unrecognized tax benefits. Foreign taxes in fiscal year 2017 also included a net benefit of $11,037 due to a reduction of taxes payable, partially offset by a reduction of deferred tax asset on operating loss carryforwards of certain of the Company’s subsidiaries resulting from internal structural changes in certain jurisdictions in which the Company operates. In addition, foreign taxes in fiscal year 2017 included a benefit of $28,774 that was attributable to the expiration of the periods set forth in statutes of limitations related to unrecognized tax benefits accumulated over several years in certain jurisdictions. Foreign taxes in fiscal year 2017 also included a benefit of $12,754 resulting from the release of valuation allowances on deferred tax assets at certain of the Company’s subsidiaries, which will, more likely than not, be realized due to the Company’s projections of future taxable income.</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During fiscal year 2018, the net increase in valuation allowances was $18,154, which related to the uncertainty of realizing tax benefits primarily for tax credits, net capital and operating loss carryforwards related to certain of the Company’s subsidiaries. As of September 30, 2018, the Company had tax credits, net capital and operating loss carryforwards of $894,997 of which $322,816 have expiration dates through 2038, and the remainder do not expire.</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During fiscal year 2017, the net decrease in valuation allowances was $2,297, which related to the uncertainty of realizing tax benefits primarily for tax credits, net capital and operating loss carryforwards related to certain of the Company’s subsidiaries. As of September 30, 2017, the Company had tax credits, net capital and operating loss carryforwards of $707,761, of which $180,882 have expiration dates through 2036, and the remainder do not expire.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$193,024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$196,668</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$126,706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20,329</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22,319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65,009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 for tax positions of prior years</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(3,805)</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12,261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(3,880)</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(9,450)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(31,624)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(18,022)</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(28,774)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(4,606)</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187,646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193,024</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196,668</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$187,646 as of September 30, 2018, and $193,024 as of September 30, 2017, all of which would affect the effective tax rate if realized.</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As of September 30, 2018, the Company had accrued $30,807 in income taxes payable for interest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and penalties relating to unrecognized tax benefits, of which $2,579 was recognized in the statements of income in fiscal year 2018, net of interest and penalty reversals. As of September 30, 2017, the Company had accrued $28,228 in income taxes payable for interest and penalties relating to unrecognized tax benefits, of which a benefit of $2,910 was recognized in the statements of income in fiscal year 2017, net of interest and penalty reversals.</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as of September 30, 2018, the Company cannot estimate the change in unrecognized tax benefits resulting from these audits within the next 12 months.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$23,869 during fiscal year 2019 as a result of lapse of statutes of limitations in jurisdictions in which the Company operates.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Repurchase of Shares</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The Company’s Board of Directors adopted a share repurchase plan, on February 2, 2016, which authorized the repurchase of up to $750,000 of the Company’s outstanding ordinary shares with no expiration date. On November 8, 2017, the Company’s Board of Directors adopted another share repurchase plan for the repurchase of up to an additional $800,000 of the Company’s outstanding ordinary shares with no expiration date. In April 2018, the Company completed the repurchase of the remaining authorized amount of ordinary shares under the February 2016 plan and began executing repurchases under the November 2017 plan. In fiscal year 2018, the Company repurchased approximately 6,337 ordinary shares at an average price of $66.14 per share (excluding broker and transaction fees). The November 2017 plan permit the Company to purchase its ordinary shares in open market or privately negotiated transactions at times and prices that it considers appropriate. As of September 30, 2018, the Company had remaining authority to repurchase up to $637,127 of its outstanding ordinary shares under the November 2017 plan.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Financing Arrangements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In March 2017, the Company borrowed an aggregate of $200,000 under the facility and repaid it in April 2017. In March 2018, the Company borrowed an aggregate of $120,000 under the facility and repaid it in April 2018. As of September 30, 2018, the Company was in compliance with the financial covenants under the revolving credit facility and had no outstanding borrowings under this facility.</w:t>
      </w:r>
    </w:p>
    <w:p>
      <w:pPr>
        <w:spacing w:after="0" w:line="17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of September 30, 2018, the Company had additional uncommitted lines of credit available for general corporate and other specific purposes and had outstanding letters of credit and bank guarantees from various banks totaling $53,891. These were supported by a combination of the uncommitted lines of credit that the Company maintains with various banks.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Accrued Expenses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$256,012</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$ 242,918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155,739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227,049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Dividends payable(1)</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35,046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31,736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211,176</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706,637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$ 668,087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40" w:hanging="436"/>
        <w:spacing w:after="0" w:line="258"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payable as a result of the July 31, 2018 and the August 2, 2017 dividend declarations. See Note 19 to the consolidated financial statements.</w:t>
      </w:r>
    </w:p>
    <w:p>
      <w:pPr>
        <w:spacing w:after="0" w:line="1" w:lineRule="exact"/>
        <w:rPr>
          <w:rFonts w:ascii="Arial" w:cs="Arial" w:eastAsia="Arial" w:hAnsi="Arial"/>
          <w:sz w:val="18"/>
          <w:szCs w:val="18"/>
          <w:color w:val="auto"/>
        </w:rPr>
      </w:pPr>
    </w:p>
    <w:p>
      <w:pPr>
        <w:ind w:left="640" w:hanging="436"/>
        <w:spacing w:after="0" w:line="261"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See Note 6 to the consolidated financial statements.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Interest and other (expense) income,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other (expense) income, net,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$ 6,602</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$ 7,972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$ 6,815</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3480" w:type="dxa"/>
            <w:vAlign w:val="bottom"/>
            <w:gridSpan w:val="3"/>
          </w:tcPr>
          <w:p>
            <w:pPr>
              <w:jc w:val="right"/>
              <w:ind w:right="428"/>
              <w:spacing w:after="0"/>
              <w:rPr>
                <w:sz w:val="20"/>
                <w:szCs w:val="20"/>
                <w:color w:val="auto"/>
              </w:rPr>
            </w:pPr>
            <w:r>
              <w:rPr>
                <w:rFonts w:ascii="Arial" w:cs="Arial" w:eastAsia="Arial" w:hAnsi="Arial"/>
                <w:sz w:val="18"/>
                <w:szCs w:val="18"/>
                <w:color w:val="auto"/>
              </w:rPr>
              <w:t>(2,764)</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(1,600)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34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(6,173)</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(8,246)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net</w:t>
            </w:r>
          </w:p>
        </w:tc>
        <w:tc>
          <w:tcPr>
            <w:tcW w:w="2360" w:type="dxa"/>
            <w:vAlign w:val="bottom"/>
          </w:tcPr>
          <w:p>
            <w:pPr>
              <w:spacing w:after="0"/>
              <w:rPr>
                <w:sz w:val="18"/>
                <w:szCs w:val="18"/>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8"/>
                <w:szCs w:val="18"/>
                <w:color w:val="auto"/>
              </w:rPr>
              <w:t>(4,431)</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(2,547)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(1,593)</w:t>
            </w:r>
          </w:p>
        </w:tc>
      </w:tr>
      <w:tr>
        <w:trPr>
          <w:trHeight w:val="27"/>
        </w:trPr>
        <w:tc>
          <w:tcPr>
            <w:tcW w:w="3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(6,766)</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(4,421)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$ 1,557</w:t>
            </w:r>
          </w:p>
        </w:tc>
      </w:tr>
      <w:tr>
        <w:trPr>
          <w:trHeight w:val="20"/>
        </w:trPr>
        <w:tc>
          <w:tcPr>
            <w:tcW w:w="3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 Contingencies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2018 are as follows: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293,887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Rent expense net of sublease income was approximately $57,559, $55,480 and $53,164 for fiscal years 2018, 2017 and 2016, respectively. The Company had immaterial committed future sublease income as of September 30, 2018.</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20"/>
          </w:cols>
          <w:pgMar w:left="240" w:top="459" w:right="6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In addition to the settlement amount of $50,000, the Company also accrued legal fees and other associated costs of $5,000.</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a contract, under which the Company was providing certain services, which has been terminated by the counterparty in connection with such dispute and which is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1"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2018, 2017 and 2016.</w:t>
      </w:r>
    </w:p>
    <w:p>
      <w:pPr>
        <w:spacing w:after="0" w:line="14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 — Employee Benefits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$258,262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and $267,713 as of September 30, 2018 and 2017, respectively, and is included as accrued employee costs in other noncurrent liabilities. This liability is partially funded by amounts on deposit with insurance companies that totaled $202,230 and $206,054 as of September 30, 2018 and 2017, respectively, and are included in other noncurrent assets. The accrued severance expenses were $28,472, $32,908 and $34,165 for fiscal years 2018, 2017 and 2016, respectively.</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2018, 2017 and 2016 under such plans were not material compared to total operating expenses.</w:t>
      </w:r>
    </w:p>
    <w:p>
      <w:pPr>
        <w:spacing w:after="0" w:line="18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2018, 2017 and 2016.</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18 — Stock Option and Incentive Plan</w:t>
      </w:r>
    </w:p>
    <w:p>
      <w:pPr>
        <w:spacing w:after="0" w:line="121"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w:t>
      </w:r>
    </w:p>
    <w:p>
      <w:pPr>
        <w:spacing w:after="0" w:line="161"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2018:</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8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4"/>
              </w:rPr>
              <w:t>Number of</w:t>
            </w:r>
          </w:p>
        </w:tc>
        <w:tc>
          <w:tcPr>
            <w:tcW w:w="16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2017</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(566)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2018(1)</w:t>
            </w:r>
          </w:p>
        </w:tc>
        <w:tc>
          <w:tcPr>
            <w:tcW w:w="13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2018(1)</w:t>
            </w: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45.03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4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480" w:hanging="436"/>
        <w:spacing w:after="0" w:line="27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September 30, 2018, the weighted average remaining contractual life of outstanding and exercisable options was 7.36 and 5.67 years, respectively.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5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2017</w:t>
            </w:r>
          </w:p>
        </w:tc>
        <w:tc>
          <w:tcPr>
            <w:tcW w:w="1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2018</w:t>
            </w:r>
          </w:p>
        </w:tc>
        <w:tc>
          <w:tcPr>
            <w:tcW w:w="1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total intrinsic value of options exercised during fiscal years 2018, 2017 and 2016 was $38,025, $47,321 and $65,292,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value of restricted shares vested during fiscal years 2018, 2017 and 2016 was $35,801, $36,922 and $39,490, respectively.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2018 was $75,177 and $49,058, respectively.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years ended September 30, 2018, 2017 and 2016 was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$18,253</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$19,215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3,476</w:t>
            </w:r>
          </w:p>
        </w:tc>
        <w:tc>
          <w:tcPr>
            <w:tcW w:w="4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3,536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3,742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25,747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21,788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20,709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47,476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42,700</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fiscal years 2018, 2017 and 2016 was $6,047, $4,754 and $4,503, respectively.</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As of September 30, 2018, there was $34,975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3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4200" w:type="dxa"/>
            <w:vAlign w:val="bottom"/>
            <w:gridSpan w:val="3"/>
          </w:tcPr>
          <w:p>
            <w:pPr>
              <w:jc w:val="right"/>
              <w:ind w:right="62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4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4200" w:type="dxa"/>
            <w:vAlign w:val="bottom"/>
            <w:gridSpan w:val="3"/>
          </w:tcPr>
          <w:p>
            <w:pPr>
              <w:jc w:val="right"/>
              <w:ind w:right="460"/>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$8.70</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$7.62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$7.97</w:t>
            </w:r>
          </w:p>
        </w:tc>
      </w:tr>
      <w:tr>
        <w:trPr>
          <w:trHeight w:val="365"/>
        </w:trPr>
        <w:tc>
          <w:tcPr>
            <w:tcW w:w="3420" w:type="dxa"/>
            <w:vAlign w:val="bottom"/>
          </w:tcPr>
          <w:p>
            <w:pPr>
              <w:spacing w:after="0"/>
              <w:rPr>
                <w:sz w:val="24"/>
                <w:szCs w:val="24"/>
                <w:color w:val="auto"/>
              </w:rPr>
            </w:pPr>
          </w:p>
        </w:tc>
        <w:tc>
          <w:tcPr>
            <w:tcW w:w="4200" w:type="dxa"/>
            <w:vAlign w:val="bottom"/>
            <w:gridSpan w:val="3"/>
          </w:tcPr>
          <w:p>
            <w:pPr>
              <w:jc w:val="right"/>
              <w:ind w:right="2820"/>
              <w:spacing w:after="0"/>
              <w:rPr>
                <w:sz w:val="20"/>
                <w:szCs w:val="20"/>
                <w:color w:val="auto"/>
              </w:rPr>
            </w:pPr>
            <w:r>
              <w:rPr>
                <w:rFonts w:ascii="Arial" w:cs="Arial" w:eastAsia="Arial" w:hAnsi="Arial"/>
                <w:sz w:val="18"/>
                <w:szCs w:val="18"/>
                <w:color w:val="auto"/>
              </w:rPr>
              <w:t>F-35</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See Note 2 to the consolidated financial statements.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19 —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2018, 2017 and 2016:</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Dividends Per</w:t>
            </w:r>
          </w:p>
        </w:tc>
        <w:tc>
          <w:tcPr>
            <w:tcW w:w="20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Amount</w:t>
            </w: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2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Ordinary Share</w:t>
            </w:r>
          </w:p>
        </w:tc>
        <w:tc>
          <w:tcPr>
            <w:tcW w:w="208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31, 2018</w:t>
            </w:r>
          </w:p>
        </w:tc>
        <w:tc>
          <w:tcPr>
            <w:tcW w:w="14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0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September 28, 2018</w:t>
            </w:r>
          </w:p>
        </w:tc>
        <w:tc>
          <w:tcPr>
            <w:tcW w:w="5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35,046</w:t>
            </w:r>
          </w:p>
        </w:tc>
        <w:tc>
          <w:tcPr>
            <w:tcW w:w="1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October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10, 2018</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0.250</w:t>
            </w:r>
          </w:p>
        </w:tc>
        <w:tc>
          <w:tcPr>
            <w:tcW w:w="2080" w:type="dxa"/>
            <w:vAlign w:val="bottom"/>
          </w:tcPr>
          <w:p>
            <w:pPr>
              <w:ind w:left="320"/>
              <w:spacing w:after="0"/>
              <w:rPr>
                <w:sz w:val="20"/>
                <w:szCs w:val="20"/>
                <w:color w:val="auto"/>
              </w:rPr>
            </w:pPr>
            <w:r>
              <w:rPr>
                <w:rFonts w:ascii="Arial" w:cs="Arial" w:eastAsia="Arial" w:hAnsi="Arial"/>
                <w:sz w:val="18"/>
                <w:szCs w:val="18"/>
                <w:color w:val="auto"/>
              </w:rPr>
              <w:t>June 29, 2018</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35,363</w:t>
            </w:r>
          </w:p>
        </w:tc>
        <w:tc>
          <w:tcPr>
            <w:tcW w:w="1600" w:type="dxa"/>
            <w:vAlign w:val="bottom"/>
          </w:tcPr>
          <w:p>
            <w:pPr>
              <w:ind w:left="320"/>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30, 2018</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35,635</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2017</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29, 2017</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31,558</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29, 2017</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31,736</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October 23,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9, 2017</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tcPr>
          <w:p>
            <w:pPr>
              <w:ind w:left="320"/>
              <w:spacing w:after="0"/>
              <w:rPr>
                <w:sz w:val="20"/>
                <w:szCs w:val="20"/>
                <w:color w:val="auto"/>
              </w:rPr>
            </w:pPr>
            <w:r>
              <w:rPr>
                <w:rFonts w:ascii="Arial" w:cs="Arial" w:eastAsia="Arial" w:hAnsi="Arial"/>
                <w:sz w:val="18"/>
                <w:szCs w:val="18"/>
                <w:color w:val="auto"/>
              </w:rPr>
              <w:t>June 30, 2017</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31,981</w:t>
            </w:r>
          </w:p>
        </w:tc>
        <w:tc>
          <w:tcPr>
            <w:tcW w:w="1600" w:type="dxa"/>
            <w:vAlign w:val="bottom"/>
          </w:tcPr>
          <w:p>
            <w:pPr>
              <w:ind w:left="320"/>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2017</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32,223</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30, 2016</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28,606</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July 26, 2016</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2016</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28,693</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October 21,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4, 2016</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tcPr>
          <w:p>
            <w:pPr>
              <w:ind w:left="320"/>
              <w:spacing w:after="0"/>
              <w:rPr>
                <w:sz w:val="20"/>
                <w:szCs w:val="20"/>
                <w:color w:val="auto"/>
              </w:rPr>
            </w:pPr>
            <w:r>
              <w:rPr>
                <w:rFonts w:ascii="Arial" w:cs="Arial" w:eastAsia="Arial" w:hAnsi="Arial"/>
                <w:sz w:val="18"/>
                <w:szCs w:val="18"/>
                <w:color w:val="auto"/>
              </w:rPr>
              <w:t>June 30, 2016</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28,836</w:t>
            </w:r>
          </w:p>
        </w:tc>
        <w:tc>
          <w:tcPr>
            <w:tcW w:w="1600" w:type="dxa"/>
            <w:vAlign w:val="bottom"/>
          </w:tcPr>
          <w:p>
            <w:pPr>
              <w:ind w:left="320"/>
              <w:spacing w:after="0"/>
              <w:rPr>
                <w:sz w:val="20"/>
                <w:szCs w:val="20"/>
                <w:color w:val="auto"/>
              </w:rPr>
            </w:pPr>
            <w:r>
              <w:rPr>
                <w:rFonts w:ascii="Arial" w:cs="Arial" w:eastAsia="Arial" w:hAnsi="Arial"/>
                <w:sz w:val="18"/>
                <w:szCs w:val="18"/>
                <w:color w:val="auto"/>
              </w:rPr>
              <w:t>July 15,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0.195</w:t>
            </w:r>
          </w:p>
        </w:tc>
        <w:tc>
          <w:tcPr>
            <w:tcW w:w="2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2016</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29,206</w:t>
            </w:r>
          </w:p>
        </w:tc>
        <w:tc>
          <w:tcPr>
            <w:tcW w:w="1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2015</w:t>
            </w: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0.170</w:t>
            </w: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2015</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25,565</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January 15, 2016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amounts payable as a result of the July 31, 2018, August 2, 2017 and July 26, 2016 declarations were included in accrued expenses and other current liabilities as of September 30, 2018, 2017 and 2016,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On November 8, 2018, the Company’s Board of Directors approved quarterly dividend payment of $0.25 per share, and set December 31, 2018 as the record date for determining the shareholders entitled to receive the dividend, which is payable on January 18, 2019.</w:t>
      </w:r>
    </w:p>
    <w:p>
      <w:pPr>
        <w:spacing w:after="0" w:line="147"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On November 8, 2018, the Company’s Board of Directors also approved, subject to shareholder approval at the January 2019 annual general meeting of shareholders, an increase in the quarterly cash dividend to $0.285 per share, anticipated to be paid in April 2019.</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20 —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354,396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436,826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409,331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and dividends attributable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351,746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433,309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405,739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351,760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433,333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405,774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142,422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146,017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149,168</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141,357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144,841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142,639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146,255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149,866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fiscal years ended September 30, 2018, 2017 and 2016, 1,357, 1,281 and 1,785 shares, respectively, on a weighted average basis, were attributable to antidilutive outstanding stock options and therefore were not included in the calculation of diluted earnings per share.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880"/>
          </w:cols>
          <w:pgMar w:left="240" w:top="459" w:right="7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1"/>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416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w:t>
            </w:r>
          </w:p>
        </w:tc>
        <w:tc>
          <w:tcPr>
            <w:tcW w:w="1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auto"/>
              </w:rPr>
              <w:t>North America (mainly United States)</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$ 2,550,234</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$ 2,546,290</w:t>
            </w: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$ 2,381,122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572,196</w:t>
            </w:r>
          </w:p>
        </w:tc>
        <w:tc>
          <w:tcPr>
            <w:tcW w:w="14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488,932</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852,407</w:t>
            </w:r>
          </w:p>
        </w:tc>
        <w:tc>
          <w:tcPr>
            <w:tcW w:w="1440" w:type="dxa"/>
            <w:vAlign w:val="bottom"/>
            <w:gridSpan w:val="6"/>
          </w:tcPr>
          <w:p>
            <w:pPr>
              <w:jc w:val="right"/>
              <w:ind w:right="140"/>
              <w:spacing w:after="0"/>
              <w:rPr>
                <w:sz w:val="20"/>
                <w:szCs w:val="20"/>
                <w:color w:val="auto"/>
              </w:rPr>
            </w:pPr>
            <w:r>
              <w:rPr>
                <w:rFonts w:ascii="Arial" w:cs="Arial" w:eastAsia="Arial" w:hAnsi="Arial"/>
                <w:sz w:val="18"/>
                <w:szCs w:val="18"/>
                <w:color w:val="auto"/>
              </w:rPr>
              <w:t>831,933</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823,812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$ 3,974,837</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$ 3,867,155</w:t>
            </w: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$ 3,718,229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ind w:left="2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Long-lived Assets(1)</w:t>
            </w:r>
          </w:p>
        </w:tc>
        <w:tc>
          <w:tcPr>
            <w:tcW w:w="2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$187,884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$ 151,794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88,251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71,980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Israel</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161,726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66,628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India</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37,239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43,118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22,165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496,585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4"/>
              </w:rPr>
              <w:t>$ 355,685</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Property and equipment, net.</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amdocsONE includes offerings in the domains of consumer experience and monetization, media and digital services, enterprise and connected society, service-driven networks and agile operations. It includes the Amdocs customer experience solutions (CES) portfolio and Amdocs Optima, as well as mobile financial services. amdocsONE also includes a comprehensive line of services such as advisory services, intelligent operations (managed services), autonomous network service assurance, digital business operations, quality engineering services (testing), and data and intelligence services. Directory includes comprehensive set of products and services mainly for media publishers.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revenue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300" w:type="dxa"/>
            <w:vAlign w:val="bottom"/>
            <w:gridSpan w:val="2"/>
          </w:tcPr>
          <w:p>
            <w:pPr>
              <w:jc w:val="center"/>
              <w:ind w:left="379"/>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amdocsONE</w:t>
            </w:r>
          </w:p>
        </w:tc>
        <w:tc>
          <w:tcPr>
            <w:tcW w:w="2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$ 3,930,186</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$ 3,809,088</w:t>
            </w: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3,629,698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Directory</w:t>
            </w:r>
          </w:p>
        </w:tc>
        <w:tc>
          <w:tcPr>
            <w:tcW w:w="2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44,651</w:t>
            </w: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58,067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$ 3,974,837</w:t>
            </w:r>
          </w:p>
        </w:tc>
        <w:tc>
          <w:tcPr>
            <w:tcW w:w="130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0"/>
              </w:rPr>
              <w:t>$ 3,867,155</w:t>
            </w: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had one customer, AT&amp;T, which accounted for at least ten percent of its total revenue in each of fiscal years 2018, 2017 and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percentage of revenue from this customer out of total revenue during fiscal years 2018, 2017 and 2016 was 27%, 33% and 33%, respectively.</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22 — Selected Quarterly Results of Operations (Unaudited)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360" w:type="dxa"/>
            <w:vAlign w:val="bottom"/>
            <w:gridSpan w:val="3"/>
          </w:tcPr>
          <w:p>
            <w:pPr>
              <w:ind w:left="1480"/>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1,002,588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1,002,198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$992,340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977,711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122,143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101,727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116,873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979,724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966,695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$966,009</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954,727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121,593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107,209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119,264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112,560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97,793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23 — Subsequent Event</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October 2018, the Company settled a long-running legal dispute which was disclosed under the non-recurring charges in fiscal year 2018. In November 2018, the company paid this settlement in total amount of $50,000, see also Note 16.</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960"/>
          </w:cols>
          <w:pgMar w:left="240" w:top="459" w:right="6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80" w:type="dxa"/>
            <w:vAlign w:val="bottom"/>
            <w:gridSpan w:val="4"/>
          </w:tcPr>
          <w:p>
            <w:pPr>
              <w:ind w:left="2140"/>
              <w:spacing w:after="0"/>
              <w:rPr>
                <w:sz w:val="20"/>
                <w:szCs w:val="20"/>
                <w:color w:val="auto"/>
              </w:rPr>
            </w:pPr>
            <w:r>
              <w:rPr>
                <w:rFonts w:ascii="Arial" w:cs="Arial" w:eastAsia="Arial" w:hAnsi="Arial"/>
                <w:sz w:val="14"/>
                <w:szCs w:val="14"/>
                <w:b w:val="1"/>
                <w:bCs w:val="1"/>
                <w:color w:val="auto"/>
              </w:rPr>
              <w:t>Accounts Receivable</w:t>
            </w:r>
          </w:p>
        </w:tc>
        <w:tc>
          <w:tcPr>
            <w:tcW w:w="22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Valuation Allowances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Allowances</w:t>
            </w:r>
          </w:p>
        </w:tc>
        <w:tc>
          <w:tcPr>
            <w:tcW w:w="420" w:type="dxa"/>
            <w:vAlign w:val="bottom"/>
          </w:tcPr>
          <w:p>
            <w:pPr>
              <w:spacing w:after="0"/>
              <w:rPr>
                <w:sz w:val="14"/>
                <w:szCs w:val="1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Net Deferred Tax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October 1, 2015</w:t>
            </w:r>
          </w:p>
        </w:tc>
        <w:tc>
          <w:tcPr>
            <w:tcW w:w="2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112,165</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24,004</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(19,744)(2)</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2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39,512</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17,282</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(30,053)(5)</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2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6,134</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(14,875)(6)</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232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60" w:hanging="436"/>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$9,231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$12,727 of accounts receivable allowances were written off against the related accounts receivables, and the remaining deductions in the accounts receivable allowances were released to earnings.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$2,416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40" w:hanging="436"/>
        <w:spacing w:after="0" w:line="342"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$3,008 of accounts receivable allowances were written off against the related accounts receivables, $5,291 of accounts receivable allowances were netted against deferred revenue, and the remaining deductions in the accounts receivable allowances were released to earnings.</w:t>
      </w:r>
    </w:p>
    <w:p>
      <w:pPr>
        <w:spacing w:after="0" w:line="29" w:lineRule="exact"/>
        <w:rPr>
          <w:rFonts w:ascii="Arial" w:cs="Arial" w:eastAsia="Arial" w:hAnsi="Arial"/>
          <w:sz w:val="16"/>
          <w:szCs w:val="16"/>
          <w:color w:val="auto"/>
        </w:rPr>
      </w:pPr>
    </w:p>
    <w:p>
      <w:pPr>
        <w:ind w:left="640" w:right="180" w:hanging="436"/>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$6,659 of accounts receivable allowances were written off against the related accounts receivables, and the remaining deductions in the accounts receivable allowances were released to earnings.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4.a.2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NOVATION AGREEMENT</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THIS ASSIGNMENT AND NOVATION AGREEMENT (this “Agreement”) is made as of September 30, 2018, by and between Amdocs, Inc., a Delaware corporation (“Assignor”), and Amdocs Development Limited, a Cyprus corporation (“Assignee”), and AT&amp;T Services, Inc., a Delaware corporation (“AT&amp;T”).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WHEREAS, Assignor and AT&amp;T are parties to the Master Services Agreement Number 53258.C, dated February 28, 2017 (the “MSA”); and</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WHEREAS, Assignor desires to transfer and assign to Assignee its rights, duties and obligations under the MSA and all Orders entered into thereunder or subject thereto, as more fully set forth on SCHEDULE A hereto (the “Assigned Orders”); and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Assignee desires to acquire the MSA and Assigned Orders from Assignor on the terms and conditions hereinafter set forth; 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WHEREAS, Assignor desires to be discharged from the performance of the obligations enumerated in the MSA and Assigned Orders; and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WHEREAS, AT&amp;T is willing as of the effective date of this Agreement to release Assignor from the obligations enumerated in the MSA and Assigned Orders and to consent to Assignee assuming such obligations;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NOW THEREFORE, in consideration of the mutual premises and covenants herein contained, and for good and valuable consideration, the receipt and sufficiency of which is hereby acknowledged, the parties agree for themselves, their successors and assigns, as follows:</w:t>
      </w:r>
    </w:p>
    <w:p>
      <w:pPr>
        <w:spacing w:after="0" w:line="76" w:lineRule="exact"/>
        <w:rPr>
          <w:sz w:val="20"/>
          <w:szCs w:val="20"/>
          <w:color w:val="auto"/>
        </w:rPr>
      </w:pPr>
    </w:p>
    <w:p>
      <w:pPr>
        <w:ind w:left="860" w:right="800" w:hanging="424"/>
        <w:spacing w:after="0" w:line="342"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Assignor hereby assigns, transfers, conveys and delivers to Assignee, effective as of October 1, 2018 (the “Effective Date”), all of Assignor’s right, title and interest in, to and under the MSA and Assigned Orders free and clear of all liens and encumbrances.</w:t>
      </w:r>
    </w:p>
    <w:p>
      <w:pPr>
        <w:spacing w:after="0" w:line="29" w:lineRule="exact"/>
        <w:rPr>
          <w:rFonts w:ascii="Arial" w:cs="Arial" w:eastAsia="Arial" w:hAnsi="Arial"/>
          <w:sz w:val="16"/>
          <w:szCs w:val="16"/>
          <w:color w:val="auto"/>
        </w:rPr>
      </w:pPr>
    </w:p>
    <w:p>
      <w:pPr>
        <w:ind w:left="860" w:right="80" w:hanging="424"/>
        <w:spacing w:after="0" w:line="257"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Assignee hereby accepts such assignment and agrees to assume, from and after the Effective Date, all of Assignor’s rights, duties and obligations in, to and under the Agreement free and clear of all liens and encumbrances. Upon such assignment and assumption, Assignor shall be released from all further rights, duties and obligations with respect to the MSA and Assigned Orders, and Assignee agrees to reimburse Assignor for and hold Assignor harmless against any obligation to perform any of the assigned duties and obligations included in the MSA and Assigned Orders.</w:t>
      </w:r>
    </w:p>
    <w:p>
      <w:pPr>
        <w:spacing w:after="0" w:line="93" w:lineRule="exact"/>
        <w:rPr>
          <w:rFonts w:ascii="Arial" w:cs="Arial" w:eastAsia="Arial" w:hAnsi="Arial"/>
          <w:sz w:val="18"/>
          <w:szCs w:val="18"/>
          <w:color w:val="auto"/>
        </w:rPr>
      </w:pPr>
    </w:p>
    <w:p>
      <w:pPr>
        <w:ind w:left="860" w:right="220" w:hanging="424"/>
        <w:spacing w:after="0" w:line="302"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Assignor, Assignee and AT&amp;T hereby agree that this Agreement shall constitute a novation of the obligations of Assignor under the MSA and Assigned Orders. Accordingly, all of the rights, duties and obligations of Assignor under the MSA and Assigned Orders are hereby extinguished, but only to the extent they have been assigned to and assumed by Assignee hereunder. AT&amp;T recognizes Assignee as Assignor’s successor in interest in and to all of Assignor’s rights, duties and obligations in, to and under the MSA and Assigned Orders.</w:t>
      </w:r>
    </w:p>
    <w:p>
      <w:pPr>
        <w:sectPr>
          <w:pgSz w:w="11900" w:h="16838" w:orient="portrait"/>
          <w:cols w:equalWidth="0" w:num="1">
            <w:col w:w="11020"/>
          </w:cols>
          <w:pgMar w:left="440" w:top="121" w:right="439" w:bottom="1440" w:gutter="0" w:footer="0" w:header="0"/>
        </w:sectPr>
      </w:pPr>
    </w:p>
    <w:bookmarkStart w:id="114" w:name="page115"/>
    <w:bookmarkEnd w:id="114"/>
    <w:p>
      <w:pPr>
        <w:ind w:left="860" w:right="420" w:hanging="424"/>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inure to the benefit of and be binding upon the parties hereto and their successors and assigns from and after the Effective Date.</w:t>
      </w:r>
    </w:p>
    <w:p>
      <w:pPr>
        <w:spacing w:after="0" w:line="75" w:lineRule="exact"/>
        <w:rPr>
          <w:rFonts w:ascii="Arial" w:cs="Arial" w:eastAsia="Arial" w:hAnsi="Arial"/>
          <w:sz w:val="18"/>
          <w:szCs w:val="18"/>
          <w:color w:val="auto"/>
        </w:rPr>
      </w:pPr>
    </w:p>
    <w:p>
      <w:pPr>
        <w:ind w:left="860" w:right="160" w:hanging="424"/>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parties hereto agree that they will take those actions reasonably necessary to carry out the matters contemplated by this Agreement or any of its provisions.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Capitalized terms used but not otherwise defined in this Agreement shall have the respective meanings as set forth in the MSA.</w:t>
      </w:r>
    </w:p>
    <w:p>
      <w:pPr>
        <w:spacing w:after="0" w:line="142" w:lineRule="exact"/>
        <w:rPr>
          <w:rFonts w:ascii="Arial" w:cs="Arial" w:eastAsia="Arial" w:hAnsi="Arial"/>
          <w:sz w:val="17"/>
          <w:szCs w:val="17"/>
          <w:color w:val="auto"/>
        </w:rPr>
      </w:pPr>
    </w:p>
    <w:p>
      <w:pPr>
        <w:ind w:left="860" w:right="20" w:hanging="424"/>
        <w:spacing w:after="0" w:line="259"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Agreement may be executed in multiple counterparts, each of which shall be deemed to constitute an original but all of which together shall constitute only one document.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Todd Cohen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Todd Cohen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AMDOCS DEVELOPMENT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Ekaterini Chrysostomou</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Ekaterini Chrysostomou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Article 3.4 of the MSA, AT&amp;T hereby approves, as of the Effective Date, the assignment and assumption of the MSA and Assigned Orders, as set forth in the foregoing Agreement, and agrees to the release of Assignor in paragraph (2) above and the novation of the MSA and Assigned Orders in paragraph (3)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W. Hall</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Michael W. Hall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Senior Sourcing Manager</w:t>
            </w:r>
          </w:p>
        </w:tc>
      </w:tr>
    </w:tbl>
    <w:p>
      <w:pPr>
        <w:sectPr>
          <w:pgSz w:w="11900" w:h="16838" w:orient="portrait"/>
          <w:cols w:equalWidth="0" w:num="1">
            <w:col w:w="10940"/>
          </w:cols>
          <w:pgMar w:left="440" w:top="274" w:right="5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ind w:left="2700"/>
              <w:spacing w:after="0"/>
              <w:rPr>
                <w:sz w:val="20"/>
                <w:szCs w:val="20"/>
                <w:color w:val="auto"/>
              </w:rPr>
            </w:pPr>
            <w:r>
              <w:rPr>
                <w:rFonts w:ascii="Arial" w:cs="Arial" w:eastAsia="Arial" w:hAnsi="Arial"/>
                <w:sz w:val="18"/>
                <w:szCs w:val="18"/>
                <w:b w:val="1"/>
                <w:bCs w:val="1"/>
                <w:color w:val="auto"/>
                <w:w w:val="93"/>
              </w:rPr>
              <w:t>Exhibit 8</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40" w:type="dxa"/>
            <w:vAlign w:val="bottom"/>
            <w:gridSpan w:val="2"/>
          </w:tcPr>
          <w:p>
            <w:pPr>
              <w:ind w:left="380"/>
              <w:spacing w:after="0"/>
              <w:rPr>
                <w:sz w:val="20"/>
                <w:szCs w:val="20"/>
                <w:color w:val="auto"/>
              </w:rPr>
            </w:pPr>
            <w:r>
              <w:rPr>
                <w:rFonts w:ascii="Arial" w:cs="Arial" w:eastAsia="Arial" w:hAnsi="Arial"/>
                <w:sz w:val="18"/>
                <w:szCs w:val="18"/>
                <w:b w:val="1"/>
                <w:bCs w:val="1"/>
                <w:color w:val="auto"/>
                <w:w w:val="98"/>
              </w:rPr>
              <w:t>Significant Subsidiaries of Amdocs Limited</w:t>
            </w: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List of the Subsidiaries*</w:t>
            </w:r>
          </w:p>
        </w:tc>
        <w:tc>
          <w:tcPr>
            <w:tcW w:w="40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20" w:type="dxa"/>
            <w:vAlign w:val="bottom"/>
          </w:tcPr>
          <w:p>
            <w:pPr>
              <w:spacing w:after="0"/>
              <w:rPr>
                <w:sz w:val="12"/>
                <w:szCs w:val="12"/>
                <w:color w:val="auto"/>
              </w:rPr>
            </w:pPr>
          </w:p>
        </w:tc>
        <w:tc>
          <w:tcPr>
            <w:tcW w:w="34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Business Name</w:t>
            </w:r>
          </w:p>
        </w:tc>
        <w:tc>
          <w:tcPr>
            <w:tcW w:w="0" w:type="dxa"/>
            <w:vAlign w:val="bottom"/>
          </w:tcPr>
          <w:p>
            <w:pPr>
              <w:spacing w:after="0"/>
              <w:rPr>
                <w:sz w:val="1"/>
                <w:szCs w:val="1"/>
                <w:color w:val="auto"/>
              </w:rPr>
            </w:pPr>
          </w:p>
        </w:tc>
      </w:tr>
      <w:tr>
        <w:trPr>
          <w:trHeight w:val="191"/>
        </w:trPr>
        <w:tc>
          <w:tcPr>
            <w:tcW w:w="3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2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Amdocs Development</w:t>
            </w:r>
          </w:p>
        </w:tc>
        <w:tc>
          <w:tcPr>
            <w:tcW w:w="1960" w:type="dxa"/>
            <w:vAlign w:val="bottom"/>
          </w:tcPr>
          <w:p>
            <w:pPr>
              <w:ind w:left="160"/>
              <w:spacing w:after="0" w:line="189" w:lineRule="exact"/>
              <w:rPr>
                <w:sz w:val="20"/>
                <w:szCs w:val="20"/>
                <w:color w:val="auto"/>
              </w:rPr>
            </w:pPr>
            <w:r>
              <w:rPr>
                <w:rFonts w:ascii="Arial" w:cs="Arial" w:eastAsia="Arial" w:hAnsi="Arial"/>
                <w:sz w:val="18"/>
                <w:szCs w:val="18"/>
                <w:color w:val="auto"/>
              </w:rPr>
              <w:t>Centre India LLP</w:t>
            </w:r>
          </w:p>
        </w:tc>
        <w:tc>
          <w:tcPr>
            <w:tcW w:w="400" w:type="dxa"/>
            <w:vAlign w:val="bottom"/>
          </w:tcPr>
          <w:p>
            <w:pPr>
              <w:spacing w:after="0"/>
              <w:rPr>
                <w:sz w:val="16"/>
                <w:szCs w:val="16"/>
                <w:color w:val="auto"/>
              </w:rPr>
            </w:pPr>
          </w:p>
        </w:tc>
        <w:tc>
          <w:tcPr>
            <w:tcW w:w="3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India</w:t>
            </w:r>
          </w:p>
        </w:tc>
        <w:tc>
          <w:tcPr>
            <w:tcW w:w="120" w:type="dxa"/>
            <w:vAlign w:val="bottom"/>
          </w:tcPr>
          <w:p>
            <w:pPr>
              <w:spacing w:after="0"/>
              <w:rPr>
                <w:sz w:val="16"/>
                <w:szCs w:val="16"/>
                <w:color w:val="auto"/>
              </w:rPr>
            </w:pPr>
          </w:p>
        </w:tc>
        <w:tc>
          <w:tcPr>
            <w:tcW w:w="3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Amdocs Development Centre India LLP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Republic of Cyprus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Development Limited</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State of Delaware, USA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Inc.</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Switzerland</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International GmbH</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Israel</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(Israel) Limited</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United Kingdom</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Management Limited</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Ireland</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Software Systems Ltd.</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United Kingdom</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Amdocs (UK) Limited</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Amdocs Canadian Managed Services, Inc.</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Canada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9"/>
              </w:rPr>
              <w:t>Amdocs Canadian Managed Services, Inc.</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State of Delaware, USA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Sypress,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040"/>
          </w:cols>
          <w:pgMar w:left="440" w:top="121" w:right="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Shuky Sheffer, certify that:</w:t>
      </w:r>
    </w:p>
    <w:p>
      <w:pPr>
        <w:spacing w:after="0" w:line="117" w:lineRule="exact"/>
        <w:rPr>
          <w:sz w:val="20"/>
          <w:szCs w:val="20"/>
          <w:color w:val="auto"/>
        </w:rPr>
      </w:pPr>
    </w:p>
    <w:p>
      <w:pPr>
        <w:ind w:left="620" w:hanging="176"/>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44"/>
        <w:spacing w:after="0" w:line="291" w:lineRule="auto"/>
        <w:tabs>
          <w:tab w:leader="none" w:pos="6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00" w:firstLine="428"/>
        <w:spacing w:after="0" w:line="264" w:lineRule="auto"/>
        <w:tabs>
          <w:tab w:leader="none" w:pos="11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220" w:firstLine="428"/>
        <w:spacing w:after="0" w:line="342" w:lineRule="auto"/>
        <w:tabs>
          <w:tab w:leader="none" w:pos="110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80" w:firstLine="428"/>
        <w:spacing w:after="0" w:line="264" w:lineRule="auto"/>
        <w:tabs>
          <w:tab w:leader="none" w:pos="11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100" w:firstLine="444"/>
        <w:spacing w:after="0" w:line="342" w:lineRule="auto"/>
        <w:tabs>
          <w:tab w:leader="none" w:pos="6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20" w:firstLine="428"/>
        <w:spacing w:after="0" w:line="308" w:lineRule="auto"/>
        <w:tabs>
          <w:tab w:leader="none" w:pos="11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28"/>
        <w:spacing w:after="0" w:line="277" w:lineRule="auto"/>
        <w:tabs>
          <w:tab w:leader="none" w:pos="11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ectPr>
          <w:pgSz w:w="11900" w:h="16838" w:orient="portrait"/>
          <w:cols w:equalWidth="0" w:num="1">
            <w:col w:w="11020"/>
          </w:cols>
          <w:pgMar w:left="440" w:top="121" w:right="4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117" w:lineRule="exact"/>
        <w:rPr>
          <w:sz w:val="20"/>
          <w:szCs w:val="20"/>
          <w:color w:val="auto"/>
        </w:rPr>
      </w:pPr>
    </w:p>
    <w:p>
      <w:pPr>
        <w:ind w:left="620" w:hanging="176"/>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44"/>
        <w:spacing w:after="0" w:line="291" w:lineRule="auto"/>
        <w:tabs>
          <w:tab w:leader="none" w:pos="62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00" w:firstLine="428"/>
        <w:spacing w:after="0" w:line="264" w:lineRule="auto"/>
        <w:tabs>
          <w:tab w:leader="none" w:pos="11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220" w:firstLine="428"/>
        <w:spacing w:after="0" w:line="342" w:lineRule="auto"/>
        <w:tabs>
          <w:tab w:leader="none" w:pos="110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80" w:firstLine="428"/>
        <w:spacing w:after="0" w:line="264"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100" w:firstLine="444"/>
        <w:spacing w:after="0" w:line="342" w:lineRule="auto"/>
        <w:tabs>
          <w:tab w:leader="none" w:pos="62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20" w:firstLine="428"/>
        <w:spacing w:after="0" w:line="308" w:lineRule="auto"/>
        <w:tabs>
          <w:tab w:leader="none" w:pos="1108"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28"/>
        <w:spacing w:after="0" w:line="277" w:lineRule="auto"/>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ectPr>
          <w:pgSz w:w="11900" w:h="16838" w:orient="portrait"/>
          <w:cols w:equalWidth="0" w:num="1">
            <w:col w:w="11020"/>
          </w:cols>
          <w:pgMar w:left="440" w:top="121"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41"/>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2018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57" w:lineRule="exact"/>
        <w:rPr>
          <w:sz w:val="20"/>
          <w:szCs w:val="20"/>
          <w:color w:val="auto"/>
        </w:rPr>
      </w:pPr>
    </w:p>
    <w:p>
      <w:pPr>
        <w:ind w:left="1120" w:hanging="252"/>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2018</w:t>
      </w:r>
    </w:p>
    <w:p>
      <w:pPr>
        <w:sectPr>
          <w:pgSz w:w="11900" w:h="16838" w:orient="portrait"/>
          <w:cols w:equalWidth="0" w:num="1">
            <w:col w:w="11020"/>
          </w:cols>
          <w:pgMar w:left="440" w:top="121"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2018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57" w:lineRule="exact"/>
        <w:rPr>
          <w:sz w:val="20"/>
          <w:szCs w:val="20"/>
          <w:color w:val="auto"/>
        </w:rPr>
      </w:pPr>
    </w:p>
    <w:p>
      <w:pPr>
        <w:ind w:left="1120" w:hanging="252"/>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2018</w:t>
      </w:r>
    </w:p>
    <w:p>
      <w:pPr>
        <w:sectPr>
          <w:pgSz w:w="11900" w:h="16838" w:orient="portrait"/>
          <w:cols w:equalWidth="0" w:num="1">
            <w:col w:w="11020"/>
          </w:cols>
          <w:pgMar w:left="440" w:top="121" w:right="4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consent to the reference to our firm in the head note to Item 3. Key Information — Selected Financial Data included in this Annual Report (Form 20-F) of Amdocs Limited and to the incorporation by reference in the following Registration Statements:</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333-193659</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333-222992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our reports dated December 10, 2018, with respect to the consolidated financial statements and schedule of Amdocs Limited and the effectiveness of internal control over financial reporting of Amdocs Limited, included in this Annual Report (Form 20-F) of Amdocs Limited for the year ended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2"/>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lvl w:ilvl="1">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lowerRoman"/>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3"/>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8"/>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95" Type="http://schemas.openxmlformats.org/officeDocument/2006/relationships/hyperlink" Target="http://www.sec.gov/Archives/edgar/data/1062579/000095012309001258/y74186exv99w1.htm" TargetMode="External"/><Relationship Id="rId96" Type="http://schemas.openxmlformats.org/officeDocument/2006/relationships/hyperlink" Target="http://www.sec.gov/Archives/edgar/data/1062579/000095012310111454/y86844exv1w2.htm" TargetMode="External"/><Relationship Id="rId97" Type="http://schemas.openxmlformats.org/officeDocument/2006/relationships/hyperlink" Target="http://www.sec.gov/Archives/edgar/data/1062579/000119312517366393/d419646dex4b6.htm" TargetMode="External"/><Relationship Id="rId98" Type="http://schemas.openxmlformats.org/officeDocument/2006/relationships/hyperlink" Target="http://www.sec.gov/Archives/edgar/data/1062579/000119312518040404/d532355dex991.htm" TargetMode="External"/><Relationship Id="rId99" Type="http://schemas.openxmlformats.org/officeDocument/2006/relationships/hyperlink" Target="http://www.sec.gov/Archives/edgar/data/1062579/000119312517366393/d419646dex4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2019-12-06T12:42:45Z</dcterms:created>
  <dcterms:modified xsi:type="dcterms:W3CDTF">2019-12-06T12:42:45Z</dcterms:modified>
</cp:coreProperties>
</file>