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PROSPECTUS SUPPLEMENT NO. 17</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(To Prospectus dated September 25, 2001)</w:t>
      </w:r>
    </w:p>
    <w:p>
      <w:pPr>
        <w:spacing w:after="0" w:line="20" w:lineRule="exact"/>
        <w:rPr>
          <w:sz w:val="24"/>
          <w:szCs w:val="24"/>
          <w:color w:val="auto"/>
        </w:rPr>
      </w:pPr>
      <w:r>
        <w:rPr>
          <w:sz w:val="24"/>
          <w:szCs w:val="24"/>
          <w:color w:val="auto"/>
        </w:rPr>
        <w:br w:type="column"/>
      </w:r>
    </w:p>
    <w:p>
      <w:pPr>
        <w:ind w:right="1779" w:firstLine="421"/>
        <w:spacing w:after="0" w:line="290" w:lineRule="auto"/>
        <w:rPr>
          <w:sz w:val="20"/>
          <w:szCs w:val="20"/>
          <w:color w:val="auto"/>
        </w:rPr>
      </w:pPr>
      <w:r>
        <w:rPr>
          <w:rFonts w:ascii="Courier New" w:cs="Courier New" w:eastAsia="Courier New" w:hAnsi="Courier New"/>
          <w:sz w:val="16"/>
          <w:szCs w:val="16"/>
          <w:color w:val="auto"/>
        </w:rPr>
        <w:t>FILED PURSUANT TO RULE 424(B)(3) Registration Statement No. 333-67572</w:t>
      </w:r>
    </w:p>
    <w:p>
      <w:pPr>
        <w:spacing w:after="0" w:line="164" w:lineRule="exact"/>
        <w:rPr>
          <w:sz w:val="24"/>
          <w:szCs w:val="24"/>
          <w:color w:val="auto"/>
        </w:rPr>
      </w:pPr>
    </w:p>
    <w:p>
      <w:pPr>
        <w:sectPr>
          <w:pgSz w:w="11900" w:h="16838" w:orient="portrait"/>
          <w:cols w:equalWidth="0" w:num="2">
            <w:col w:w="4220" w:space="420"/>
            <w:col w:w="5579"/>
          </w:cols>
          <w:pgMar w:left="240" w:top="649" w:right="1440" w:bottom="1440" w:gutter="0" w:footer="0" w:header="0"/>
        </w:sectPr>
      </w:pPr>
    </w:p>
    <w:p>
      <w:pPr>
        <w:jc w:val="center"/>
        <w:ind w:right="1779"/>
        <w:spacing w:after="0"/>
        <w:rPr>
          <w:sz w:val="20"/>
          <w:szCs w:val="20"/>
          <w:color w:val="auto"/>
        </w:rPr>
      </w:pPr>
      <w:r>
        <w:rPr>
          <w:rFonts w:ascii="Courier New" w:cs="Courier New" w:eastAsia="Courier New" w:hAnsi="Courier New"/>
          <w:sz w:val="18"/>
          <w:szCs w:val="18"/>
          <w:color w:val="auto"/>
        </w:rPr>
        <w:t>AMDOCS LIMITED</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$500,000,000</w:t>
      </w:r>
    </w:p>
    <w:p>
      <w:pPr>
        <w:spacing w:after="0" w:line="4"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6"/>
          <w:szCs w:val="16"/>
          <w:color w:val="auto"/>
        </w:rPr>
        <w:t>2% Convertible Notes due June 1, 2008</w:t>
      </w:r>
    </w:p>
    <w:p>
      <w:pPr>
        <w:spacing w:after="0" w:line="16"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and</w:t>
      </w:r>
    </w:p>
    <w:p>
      <w:pPr>
        <w:jc w:val="center"/>
        <w:ind w:right="1779"/>
        <w:spacing w:after="0" w:line="238" w:lineRule="auto"/>
        <w:rPr>
          <w:sz w:val="20"/>
          <w:szCs w:val="20"/>
          <w:color w:val="auto"/>
        </w:rPr>
      </w:pPr>
      <w:r>
        <w:rPr>
          <w:rFonts w:ascii="Courier New" w:cs="Courier New" w:eastAsia="Courier New" w:hAnsi="Courier New"/>
          <w:sz w:val="18"/>
          <w:szCs w:val="18"/>
          <w:color w:val="auto"/>
        </w:rPr>
        <w:t>5,429,350 Ordinary Shares Issuable</w:t>
      </w:r>
    </w:p>
    <w:p>
      <w:pPr>
        <w:jc w:val="center"/>
        <w:ind w:right="1779"/>
        <w:spacing w:after="0"/>
        <w:rPr>
          <w:sz w:val="20"/>
          <w:szCs w:val="20"/>
          <w:color w:val="auto"/>
        </w:rPr>
      </w:pPr>
      <w:r>
        <w:rPr>
          <w:rFonts w:ascii="Courier New" w:cs="Courier New" w:eastAsia="Courier New" w:hAnsi="Courier New"/>
          <w:sz w:val="18"/>
          <w:szCs w:val="18"/>
          <w:color w:val="auto"/>
        </w:rPr>
        <w:t>Upon Conversion of the Notes</w:t>
      </w:r>
    </w:p>
    <w:p>
      <w:pPr>
        <w:sectPr>
          <w:pgSz w:w="11900" w:h="16838" w:orient="portrait"/>
          <w:cols w:equalWidth="0" w:num="1">
            <w:col w:w="10219"/>
          </w:cols>
          <w:pgMar w:left="240" w:top="649" w:right="1440" w:bottom="1440" w:gutter="0" w:footer="0" w:header="0"/>
          <w:type w:val="continuous"/>
        </w:sectPr>
      </w:pPr>
    </w:p>
    <w:p>
      <w:pPr>
        <w:ind w:left="2960"/>
        <w:spacing w:after="0" w:line="237" w:lineRule="auto"/>
        <w:rPr>
          <w:sz w:val="20"/>
          <w:szCs w:val="20"/>
          <w:color w:val="auto"/>
        </w:rPr>
      </w:pPr>
      <w:r>
        <w:rPr>
          <w:rFonts w:ascii="Courier New" w:cs="Courier New" w:eastAsia="Courier New" w:hAnsi="Courier New"/>
          <w:sz w:val="18"/>
          <w:szCs w:val="18"/>
          <w:color w:val="auto"/>
        </w:rPr>
        <w:t>------------------------</w:t>
      </w:r>
    </w:p>
    <w:p>
      <w:pPr>
        <w:spacing w:after="0" w:line="207" w:lineRule="exact"/>
        <w:rPr>
          <w:sz w:val="24"/>
          <w:szCs w:val="24"/>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This prospectus supplement relates to the resale by holders of our 2% Convertible Notes due June 1, 2008 and ordinary shares issuable upon conversion of the notes. This prospectus supplement may only be delivered or used in connection with our prospectus dated September 25, 2001. Our ordinary shares are traded on the New York Stock Exchange under the symbol "DOX."</w:t>
      </w:r>
    </w:p>
    <w:p>
      <w:pPr>
        <w:spacing w:after="0" w:line="209" w:lineRule="exact"/>
        <w:rPr>
          <w:sz w:val="24"/>
          <w:szCs w:val="24"/>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202" w:lineRule="exact"/>
        <w:rPr>
          <w:sz w:val="24"/>
          <w:szCs w:val="24"/>
          <w:color w:val="auto"/>
        </w:rPr>
      </w:pPr>
    </w:p>
    <w:p>
      <w:pPr>
        <w:ind w:left="296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4"/>
          <w:szCs w:val="24"/>
          <w:color w:val="auto"/>
        </w:rPr>
      </w:pPr>
    </w:p>
    <w:p>
      <w:pPr>
        <w:ind w:left="2000"/>
        <w:spacing w:after="0"/>
        <w:rPr>
          <w:sz w:val="20"/>
          <w:szCs w:val="20"/>
          <w:color w:val="auto"/>
        </w:rPr>
      </w:pPr>
      <w:r>
        <w:rPr>
          <w:rFonts w:ascii="Courier New" w:cs="Courier New" w:eastAsia="Courier New" w:hAnsi="Courier New"/>
          <w:sz w:val="18"/>
          <w:szCs w:val="18"/>
          <w:color w:val="auto"/>
        </w:rPr>
        <w:t>PROSPECTUS SUPPLEMENT DATED JUNE 12, 2002</w:t>
      </w:r>
    </w:p>
    <w:p>
      <w:pPr>
        <w:sectPr>
          <w:pgSz w:w="11900" w:h="16838" w:orient="portrait"/>
          <w:cols w:equalWidth="0" w:num="1">
            <w:col w:w="10219"/>
          </w:cols>
          <w:pgMar w:left="240" w:top="649" w:right="1440" w:bottom="1440" w:gutter="0" w:footer="0" w:header="0"/>
          <w:type w:val="continuous"/>
        </w:sectPr>
      </w:pPr>
    </w:p>
    <w:bookmarkStart w:id="1" w:name="page2"/>
    <w:bookmarkEnd w:id="1"/>
    <w:p>
      <w:pPr>
        <w:ind w:right="1879" w:firstLine="527"/>
        <w:spacing w:after="0" w:line="237" w:lineRule="auto"/>
        <w:rPr>
          <w:sz w:val="20"/>
          <w:szCs w:val="20"/>
          <w:color w:val="auto"/>
        </w:rPr>
      </w:pPr>
      <w:r>
        <w:rPr>
          <w:rFonts w:ascii="Courier New" w:cs="Courier New" w:eastAsia="Courier New" w:hAnsi="Courier New"/>
          <w:sz w:val="18"/>
          <w:szCs w:val="18"/>
          <w:color w:val="auto"/>
        </w:rPr>
        <w:t>The information appearing in the following table supplements or supersedes in part the information in the table under the caption "Selling Holders", beginning on page 50 in our prospectus and was provided by or on behalf of the selling holders.</w:t>
      </w:r>
    </w:p>
    <w:p>
      <w:pPr>
        <w:spacing w:after="0" w:line="202"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8"/>
          <w:szCs w:val="18"/>
          <w:color w:val="auto"/>
        </w:rPr>
        <w:t>PRINCIPAL</w:t>
      </w:r>
    </w:p>
    <w:p>
      <w:pPr>
        <w:jc w:val="center"/>
        <w:ind w:right="8959"/>
        <w:spacing w:after="0" w:line="238" w:lineRule="auto"/>
        <w:rPr>
          <w:sz w:val="20"/>
          <w:szCs w:val="20"/>
          <w:color w:val="auto"/>
        </w:rPr>
      </w:pPr>
      <w:r>
        <w:rPr>
          <w:rFonts w:ascii="Courier New" w:cs="Courier New" w:eastAsia="Courier New" w:hAnsi="Courier New"/>
          <w:sz w:val="18"/>
          <w:szCs w:val="18"/>
          <w:color w:val="auto"/>
        </w:rPr>
        <w:t>ORDINARY</w:t>
      </w:r>
    </w:p>
    <w:p>
      <w:pPr>
        <w:jc w:val="center"/>
        <w:ind w:right="8959"/>
        <w:spacing w:after="0"/>
        <w:rPr>
          <w:sz w:val="20"/>
          <w:szCs w:val="20"/>
          <w:color w:val="auto"/>
        </w:rPr>
      </w:pPr>
      <w:r>
        <w:rPr>
          <w:rFonts w:ascii="Courier New" w:cs="Courier New" w:eastAsia="Courier New" w:hAnsi="Courier New"/>
          <w:sz w:val="18"/>
          <w:szCs w:val="18"/>
          <w:color w:val="auto"/>
        </w:rPr>
        <w:t>ORDINARY</w:t>
      </w:r>
    </w:p>
    <w:p>
      <w:pPr>
        <w:jc w:val="center"/>
        <w:ind w:right="8959"/>
        <w:spacing w:after="0" w:line="237" w:lineRule="auto"/>
        <w:rPr>
          <w:sz w:val="20"/>
          <w:szCs w:val="20"/>
          <w:color w:val="auto"/>
        </w:rPr>
      </w:pPr>
      <w:r>
        <w:rPr>
          <w:rFonts w:ascii="Courier New" w:cs="Courier New" w:eastAsia="Courier New" w:hAnsi="Courier New"/>
          <w:sz w:val="18"/>
          <w:szCs w:val="18"/>
          <w:color w:val="auto"/>
        </w:rPr>
        <w:t>SHARES</w:t>
      </w:r>
    </w:p>
    <w:p>
      <w:pPr>
        <w:jc w:val="center"/>
        <w:ind w:right="8959"/>
        <w:spacing w:after="0" w:line="238" w:lineRule="auto"/>
        <w:rPr>
          <w:sz w:val="20"/>
          <w:szCs w:val="20"/>
          <w:color w:val="auto"/>
        </w:rPr>
      </w:pPr>
      <w:r>
        <w:rPr>
          <w:rFonts w:ascii="Courier New" w:cs="Courier New" w:eastAsia="Courier New" w:hAnsi="Courier New"/>
          <w:sz w:val="18"/>
          <w:szCs w:val="18"/>
          <w:color w:val="auto"/>
        </w:rPr>
        <w:t>AMOUNT OF</w:t>
      </w:r>
    </w:p>
    <w:p>
      <w:pPr>
        <w:jc w:val="center"/>
        <w:ind w:right="8959"/>
        <w:spacing w:after="0"/>
        <w:rPr>
          <w:sz w:val="20"/>
          <w:szCs w:val="20"/>
          <w:color w:val="auto"/>
        </w:rPr>
      </w:pPr>
      <w:r>
        <w:rPr>
          <w:rFonts w:ascii="Courier New" w:cs="Courier New" w:eastAsia="Courier New" w:hAnsi="Courier New"/>
          <w:sz w:val="18"/>
          <w:szCs w:val="18"/>
          <w:color w:val="auto"/>
        </w:rPr>
        <w:t>SHARES</w:t>
      </w:r>
    </w:p>
    <w:p>
      <w:pPr>
        <w:spacing w:after="0" w:line="4"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BENEFICIALLY</w:t>
      </w:r>
    </w:p>
    <w:p>
      <w:pPr>
        <w:spacing w:after="0" w:line="16"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8"/>
          <w:szCs w:val="18"/>
          <w:color w:val="auto"/>
        </w:rPr>
        <w:t>NOTES</w:t>
      </w:r>
    </w:p>
    <w:p>
      <w:pPr>
        <w:spacing w:after="0" w:line="4"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BENEFICIALLY</w:t>
      </w:r>
    </w:p>
    <w:p>
      <w:pPr>
        <w:spacing w:after="0" w:line="16"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8"/>
          <w:szCs w:val="18"/>
          <w:color w:val="auto"/>
        </w:rPr>
        <w:t>OWNED AFTER</w:t>
      </w:r>
    </w:p>
    <w:p>
      <w:pPr>
        <w:spacing w:after="0" w:line="4"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BENEFICIALLY</w:t>
      </w:r>
    </w:p>
    <w:p>
      <w:pPr>
        <w:spacing w:after="0" w:line="16"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8"/>
          <w:szCs w:val="18"/>
          <w:color w:val="auto"/>
        </w:rPr>
        <w:t>OWNED</w:t>
      </w:r>
    </w:p>
    <w:p>
      <w:pPr>
        <w:jc w:val="center"/>
        <w:ind w:right="8959"/>
        <w:spacing w:after="0" w:line="238" w:lineRule="auto"/>
        <w:rPr>
          <w:sz w:val="20"/>
          <w:szCs w:val="20"/>
          <w:color w:val="auto"/>
        </w:rPr>
      </w:pPr>
      <w:r>
        <w:rPr>
          <w:rFonts w:ascii="Courier New" w:cs="Courier New" w:eastAsia="Courier New" w:hAnsi="Courier New"/>
          <w:sz w:val="18"/>
          <w:szCs w:val="18"/>
          <w:color w:val="auto"/>
        </w:rPr>
        <w:t>ORDINARY</w:t>
      </w:r>
    </w:p>
    <w:p>
      <w:pPr>
        <w:jc w:val="center"/>
        <w:ind w:right="8959"/>
        <w:spacing w:after="0"/>
        <w:rPr>
          <w:sz w:val="20"/>
          <w:szCs w:val="20"/>
          <w:color w:val="auto"/>
        </w:rPr>
      </w:pPr>
      <w:r>
        <w:rPr>
          <w:rFonts w:ascii="Courier New" w:cs="Courier New" w:eastAsia="Courier New" w:hAnsi="Courier New"/>
          <w:sz w:val="18"/>
          <w:szCs w:val="18"/>
          <w:color w:val="auto"/>
        </w:rPr>
        <w:t>OFFERING</w:t>
      </w:r>
    </w:p>
    <w:p>
      <w:pPr>
        <w:jc w:val="center"/>
        <w:ind w:right="8959"/>
        <w:spacing w:after="0" w:line="237" w:lineRule="auto"/>
        <w:rPr>
          <w:sz w:val="20"/>
          <w:szCs w:val="20"/>
          <w:color w:val="auto"/>
        </w:rPr>
      </w:pPr>
      <w:r>
        <w:rPr>
          <w:rFonts w:ascii="Courier New" w:cs="Courier New" w:eastAsia="Courier New" w:hAnsi="Courier New"/>
          <w:sz w:val="18"/>
          <w:szCs w:val="18"/>
          <w:color w:val="auto"/>
        </w:rPr>
        <w:t>OWNED AND</w:t>
      </w:r>
    </w:p>
    <w:p>
      <w:pPr>
        <w:jc w:val="center"/>
        <w:ind w:right="8959"/>
        <w:spacing w:after="0" w:line="238" w:lineRule="auto"/>
        <w:rPr>
          <w:sz w:val="20"/>
          <w:szCs w:val="20"/>
          <w:color w:val="auto"/>
        </w:rPr>
      </w:pPr>
      <w:r>
        <w:rPr>
          <w:rFonts w:ascii="Courier New" w:cs="Courier New" w:eastAsia="Courier New" w:hAnsi="Courier New"/>
          <w:sz w:val="18"/>
          <w:szCs w:val="18"/>
          <w:color w:val="auto"/>
        </w:rPr>
        <w:t>BEFORE</w:t>
      </w:r>
    </w:p>
    <w:p>
      <w:pPr>
        <w:jc w:val="center"/>
        <w:ind w:right="8959"/>
        <w:spacing w:after="0"/>
        <w:rPr>
          <w:sz w:val="20"/>
          <w:szCs w:val="20"/>
          <w:color w:val="auto"/>
        </w:rPr>
      </w:pPr>
      <w:r>
        <w:rPr>
          <w:rFonts w:ascii="Courier New" w:cs="Courier New" w:eastAsia="Courier New" w:hAnsi="Courier New"/>
          <w:sz w:val="18"/>
          <w:szCs w:val="18"/>
          <w:color w:val="auto"/>
        </w:rPr>
        <w:t>SHARES ----</w:t>
      </w:r>
    </w:p>
    <w:p>
      <w:pPr>
        <w:ind w:left="60"/>
        <w:spacing w:after="0" w:line="237"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260" w:right="9059" w:hanging="151"/>
        <w:spacing w:after="0" w:line="268" w:lineRule="auto"/>
        <w:tabs>
          <w:tab w:leader="none" w:pos="313"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NAME AND ADDRESS</w:t>
      </w:r>
    </w:p>
    <w:p>
      <w:pPr>
        <w:jc w:val="center"/>
        <w:ind w:right="8959"/>
        <w:spacing w:after="0" w:line="233" w:lineRule="auto"/>
        <w:rPr>
          <w:sz w:val="20"/>
          <w:szCs w:val="20"/>
          <w:color w:val="auto"/>
        </w:rPr>
      </w:pPr>
      <w:r>
        <w:rPr>
          <w:rFonts w:ascii="Courier New" w:cs="Courier New" w:eastAsia="Courier New" w:hAnsi="Courier New"/>
          <w:sz w:val="18"/>
          <w:szCs w:val="18"/>
          <w:color w:val="auto"/>
        </w:rPr>
        <w:t>OFFERED</w:t>
      </w:r>
    </w:p>
    <w:p>
      <w:pPr>
        <w:jc w:val="center"/>
        <w:ind w:right="8959"/>
        <w:spacing w:after="0"/>
        <w:rPr>
          <w:sz w:val="20"/>
          <w:szCs w:val="20"/>
          <w:color w:val="auto"/>
        </w:rPr>
      </w:pPr>
      <w:r>
        <w:rPr>
          <w:rFonts w:ascii="Courier New" w:cs="Courier New" w:eastAsia="Courier New" w:hAnsi="Courier New"/>
          <w:sz w:val="18"/>
          <w:szCs w:val="18"/>
          <w:color w:val="auto"/>
        </w:rPr>
        <w:t>OFFERING</w:t>
      </w:r>
    </w:p>
    <w:p>
      <w:pPr>
        <w:jc w:val="center"/>
        <w:ind w:right="8959"/>
        <w:spacing w:after="0" w:line="237" w:lineRule="auto"/>
        <w:rPr>
          <w:sz w:val="20"/>
          <w:szCs w:val="20"/>
          <w:color w:val="auto"/>
        </w:rPr>
      </w:pPr>
      <w:r>
        <w:rPr>
          <w:rFonts w:ascii="Courier New" w:cs="Courier New" w:eastAsia="Courier New" w:hAnsi="Courier New"/>
          <w:sz w:val="18"/>
          <w:szCs w:val="18"/>
          <w:color w:val="auto"/>
        </w:rPr>
        <w:t>OFFERED(1)</w:t>
      </w:r>
    </w:p>
    <w:p>
      <w:pPr>
        <w:jc w:val="center"/>
        <w:ind w:right="8959"/>
        <w:spacing w:after="0"/>
        <w:rPr>
          <w:sz w:val="20"/>
          <w:szCs w:val="20"/>
          <w:color w:val="auto"/>
        </w:rPr>
      </w:pPr>
      <w:r>
        <w:rPr>
          <w:rFonts w:ascii="Courier New" w:cs="Courier New" w:eastAsia="Courier New" w:hAnsi="Courier New"/>
          <w:sz w:val="18"/>
          <w:szCs w:val="18"/>
          <w:color w:val="auto"/>
        </w:rPr>
        <w:t>AMOUNT</w:t>
      </w:r>
    </w:p>
    <w:p>
      <w:pPr>
        <w:jc w:val="center"/>
        <w:ind w:right="8959"/>
        <w:spacing w:after="0" w:line="237" w:lineRule="auto"/>
        <w:rPr>
          <w:sz w:val="20"/>
          <w:szCs w:val="20"/>
          <w:color w:val="auto"/>
        </w:rPr>
      </w:pPr>
      <w:r>
        <w:rPr>
          <w:rFonts w:ascii="Courier New" w:cs="Courier New" w:eastAsia="Courier New" w:hAnsi="Courier New"/>
          <w:sz w:val="18"/>
          <w:szCs w:val="18"/>
          <w:color w:val="auto"/>
        </w:rPr>
        <w:t>PERCENT ---</w:t>
      </w:r>
    </w:p>
    <w:p>
      <w:pPr>
        <w:ind w:left="60"/>
        <w:spacing w:after="0"/>
        <w:rPr>
          <w:sz w:val="20"/>
          <w:szCs w:val="20"/>
          <w:color w:val="auto"/>
        </w:rPr>
      </w:pPr>
      <w:r>
        <w:rPr>
          <w:rFonts w:ascii="Courier New" w:cs="Courier New" w:eastAsia="Courier New" w:hAnsi="Courier New"/>
          <w:sz w:val="18"/>
          <w:szCs w:val="18"/>
          <w:color w:val="auto"/>
        </w:rPr>
        <w:t>-----------</w:t>
      </w:r>
    </w:p>
    <w:p>
      <w:pPr>
        <w:ind w:left="380" w:hanging="323"/>
        <w:spacing w:after="0" w:line="237" w:lineRule="auto"/>
        <w:tabs>
          <w:tab w:leader="none" w:pos="38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420" w:hanging="311"/>
        <w:spacing w:after="0" w:line="238" w:lineRule="auto"/>
        <w:tabs>
          <w:tab w:leader="none" w:pos="420" w:val="left"/>
        </w:tabs>
        <w:numPr>
          <w:ilvl w:val="1"/>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jc w:val="center"/>
        <w:ind w:right="8959"/>
        <w:spacing w:after="0"/>
        <w:rPr>
          <w:sz w:val="20"/>
          <w:szCs w:val="20"/>
          <w:color w:val="auto"/>
        </w:rPr>
      </w:pPr>
      <w:r>
        <w:rPr>
          <w:rFonts w:ascii="Courier New" w:cs="Courier New" w:eastAsia="Courier New" w:hAnsi="Courier New"/>
          <w:sz w:val="18"/>
          <w:szCs w:val="18"/>
          <w:color w:val="auto"/>
        </w:rPr>
        <w:t>Man</w:t>
      </w:r>
    </w:p>
    <w:p>
      <w:pPr>
        <w:jc w:val="center"/>
        <w:ind w:right="8959"/>
        <w:spacing w:after="0" w:line="237" w:lineRule="auto"/>
        <w:rPr>
          <w:sz w:val="20"/>
          <w:szCs w:val="20"/>
          <w:color w:val="auto"/>
        </w:rPr>
      </w:pPr>
      <w:r>
        <w:rPr>
          <w:rFonts w:ascii="Courier New" w:cs="Courier New" w:eastAsia="Courier New" w:hAnsi="Courier New"/>
          <w:sz w:val="18"/>
          <w:szCs w:val="18"/>
          <w:color w:val="auto"/>
        </w:rPr>
        <w:t>Convertible</w:t>
      </w:r>
    </w:p>
    <w:p>
      <w:pPr>
        <w:jc w:val="center"/>
        <w:ind w:right="8959"/>
        <w:spacing w:after="0" w:line="238" w:lineRule="auto"/>
        <w:rPr>
          <w:sz w:val="20"/>
          <w:szCs w:val="20"/>
          <w:color w:val="auto"/>
        </w:rPr>
      </w:pPr>
      <w:r>
        <w:rPr>
          <w:rFonts w:ascii="Courier New" w:cs="Courier New" w:eastAsia="Courier New" w:hAnsi="Courier New"/>
          <w:sz w:val="18"/>
          <w:szCs w:val="18"/>
          <w:color w:val="auto"/>
        </w:rPr>
        <w:t>Bond Master</w:t>
      </w:r>
    </w:p>
    <w:p>
      <w:pPr>
        <w:jc w:val="center"/>
        <w:ind w:right="8959"/>
        <w:spacing w:after="0"/>
        <w:rPr>
          <w:sz w:val="20"/>
          <w:szCs w:val="20"/>
          <w:color w:val="auto"/>
        </w:rPr>
      </w:pPr>
      <w:r>
        <w:rPr>
          <w:rFonts w:ascii="Courier New" w:cs="Courier New" w:eastAsia="Courier New" w:hAnsi="Courier New"/>
          <w:sz w:val="18"/>
          <w:szCs w:val="18"/>
          <w:color w:val="auto"/>
        </w:rPr>
        <w:t>Fund, Ltd.</w:t>
      </w:r>
    </w:p>
    <w:p>
      <w:pPr>
        <w:jc w:val="center"/>
        <w:ind w:right="8959"/>
        <w:spacing w:after="0" w:line="237" w:lineRule="auto"/>
        <w:rPr>
          <w:sz w:val="20"/>
          <w:szCs w:val="20"/>
          <w:color w:val="auto"/>
        </w:rPr>
      </w:pPr>
      <w:r>
        <w:rPr>
          <w:rFonts w:ascii="Courier New" w:cs="Courier New" w:eastAsia="Courier New" w:hAnsi="Courier New"/>
          <w:sz w:val="18"/>
          <w:szCs w:val="18"/>
          <w:color w:val="auto"/>
        </w:rPr>
        <w:t>$5,607,000</w:t>
      </w:r>
    </w:p>
    <w:p>
      <w:pPr>
        <w:jc w:val="center"/>
        <w:ind w:right="8959"/>
        <w:spacing w:after="0"/>
        <w:rPr>
          <w:sz w:val="20"/>
          <w:szCs w:val="20"/>
          <w:color w:val="auto"/>
        </w:rPr>
      </w:pPr>
      <w:r>
        <w:rPr>
          <w:rFonts w:ascii="Courier New" w:cs="Courier New" w:eastAsia="Courier New" w:hAnsi="Courier New"/>
          <w:sz w:val="18"/>
          <w:szCs w:val="18"/>
          <w:color w:val="auto"/>
        </w:rPr>
        <w:t>61,753</w:t>
      </w:r>
    </w:p>
    <w:p>
      <w:pPr>
        <w:jc w:val="center"/>
        <w:ind w:right="8959"/>
        <w:spacing w:after="0" w:line="237" w:lineRule="auto"/>
        <w:rPr>
          <w:sz w:val="20"/>
          <w:szCs w:val="20"/>
          <w:color w:val="auto"/>
        </w:rPr>
      </w:pPr>
      <w:r>
        <w:rPr>
          <w:rFonts w:ascii="Courier New" w:cs="Courier New" w:eastAsia="Courier New" w:hAnsi="Courier New"/>
          <w:sz w:val="18"/>
          <w:szCs w:val="18"/>
          <w:color w:val="auto"/>
        </w:rPr>
        <w:t>61,753 0 *</w:t>
      </w:r>
    </w:p>
    <w:p>
      <w:pPr>
        <w:spacing w:after="0" w:line="5" w:lineRule="exact"/>
        <w:rPr>
          <w:sz w:val="20"/>
          <w:szCs w:val="20"/>
          <w:color w:val="auto"/>
        </w:rPr>
      </w:pPr>
    </w:p>
    <w:p>
      <w:pPr>
        <w:jc w:val="both"/>
        <w:ind w:left="60" w:right="8999" w:hanging="3"/>
        <w:spacing w:after="0" w:line="268" w:lineRule="auto"/>
        <w:tabs>
          <w:tab w:leader="none" w:pos="481" w:val="left"/>
        </w:tabs>
        <w:numPr>
          <w:ilvl w:val="1"/>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Glacier Point Road, Suite D San Rafael, CA 94902 St.</w:t>
      </w:r>
    </w:p>
    <w:p>
      <w:pPr>
        <w:ind w:left="3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Thomas</w:t>
      </w:r>
    </w:p>
    <w:p>
      <w:pPr>
        <w:ind w:left="2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Trading,</w:t>
      </w:r>
    </w:p>
    <w:p>
      <w:pPr>
        <w:ind w:left="4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Ltd.</w:t>
      </w:r>
    </w:p>
    <w:p>
      <w:pPr>
        <w:ind w:left="1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9,331,000</w:t>
      </w:r>
    </w:p>
    <w:p>
      <w:pPr>
        <w:ind w:left="2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101,322</w:t>
      </w:r>
    </w:p>
    <w:p>
      <w:pPr>
        <w:ind w:left="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101,322 0 *</w:t>
      </w:r>
    </w:p>
    <w:p>
      <w:pPr>
        <w:spacing w:after="0" w:line="4" w:lineRule="exact"/>
        <w:rPr>
          <w:rFonts w:ascii="Courier New" w:cs="Courier New" w:eastAsia="Courier New" w:hAnsi="Courier New"/>
          <w:sz w:val="16"/>
          <w:szCs w:val="16"/>
          <w:color w:val="auto"/>
        </w:rPr>
      </w:pPr>
    </w:p>
    <w:p>
      <w:pPr>
        <w:jc w:val="both"/>
        <w:ind w:left="60" w:right="8999" w:hanging="3"/>
        <w:spacing w:after="0" w:line="268" w:lineRule="auto"/>
        <w:tabs>
          <w:tab w:leader="none" w:pos="481" w:val="left"/>
        </w:tabs>
        <w:numPr>
          <w:ilvl w:val="1"/>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Glacier Point Road, Suite D San Rafael, CA</w:t>
      </w:r>
    </w:p>
    <w:p>
      <w:pPr>
        <w:ind w:left="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94901</w:t>
      </w:r>
    </w:p>
    <w:p>
      <w:pPr>
        <w:spacing w:after="0" w:line="200" w:lineRule="exact"/>
        <w:rPr>
          <w:rFonts w:ascii="Courier New" w:cs="Courier New" w:eastAsia="Courier New" w:hAnsi="Courier New"/>
          <w:sz w:val="16"/>
          <w:szCs w:val="16"/>
          <w:color w:val="auto"/>
        </w:rPr>
      </w:pPr>
    </w:p>
    <w:p>
      <w:pPr>
        <w:spacing w:after="0" w:line="20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Indicates less than 1%.</w:t>
      </w:r>
    </w:p>
    <w:p>
      <w:pPr>
        <w:spacing w:after="0" w:line="207" w:lineRule="exact"/>
        <w:rPr>
          <w:sz w:val="20"/>
          <w:szCs w:val="20"/>
          <w:color w:val="auto"/>
        </w:rPr>
      </w:pPr>
    </w:p>
    <w:p>
      <w:pPr>
        <w:ind w:left="420" w:right="1779" w:hanging="412"/>
        <w:spacing w:after="0" w:line="271" w:lineRule="auto"/>
        <w:tabs>
          <w:tab w:leader="none" w:pos="4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Assumes conversion of all the holder's notes at a conversion rate of 10.8587 ordinary shares per each $1,000 principal amount of the notes and resale of all ordinary shares offered hereby. In addition, the per share conversion price, and therefore the number of ordinary shares issuable upon conversion of the notes, is subject to adjustment. As a result, the aggregate principal amount of the notes and the number of shares of ordinary shares issuable upon conversion of the notes may increase or decrease.</w:t>
      </w:r>
    </w:p>
    <w:sectPr>
      <w:pgSz w:w="11900" w:h="16838" w:orient="portrait"/>
      <w:cols w:equalWidth="0" w:num="1">
        <w:col w:w="10219"/>
      </w:cols>
      <w:pgMar w:left="240" w:top="723" w:right="1440" w:bottom="1153"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lvl w:ilvl="1">
      <w:lvlJc w:val="left"/>
      <w:lvlText w:val="--"/>
      <w:numFmt w:val="bullet"/>
      <w:start w:val="1"/>
    </w:lvl>
  </w:abstractNum>
  <w:abstractNum w:abstractNumId="2">
    <w:nsid w:val="625558EC"/>
    <w:multiLevelType w:val="hybridMultilevel"/>
    <w:lvl w:ilvl="0">
      <w:lvlJc w:val="left"/>
      <w:lvlText w:val="-"/>
      <w:numFmt w:val="bullet"/>
      <w:start w:val="1"/>
    </w:lvl>
    <w:lvl w:ilvl="1">
      <w:lvlJc w:val="left"/>
      <w:lvlText w:val="%2"/>
      <w:numFmt w:val="decimal"/>
      <w:start w:val="101"/>
    </w:lvl>
  </w:abstractNum>
  <w:abstractNum w:abstractNumId="3">
    <w:nsid w:val="238E1F29"/>
    <w:multiLevelType w:val="hybridMultilevel"/>
    <w:lvl w:ilvl="0">
      <w:lvlJc w:val="left"/>
      <w:lvlText w:val="-"/>
      <w:numFmt w:val="bullet"/>
      <w:start w:val="1"/>
    </w:lvl>
    <w:lvl w:ilvl="1">
      <w:lvlJc w:val="left"/>
      <w:lvlText w:val="%2"/>
      <w:numFmt w:val="decimal"/>
      <w:start w:val="10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2019-12-14T21:14:42Z</dcterms:created>
  <dcterms:modified xsi:type="dcterms:W3CDTF">2019-12-14T21:14:42Z</dcterms:modified>
</cp:coreProperties>
</file>