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1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 the Quarter Ended March 31, 2012</w:t>
      </w:r>
    </w:p>
    <w:p>
      <w:pPr>
        <w:spacing w:after="0" w:line="17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Suite 5, Tower Hill House Le Bordage</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St. Peter Port, Island of Guernsey, GY1 3QT</w:t>
      </w:r>
    </w:p>
    <w:p>
      <w:pPr>
        <w:spacing w:after="0" w:line="15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Amdocs, Inc.</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39" w:lineRule="exact"/>
        <w:rPr>
          <w:sz w:val="24"/>
          <w:szCs w:val="24"/>
          <w:color w:val="auto"/>
        </w:rPr>
      </w:pPr>
    </w:p>
    <w:p>
      <w:pPr>
        <w:ind w:left="432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99" w:lineRule="exact"/>
        <w:rPr>
          <w:sz w:val="24"/>
          <w:szCs w:val="24"/>
          <w:color w:val="auto"/>
        </w:rPr>
      </w:pPr>
    </w:p>
    <w:p>
      <w:pPr>
        <w:ind w:left="4900"/>
        <w:spacing w:after="0" w:line="207" w:lineRule="exact"/>
        <w:tabs>
          <w:tab w:leader="none" w:pos="60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230" w:right="3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40" w:type="dxa"/>
            <w:vAlign w:val="bottom"/>
            <w:gridSpan w:val="4"/>
          </w:tcPr>
          <w:p>
            <w:pPr>
              <w:jc w:val="center"/>
              <w:ind w:right="2160"/>
              <w:spacing w:after="0"/>
              <w:rPr>
                <w:sz w:val="20"/>
                <w:szCs w:val="20"/>
                <w:color w:val="auto"/>
              </w:rPr>
            </w:pPr>
            <w:r>
              <w:rPr>
                <w:rFonts w:ascii="Arial" w:cs="Arial" w:eastAsia="Arial" w:hAnsi="Arial"/>
                <w:sz w:val="18"/>
                <w:szCs w:val="18"/>
                <w:color w:val="auto"/>
                <w:w w:val="98"/>
              </w:rPr>
              <w:t>AMDOCS LIMITED</w:t>
            </w:r>
          </w:p>
        </w:tc>
        <w:tc>
          <w:tcPr>
            <w:tcW w:w="2000" w:type="dxa"/>
            <w:vAlign w:val="bottom"/>
          </w:tcPr>
          <w:p>
            <w:pPr>
              <w:spacing w:after="0"/>
              <w:rPr>
                <w:sz w:val="19"/>
                <w:szCs w:val="19"/>
                <w:color w:val="auto"/>
              </w:rPr>
            </w:pPr>
          </w:p>
        </w:tc>
      </w:tr>
      <w:tr>
        <w:trPr>
          <w:trHeight w:val="378"/>
        </w:trPr>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160" w:type="dxa"/>
            <w:vAlign w:val="bottom"/>
            <w:gridSpan w:val="3"/>
          </w:tcPr>
          <w:p>
            <w:pPr>
              <w:jc w:val="center"/>
              <w:ind w:right="3060"/>
              <w:spacing w:after="0"/>
              <w:rPr>
                <w:sz w:val="20"/>
                <w:szCs w:val="20"/>
                <w:color w:val="auto"/>
              </w:rPr>
            </w:pPr>
            <w:r>
              <w:rPr>
                <w:rFonts w:ascii="Arial" w:cs="Arial" w:eastAsia="Arial" w:hAnsi="Arial"/>
                <w:sz w:val="18"/>
                <w:szCs w:val="18"/>
                <w:color w:val="auto"/>
                <w:w w:val="95"/>
              </w:rPr>
              <w:t>FORM 6-K</w:t>
            </w:r>
          </w:p>
        </w:tc>
        <w:tc>
          <w:tcPr>
            <w:tcW w:w="2000" w:type="dxa"/>
            <w:vAlign w:val="bottom"/>
          </w:tcPr>
          <w:p>
            <w:pPr>
              <w:spacing w:after="0"/>
              <w:rPr>
                <w:sz w:val="24"/>
                <w:szCs w:val="24"/>
                <w:color w:val="auto"/>
              </w:rPr>
            </w:pPr>
          </w:p>
        </w:tc>
      </w:tr>
      <w:tr>
        <w:trPr>
          <w:trHeight w:val="378"/>
        </w:trPr>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20" w:type="dxa"/>
            <w:vAlign w:val="bottom"/>
            <w:gridSpan w:val="5"/>
          </w:tcPr>
          <w:p>
            <w:pPr>
              <w:jc w:val="center"/>
              <w:ind w:right="1980"/>
              <w:spacing w:after="0"/>
              <w:rPr>
                <w:sz w:val="20"/>
                <w:szCs w:val="20"/>
                <w:color w:val="auto"/>
              </w:rPr>
            </w:pPr>
            <w:r>
              <w:rPr>
                <w:rFonts w:ascii="Arial" w:cs="Arial" w:eastAsia="Arial" w:hAnsi="Arial"/>
                <w:sz w:val="18"/>
                <w:szCs w:val="18"/>
                <w:color w:val="auto"/>
                <w:w w:val="90"/>
              </w:rPr>
              <w:t>REPORT OF FOREIGN PRIVATE ISSUER</w:t>
            </w:r>
          </w:p>
        </w:tc>
        <w:tc>
          <w:tcPr>
            <w:tcW w:w="2000" w:type="dxa"/>
            <w:vAlign w:val="bottom"/>
          </w:tcPr>
          <w:p>
            <w:pPr>
              <w:spacing w:after="0"/>
              <w:rPr>
                <w:sz w:val="24"/>
                <w:szCs w:val="24"/>
                <w:color w:val="auto"/>
              </w:rPr>
            </w:pPr>
          </w:p>
        </w:tc>
      </w:tr>
      <w:tr>
        <w:trPr>
          <w:trHeight w:val="378"/>
        </w:trPr>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520" w:type="dxa"/>
            <w:vAlign w:val="bottom"/>
            <w:gridSpan w:val="6"/>
          </w:tcPr>
          <w:p>
            <w:pPr>
              <w:jc w:val="center"/>
              <w:ind w:right="1700"/>
              <w:spacing w:after="0"/>
              <w:rPr>
                <w:sz w:val="20"/>
                <w:szCs w:val="20"/>
                <w:color w:val="auto"/>
              </w:rPr>
            </w:pPr>
            <w:r>
              <w:rPr>
                <w:rFonts w:ascii="Arial" w:cs="Arial" w:eastAsia="Arial" w:hAnsi="Arial"/>
                <w:sz w:val="18"/>
                <w:szCs w:val="18"/>
                <w:color w:val="auto"/>
                <w:w w:val="92"/>
              </w:rPr>
              <w:t>FOR THE QUARTER ENDED MARCH 31, 2012</w:t>
            </w:r>
          </w:p>
        </w:tc>
        <w:tc>
          <w:tcPr>
            <w:tcW w:w="2000" w:type="dxa"/>
            <w:vAlign w:val="bottom"/>
          </w:tcPr>
          <w:p>
            <w:pPr>
              <w:spacing w:after="0"/>
              <w:rPr>
                <w:sz w:val="24"/>
                <w:szCs w:val="24"/>
                <w:color w:val="auto"/>
              </w:rPr>
            </w:pPr>
          </w:p>
        </w:tc>
      </w:tr>
      <w:tr>
        <w:trPr>
          <w:trHeight w:val="378"/>
        </w:trPr>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160" w:type="dxa"/>
            <w:vAlign w:val="bottom"/>
            <w:gridSpan w:val="3"/>
          </w:tcPr>
          <w:p>
            <w:pPr>
              <w:jc w:val="center"/>
              <w:ind w:right="3060"/>
              <w:spacing w:after="0"/>
              <w:rPr>
                <w:sz w:val="20"/>
                <w:szCs w:val="20"/>
                <w:color w:val="auto"/>
              </w:rPr>
            </w:pPr>
            <w:r>
              <w:rPr>
                <w:rFonts w:ascii="Arial" w:cs="Arial" w:eastAsia="Arial" w:hAnsi="Arial"/>
                <w:sz w:val="18"/>
                <w:szCs w:val="18"/>
                <w:color w:val="auto"/>
                <w:w w:val="98"/>
              </w:rPr>
              <w:t>INDEX</w:t>
            </w:r>
          </w:p>
        </w:tc>
        <w:tc>
          <w:tcPr>
            <w:tcW w:w="2000" w:type="dxa"/>
            <w:vAlign w:val="bottom"/>
          </w:tcPr>
          <w:p>
            <w:pPr>
              <w:spacing w:after="0"/>
              <w:rPr>
                <w:sz w:val="24"/>
                <w:szCs w:val="24"/>
                <w:color w:val="auto"/>
              </w:rPr>
            </w:pPr>
          </w:p>
        </w:tc>
      </w:tr>
      <w:tr>
        <w:trPr>
          <w:trHeight w:val="380"/>
        </w:trPr>
        <w:tc>
          <w:tcPr>
            <w:tcW w:w="278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6540" w:type="dxa"/>
            <w:vAlign w:val="bottom"/>
            <w:gridSpan w:val="8"/>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440" w:type="dxa"/>
            <w:vAlign w:val="bottom"/>
          </w:tcPr>
          <w:p>
            <w:pPr>
              <w:spacing w:after="0"/>
              <w:rPr>
                <w:sz w:val="17"/>
                <w:szCs w:val="17"/>
                <w:color w:val="auto"/>
              </w:rPr>
            </w:pPr>
          </w:p>
        </w:tc>
        <w:tc>
          <w:tcPr>
            <w:tcW w:w="520" w:type="dxa"/>
            <w:vAlign w:val="bottom"/>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8360" w:type="dxa"/>
            <w:vAlign w:val="bottom"/>
            <w:gridSpan w:val="13"/>
          </w:tcPr>
          <w:p>
            <w:pPr>
              <w:ind w:left="20"/>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28"/>
        </w:trPr>
        <w:tc>
          <w:tcPr>
            <w:tcW w:w="440" w:type="dxa"/>
            <w:vAlign w:val="bottom"/>
          </w:tcPr>
          <w:p>
            <w:pPr>
              <w:spacing w:after="0"/>
              <w:rPr>
                <w:sz w:val="19"/>
                <w:szCs w:val="19"/>
                <w:color w:val="auto"/>
              </w:rPr>
            </w:pPr>
          </w:p>
        </w:tc>
        <w:tc>
          <w:tcPr>
            <w:tcW w:w="8880" w:type="dxa"/>
            <w:vAlign w:val="bottom"/>
            <w:gridSpan w:val="14"/>
          </w:tcPr>
          <w:p>
            <w:pPr>
              <w:ind w:left="440"/>
              <w:spacing w:after="0"/>
              <w:rPr>
                <w:sz w:val="20"/>
                <w:szCs w:val="20"/>
                <w:color w:val="auto"/>
              </w:rPr>
            </w:pPr>
            <w:r>
              <w:rPr>
                <w:rFonts w:ascii="Arial" w:cs="Arial" w:eastAsia="Arial" w:hAnsi="Arial"/>
                <w:sz w:val="18"/>
                <w:szCs w:val="18"/>
                <w:color w:val="auto"/>
              </w:rPr>
              <w:t>Unaudited Consolidated Financial Statements</w:t>
            </w:r>
          </w:p>
        </w:tc>
        <w:tc>
          <w:tcPr>
            <w:tcW w:w="2000" w:type="dxa"/>
            <w:vAlign w:val="bottom"/>
          </w:tcPr>
          <w:p>
            <w:pPr>
              <w:spacing w:after="0"/>
              <w:rPr>
                <w:sz w:val="19"/>
                <w:szCs w:val="19"/>
                <w:color w:val="auto"/>
              </w:rPr>
            </w:pPr>
          </w:p>
        </w:tc>
      </w:tr>
      <w:tr>
        <w:trPr>
          <w:trHeight w:val="184"/>
        </w:trPr>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20" w:type="dxa"/>
            <w:vAlign w:val="bottom"/>
            <w:gridSpan w:val="11"/>
          </w:tcPr>
          <w:p>
            <w:pPr>
              <w:spacing w:after="0" w:line="184"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w:t>
              </w:r>
            </w:hyperlink>
          </w:p>
        </w:tc>
        <w:tc>
          <w:tcPr>
            <w:tcW w:w="2000" w:type="dxa"/>
            <w:vAlign w:val="bottom"/>
          </w:tcPr>
          <w:p>
            <w:pPr>
              <w:jc w:val="right"/>
              <w:spacing w:after="0" w:line="184" w:lineRule="exact"/>
              <w:rPr>
                <w:sz w:val="20"/>
                <w:szCs w:val="20"/>
                <w:color w:val="auto"/>
              </w:rPr>
            </w:pPr>
            <w:r>
              <w:rPr>
                <w:rFonts w:ascii="Arial" w:cs="Arial" w:eastAsia="Arial" w:hAnsi="Arial"/>
                <w:sz w:val="18"/>
                <w:szCs w:val="18"/>
                <w:color w:val="auto"/>
              </w:rPr>
              <w:t>3</w:t>
            </w:r>
          </w:p>
        </w:tc>
      </w:tr>
      <w:tr>
        <w:trPr>
          <w:trHeight w:val="20"/>
        </w:trPr>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20" w:type="dxa"/>
            <w:vAlign w:val="bottom"/>
            <w:gridSpan w:val="1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Income</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20" w:type="dxa"/>
            <w:vAlign w:val="bottom"/>
            <w:gridSpan w:val="1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 of Changes in Shareholders’ Equity</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3800" w:type="dxa"/>
            <w:vAlign w:val="bottom"/>
            <w:gridSpan w:val="2"/>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6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Unaudited Consolidated Financial Statements</w:t>
              </w:r>
            </w:hyperlink>
          </w:p>
        </w:tc>
        <w:tc>
          <w:tcPr>
            <w:tcW w:w="4160" w:type="dxa"/>
            <w:vAlign w:val="bottom"/>
            <w:gridSpan w:val="3"/>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44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Item 2.</w:t>
              </w:r>
            </w:hyperlink>
          </w:p>
        </w:tc>
        <w:tc>
          <w:tcPr>
            <w:tcW w:w="3320" w:type="dxa"/>
            <w:vAlign w:val="bottom"/>
            <w:tcBorders>
              <w:bottom w:val="single" w:sz="8" w:color="0000EE"/>
            </w:tcBorders>
            <w:gridSpan w:val="9"/>
          </w:tcPr>
          <w:p>
            <w:pPr>
              <w:ind w:left="20"/>
              <w:spacing w:after="0" w:line="196"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Operating and Financial Review and Prospects</w:t>
              </w:r>
            </w:hyperlink>
          </w:p>
        </w:tc>
        <w:tc>
          <w:tcPr>
            <w:tcW w:w="5040" w:type="dxa"/>
            <w:vAlign w:val="bottom"/>
            <w:gridSpan w:val="4"/>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248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25">
              <w:r>
                <w:rPr>
                  <w:rFonts w:ascii="Arial" w:cs="Arial" w:eastAsia="Arial" w:hAnsi="Arial"/>
                  <w:sz w:val="18"/>
                  <w:szCs w:val="18"/>
                  <w:color w:val="0000EE"/>
                  <w:w w:val="93"/>
                </w:rPr>
                <w:t>PART II OTHER INFORMATION</w:t>
              </w:r>
            </w:hyperlink>
          </w:p>
        </w:tc>
        <w:tc>
          <w:tcPr>
            <w:tcW w:w="6840" w:type="dxa"/>
            <w:vAlign w:val="bottom"/>
            <w:gridSpan w:val="9"/>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44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Item 1.</w:t>
              </w:r>
            </w:hyperlink>
          </w:p>
        </w:tc>
        <w:tc>
          <w:tcPr>
            <w:tcW w:w="5720" w:type="dxa"/>
            <w:vAlign w:val="bottom"/>
            <w:tcBorders>
              <w:bottom w:val="single" w:sz="8" w:color="0000EE"/>
            </w:tcBorders>
            <w:gridSpan w:val="12"/>
          </w:tcPr>
          <w:p>
            <w:pPr>
              <w:ind w:left="20"/>
              <w:spacing w:after="0" w:line="196" w:lineRule="exact"/>
              <w:rPr>
                <w:rFonts w:ascii="Arial" w:cs="Arial" w:eastAsia="Arial" w:hAnsi="Arial"/>
                <w:sz w:val="18"/>
                <w:szCs w:val="18"/>
                <w:color w:val="0000EE"/>
                <w:w w:val="86"/>
              </w:rPr>
            </w:pPr>
            <w:hyperlink w:anchor="page25">
              <w:r>
                <w:rPr>
                  <w:rFonts w:ascii="Arial" w:cs="Arial" w:eastAsia="Arial" w:hAnsi="Arial"/>
                  <w:sz w:val="18"/>
                  <w:szCs w:val="18"/>
                  <w:color w:val="0000EE"/>
                  <w:w w:val="86"/>
                </w:rPr>
                <w:t>Changes in Securities, Use of Proceeds and Issuer Purchases of Equity Securities</w:t>
              </w:r>
            </w:hyperlink>
          </w:p>
        </w:tc>
        <w:tc>
          <w:tcPr>
            <w:tcW w:w="2640" w:type="dxa"/>
            <w:vAlign w:val="bottom"/>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440" w:type="dxa"/>
            <w:vAlign w:val="bottom"/>
          </w:tcPr>
          <w:p>
            <w:pPr>
              <w:spacing w:after="0"/>
              <w:rPr>
                <w:sz w:val="17"/>
                <w:szCs w:val="17"/>
                <w:color w:val="auto"/>
              </w:rPr>
            </w:pPr>
          </w:p>
        </w:tc>
        <w:tc>
          <w:tcPr>
            <w:tcW w:w="520" w:type="dxa"/>
            <w:vAlign w:val="bottom"/>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Item 2.</w:t>
              </w:r>
            </w:hyperlink>
          </w:p>
        </w:tc>
        <w:tc>
          <w:tcPr>
            <w:tcW w:w="8360" w:type="dxa"/>
            <w:vAlign w:val="bottom"/>
            <w:gridSpan w:val="13"/>
          </w:tcPr>
          <w:p>
            <w:pPr>
              <w:ind w:left="20"/>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Reports on Form 6-K</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6840" w:type="dxa"/>
            <w:vAlign w:val="bottom"/>
            <w:gridSpan w:val="9"/>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9320" w:type="dxa"/>
            <w:vAlign w:val="bottom"/>
            <w:gridSpan w:val="15"/>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SIGNATURES</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4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This report on Form 6-K shall be incorporated by reference into the Registration Statements on Form F-3 (File Nos. 333-114079 and 333-114344) and any other Registration Statement filed by the Registrant that by its terms automatically incorporates the Registrant’s filings and submissions with the SEC under Sections 13(a), 13(c) or 15(d) of the Securities Exchange Act of 1934.</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 of</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92"/>
              </w:rPr>
              <w:t>March 31,</w:t>
            </w:r>
          </w:p>
        </w:tc>
        <w:tc>
          <w:tcPr>
            <w:tcW w:w="3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2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(Unaudited)</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572,258</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Short-term interest-bearing investments</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323,289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342,099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612,373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Deferred income taxes and taxes receivable</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98,187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112,656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145,468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127,341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1,751,575</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1,979,320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Equipment and leasehold improvements,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247,353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152,963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123,171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1,741,786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1,739,732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167,312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193,422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339,538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4,400,527</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4,636,572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151,485</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275,464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255,212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personnel costs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171,317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Short-term financing arrangements</w:t>
            </w: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137,029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Deferred income taxes and taxes payable</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26,206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15,180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761,501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1,011,206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Deferred income taxes and taxes payable</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319,694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310,045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280,140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1,361,335</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1,613,271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Preferred Shares — Authorized 25,000 shares; £0.01 par value; 0 shares issued and outstanding</w:t>
            </w: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Ordinary Shares — Authorized 700,000 shares; £0.01 par value; 250,444 and 247,640 issued and 168,717 and 174,692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outstanding, respectively</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4,057</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2,570,555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2,495,211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 at cost 81,727 and 72,948 ordinary shares, respectively</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(2,189,947)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(1,933,402)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(17,209)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(19,656)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2,671,736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2,477,135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 shareholders’ equity</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3,039,192</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3,023,301</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9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4,400,527</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4,636,572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right"/>
              <w:ind w:right="133"/>
              <w:spacing w:after="0"/>
              <w:rPr>
                <w:sz w:val="20"/>
                <w:szCs w:val="20"/>
                <w:color w:val="auto"/>
              </w:rPr>
            </w:pPr>
            <w:r>
              <w:rPr>
                <w:rFonts w:ascii="Arial" w:cs="Arial" w:eastAsia="Arial" w:hAnsi="Arial"/>
                <w:sz w:val="14"/>
                <w:szCs w:val="14"/>
                <w:b w:val="1"/>
                <w:bCs w:val="1"/>
                <w:color w:val="auto"/>
                <w:w w:val="94"/>
              </w:rPr>
              <w:t>Three months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right"/>
              <w:ind w:right="433"/>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Borders>
              <w:bottom w:val="single" w:sz="8" w:color="CCEEFF"/>
            </w:tcBorders>
          </w:tcPr>
          <w:p>
            <w:pPr>
              <w:spacing w:after="0"/>
              <w:rPr>
                <w:sz w:val="12"/>
                <w:szCs w:val="12"/>
                <w:color w:val="auto"/>
              </w:rPr>
            </w:pPr>
          </w:p>
        </w:tc>
        <w:tc>
          <w:tcPr>
            <w:tcW w:w="16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License</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26,238</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28,695</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62,034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58,601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w:t>
            </w:r>
          </w:p>
        </w:tc>
        <w:tc>
          <w:tcPr>
            <w:tcW w:w="1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782,690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760,240</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1,553,904</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1,505,515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808,928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788,935</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1,615,938</w:t>
            </w: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1,564,116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Cost of license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1,926</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517,549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513,238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1,033,730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1,021,376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60,350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53,536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121,657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108,528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106,842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99,064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213,179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203,421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Amortization of purchased intangible assets and other</w:t>
            </w:r>
          </w:p>
        </w:tc>
        <w:tc>
          <w:tcPr>
            <w:tcW w:w="1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16,343</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26,526</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699,056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682,379</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1,397,018</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1,369,976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109,872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106,556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218,920</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194,140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(3,068)</w:t>
            </w:r>
          </w:p>
        </w:tc>
        <w:tc>
          <w:tcPr>
            <w:tcW w:w="0" w:type="dxa"/>
            <w:vAlign w:val="bottom"/>
          </w:tcPr>
          <w:p>
            <w:pPr>
              <w:spacing w:after="0"/>
              <w:rPr>
                <w:sz w:val="1"/>
                <w:szCs w:val="1"/>
                <w:color w:val="auto"/>
              </w:rPr>
            </w:pPr>
          </w:p>
        </w:tc>
      </w:tr>
      <w:tr>
        <w:trPr>
          <w:trHeight w:val="221"/>
        </w:trPr>
        <w:tc>
          <w:tcPr>
            <w:tcW w:w="58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115,158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106,605</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220,593</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191,072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12,495</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25,992</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101,870</w:t>
            </w:r>
          </w:p>
        </w:tc>
        <w:tc>
          <w:tcPr>
            <w:tcW w:w="1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94,110</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194,601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167,501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60" w:type="dxa"/>
            <w:vAlign w:val="bottom"/>
            <w:gridSpan w:val="2"/>
            <w:vMerge w:val="continue"/>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0.60</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0.50</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1.13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169,739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187,788</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171,231</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60" w:type="dxa"/>
            <w:vAlign w:val="bottom"/>
            <w:gridSpan w:val="2"/>
            <w:vMerge w:val="continue"/>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170,971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189,232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172,397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191,120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SHAREHOLDERS’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Accumulated</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Additional</w:t>
            </w: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Other</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7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Ordinary Shares</w:t>
            </w: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Paid-in</w:t>
            </w: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Treasury</w:t>
            </w:r>
          </w:p>
        </w:tc>
        <w:tc>
          <w:tcPr>
            <w:tcW w:w="11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5"/>
              </w:rPr>
              <w:t>Comprehensive</w:t>
            </w: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5"/>
                <w:szCs w:val="15"/>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Shareholders’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80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Amount</w:t>
            </w:r>
          </w:p>
        </w:tc>
        <w:tc>
          <w:tcPr>
            <w:tcW w:w="280" w:type="dxa"/>
            <w:vAlign w:val="bottom"/>
          </w:tcPr>
          <w:p>
            <w:pPr>
              <w:spacing w:after="0"/>
              <w:rPr>
                <w:sz w:val="12"/>
                <w:szCs w:val="12"/>
                <w:color w:val="auto"/>
              </w:rPr>
            </w:pPr>
          </w:p>
        </w:tc>
        <w:tc>
          <w:tcPr>
            <w:tcW w:w="108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Capital</w:t>
            </w:r>
          </w:p>
        </w:tc>
        <w:tc>
          <w:tcPr>
            <w:tcW w:w="116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2"/>
                <w:szCs w:val="12"/>
                <w:color w:val="auto"/>
              </w:rPr>
            </w:pPr>
          </w:p>
        </w:tc>
        <w:tc>
          <w:tcPr>
            <w:tcW w:w="1000" w:type="dxa"/>
            <w:vAlign w:val="bottom"/>
            <w:gridSpan w:val="2"/>
          </w:tcPr>
          <w:p>
            <w:pPr>
              <w:jc w:val="center"/>
              <w:ind w:right="460"/>
              <w:spacing w:after="0" w:line="142" w:lineRule="exact"/>
              <w:rPr>
                <w:sz w:val="20"/>
                <w:szCs w:val="20"/>
                <w:color w:val="auto"/>
              </w:rPr>
            </w:pPr>
            <w:r>
              <w:rPr>
                <w:rFonts w:ascii="Arial" w:cs="Arial" w:eastAsia="Arial" w:hAnsi="Arial"/>
                <w:sz w:val="14"/>
                <w:szCs w:val="14"/>
                <w:b w:val="1"/>
                <w:bCs w:val="1"/>
                <w:color w:val="auto"/>
                <w:w w:val="79"/>
              </w:rPr>
              <w:t>Loss</w:t>
            </w:r>
          </w:p>
        </w:tc>
        <w:tc>
          <w:tcPr>
            <w:tcW w:w="94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2"/>
                <w:szCs w:val="12"/>
                <w:color w:val="auto"/>
              </w:rPr>
            </w:pPr>
          </w:p>
        </w:tc>
        <w:tc>
          <w:tcPr>
            <w:tcW w:w="92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30, 2011</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174,692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$4,013</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$2,495,211</w:t>
            </w: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$(1,933,402)</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(19,656)</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$2,477,135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$ 3,023,301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Comprehensive income:</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194,601</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194,601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Unrealized gain on foreign currency hedging</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ind w:left="640"/>
              <w:spacing w:after="0"/>
              <w:rPr>
                <w:sz w:val="20"/>
                <w:szCs w:val="20"/>
                <w:color w:val="auto"/>
              </w:rPr>
            </w:pPr>
            <w:r>
              <w:rPr>
                <w:rFonts w:ascii="Arial" w:cs="Arial" w:eastAsia="Arial" w:hAnsi="Arial"/>
                <w:sz w:val="18"/>
                <w:szCs w:val="18"/>
                <w:color w:val="auto"/>
              </w:rPr>
              <w:t>contracts, net of $(235) tax</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2,499</w:t>
            </w: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2,499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loss on short-term interest-bearing</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investments, net of $(17) tax</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Comprehensive income</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197,048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options exercised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35</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53,671</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Repurchase of shares</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(8,779)</w:t>
            </w: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(256,545)</w:t>
            </w:r>
          </w:p>
        </w:tc>
        <w:tc>
          <w:tcPr>
            <w:tcW w:w="1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(256,545)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Issuance of restricted stock, net of forfeitures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w w:val="91"/>
              </w:rPr>
              <w:t>Equity-based compensation expense related to employees</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21,673</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21,673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March 31, 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168,717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4,057</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2,570,555</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(2,189,947)</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(17,209)</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2,671,736</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 xml:space="preserve"> 3,039,192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of March 31, 2012 and September 30, 2011, accumulated other comprehensive loss is comprised of unrealized loss on derivatives, net of tax, of $11,938 and $14,437, respectively, unrealized loss on short-term interest-bearing investments, net of tax, of $2,075 and $2,023, respectively, and unrealized loss on defined benefit plan, net of tax, of $3,196 and $3,196, respectively.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194,601</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167,501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79,873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94,049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Equity-based compensation expense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(8,283)</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 from equity-based compensation</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Gain on sale of investment</w:t>
            </w:r>
          </w:p>
        </w:tc>
        <w:tc>
          <w:tcPr>
            <w:tcW w:w="1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(6,270)</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short-term interest-bearing investments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(36,831)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(18,626)</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(25,225)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(1,299)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Accounts payable, accrued expenses and accrued personnel</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8,972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(69,103)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(27,129)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Income taxes payable, net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13,888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3,145</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4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224,482</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237,846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Payments for purchase of equipment and leasehold improvements, net</w:t>
            </w:r>
          </w:p>
        </w:tc>
        <w:tc>
          <w:tcPr>
            <w:tcW w:w="1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(50,204)</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(55,456)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210,703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Purchase of short-term interest-bearing investments</w:t>
            </w:r>
          </w:p>
        </w:tc>
        <w:tc>
          <w:tcPr>
            <w:tcW w:w="1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w w:val="85"/>
              </w:rPr>
              <w:t>(192,857)</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(263,191)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from sale of investment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(4,429)</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(17,618)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(30,517)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(21,408)</w:t>
            </w:r>
          </w:p>
        </w:tc>
        <w:tc>
          <w:tcPr>
            <w:tcW w:w="0" w:type="dxa"/>
            <w:vAlign w:val="bottom"/>
          </w:tcPr>
          <w:p>
            <w:pPr>
              <w:spacing w:after="0"/>
              <w:rPr>
                <w:sz w:val="1"/>
                <w:szCs w:val="1"/>
                <w:color w:val="auto"/>
              </w:rPr>
            </w:pPr>
          </w:p>
        </w:tc>
      </w:tr>
      <w:tr>
        <w:trPr>
          <w:trHeight w:val="221"/>
        </w:trPr>
        <w:tc>
          <w:tcPr>
            <w:tcW w:w="9340" w:type="dxa"/>
            <w:vAlign w:val="bottom"/>
            <w:gridSpan w:val="2"/>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financing arrangements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5"/>
              </w:rPr>
              <w:t>(250,000)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Repurchase of shares</w:t>
            </w:r>
          </w:p>
        </w:tc>
        <w:tc>
          <w:tcPr>
            <w:tcW w:w="1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w w:val="85"/>
              </w:rPr>
              <w:t>(256,545)</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(274,674)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options exercised</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53,715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Payments under capital lease, short-term financing arrangements and other</w:t>
            </w:r>
          </w:p>
        </w:tc>
        <w:tc>
          <w:tcPr>
            <w:tcW w:w="1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(248)</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5"/>
              </w:rPr>
              <w:t>(453,078)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(440,021)</w:t>
            </w: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3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w w:val="85"/>
              </w:rPr>
              <w:t>(259,113)</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(223,583)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831,371</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1,036,195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572,258</w:t>
            </w:r>
          </w:p>
        </w:tc>
        <w:tc>
          <w:tcPr>
            <w:tcW w:w="4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812,612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Cash paid for:</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net of refunds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Interest</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243</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AMDOCS LIMITED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Entity and Basis of Presentation</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Amdocs Limited (the “Company”) is a leading provider of software and services for communications, media and entertainment industry service providers. The Company and its subsidiaries operate in one segment, providing integrated products and services. The Company designs, develops, markets, supports, implements and operates customer experience systems primarily for leading wireless, wireline, cable and satellite service providers throughout the world. Amdocs also offers a full range of advertising and media solutions for local marketing service providers and search and directory publishers.</w:t>
      </w:r>
    </w:p>
    <w:p>
      <w:pPr>
        <w:spacing w:after="0" w:line="113"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Company is a Guernsey corporation, which directly or indirectly holds numerous wholly-owned subsidiaries around the world. The majority of the Company’s customers are in North America, Europe, Latin America and the Asia-Pacific region. The Company’s main production and operating facilities are located in Brazil, Canada, Cyprus, India, Ireland, Israel and the United States.</w:t>
      </w:r>
    </w:p>
    <w:p>
      <w:pPr>
        <w:spacing w:after="0" w:line="14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unaudited consolidated financial statements of the Company have been prepared in accordance with U.S. generally accepted accounting principles, or GAAP. In the opinion of the Company’s management, all adjustments considered necessary for a fair presentation of the unaudited interim consolidated financial statements have been included herein and are of a normal recurring nature.</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of the interim periods in which changes are determined to be necessary.</w:t>
      </w:r>
    </w:p>
    <w:p>
      <w:pPr>
        <w:spacing w:after="0" w:line="14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2011, set forth in the Company’s Annual Report on Form 20-F filed on December 8, 2011 with the U.S. Securities and Exchange Commission, or the SEC.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immaterial amounts in prior year financial statements have been reclassified to conform to the current year presentation.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September 2011, the Financial Accounting Standards Board, or FASB, issued a revised accounting standard update intended to simplify how an entity tests goodwill for impairment. The amendment will allow an entity to first assess qualitative factors to determine whether it is necessary to perform the two-step quantitative goodwill impairment test. An entity no longer will be required to calculate the fair value of a reporting unit unless the entity determines, based on a qualitative assessment, that it is more likely than not that its fair value is less than its carrying amount. This accounting standard update will be effective for the Company beginning October 1, 2012 and early adoption is permitted. The Company does not expect the adoption of this new guidance will have a material impact on its financial statements.</w:t>
      </w:r>
    </w:p>
    <w:p>
      <w:pPr>
        <w:spacing w:after="0" w:line="12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June 2011, the FASB issued guidance to require an entity to present the total of comprehensive income, the components of net income, and the components of other comprehensive income either in a single continuous statement of comprehensive income or in two separate but consecutive statements. The guidance eliminates the option to present the components of other comprehensive income as part of the statement of equity, and will become effective for the Company beginning October 1, 2012. In December 2011, the FASB issued guidance that indefinitely defers the guidance related to the presentation of reclassification adjustments. The guidance will only result in changes in the Company’s financial statements presentation.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Adoption of New Accounting Standards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May 2011, the FASB issued guidance to provide a consistent definition of fair value and ensure that the fair value measurement and disclosure requirements under U.S. GAAP and International Financial Reporting Standards are similar. This guidance was effective for the Company beginning January 1, 2012. The guidance changes certain fair value measurement principles and enhances the disclosure requirements particularly for Level 3 fair value measurements. The adoption of this new guidance did not have a material impact on the Company’s financial statements.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w:t>
      </w:r>
    </w:p>
    <w:p>
      <w:pPr>
        <w:spacing w:after="0" w:line="9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13"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140" w:lineRule="exact"/>
        <w:rPr>
          <w:sz w:val="20"/>
          <w:szCs w:val="20"/>
          <w:color w:val="auto"/>
        </w:rPr>
      </w:pPr>
    </w:p>
    <w:p>
      <w:pPr>
        <w:jc w:val="right"/>
        <w:ind w:right="5320"/>
        <w:spacing w:after="0"/>
        <w:rPr>
          <w:sz w:val="20"/>
          <w:szCs w:val="20"/>
          <w:color w:val="auto"/>
        </w:rPr>
      </w:pPr>
      <w:r>
        <w:rPr>
          <w:rFonts w:ascii="Arial" w:cs="Arial" w:eastAsia="Arial" w:hAnsi="Arial"/>
          <w:sz w:val="16"/>
          <w:szCs w:val="16"/>
          <w:color w:val="auto"/>
        </w:rPr>
        <w:t>The three levels of inputs that may be used to measure fair value are as follows:</w:t>
      </w:r>
    </w:p>
    <w:p>
      <w:pPr>
        <w:spacing w:after="0" w:line="113" w:lineRule="exact"/>
        <w:rPr>
          <w:sz w:val="20"/>
          <w:szCs w:val="20"/>
          <w:color w:val="auto"/>
        </w:rPr>
      </w:pPr>
    </w:p>
    <w:p>
      <w:pPr>
        <w:jc w:val="right"/>
        <w:ind w:right="532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90" w:lineRule="exact"/>
        <w:rPr>
          <w:sz w:val="20"/>
          <w:szCs w:val="20"/>
          <w:color w:val="auto"/>
        </w:rPr>
      </w:pPr>
    </w:p>
    <w:p>
      <w:pPr>
        <w:ind w:left="920" w:right="40"/>
        <w:spacing w:after="0" w:line="256" w:lineRule="auto"/>
        <w:rPr>
          <w:sz w:val="20"/>
          <w:szCs w:val="20"/>
          <w:color w:val="auto"/>
        </w:rPr>
      </w:pPr>
      <w:r>
        <w:rPr>
          <w:rFonts w:ascii="Arial" w:cs="Arial" w:eastAsia="Arial" w:hAnsi="Arial"/>
          <w:sz w:val="18"/>
          <w:szCs w:val="18"/>
          <w:color w:val="auto"/>
        </w:rPr>
        <w:t>Level 2: Observable inputs other than quoted prices included in Level 1, such as quoted prices for similar assets or liabilities in active markets, 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Level 3: Unobservable inputs that are supported by little or no market activity and that are significant to the fair value of the assets or liabilities.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tables present the Company’s assets and liabilities measured at fair value on a recurring basis as of March 31, 2012 and September 30, 2011:</w:t>
      </w:r>
    </w:p>
    <w:p>
      <w:pPr>
        <w:spacing w:after="0" w:line="24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8"/>
              </w:rPr>
              <w:t>As of March 31, 2012</w:t>
            </w: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2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Level 1</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520"/>
              <w:spacing w:after="0" w:line="142" w:lineRule="exact"/>
              <w:rPr>
                <w:sz w:val="20"/>
                <w:szCs w:val="20"/>
                <w:color w:val="auto"/>
              </w:rPr>
            </w:pPr>
            <w:r>
              <w:rPr>
                <w:rFonts w:ascii="Arial" w:cs="Arial" w:eastAsia="Arial" w:hAnsi="Arial"/>
                <w:sz w:val="14"/>
                <w:szCs w:val="14"/>
                <w:b w:val="1"/>
                <w:bCs w:val="1"/>
                <w:color w:val="auto"/>
                <w:w w:val="84"/>
              </w:rPr>
              <w:t>Level 2</w:t>
            </w:r>
          </w:p>
        </w:tc>
        <w:tc>
          <w:tcPr>
            <w:tcW w:w="40" w:type="dxa"/>
            <w:vAlign w:val="bottom"/>
          </w:tcPr>
          <w:p>
            <w:pPr>
              <w:spacing w:after="0"/>
              <w:rPr>
                <w:sz w:val="12"/>
                <w:szCs w:val="12"/>
                <w:color w:val="auto"/>
              </w:rPr>
            </w:pPr>
          </w:p>
        </w:tc>
        <w:tc>
          <w:tcPr>
            <w:tcW w:w="68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23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Money market funds</w:t>
            </w:r>
          </w:p>
        </w:tc>
        <w:tc>
          <w:tcPr>
            <w:tcW w:w="3060" w:type="dxa"/>
            <w:vAlign w:val="bottom"/>
            <w:gridSpan w:val="3"/>
          </w:tcPr>
          <w:p>
            <w:pPr>
              <w:jc w:val="right"/>
              <w:ind w:right="40"/>
              <w:spacing w:after="0"/>
              <w:rPr>
                <w:sz w:val="20"/>
                <w:szCs w:val="20"/>
                <w:color w:val="auto"/>
              </w:rPr>
            </w:pPr>
            <w:r>
              <w:rPr>
                <w:rFonts w:ascii="Arial" w:cs="Arial" w:eastAsia="Arial" w:hAnsi="Arial"/>
                <w:sz w:val="18"/>
                <w:szCs w:val="18"/>
                <w:color w:val="auto"/>
              </w:rPr>
              <w:t>$279,069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$279,069</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government treasuries</w:t>
            </w:r>
          </w:p>
        </w:tc>
        <w:tc>
          <w:tcPr>
            <w:tcW w:w="3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131,912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131,912</w:t>
            </w:r>
          </w:p>
        </w:tc>
        <w:tc>
          <w:tcPr>
            <w:tcW w:w="0" w:type="dxa"/>
            <w:vAlign w:val="bottom"/>
          </w:tcPr>
          <w:p>
            <w:pPr>
              <w:spacing w:after="0"/>
              <w:rPr>
                <w:sz w:val="1"/>
                <w:szCs w:val="1"/>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Corporate bonds</w:t>
            </w:r>
          </w:p>
        </w:tc>
        <w:tc>
          <w:tcPr>
            <w:tcW w:w="234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73,023</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73,023</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Government guaranteed debt</w:t>
            </w:r>
          </w:p>
        </w:tc>
        <w:tc>
          <w:tcPr>
            <w:tcW w:w="2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58,690</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58,690</w:t>
            </w:r>
          </w:p>
        </w:tc>
        <w:tc>
          <w:tcPr>
            <w:tcW w:w="0" w:type="dxa"/>
            <w:vAlign w:val="bottom"/>
          </w:tcPr>
          <w:p>
            <w:pPr>
              <w:spacing w:after="0"/>
              <w:rPr>
                <w:sz w:val="1"/>
                <w:szCs w:val="1"/>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U.S. agency securities</w:t>
            </w:r>
          </w:p>
        </w:tc>
        <w:tc>
          <w:tcPr>
            <w:tcW w:w="234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34,942</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34,942</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Supranational and sovereign debt</w:t>
            </w:r>
          </w:p>
        </w:tc>
        <w:tc>
          <w:tcPr>
            <w:tcW w:w="2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6,534</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6,534</w:t>
            </w:r>
          </w:p>
        </w:tc>
        <w:tc>
          <w:tcPr>
            <w:tcW w:w="0" w:type="dxa"/>
            <w:vAlign w:val="bottom"/>
          </w:tcPr>
          <w:p>
            <w:pPr>
              <w:spacing w:after="0"/>
              <w:rPr>
                <w:sz w:val="1"/>
                <w:szCs w:val="1"/>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Mortgages (including agencies and corporate)</w:t>
            </w:r>
          </w:p>
        </w:tc>
        <w:tc>
          <w:tcPr>
            <w:tcW w:w="234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5,770</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5,770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Asset backed obligations</w:t>
            </w:r>
          </w:p>
        </w:tc>
        <w:tc>
          <w:tcPr>
            <w:tcW w:w="2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4,095</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4,095</w:t>
            </w:r>
          </w:p>
        </w:tc>
        <w:tc>
          <w:tcPr>
            <w:tcW w:w="0" w:type="dxa"/>
            <w:vAlign w:val="bottom"/>
          </w:tcPr>
          <w:p>
            <w:pPr>
              <w:spacing w:after="0"/>
              <w:rPr>
                <w:sz w:val="1"/>
                <w:szCs w:val="1"/>
                <w:color w:val="auto"/>
              </w:rPr>
            </w:pPr>
          </w:p>
        </w:tc>
      </w:tr>
      <w:tr>
        <w:trPr>
          <w:trHeight w:val="223"/>
        </w:trPr>
        <w:tc>
          <w:tcPr>
            <w:tcW w:w="4200" w:type="dxa"/>
            <w:vAlign w:val="bottom"/>
          </w:tcPr>
          <w:p>
            <w:pPr>
              <w:ind w:left="440"/>
              <w:spacing w:after="0"/>
              <w:rPr>
                <w:sz w:val="20"/>
                <w:szCs w:val="20"/>
                <w:color w:val="auto"/>
              </w:rPr>
            </w:pPr>
            <w:r>
              <w:rPr>
                <w:rFonts w:ascii="Arial" w:cs="Arial" w:eastAsia="Arial" w:hAnsi="Arial"/>
                <w:sz w:val="18"/>
                <w:szCs w:val="18"/>
                <w:color w:val="auto"/>
              </w:rPr>
              <w:t>Commercial paper and certificates of deposit</w:t>
            </w:r>
          </w:p>
        </w:tc>
        <w:tc>
          <w:tcPr>
            <w:tcW w:w="23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6,131</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4,081</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23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417,112</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187,135</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0" w:type="dxa"/>
            <w:vAlign w:val="bottom"/>
          </w:tcPr>
          <w:p>
            <w:pPr>
              <w:spacing w:after="0"/>
              <w:rPr>
                <w:sz w:val="20"/>
                <w:szCs w:val="20"/>
                <w:color w:val="auto"/>
              </w:rPr>
            </w:pPr>
            <w:r>
              <w:rPr>
                <w:rFonts w:ascii="Arial" w:cs="Arial" w:eastAsia="Arial" w:hAnsi="Arial"/>
                <w:sz w:val="18"/>
                <w:szCs w:val="18"/>
                <w:color w:val="auto"/>
              </w:rPr>
              <w:t>Derivative financial instruments, net</w:t>
            </w:r>
          </w:p>
        </w:tc>
        <w:tc>
          <w:tcPr>
            <w:tcW w:w="2340" w:type="dxa"/>
            <w:vAlign w:val="bottom"/>
          </w:tcPr>
          <w:p>
            <w:pPr>
              <w:spacing w:after="0"/>
              <w:rPr>
                <w:sz w:val="19"/>
                <w:szCs w:val="19"/>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(13,626)</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(13,626)</w:t>
            </w:r>
          </w:p>
        </w:tc>
        <w:tc>
          <w:tcPr>
            <w:tcW w:w="0" w:type="dxa"/>
            <w:vAlign w:val="bottom"/>
          </w:tcPr>
          <w:p>
            <w:pPr>
              <w:spacing w:after="0"/>
              <w:rPr>
                <w:sz w:val="1"/>
                <w:szCs w:val="1"/>
                <w:color w:val="auto"/>
              </w:rPr>
            </w:pPr>
          </w:p>
        </w:tc>
      </w:tr>
      <w:tr>
        <w:trPr>
          <w:trHeight w:val="28"/>
        </w:trPr>
        <w:tc>
          <w:tcPr>
            <w:tcW w:w="42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$ 417,112</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173,509</w:t>
            </w:r>
          </w:p>
        </w:tc>
        <w:tc>
          <w:tcPr>
            <w:tcW w:w="4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590,621</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As of September 30, 2011</w:t>
            </w: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2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Level 1</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520"/>
              <w:spacing w:after="0" w:line="142" w:lineRule="exact"/>
              <w:rPr>
                <w:sz w:val="20"/>
                <w:szCs w:val="20"/>
                <w:color w:val="auto"/>
              </w:rPr>
            </w:pPr>
            <w:r>
              <w:rPr>
                <w:rFonts w:ascii="Arial" w:cs="Arial" w:eastAsia="Arial" w:hAnsi="Arial"/>
                <w:sz w:val="14"/>
                <w:szCs w:val="14"/>
                <w:b w:val="1"/>
                <w:bCs w:val="1"/>
                <w:color w:val="auto"/>
                <w:w w:val="84"/>
              </w:rPr>
              <w:t>Level 2</w:t>
            </w:r>
          </w:p>
        </w:tc>
        <w:tc>
          <w:tcPr>
            <w:tcW w:w="40" w:type="dxa"/>
            <w:vAlign w:val="bottom"/>
          </w:tcPr>
          <w:p>
            <w:pPr>
              <w:spacing w:after="0"/>
              <w:rPr>
                <w:sz w:val="12"/>
                <w:szCs w:val="12"/>
                <w:color w:val="auto"/>
              </w:rPr>
            </w:pPr>
          </w:p>
        </w:tc>
        <w:tc>
          <w:tcPr>
            <w:tcW w:w="68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23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Money market funds</w:t>
            </w:r>
          </w:p>
        </w:tc>
        <w:tc>
          <w:tcPr>
            <w:tcW w:w="3060" w:type="dxa"/>
            <w:vAlign w:val="bottom"/>
            <w:gridSpan w:val="3"/>
          </w:tcPr>
          <w:p>
            <w:pPr>
              <w:jc w:val="right"/>
              <w:ind w:right="40"/>
              <w:spacing w:after="0"/>
              <w:rPr>
                <w:sz w:val="20"/>
                <w:szCs w:val="20"/>
                <w:color w:val="auto"/>
              </w:rPr>
            </w:pPr>
            <w:r>
              <w:rPr>
                <w:rFonts w:ascii="Arial" w:cs="Arial" w:eastAsia="Arial" w:hAnsi="Arial"/>
                <w:sz w:val="18"/>
                <w:szCs w:val="18"/>
                <w:color w:val="auto"/>
              </w:rPr>
              <w:t>$ 510,711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w w:val="87"/>
              </w:rPr>
              <w:t>$ 510,711</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government treasuries</w:t>
            </w:r>
          </w:p>
        </w:tc>
        <w:tc>
          <w:tcPr>
            <w:tcW w:w="3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110,339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110,339</w:t>
            </w:r>
          </w:p>
        </w:tc>
        <w:tc>
          <w:tcPr>
            <w:tcW w:w="0" w:type="dxa"/>
            <w:vAlign w:val="bottom"/>
          </w:tcPr>
          <w:p>
            <w:pPr>
              <w:spacing w:after="0"/>
              <w:rPr>
                <w:sz w:val="1"/>
                <w:szCs w:val="1"/>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Corporate bonds</w:t>
            </w:r>
          </w:p>
        </w:tc>
        <w:tc>
          <w:tcPr>
            <w:tcW w:w="234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80,355</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80,355</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Government guaranteed debt</w:t>
            </w:r>
          </w:p>
        </w:tc>
        <w:tc>
          <w:tcPr>
            <w:tcW w:w="2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71,160</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71,160</w:t>
            </w:r>
          </w:p>
        </w:tc>
        <w:tc>
          <w:tcPr>
            <w:tcW w:w="0" w:type="dxa"/>
            <w:vAlign w:val="bottom"/>
          </w:tcPr>
          <w:p>
            <w:pPr>
              <w:spacing w:after="0"/>
              <w:rPr>
                <w:sz w:val="1"/>
                <w:szCs w:val="1"/>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U.S. agency securities</w:t>
            </w:r>
          </w:p>
        </w:tc>
        <w:tc>
          <w:tcPr>
            <w:tcW w:w="234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57,540</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57,540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Supranational and sovereign debt</w:t>
            </w:r>
          </w:p>
        </w:tc>
        <w:tc>
          <w:tcPr>
            <w:tcW w:w="2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10,270</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10,270</w:t>
            </w:r>
          </w:p>
        </w:tc>
        <w:tc>
          <w:tcPr>
            <w:tcW w:w="0" w:type="dxa"/>
            <w:vAlign w:val="bottom"/>
          </w:tcPr>
          <w:p>
            <w:pPr>
              <w:spacing w:after="0"/>
              <w:rPr>
                <w:sz w:val="1"/>
                <w:szCs w:val="1"/>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Mortgages (including agencies and corporate)</w:t>
            </w:r>
          </w:p>
        </w:tc>
        <w:tc>
          <w:tcPr>
            <w:tcW w:w="234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6,395</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6,395</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Asset backed obligations</w:t>
            </w:r>
          </w:p>
        </w:tc>
        <w:tc>
          <w:tcPr>
            <w:tcW w:w="2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4,509</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4,509</w:t>
            </w:r>
          </w:p>
        </w:tc>
        <w:tc>
          <w:tcPr>
            <w:tcW w:w="0" w:type="dxa"/>
            <w:vAlign w:val="bottom"/>
          </w:tcPr>
          <w:p>
            <w:pPr>
              <w:spacing w:after="0"/>
              <w:rPr>
                <w:sz w:val="1"/>
                <w:szCs w:val="1"/>
                <w:color w:val="auto"/>
              </w:rPr>
            </w:pPr>
          </w:p>
        </w:tc>
      </w:tr>
      <w:tr>
        <w:trPr>
          <w:trHeight w:val="223"/>
        </w:trPr>
        <w:tc>
          <w:tcPr>
            <w:tcW w:w="4200" w:type="dxa"/>
            <w:vAlign w:val="bottom"/>
          </w:tcPr>
          <w:p>
            <w:pPr>
              <w:ind w:left="440"/>
              <w:spacing w:after="0"/>
              <w:rPr>
                <w:sz w:val="20"/>
                <w:szCs w:val="20"/>
                <w:color w:val="auto"/>
              </w:rPr>
            </w:pPr>
            <w:r>
              <w:rPr>
                <w:rFonts w:ascii="Arial" w:cs="Arial" w:eastAsia="Arial" w:hAnsi="Arial"/>
                <w:sz w:val="18"/>
                <w:szCs w:val="18"/>
                <w:color w:val="auto"/>
              </w:rPr>
              <w:t>Commercial paper and certificates of deposit</w:t>
            </w:r>
          </w:p>
        </w:tc>
        <w:tc>
          <w:tcPr>
            <w:tcW w:w="23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10,105</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6,105</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23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631,155</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236,334</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867,489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0" w:type="dxa"/>
            <w:vAlign w:val="bottom"/>
          </w:tcPr>
          <w:p>
            <w:pPr>
              <w:spacing w:after="0"/>
              <w:rPr>
                <w:sz w:val="20"/>
                <w:szCs w:val="20"/>
                <w:color w:val="auto"/>
              </w:rPr>
            </w:pPr>
            <w:r>
              <w:rPr>
                <w:rFonts w:ascii="Arial" w:cs="Arial" w:eastAsia="Arial" w:hAnsi="Arial"/>
                <w:sz w:val="18"/>
                <w:szCs w:val="18"/>
                <w:color w:val="auto"/>
              </w:rPr>
              <w:t>Derivative financial instruments, net</w:t>
            </w:r>
          </w:p>
        </w:tc>
        <w:tc>
          <w:tcPr>
            <w:tcW w:w="2340" w:type="dxa"/>
            <w:vAlign w:val="bottom"/>
          </w:tcPr>
          <w:p>
            <w:pPr>
              <w:spacing w:after="0"/>
              <w:rPr>
                <w:sz w:val="19"/>
                <w:szCs w:val="19"/>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(10,270)</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(10,270)</w:t>
            </w:r>
          </w:p>
        </w:tc>
        <w:tc>
          <w:tcPr>
            <w:tcW w:w="0" w:type="dxa"/>
            <w:vAlign w:val="bottom"/>
          </w:tcPr>
          <w:p>
            <w:pPr>
              <w:spacing w:after="0"/>
              <w:rPr>
                <w:sz w:val="1"/>
                <w:szCs w:val="1"/>
                <w:color w:val="auto"/>
              </w:rPr>
            </w:pPr>
          </w:p>
        </w:tc>
      </w:tr>
      <w:tr>
        <w:trPr>
          <w:trHeight w:val="28"/>
        </w:trPr>
        <w:tc>
          <w:tcPr>
            <w:tcW w:w="42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631,155</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226,064</w:t>
            </w:r>
          </w:p>
        </w:tc>
        <w:tc>
          <w:tcPr>
            <w:tcW w:w="4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857,219</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340" w:type="dxa"/>
            <w:vAlign w:val="bottom"/>
            <w:vMerge w:val="restart"/>
          </w:tcPr>
          <w:p>
            <w:pPr>
              <w:jc w:val="right"/>
              <w:ind w:right="1612"/>
              <w:spacing w:after="0"/>
              <w:rPr>
                <w:sz w:val="20"/>
                <w:szCs w:val="20"/>
                <w:color w:val="auto"/>
              </w:rPr>
            </w:pPr>
            <w:r>
              <w:rPr>
                <w:rFonts w:ascii="Arial" w:cs="Arial" w:eastAsia="Arial" w:hAnsi="Arial"/>
                <w:sz w:val="18"/>
                <w:szCs w:val="18"/>
                <w:color w:val="auto"/>
              </w:rPr>
              <w:t>8</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20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Available for 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and discounted cash flow techniques. The Company’s 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the six months ended March 31, 2012.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carrying amounts of the Company’s cash and cash equivalents, accounts receivable, accounts payable, accrued personnel costs, short-term financing arrangements and other current liabilities approximate their fair value because of the relatively short maturity of these items.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Available-For-Sale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Available-for-sale securities consist of the following interest-bearing investments: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As of March 31, 2012</w:t>
            </w: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58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3"/>
              </w:rPr>
              <w:t>Gross</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Gross</w:t>
            </w: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5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Unrealized</w:t>
            </w:r>
          </w:p>
        </w:tc>
        <w:tc>
          <w:tcPr>
            <w:tcW w:w="32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7"/>
              </w:rPr>
              <w:t>Unrealized</w:t>
            </w: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15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5"/>
              </w:rPr>
              <w:t>Amortized Cost</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Gains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w w:val="99"/>
              </w:rPr>
              <w:t>Losses</w:t>
            </w:r>
          </w:p>
        </w:tc>
        <w:tc>
          <w:tcPr>
            <w:tcW w:w="64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56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Money market funds</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279,069</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$279,069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U.S. government treasuries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131,942</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w w:val="79"/>
              </w:rPr>
              <w:t>139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131,912</w:t>
            </w:r>
          </w:p>
        </w:tc>
        <w:tc>
          <w:tcPr>
            <w:tcW w:w="100" w:type="dxa"/>
            <w:vAlign w:val="bottom"/>
          </w:tcPr>
          <w:p>
            <w:pPr>
              <w:spacing w:after="0"/>
              <w:rPr>
                <w:sz w:val="18"/>
                <w:szCs w:val="18"/>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73,603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448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73,023</w:t>
            </w:r>
          </w:p>
        </w:tc>
        <w:tc>
          <w:tcPr>
            <w:tcW w:w="100" w:type="dxa"/>
            <w:vAlign w:val="bottom"/>
            <w:shd w:val="clear" w:color="auto" w:fill="CCEEFF"/>
          </w:tcPr>
          <w:p>
            <w:pPr>
              <w:spacing w:after="0"/>
              <w:rPr>
                <w:sz w:val="18"/>
                <w:szCs w:val="18"/>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Government guaranteed debt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58,425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265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58,690</w:t>
            </w:r>
          </w:p>
        </w:tc>
        <w:tc>
          <w:tcPr>
            <w:tcW w:w="100" w:type="dxa"/>
            <w:vAlign w:val="bottom"/>
          </w:tcPr>
          <w:p>
            <w:pPr>
              <w:spacing w:after="0"/>
              <w:rPr>
                <w:sz w:val="18"/>
                <w:szCs w:val="18"/>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agency securities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212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34,942</w:t>
            </w:r>
          </w:p>
        </w:tc>
        <w:tc>
          <w:tcPr>
            <w:tcW w:w="100" w:type="dxa"/>
            <w:vAlign w:val="bottom"/>
            <w:shd w:val="clear" w:color="auto" w:fill="CCEEFF"/>
          </w:tcPr>
          <w:p>
            <w:pPr>
              <w:spacing w:after="0"/>
              <w:rPr>
                <w:sz w:val="18"/>
                <w:szCs w:val="18"/>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Supranational and sovereign debt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6,534</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6,534</w:t>
            </w:r>
          </w:p>
        </w:tc>
        <w:tc>
          <w:tcPr>
            <w:tcW w:w="100" w:type="dxa"/>
            <w:vAlign w:val="bottom"/>
          </w:tcPr>
          <w:p>
            <w:pPr>
              <w:spacing w:after="0"/>
              <w:rPr>
                <w:sz w:val="18"/>
                <w:szCs w:val="18"/>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Mortgages (including agencies and corporate)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5,770</w:t>
            </w:r>
          </w:p>
        </w:tc>
        <w:tc>
          <w:tcPr>
            <w:tcW w:w="100" w:type="dxa"/>
            <w:vAlign w:val="bottom"/>
            <w:shd w:val="clear" w:color="auto" w:fill="CCEEFF"/>
          </w:tcPr>
          <w:p>
            <w:pPr>
              <w:spacing w:after="0"/>
              <w:rPr>
                <w:sz w:val="18"/>
                <w:szCs w:val="18"/>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Asset backed obligations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4,911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w w:val="79"/>
              </w:rPr>
              <w:t>816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4,095</w:t>
            </w:r>
          </w:p>
        </w:tc>
        <w:tc>
          <w:tcPr>
            <w:tcW w:w="100" w:type="dxa"/>
            <w:vAlign w:val="bottom"/>
          </w:tcPr>
          <w:p>
            <w:pPr>
              <w:spacing w:after="0"/>
              <w:rPr>
                <w:sz w:val="18"/>
                <w:szCs w:val="18"/>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paper and certificates of deposit</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10,332</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79"/>
              </w:rPr>
              <w:t>120</w:t>
            </w:r>
          </w:p>
        </w:tc>
        <w:tc>
          <w:tcPr>
            <w:tcW w:w="6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10,212</w:t>
            </w:r>
          </w:p>
        </w:tc>
        <w:tc>
          <w:tcPr>
            <w:tcW w:w="100" w:type="dxa"/>
            <w:vAlign w:val="bottom"/>
            <w:shd w:val="clear" w:color="auto" w:fill="CCEEFF"/>
          </w:tcPr>
          <w:p>
            <w:pPr>
              <w:spacing w:after="0"/>
              <w:rPr>
                <w:sz w:val="18"/>
                <w:szCs w:val="18"/>
                <w:color w:val="auto"/>
              </w:rPr>
            </w:pPr>
          </w:p>
        </w:tc>
      </w:tr>
      <w:tr>
        <w:trPr>
          <w:trHeight w:val="222"/>
        </w:trPr>
        <w:tc>
          <w:tcPr>
            <w:tcW w:w="5640" w:type="dxa"/>
            <w:vAlign w:val="bottom"/>
            <w:gridSpan w:val="2"/>
          </w:tcPr>
          <w:p>
            <w:pPr>
              <w:spacing w:after="0"/>
              <w:rPr>
                <w:sz w:val="20"/>
                <w:szCs w:val="20"/>
                <w:color w:val="auto"/>
              </w:rPr>
            </w:pPr>
            <w:r>
              <w:rPr>
                <w:rFonts w:ascii="Arial" w:cs="Arial" w:eastAsia="Arial" w:hAnsi="Arial"/>
                <w:sz w:val="18"/>
                <w:szCs w:val="18"/>
                <w:color w:val="auto"/>
              </w:rPr>
              <w:t>Total(1)</w:t>
            </w: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606,417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140"/>
              <w:spacing w:after="0"/>
              <w:rPr>
                <w:sz w:val="20"/>
                <w:szCs w:val="20"/>
                <w:color w:val="auto"/>
              </w:rPr>
            </w:pPr>
            <w:r>
              <w:rPr>
                <w:rFonts w:ascii="Arial" w:cs="Arial" w:eastAsia="Arial" w:hAnsi="Arial"/>
                <w:sz w:val="18"/>
                <w:szCs w:val="18"/>
                <w:color w:val="auto"/>
              </w:rPr>
              <w:t>1,034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3,204</w:t>
            </w:r>
          </w:p>
        </w:tc>
        <w:tc>
          <w:tcPr>
            <w:tcW w:w="1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604,247</w:t>
            </w:r>
          </w:p>
        </w:tc>
        <w:tc>
          <w:tcPr>
            <w:tcW w:w="100" w:type="dxa"/>
            <w:vAlign w:val="bottom"/>
          </w:tcPr>
          <w:p>
            <w:pPr>
              <w:spacing w:after="0"/>
              <w:rPr>
                <w:sz w:val="19"/>
                <w:szCs w:val="19"/>
                <w:color w:val="auto"/>
              </w:rPr>
            </w:pPr>
          </w:p>
        </w:tc>
      </w:tr>
      <w:tr>
        <w:trPr>
          <w:trHeight w:val="20"/>
        </w:trPr>
        <w:tc>
          <w:tcPr>
            <w:tcW w:w="15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580" w:type="dxa"/>
            <w:vAlign w:val="bottom"/>
            <w:tcBorders>
              <w:bottom w:val="single" w:sz="8" w:color="auto"/>
            </w:tcBorders>
          </w:tcPr>
          <w:p>
            <w:pPr>
              <w:spacing w:after="0"/>
              <w:rPr>
                <w:sz w:val="8"/>
                <w:szCs w:val="8"/>
                <w:color w:val="auto"/>
              </w:rPr>
            </w:pPr>
          </w:p>
        </w:tc>
        <w:tc>
          <w:tcPr>
            <w:tcW w:w="40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900" w:right="520" w:hanging="446"/>
        <w:spacing w:after="0" w:line="370" w:lineRule="auto"/>
        <w:tabs>
          <w:tab w:leader="none" w:pos="900" w:val="left"/>
        </w:tabs>
        <w:numPr>
          <w:ilvl w:val="0"/>
          <w:numId w:val="1"/>
        </w:numPr>
        <w:rPr>
          <w:rFonts w:ascii="Arial" w:cs="Arial" w:eastAsia="Arial" w:hAnsi="Arial"/>
          <w:sz w:val="15"/>
          <w:szCs w:val="15"/>
          <w:color w:val="auto"/>
        </w:rPr>
      </w:pPr>
      <w:r>
        <w:rPr>
          <w:rFonts w:ascii="Arial" w:cs="Arial" w:eastAsia="Arial" w:hAnsi="Arial"/>
          <w:sz w:val="15"/>
          <w:szCs w:val="15"/>
          <w:color w:val="auto"/>
        </w:rPr>
        <w:t>Available-for-sale securities are classified as short term interest-bearing investments on the Company’s balance sheet, except for $280,958 of securities with maturities from date of acquisition of 90 days or less which are included in cash and cash equivalents as of March 31, 2012.</w:t>
      </w:r>
    </w:p>
    <w:p>
      <w:pPr>
        <w:spacing w:after="0" w:line="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As of September 30, 2011</w:t>
            </w: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58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3"/>
              </w:rPr>
              <w:t>Gross</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Gross</w:t>
            </w: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5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Unrealized</w:t>
            </w:r>
          </w:p>
        </w:tc>
        <w:tc>
          <w:tcPr>
            <w:tcW w:w="32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Unrealized</w:t>
            </w: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15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5"/>
              </w:rPr>
              <w:t>Amortized Cost</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Gains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w w:val="99"/>
              </w:rPr>
              <w:t>Losses</w:t>
            </w:r>
          </w:p>
        </w:tc>
        <w:tc>
          <w:tcPr>
            <w:tcW w:w="64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56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Money market funds</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510,711</w:t>
            </w:r>
          </w:p>
        </w:tc>
        <w:tc>
          <w:tcPr>
            <w:tcW w:w="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$ 510,711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U.S. government treasuries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110,021</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318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110,339</w:t>
            </w:r>
          </w:p>
        </w:tc>
        <w:tc>
          <w:tcPr>
            <w:tcW w:w="100" w:type="dxa"/>
            <w:vAlign w:val="bottom"/>
          </w:tcPr>
          <w:p>
            <w:pPr>
              <w:spacing w:after="0"/>
              <w:rPr>
                <w:sz w:val="18"/>
                <w:szCs w:val="18"/>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80,517</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400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562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80,355</w:t>
            </w:r>
          </w:p>
        </w:tc>
        <w:tc>
          <w:tcPr>
            <w:tcW w:w="100" w:type="dxa"/>
            <w:vAlign w:val="bottom"/>
            <w:shd w:val="clear" w:color="auto" w:fill="CCEEFF"/>
          </w:tcPr>
          <w:p>
            <w:pPr>
              <w:spacing w:after="0"/>
              <w:rPr>
                <w:sz w:val="18"/>
                <w:szCs w:val="18"/>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Government guaranteed debt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70,725</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435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71,160</w:t>
            </w:r>
          </w:p>
        </w:tc>
        <w:tc>
          <w:tcPr>
            <w:tcW w:w="100" w:type="dxa"/>
            <w:vAlign w:val="bottom"/>
          </w:tcPr>
          <w:p>
            <w:pPr>
              <w:spacing w:after="0"/>
              <w:rPr>
                <w:sz w:val="18"/>
                <w:szCs w:val="18"/>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agency securities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57,232</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308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57,540</w:t>
            </w:r>
          </w:p>
        </w:tc>
        <w:tc>
          <w:tcPr>
            <w:tcW w:w="100" w:type="dxa"/>
            <w:vAlign w:val="bottom"/>
            <w:shd w:val="clear" w:color="auto" w:fill="CCEEFF"/>
          </w:tcPr>
          <w:p>
            <w:pPr>
              <w:spacing w:after="0"/>
              <w:rPr>
                <w:sz w:val="18"/>
                <w:szCs w:val="18"/>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Supranational and sovereign debt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10,247</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10,270</w:t>
            </w:r>
          </w:p>
        </w:tc>
        <w:tc>
          <w:tcPr>
            <w:tcW w:w="100" w:type="dxa"/>
            <w:vAlign w:val="bottom"/>
          </w:tcPr>
          <w:p>
            <w:pPr>
              <w:spacing w:after="0"/>
              <w:rPr>
                <w:sz w:val="18"/>
                <w:szCs w:val="18"/>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Mortgages (including agencies and corporate)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7,576</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1,181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6,395</w:t>
            </w:r>
          </w:p>
        </w:tc>
        <w:tc>
          <w:tcPr>
            <w:tcW w:w="100" w:type="dxa"/>
            <w:vAlign w:val="bottom"/>
            <w:shd w:val="clear" w:color="auto" w:fill="CCEEFF"/>
          </w:tcPr>
          <w:p>
            <w:pPr>
              <w:spacing w:after="0"/>
              <w:rPr>
                <w:sz w:val="18"/>
                <w:szCs w:val="18"/>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Asset backed obligations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5,469</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w w:val="79"/>
              </w:rPr>
              <w:t>960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4,509</w:t>
            </w:r>
          </w:p>
        </w:tc>
        <w:tc>
          <w:tcPr>
            <w:tcW w:w="100" w:type="dxa"/>
            <w:vAlign w:val="bottom"/>
          </w:tcPr>
          <w:p>
            <w:pPr>
              <w:spacing w:after="0"/>
              <w:rPr>
                <w:sz w:val="18"/>
                <w:szCs w:val="18"/>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paper and certificates of deposit</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17,092</w:t>
            </w:r>
          </w:p>
        </w:tc>
        <w:tc>
          <w:tcPr>
            <w:tcW w:w="6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79"/>
              </w:rPr>
              <w:t>882</w:t>
            </w:r>
          </w:p>
        </w:tc>
        <w:tc>
          <w:tcPr>
            <w:tcW w:w="6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16,210</w:t>
            </w:r>
          </w:p>
        </w:tc>
        <w:tc>
          <w:tcPr>
            <w:tcW w:w="100" w:type="dxa"/>
            <w:vAlign w:val="bottom"/>
            <w:shd w:val="clear" w:color="auto" w:fill="CCEEFF"/>
          </w:tcPr>
          <w:p>
            <w:pPr>
              <w:spacing w:after="0"/>
              <w:rPr>
                <w:sz w:val="18"/>
                <w:szCs w:val="18"/>
                <w:color w:val="auto"/>
              </w:rPr>
            </w:pPr>
          </w:p>
        </w:tc>
      </w:tr>
      <w:tr>
        <w:trPr>
          <w:trHeight w:val="222"/>
        </w:trPr>
        <w:tc>
          <w:tcPr>
            <w:tcW w:w="5640" w:type="dxa"/>
            <w:vAlign w:val="bottom"/>
            <w:gridSpan w:val="2"/>
          </w:tcPr>
          <w:p>
            <w:pPr>
              <w:spacing w:after="0"/>
              <w:rPr>
                <w:sz w:val="20"/>
                <w:szCs w:val="20"/>
                <w:color w:val="auto"/>
              </w:rPr>
            </w:pPr>
            <w:r>
              <w:rPr>
                <w:rFonts w:ascii="Arial" w:cs="Arial" w:eastAsia="Arial" w:hAnsi="Arial"/>
                <w:sz w:val="18"/>
                <w:szCs w:val="18"/>
                <w:color w:val="auto"/>
              </w:rPr>
              <w:t>Total(2)</w:t>
            </w: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869,590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1,484</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520" w:type="dxa"/>
            <w:vAlign w:val="bottom"/>
          </w:tcPr>
          <w:p>
            <w:pPr>
              <w:ind w:left="120"/>
              <w:spacing w:after="0"/>
              <w:rPr>
                <w:sz w:val="20"/>
                <w:szCs w:val="20"/>
                <w:color w:val="auto"/>
              </w:rPr>
            </w:pPr>
            <w:r>
              <w:rPr>
                <w:rFonts w:ascii="Arial" w:cs="Arial" w:eastAsia="Arial" w:hAnsi="Arial"/>
                <w:sz w:val="18"/>
                <w:szCs w:val="18"/>
                <w:color w:val="auto"/>
                <w:w w:val="84"/>
              </w:rPr>
              <w:t>3,585</w:t>
            </w:r>
          </w:p>
        </w:tc>
        <w:tc>
          <w:tcPr>
            <w:tcW w:w="1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867,489</w:t>
            </w:r>
          </w:p>
        </w:tc>
        <w:tc>
          <w:tcPr>
            <w:tcW w:w="100" w:type="dxa"/>
            <w:vAlign w:val="bottom"/>
          </w:tcPr>
          <w:p>
            <w:pPr>
              <w:spacing w:after="0"/>
              <w:rPr>
                <w:sz w:val="19"/>
                <w:szCs w:val="19"/>
                <w:color w:val="auto"/>
              </w:rPr>
            </w:pPr>
          </w:p>
        </w:tc>
      </w:tr>
      <w:tr>
        <w:trPr>
          <w:trHeight w:val="20"/>
        </w:trPr>
        <w:tc>
          <w:tcPr>
            <w:tcW w:w="15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580" w:type="dxa"/>
            <w:vAlign w:val="bottom"/>
            <w:tcBorders>
              <w:bottom w:val="single" w:sz="8" w:color="auto"/>
            </w:tcBorders>
          </w:tcPr>
          <w:p>
            <w:pPr>
              <w:spacing w:after="0"/>
              <w:rPr>
                <w:sz w:val="8"/>
                <w:szCs w:val="8"/>
                <w:color w:val="auto"/>
              </w:rPr>
            </w:pPr>
          </w:p>
        </w:tc>
        <w:tc>
          <w:tcPr>
            <w:tcW w:w="40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900" w:right="380" w:hanging="446"/>
        <w:spacing w:after="0" w:line="370" w:lineRule="auto"/>
        <w:tabs>
          <w:tab w:leader="none" w:pos="900" w:val="left"/>
        </w:tabs>
        <w:numPr>
          <w:ilvl w:val="0"/>
          <w:numId w:val="2"/>
        </w:numPr>
        <w:rPr>
          <w:rFonts w:ascii="Arial" w:cs="Arial" w:eastAsia="Arial" w:hAnsi="Arial"/>
          <w:sz w:val="15"/>
          <w:szCs w:val="15"/>
          <w:color w:val="auto"/>
        </w:rPr>
      </w:pPr>
      <w:r>
        <w:rPr>
          <w:rFonts w:ascii="Arial" w:cs="Arial" w:eastAsia="Arial" w:hAnsi="Arial"/>
          <w:sz w:val="15"/>
          <w:szCs w:val="15"/>
          <w:color w:val="auto"/>
        </w:rPr>
        <w:t>Available-for-sale securities are classified as short term interest-bearing investments on the Company’s balance sheet, except for $525,390 of securities with maturities from date of acquisition of 90 days or less which are included in cash and cash equivalents as of September 30, 2011.</w:t>
      </w:r>
    </w:p>
    <w:p>
      <w:pPr>
        <w:spacing w:after="0" w:line="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4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of March 31, 2012, the unrealized losses were primarily due to credit market conditions and interest rate movements. A significant portion of the unrealized losses has been in a continuous loss position for 12 months or greater. The Company assessed whether such unrealized losses for the investments in its portfolio were other-than-temporary. Based on this assessment, an immaterial credit loss was recognized in the three and six months ended March 31, 2012 and 2011. As of March 31, 2012, unrealized losses of $821, related to securities for which credit losses were recognized and that are considered other-than-temporarily impaired securities, are included in accumulated other comprehensive loss.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cumulative roll forward of credit losses recognized in earnings as of March 31, 2012:</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October 1, 2011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38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w w:val="90"/>
              </w:rPr>
              <w:t>Credit loss on debt securities for which an other-than-temporary impairment was not previously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6860" w:type="dxa"/>
            <w:vAlign w:val="bottom"/>
          </w:tcPr>
          <w:p>
            <w:pPr>
              <w:ind w:left="220"/>
              <w:spacing w:after="0"/>
              <w:rPr>
                <w:sz w:val="20"/>
                <w:szCs w:val="20"/>
                <w:color w:val="auto"/>
              </w:rPr>
            </w:pPr>
            <w:r>
              <w:rPr>
                <w:rFonts w:ascii="Arial" w:cs="Arial" w:eastAsia="Arial" w:hAnsi="Arial"/>
                <w:sz w:val="18"/>
                <w:szCs w:val="18"/>
                <w:color w:val="auto"/>
              </w:rPr>
              <w:t>recognized</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w w:val="95"/>
              </w:rPr>
              <w:t>Additional credit loss on debt securities for which an other-than-temporary impairment was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380" w:type="dxa"/>
            <w:vAlign w:val="bottom"/>
          </w:tcPr>
          <w:p>
            <w:pPr>
              <w:spacing w:after="0"/>
              <w:rPr>
                <w:sz w:val="19"/>
                <w:szCs w:val="19"/>
                <w:color w:val="auto"/>
              </w:rPr>
            </w:pPr>
          </w:p>
        </w:tc>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previously recognized</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Reductions for securities realized during the period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1380" w:type="dxa"/>
            <w:vAlign w:val="bottom"/>
            <w:vMerge w:val="restart"/>
          </w:tcPr>
          <w:p>
            <w:pPr>
              <w:spacing w:after="0"/>
              <w:rPr>
                <w:sz w:val="2"/>
                <w:szCs w:val="2"/>
                <w:color w:val="auto"/>
              </w:rPr>
            </w:pPr>
          </w:p>
        </w:tc>
        <w:tc>
          <w:tcPr>
            <w:tcW w:w="6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March 31, 2012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8"/>
                <w:szCs w:val="18"/>
                <w:color w:val="auto"/>
              </w:rPr>
              <w:t>As of March 31, 2012, the Company’s available-for-sale securities had the following maturity dates:</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2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38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900" w:type="dxa"/>
            <w:vAlign w:val="bottom"/>
            <w:gridSpan w:val="6"/>
          </w:tcPr>
          <w:p>
            <w:pPr>
              <w:spacing w:after="0"/>
              <w:rPr>
                <w:sz w:val="20"/>
                <w:szCs w:val="20"/>
                <w:color w:val="auto"/>
              </w:rPr>
            </w:pPr>
            <w:r>
              <w:rPr>
                <w:rFonts w:ascii="Arial" w:cs="Arial" w:eastAsia="Arial" w:hAnsi="Arial"/>
                <w:sz w:val="14"/>
                <w:szCs w:val="14"/>
                <w:b w:val="1"/>
                <w:bCs w:val="1"/>
                <w:color w:val="auto"/>
              </w:rPr>
              <w:t>Market Value</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Due within one year</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423,189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1 to 2 years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108,598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2 to 3 years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55,052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3 to 4 years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3,317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14,091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604,247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Financial Instruments</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a counterparty with amounts due to the Company from the same counterparty. The Company has elected to present the related assets and liabilities on a gross basis. The maximum amount of loss due to credit risk that the Company would incur if counterparties to the derivative financial instruments failed completely to perform, according to the terms of the contracts, based on the gross fair value of the Company’s derivative contracts that are favorable to the Company, was approximately $1,600 as of March 31, 2012. The Company has limited its credit risk by entering into derivative transactions exclusively with investment-grade rated financial institutions and monitors the creditworthiness of these financial institutions on an ongoing basis.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classifies cash flows from its derivative transactions as cash flows from operating activities in the consolidated statements of cash flow.</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presents the total volume or notional amounts of the Company’s derivative instruments as of March 31, 2012. Notional values are U.S.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dollar translated and calculated based on forward rates as of March 31, 2012 for forward contracts, and based on spot rates as of March 31, 2012 for options.</w:t>
      </w:r>
    </w:p>
    <w:p>
      <w:pPr>
        <w:spacing w:after="0" w:line="22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34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Notional Value*</w:t>
            </w:r>
          </w:p>
        </w:tc>
      </w:tr>
      <w:tr>
        <w:trPr>
          <w:trHeight w:val="210"/>
        </w:trPr>
        <w:tc>
          <w:tcPr>
            <w:tcW w:w="4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Foreign exchange contracts</w:t>
            </w:r>
          </w:p>
        </w:tc>
        <w:tc>
          <w:tcPr>
            <w:tcW w:w="24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1,159,545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5"/>
          <w:szCs w:val="15"/>
          <w:color w:val="auto"/>
        </w:rPr>
      </w:pPr>
      <w:r>
        <w:rPr>
          <w:rFonts w:ascii="Arial" w:cs="Arial" w:eastAsia="Arial" w:hAnsi="Arial"/>
          <w:sz w:val="15"/>
          <w:szCs w:val="15"/>
          <w:color w:val="auto"/>
        </w:rPr>
        <w:t>Gross notional amounts do not quantify risk or represent assets or liabilities of the Company, but are used in the calculation of settlements under the contracts.</w:t>
      </w:r>
    </w:p>
    <w:p>
      <w:pPr>
        <w:spacing w:after="0" w:line="192" w:lineRule="exact"/>
        <w:rPr>
          <w:rFonts w:ascii="Arial" w:cs="Arial" w:eastAsia="Arial" w:hAnsi="Arial"/>
          <w:sz w:val="15"/>
          <w:szCs w:val="15"/>
          <w:color w:val="auto"/>
        </w:rPr>
      </w:pPr>
    </w:p>
    <w:p>
      <w:pPr>
        <w:ind w:left="5620"/>
        <w:spacing w:after="0"/>
        <w:rPr>
          <w:rFonts w:ascii="Arial" w:cs="Arial" w:eastAsia="Arial" w:hAnsi="Arial"/>
          <w:sz w:val="15"/>
          <w:szCs w:val="15"/>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Company records all derivative instruments on the balance sheet at fair value. Please see Note 4 to the unaudited consolidated financial statements. The fair value of the open foreign currency exchange contracts recorded by the Company on its consolidated balance sheets as of March 31, 2012 and September 30, 2011, as an asset or a liability, is as follows:</w:t>
      </w:r>
    </w:p>
    <w:p>
      <w:pPr>
        <w:spacing w:after="0" w:line="21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312"/>
              <w:spacing w:after="0"/>
              <w:rPr>
                <w:sz w:val="20"/>
                <w:szCs w:val="20"/>
                <w:color w:val="auto"/>
              </w:rPr>
            </w:pPr>
            <w:r>
              <w:rPr>
                <w:rFonts w:ascii="Arial" w:cs="Arial" w:eastAsia="Arial" w:hAnsi="Arial"/>
                <w:sz w:val="14"/>
                <w:szCs w:val="14"/>
                <w:b w:val="1"/>
                <w:bCs w:val="1"/>
                <w:color w:val="auto"/>
                <w:w w:val="91"/>
              </w:rPr>
              <w:t>As of</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95"/>
              </w:rPr>
              <w:t>March 31,</w:t>
            </w:r>
          </w:p>
        </w:tc>
        <w:tc>
          <w:tcPr>
            <w:tcW w:w="520" w:type="dxa"/>
            <w:vAlign w:val="bottom"/>
          </w:tcPr>
          <w:p>
            <w:pPr>
              <w:spacing w:after="0"/>
              <w:rPr>
                <w:sz w:val="11"/>
                <w:szCs w:val="11"/>
                <w:color w:val="auto"/>
              </w:rPr>
            </w:pPr>
          </w:p>
        </w:tc>
        <w:tc>
          <w:tcPr>
            <w:tcW w:w="9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4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Derivatives designated as hedging instruments</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2,274</w:t>
            </w:r>
          </w:p>
        </w:tc>
        <w:tc>
          <w:tcPr>
            <w:tcW w:w="100" w:type="dxa"/>
            <w:vAlign w:val="bottom"/>
          </w:tcPr>
          <w:p>
            <w:pPr>
              <w:spacing w:after="0"/>
              <w:rPr>
                <w:sz w:val="18"/>
                <w:szCs w:val="18"/>
                <w:color w:val="auto"/>
              </w:rPr>
            </w:pPr>
          </w:p>
        </w:tc>
        <w:tc>
          <w:tcPr>
            <w:tcW w:w="7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assets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(13,778)</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(14,292)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liabilities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(2,487)</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(13,149)</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(14,517)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8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1,660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(2,137)</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(477)</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fair value</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(13,626)</w:t>
            </w:r>
          </w:p>
        </w:tc>
        <w:tc>
          <w:tcPr>
            <w:tcW w:w="7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two years (a significant portion of the forward and option contracts outstanding as of March 31, 2012, are expected to mature within the next 12 months).</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effective portion of the gain or loss on the derivative instruments is initially recorded as a component of other comprehensive loss, a separate component of shareholders’ equity, and subsequently reclassified into earnings to the same line item as the related forecasted transaction and in the same period or periods during which the hedged exposure affects earnings. The cash flow hedges are evaluated for effectiveness at least quarterly. As the critical terms of the forward contract or options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and hedge components, such as time value, excluded from assessment of effectiveness testing for hedges of estimated revenue from customers, are recognized immediately in interest and other income (expense), net.</w:t>
      </w:r>
    </w:p>
    <w:p>
      <w:pPr>
        <w:spacing w:after="0" w:line="118"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effect of the Company’s cash flow hedging instruments in the consolidated statement of income for the three and six months ended March 31, 2012 and 2011, respectively, which partially offsets the foreign currency impact from the underlying exposures, is summarized as follows:</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87"/>
              </w:rPr>
              <w:t>Gains (Losses) Reclassified from Other</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gridSpan w:val="7"/>
          </w:tcPr>
          <w:p>
            <w:pPr>
              <w:jc w:val="right"/>
              <w:ind w:right="140"/>
              <w:spacing w:after="0" w:line="149" w:lineRule="exact"/>
              <w:rPr>
                <w:sz w:val="20"/>
                <w:szCs w:val="20"/>
                <w:color w:val="auto"/>
              </w:rPr>
            </w:pPr>
            <w:r>
              <w:rPr>
                <w:rFonts w:ascii="Arial" w:cs="Arial" w:eastAsia="Arial" w:hAnsi="Arial"/>
                <w:sz w:val="14"/>
                <w:szCs w:val="14"/>
                <w:b w:val="1"/>
                <w:bCs w:val="1"/>
                <w:color w:val="auto"/>
                <w:w w:val="87"/>
              </w:rPr>
              <w:t>Comprehensive Loss (Effective Portion)</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87"/>
              </w:rPr>
              <w:t>Three months ended March 31,</w:t>
            </w:r>
          </w:p>
        </w:tc>
        <w:tc>
          <w:tcPr>
            <w:tcW w:w="100" w:type="dxa"/>
            <w:vAlign w:val="bottom"/>
          </w:tcPr>
          <w:p>
            <w:pPr>
              <w:spacing w:after="0"/>
              <w:rPr>
                <w:sz w:val="14"/>
                <w:szCs w:val="14"/>
                <w:color w:val="auto"/>
              </w:rPr>
            </w:pPr>
          </w:p>
        </w:tc>
        <w:tc>
          <w:tcPr>
            <w:tcW w:w="186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85"/>
              </w:rPr>
              <w:t>Six months ended March 31,</w:t>
            </w:r>
          </w:p>
        </w:tc>
        <w:tc>
          <w:tcPr>
            <w:tcW w:w="0" w:type="dxa"/>
            <w:vAlign w:val="bottom"/>
          </w:tcPr>
          <w:p>
            <w:pPr>
              <w:spacing w:after="0"/>
              <w:rPr>
                <w:sz w:val="1"/>
                <w:szCs w:val="1"/>
                <w:color w:val="auto"/>
              </w:rPr>
            </w:pPr>
          </w:p>
        </w:tc>
      </w:tr>
      <w:tr>
        <w:trPr>
          <w:trHeight w:val="142"/>
        </w:trPr>
        <w:tc>
          <w:tcPr>
            <w:tcW w:w="6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Line item in statement of income:</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440"/>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(297)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1,989</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(3,162)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4,535</w:t>
            </w:r>
          </w:p>
        </w:tc>
        <w:tc>
          <w:tcPr>
            <w:tcW w:w="0" w:type="dxa"/>
            <w:vAlign w:val="bottom"/>
          </w:tcPr>
          <w:p>
            <w:pPr>
              <w:spacing w:after="0"/>
              <w:rPr>
                <w:sz w:val="1"/>
                <w:szCs w:val="1"/>
                <w:color w:val="auto"/>
              </w:rPr>
            </w:pPr>
          </w:p>
        </w:tc>
      </w:tr>
      <w:tr>
        <w:trPr>
          <w:trHeight w:val="216"/>
        </w:trPr>
        <w:tc>
          <w:tcPr>
            <w:tcW w:w="6160" w:type="dxa"/>
            <w:vAlign w:val="bottom"/>
          </w:tcPr>
          <w:p>
            <w:pPr>
              <w:ind w:left="4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(374)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(3,382)</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2,458</w:t>
            </w:r>
          </w:p>
        </w:tc>
        <w:tc>
          <w:tcPr>
            <w:tcW w:w="3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(6,231)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5,929</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An aggregate (loss) gain of $(3,144) and $2,186, net of taxes, was reclassified from other comprehensive loss in the three months ended March 31, 2012 and 2011, respectively. An aggregate (loss) gain of $(6,043) and $5,198, net of taxes, was reclassified from other comprehensive loss in the six months ended March 31, 2012 and 2011, respectively. The ineffective portion of the change in fair value of a cash flow hedge, including the time value portion excluded from effectiveness testing for the three and six months ended March 31, 2012 and 2011, was not material.</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2012, net losses related to derivatives designated as cash flow hedges and recorded in accumulated other comprehensive loss, totaled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$11,938, of which $10,697 will be reclassified into earnings within the next 12 months and will partially offset the foreign currency impact from the underlying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exposures. The amount ultimately realized in earnings will likely differ due to future changes in foreign exchange rates. (Losses) gains from cash flow hedges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recognized in other comprehensive loss during the six months ended March 31, 2012 and 2011, were $)3,968) and $12,058, or $(3,544) and $10,447, net of taxes,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16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Cash flow hedges are required to be discontinued in the event it becomes probable that the underlying forecasted hedged transaction will not occur. The Company did not discontinue any cash flow hedges during any of the periods presented nor does the Company anticipate any such discontinuance in the normal course of business.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activity related to the changes in net unrealized (losses) gains on cash flow hedges, net of tax, is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80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7780" w:type="dxa"/>
            <w:vAlign w:val="bottom"/>
          </w:tcPr>
          <w:p>
            <w:pPr>
              <w:spacing w:after="0"/>
              <w:rPr>
                <w:sz w:val="14"/>
                <w:szCs w:val="14"/>
                <w:color w:val="auto"/>
              </w:rPr>
            </w:pPr>
          </w:p>
        </w:tc>
        <w:tc>
          <w:tcPr>
            <w:tcW w:w="12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unrealized (losses) gains on cash flow hedges, net of tax, beginning of period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5"/>
              </w:rPr>
              <w:t>$ (14,437)</w:t>
            </w:r>
          </w:p>
        </w:tc>
        <w:tc>
          <w:tcPr>
            <w:tcW w:w="26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Changes associated with hedging transactions, net of tax</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(3,544)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10,447</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into earnings, net of tax</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6,043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(5,198)</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color w:val="auto"/>
              </w:rPr>
              <w:t>Net unrealized (losses) gains on cash flow hedges, net of tax, end of period</w:t>
            </w: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80" w:type="dxa"/>
            <w:vAlign w:val="bottom"/>
            <w:vMerge w:val="continue"/>
          </w:tcPr>
          <w:p>
            <w:pPr>
              <w:spacing w:after="0"/>
              <w:rPr>
                <w:sz w:val="19"/>
                <w:szCs w:val="19"/>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w w:val="82"/>
              </w:rPr>
              <w:t>$ (11,938)</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11,251</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Risk Management Derivatives</w:t>
      </w:r>
    </w:p>
    <w:p>
      <w:pPr>
        <w:spacing w:after="0" w:line="90" w:lineRule="exact"/>
        <w:rPr>
          <w:sz w:val="20"/>
          <w:szCs w:val="20"/>
          <w:color w:val="auto"/>
        </w:rPr>
      </w:pPr>
    </w:p>
    <w:p>
      <w:pPr>
        <w:ind w:right="620" w:firstLine="456"/>
        <w:spacing w:after="0" w:line="370" w:lineRule="auto"/>
        <w:rPr>
          <w:sz w:val="20"/>
          <w:szCs w:val="20"/>
          <w:color w:val="auto"/>
        </w:rPr>
      </w:pPr>
      <w:r>
        <w:rPr>
          <w:rFonts w:ascii="Arial" w:cs="Arial" w:eastAsia="Arial" w:hAnsi="Arial"/>
          <w:sz w:val="15"/>
          <w:szCs w:val="15"/>
          <w:color w:val="auto"/>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These instruments are generally short-term in nature, with typical maturities of less than 12 months, and are subject to fluctuations in foreign exchange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rates.</w:t>
      </w:r>
    </w:p>
    <w:p>
      <w:pPr>
        <w:spacing w:after="0" w:line="165"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effect of the Company’s derivative instruments not designated as hedging instruments in the consolidated statement of income for the three and six months ended March 31, 2012 and 2011, respectively, which partially offsets the foreign currency impact from the underlying exposure, is summarized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10"/>
          </w:tcPr>
          <w:p>
            <w:pPr>
              <w:ind w:left="40"/>
              <w:spacing w:after="0"/>
              <w:rPr>
                <w:sz w:val="20"/>
                <w:szCs w:val="20"/>
                <w:color w:val="auto"/>
              </w:rPr>
            </w:pPr>
            <w:r>
              <w:rPr>
                <w:rFonts w:ascii="Arial" w:cs="Arial" w:eastAsia="Arial" w:hAnsi="Arial"/>
                <w:sz w:val="14"/>
                <w:szCs w:val="14"/>
                <w:b w:val="1"/>
                <w:bCs w:val="1"/>
                <w:color w:val="auto"/>
                <w:w w:val="95"/>
              </w:rPr>
              <w:t>Gains (Losses) Recognized in Income</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9"/>
          </w:tcPr>
          <w:p>
            <w:pPr>
              <w:jc w:val="right"/>
              <w:ind w:right="480"/>
              <w:spacing w:after="0"/>
              <w:rPr>
                <w:sz w:val="20"/>
                <w:szCs w:val="20"/>
                <w:color w:val="auto"/>
              </w:rPr>
            </w:pPr>
            <w:r>
              <w:rPr>
                <w:rFonts w:ascii="Arial" w:cs="Arial" w:eastAsia="Arial" w:hAnsi="Arial"/>
                <w:sz w:val="14"/>
                <w:szCs w:val="14"/>
                <w:b w:val="1"/>
                <w:bCs w:val="1"/>
                <w:color w:val="auto"/>
                <w:w w:val="87"/>
              </w:rPr>
              <w:t>Three months ended March 31,</w:t>
            </w:r>
          </w:p>
        </w:tc>
        <w:tc>
          <w:tcPr>
            <w:tcW w:w="80" w:type="dxa"/>
            <w:vAlign w:val="bottom"/>
          </w:tcPr>
          <w:p>
            <w:pPr>
              <w:spacing w:after="0"/>
              <w:rPr>
                <w:sz w:val="14"/>
                <w:szCs w:val="14"/>
                <w:color w:val="auto"/>
              </w:rPr>
            </w:pPr>
          </w:p>
        </w:tc>
        <w:tc>
          <w:tcPr>
            <w:tcW w:w="1860" w:type="dxa"/>
            <w:vAlign w:val="bottom"/>
            <w:gridSpan w:val="7"/>
          </w:tcPr>
          <w:p>
            <w:pPr>
              <w:jc w:val="right"/>
              <w:ind w:right="220"/>
              <w:spacing w:after="0"/>
              <w:rPr>
                <w:sz w:val="20"/>
                <w:szCs w:val="20"/>
                <w:color w:val="auto"/>
              </w:rPr>
            </w:pPr>
            <w:r>
              <w:rPr>
                <w:rFonts w:ascii="Arial" w:cs="Arial" w:eastAsia="Arial" w:hAnsi="Arial"/>
                <w:sz w:val="14"/>
                <w:szCs w:val="14"/>
                <w:b w:val="1"/>
                <w:bCs w:val="1"/>
                <w:color w:val="auto"/>
                <w:w w:val="85"/>
              </w:rPr>
              <w:t>Six months ended March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96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bottom w:val="single" w:sz="8" w:color="auto"/>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8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Line item in statement of income:</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80" w:type="dxa"/>
            <w:vAlign w:val="bottom"/>
            <w:gridSpan w:val="3"/>
          </w:tcPr>
          <w:p>
            <w:pPr>
              <w:ind w:left="440"/>
              <w:spacing w:after="0"/>
              <w:rPr>
                <w:sz w:val="20"/>
                <w:szCs w:val="20"/>
                <w:color w:val="auto"/>
              </w:rPr>
            </w:pPr>
            <w:r>
              <w:rPr>
                <w:rFonts w:ascii="Arial" w:cs="Arial" w:eastAsia="Arial" w:hAnsi="Arial"/>
                <w:sz w:val="18"/>
                <w:szCs w:val="18"/>
                <w:color w:val="auto"/>
              </w:rPr>
              <w:t>Revenue</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rPr>
              <w:t>(443)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Cost of service</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3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80" w:type="dxa"/>
            <w:vAlign w:val="bottom"/>
            <w:gridSpan w:val="3"/>
          </w:tcPr>
          <w:p>
            <w:pPr>
              <w:ind w:left="440"/>
              <w:spacing w:after="0"/>
              <w:rPr>
                <w:sz w:val="20"/>
                <w:szCs w:val="20"/>
                <w:color w:val="auto"/>
              </w:rPr>
            </w:pPr>
            <w:r>
              <w:rPr>
                <w:rFonts w:ascii="Arial" w:cs="Arial" w:eastAsia="Arial" w:hAnsi="Arial"/>
                <w:sz w:val="18"/>
                <w:szCs w:val="18"/>
                <w:color w:val="auto"/>
              </w:rPr>
              <w:t>Research and development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80" w:type="dxa"/>
            <w:vAlign w:val="bottom"/>
            <w:gridSpan w:val="3"/>
          </w:tcPr>
          <w:p>
            <w:pPr>
              <w:ind w:left="440"/>
              <w:spacing w:after="0"/>
              <w:rPr>
                <w:sz w:val="20"/>
                <w:szCs w:val="20"/>
                <w:color w:val="auto"/>
              </w:rPr>
            </w:pPr>
            <w:r>
              <w:rPr>
                <w:rFonts w:ascii="Arial" w:cs="Arial" w:eastAsia="Arial" w:hAnsi="Arial"/>
                <w:sz w:val="18"/>
                <w:szCs w:val="18"/>
                <w:color w:val="auto"/>
              </w:rPr>
              <w:t>Interest and other income (expense), net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(4,462)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rPr>
              <w:t>(6,877)</w:t>
            </w: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(2,966)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(7,519)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Income taxes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0"/>
        </w:trPr>
        <w:tc>
          <w:tcPr>
            <w:tcW w:w="5340" w:type="dxa"/>
            <w:vAlign w:val="bottom"/>
            <w:gridSpan w:val="4"/>
            <w:vMerge w:val="restart"/>
          </w:tcPr>
          <w:p>
            <w:pPr>
              <w:ind w:left="460"/>
              <w:spacing w:after="0"/>
              <w:rPr>
                <w:sz w:val="20"/>
                <w:szCs w:val="20"/>
                <w:color w:val="auto"/>
              </w:rPr>
            </w:pPr>
            <w:r>
              <w:rPr>
                <w:rFonts w:ascii="Arial" w:cs="Arial" w:eastAsia="Arial" w:hAnsi="Arial"/>
                <w:sz w:val="18"/>
                <w:szCs w:val="18"/>
                <w:color w:val="auto"/>
              </w:rPr>
              <w:t>Total</w:t>
            </w:r>
          </w:p>
        </w:tc>
        <w:tc>
          <w:tcPr>
            <w:tcW w:w="1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40" w:type="dxa"/>
            <w:vAlign w:val="bottom"/>
            <w:gridSpan w:val="4"/>
            <w:vMerge w:val="continue"/>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(1,608)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rPr>
              <w:t>(6,483)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(3,053)</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(5,748)</w:t>
            </w:r>
          </w:p>
        </w:tc>
        <w:tc>
          <w:tcPr>
            <w:tcW w:w="0" w:type="dxa"/>
            <w:vAlign w:val="bottom"/>
          </w:tcPr>
          <w:p>
            <w:pPr>
              <w:spacing w:after="0"/>
              <w:rPr>
                <w:sz w:val="1"/>
                <w:szCs w:val="1"/>
                <w:color w:val="auto"/>
              </w:rPr>
            </w:pPr>
          </w:p>
        </w:tc>
      </w:tr>
      <w:tr>
        <w:trPr>
          <w:trHeight w:val="20"/>
        </w:trPr>
        <w:tc>
          <w:tcPr>
            <w:tcW w:w="53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7. Accounts Receivable, Net</w:t>
            </w:r>
          </w:p>
        </w:tc>
        <w:tc>
          <w:tcPr>
            <w:tcW w:w="1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340" w:type="dxa"/>
            <w:vAlign w:val="bottom"/>
            <w:gridSpan w:val="4"/>
            <w:vMerge w:val="continue"/>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40" w:type="dxa"/>
            <w:vAlign w:val="bottom"/>
            <w:gridSpan w:val="4"/>
          </w:tcPr>
          <w:p>
            <w:pPr>
              <w:ind w:left="460"/>
              <w:spacing w:after="0"/>
              <w:rPr>
                <w:sz w:val="20"/>
                <w:szCs w:val="20"/>
                <w:color w:val="auto"/>
              </w:rPr>
            </w:pPr>
            <w:r>
              <w:rPr>
                <w:rFonts w:ascii="Arial" w:cs="Arial" w:eastAsia="Arial" w:hAnsi="Arial"/>
                <w:sz w:val="18"/>
                <w:szCs w:val="18"/>
                <w:color w:val="auto"/>
              </w:rPr>
              <w:t>Accounts receivable, net, consists of the following:</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As of</w:t>
            </w: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5"/>
          </w:tcPr>
          <w:p>
            <w:pPr>
              <w:jc w:val="right"/>
              <w:ind w:right="740"/>
              <w:spacing w:after="0" w:line="129" w:lineRule="exact"/>
              <w:rPr>
                <w:sz w:val="20"/>
                <w:szCs w:val="20"/>
                <w:color w:val="auto"/>
              </w:rPr>
            </w:pPr>
            <w:r>
              <w:rPr>
                <w:rFonts w:ascii="Arial" w:cs="Arial" w:eastAsia="Arial" w:hAnsi="Arial"/>
                <w:sz w:val="14"/>
                <w:szCs w:val="14"/>
                <w:b w:val="1"/>
                <w:bCs w:val="1"/>
                <w:color w:val="auto"/>
                <w:w w:val="95"/>
              </w:rPr>
              <w:t>March 31,</w:t>
            </w:r>
          </w:p>
        </w:tc>
        <w:tc>
          <w:tcPr>
            <w:tcW w:w="920" w:type="dxa"/>
            <w:vAlign w:val="bottom"/>
            <w:gridSpan w:val="3"/>
          </w:tcPr>
          <w:p>
            <w:pPr>
              <w:jc w:val="right"/>
              <w:ind w:right="60"/>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16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96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receivable — billed</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512,311</w:t>
            </w:r>
          </w:p>
        </w:tc>
        <w:tc>
          <w:tcPr>
            <w:tcW w:w="20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509,371</w:t>
            </w: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Accounts receivable — unbilled (1)</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117,352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72,048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Less-allowances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72"/>
              <w:spacing w:after="0"/>
              <w:rPr>
                <w:sz w:val="20"/>
                <w:szCs w:val="20"/>
                <w:color w:val="auto"/>
              </w:rPr>
            </w:pPr>
            <w:r>
              <w:rPr>
                <w:rFonts w:ascii="Arial" w:cs="Arial" w:eastAsia="Arial" w:hAnsi="Arial"/>
                <w:sz w:val="18"/>
                <w:szCs w:val="18"/>
                <w:color w:val="auto"/>
              </w:rPr>
              <w:t>(17,290)</w:t>
            </w:r>
          </w:p>
        </w:tc>
        <w:tc>
          <w:tcPr>
            <w:tcW w:w="3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(15,566)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80" w:type="dxa"/>
            <w:vAlign w:val="bottom"/>
            <w:gridSpan w:val="2"/>
            <w:vMerge w:val="restart"/>
          </w:tcPr>
          <w:p>
            <w:pPr>
              <w:ind w:left="220"/>
              <w:spacing w:after="0"/>
              <w:rPr>
                <w:sz w:val="20"/>
                <w:szCs w:val="20"/>
                <w:color w:val="auto"/>
              </w:rPr>
            </w:pPr>
            <w:r>
              <w:rPr>
                <w:rFonts w:ascii="Arial" w:cs="Arial" w:eastAsia="Arial" w:hAnsi="Arial"/>
                <w:sz w:val="18"/>
                <w:szCs w:val="18"/>
                <w:color w:val="auto"/>
              </w:rPr>
              <w:t>Accounts receivable, net</w:t>
            </w: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180" w:type="dxa"/>
            <w:vAlign w:val="bottom"/>
            <w:gridSpan w:val="2"/>
            <w:vMerge w:val="continue"/>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612,373</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565,853</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58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increase in accounts receivable unbilled during the six months ended March 31, 2012, was primarily attributable to timing differences between invoicing milestones and delivery progress in projects.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Comprehensive Income</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reconciliation from net income to comprehensive income for the following periods: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85"/>
              </w:rPr>
              <w:t>Three months ended</w:t>
            </w:r>
          </w:p>
        </w:tc>
        <w:tc>
          <w:tcPr>
            <w:tcW w:w="18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4"/>
              </w:rPr>
              <w:t>Six months ended</w:t>
            </w:r>
          </w:p>
        </w:tc>
      </w:tr>
      <w:tr>
        <w:trPr>
          <w:trHeight w:val="161"/>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2"/>
              </w:rPr>
              <w:t>March 31,</w:t>
            </w:r>
          </w:p>
        </w:tc>
        <w:tc>
          <w:tcPr>
            <w:tcW w:w="18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March 31,</w:t>
            </w:r>
          </w:p>
        </w:tc>
      </w:tr>
      <w:tr>
        <w:trPr>
          <w:trHeight w:val="142"/>
        </w:trPr>
        <w:tc>
          <w:tcPr>
            <w:tcW w:w="66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$101,870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$94,110</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$194,601</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$167,501</w:t>
            </w:r>
          </w:p>
        </w:tc>
        <w:tc>
          <w:tcPr>
            <w:tcW w:w="10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foreign currency hedging contracts, net of tax</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22,453</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2,446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10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Unrealized gain (loss) on short-term interest-bearing investments, net of tax</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399</w:t>
            </w:r>
          </w:p>
        </w:tc>
        <w:tc>
          <w:tcPr>
            <w:tcW w:w="3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334</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(52)</w:t>
            </w:r>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defined benefit plan, net of tax</w:t>
            </w:r>
          </w:p>
        </w:tc>
        <w:tc>
          <w:tcPr>
            <w:tcW w:w="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Comprehensive income</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124,722</w:t>
            </w:r>
          </w:p>
        </w:tc>
        <w:tc>
          <w:tcPr>
            <w:tcW w:w="38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96,890</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197,048</w:t>
            </w:r>
          </w:p>
        </w:tc>
        <w:tc>
          <w:tcPr>
            <w:tcW w:w="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172,795</w:t>
            </w:r>
          </w:p>
        </w:tc>
        <w:tc>
          <w:tcPr>
            <w:tcW w:w="10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 (benefit) for income taxes for the following periods consisted of:</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7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w:t>
            </w:r>
          </w:p>
        </w:tc>
        <w:tc>
          <w:tcPr>
            <w:tcW w:w="200" w:type="dxa"/>
            <w:vAlign w:val="bottom"/>
          </w:tcPr>
          <w:p>
            <w:pPr>
              <w:spacing w:after="0"/>
              <w:rPr>
                <w:sz w:val="14"/>
                <w:szCs w:val="14"/>
                <w:color w:val="auto"/>
              </w:rPr>
            </w:pPr>
          </w:p>
        </w:tc>
        <w:tc>
          <w:tcPr>
            <w:tcW w:w="16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4"/>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ended</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ended</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6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2011</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$15,795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$34,275</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$10,815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Deferred</w:t>
            </w:r>
          </w:p>
        </w:tc>
        <w:tc>
          <w:tcPr>
            <w:tcW w:w="980" w:type="dxa"/>
            <w:vAlign w:val="bottom"/>
            <w:gridSpan w:val="2"/>
          </w:tcPr>
          <w:p>
            <w:pPr>
              <w:jc w:val="right"/>
              <w:ind w:right="272"/>
              <w:spacing w:after="0"/>
              <w:rPr>
                <w:sz w:val="20"/>
                <w:szCs w:val="20"/>
                <w:color w:val="auto"/>
              </w:rPr>
            </w:pPr>
            <w:r>
              <w:rPr>
                <w:rFonts w:ascii="Arial" w:cs="Arial" w:eastAsia="Arial" w:hAnsi="Arial"/>
                <w:sz w:val="18"/>
                <w:szCs w:val="18"/>
                <w:color w:val="auto"/>
              </w:rPr>
              <w:t>(2,507)</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5,853</w:t>
            </w:r>
          </w:p>
        </w:tc>
        <w:tc>
          <w:tcPr>
            <w:tcW w:w="1180" w:type="dxa"/>
            <w:vAlign w:val="bottom"/>
            <w:gridSpan w:val="3"/>
          </w:tcPr>
          <w:p>
            <w:pPr>
              <w:jc w:val="right"/>
              <w:ind w:right="272"/>
              <w:spacing w:after="0"/>
              <w:rPr>
                <w:sz w:val="20"/>
                <w:szCs w:val="20"/>
                <w:color w:val="auto"/>
              </w:rPr>
            </w:pPr>
            <w:r>
              <w:rPr>
                <w:rFonts w:ascii="Arial" w:cs="Arial" w:eastAsia="Arial" w:hAnsi="Arial"/>
                <w:sz w:val="18"/>
                <w:szCs w:val="18"/>
                <w:color w:val="auto"/>
              </w:rPr>
              <w:t>(8,283)</w:t>
            </w:r>
          </w:p>
        </w:tc>
        <w:tc>
          <w:tcPr>
            <w:tcW w:w="580" w:type="dxa"/>
            <w:vAlign w:val="bottom"/>
          </w:tcPr>
          <w:p>
            <w:pPr>
              <w:jc w:val="right"/>
              <w:spacing w:after="0"/>
              <w:rPr>
                <w:sz w:val="20"/>
                <w:szCs w:val="20"/>
                <w:color w:val="auto"/>
              </w:rPr>
            </w:pPr>
            <w:r>
              <w:rPr>
                <w:rFonts w:ascii="Arial" w:cs="Arial" w:eastAsia="Arial" w:hAnsi="Arial"/>
                <w:sz w:val="18"/>
                <w:szCs w:val="18"/>
                <w:color w:val="auto"/>
              </w:rPr>
              <w:t>12,756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9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13,288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12,495</w:t>
            </w:r>
          </w:p>
        </w:tc>
        <w:tc>
          <w:tcPr>
            <w:tcW w:w="118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25,992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23,571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effective income tax rate varied from the statutory Guernsey tax rate as follows for the following periods: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34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16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March 31,</w:t>
            </w:r>
          </w:p>
        </w:tc>
        <w:tc>
          <w:tcPr>
            <w:tcW w:w="42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4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8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7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7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Statutory Guernsey tax rate</w:t>
            </w:r>
          </w:p>
        </w:tc>
        <w:tc>
          <w:tcPr>
            <w:tcW w:w="122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0%</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23"/>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Foreign taxes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70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76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22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12%</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w:t>
            </w:r>
          </w:p>
        </w:tc>
        <w:tc>
          <w:tcPr>
            <w:tcW w:w="112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12%</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 Guernsey company subject to a corporate tax rate of zero percent, the Company’s overall effective tax rate is attributable to foreign taxes.</w:t>
      </w:r>
    </w:p>
    <w:p>
      <w:pPr>
        <w:spacing w:after="0" w:line="19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of March 31, 2012, deferred tax assets of $149,078, derived primarily from tax credits, net capital and operating loss carry forwards related to some of the Company’s subsidiaries, were offset by valuation allowances related to the uncertainty of realizing tax benefit for such losses. Releases of the valuation allowances will be recognized through earnings.</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total amount of gross unrecognized tax benefits, which includes interest and penalties, was $138,693 as of March 31, 2012, all of which would affect the effective tax rate if realized.</w:t>
      </w:r>
    </w:p>
    <w:p>
      <w:pPr>
        <w:spacing w:after="0" w:line="132" w:lineRule="exact"/>
        <w:rPr>
          <w:sz w:val="20"/>
          <w:szCs w:val="20"/>
          <w:color w:val="auto"/>
        </w:rPr>
      </w:pPr>
    </w:p>
    <w:p>
      <w:pPr>
        <w:jc w:val="center"/>
        <w:ind w:right="240"/>
        <w:spacing w:after="0" w:line="440" w:lineRule="auto"/>
        <w:rPr>
          <w:sz w:val="20"/>
          <w:szCs w:val="20"/>
          <w:color w:val="auto"/>
        </w:rPr>
      </w:pPr>
      <w:r>
        <w:rPr>
          <w:rFonts w:ascii="Arial" w:cs="Arial" w:eastAsia="Arial" w:hAnsi="Arial"/>
          <w:sz w:val="18"/>
          <w:szCs w:val="18"/>
          <w:color w:val="auto"/>
        </w:rPr>
        <w:t>As of March 31, 2012, the Company has accrued $18,854 in income taxes payable for interest and penalties relating to unrecognized tax benefits. 13</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Company is currently under audit in several jurisdictions for the tax years 2005 and onwards. Timing of the resolution of audits is highly uncertain and therefore the Company generally cannot estimate the change in unrecognized tax benefits resulting from these audits within the next 12 months.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Three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4"/>
              </w:rPr>
              <w:t>Six months ended</w:t>
            </w:r>
          </w:p>
        </w:tc>
        <w:tc>
          <w:tcPr>
            <w:tcW w:w="0" w:type="dxa"/>
            <w:vAlign w:val="bottom"/>
          </w:tcPr>
          <w:p>
            <w:pPr>
              <w:spacing w:after="0"/>
              <w:rPr>
                <w:sz w:val="1"/>
                <w:szCs w:val="1"/>
                <w:color w:val="auto"/>
              </w:rPr>
            </w:pPr>
          </w:p>
        </w:tc>
      </w:tr>
      <w:tr>
        <w:trPr>
          <w:trHeight w:val="161"/>
        </w:trPr>
        <w:tc>
          <w:tcPr>
            <w:tcW w:w="7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March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42"/>
        </w:trPr>
        <w:tc>
          <w:tcPr>
            <w:tcW w:w="7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440"/>
              <w:spacing w:after="0"/>
              <w:rPr>
                <w:sz w:val="20"/>
                <w:szCs w:val="20"/>
                <w:color w:val="auto"/>
              </w:rPr>
            </w:pPr>
            <w:r>
              <w:rPr>
                <w:rFonts w:ascii="Arial" w:cs="Arial" w:eastAsia="Arial" w:hAnsi="Arial"/>
                <w:sz w:val="18"/>
                <w:szCs w:val="18"/>
                <w:color w:val="auto"/>
              </w:rPr>
              <w:t>Numerator for basic and diluted earnings per share</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101,870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94,110</w:t>
            </w: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194,601</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167,501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440"/>
              <w:spacing w:after="0"/>
              <w:rPr>
                <w:sz w:val="20"/>
                <w:szCs w:val="20"/>
                <w:color w:val="auto"/>
              </w:rPr>
            </w:pPr>
            <w:r>
              <w:rPr>
                <w:rFonts w:ascii="Arial" w:cs="Arial" w:eastAsia="Arial" w:hAnsi="Arial"/>
                <w:sz w:val="18"/>
                <w:szCs w:val="18"/>
                <w:color w:val="auto"/>
                <w:w w:val="89"/>
              </w:rPr>
              <w:t>Denominator for basic earnings per share — weighted average number of shares outstanding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169,739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187,788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171,231</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189,713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assumed conversion of 0.50% convertible notes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40" w:type="dxa"/>
            <w:vAlign w:val="bottom"/>
          </w:tcPr>
          <w:p>
            <w:pPr>
              <w:ind w:left="440"/>
              <w:spacing w:after="0"/>
              <w:rPr>
                <w:sz w:val="20"/>
                <w:szCs w:val="20"/>
                <w:color w:val="auto"/>
              </w:rPr>
            </w:pPr>
            <w:r>
              <w:rPr>
                <w:rFonts w:ascii="Arial" w:cs="Arial" w:eastAsia="Arial" w:hAnsi="Arial"/>
                <w:sz w:val="18"/>
                <w:szCs w:val="18"/>
                <w:color w:val="auto"/>
              </w:rPr>
              <w:t>Effect of dilutive stock options granted</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1,420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1,142</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8"/>
              </w:rPr>
              <w:t>Denominator for diluted earnings per share — adjusted weighted average shares and assumed</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1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conversions</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170,971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189,232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172,397</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191,120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vMerge w:val="restart"/>
          </w:tcPr>
          <w:p>
            <w:pPr>
              <w:ind w:left="440"/>
              <w:spacing w:after="0"/>
              <w:rPr>
                <w:sz w:val="20"/>
                <w:szCs w:val="20"/>
                <w:color w:val="auto"/>
              </w:rPr>
            </w:pPr>
            <w:r>
              <w:rPr>
                <w:rFonts w:ascii="Arial" w:cs="Arial" w:eastAsia="Arial" w:hAnsi="Arial"/>
                <w:sz w:val="18"/>
                <w:szCs w:val="18"/>
                <w:color w:val="auto"/>
              </w:rPr>
              <w:t>Basic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50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14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50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For the three and six months ended March 31, 2012, 12,986 and 13,180 shares, respectively, were attributable to antidilutive outstanding stock options. For the three and six months ended March 31, 2011, 15,753 and 15,415 shares, respectively, were attributable to antidilutive outstanding stock options. Shares attributable to antidilutive outstanding stock options were not included in the calculation of diluted earnings per share.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Repurchase of Securities</w:t>
      </w:r>
    </w:p>
    <w:p>
      <w:pPr>
        <w:spacing w:after="0" w:line="9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In April 2010, the Company’s board of directors authorized a share repurchase plan allowing the repurchase of up to $700,000 of its outstanding ordinary shares over the following 12 months. In February 2011, the Company’s board of directors adopted a share repurchase plan authorizing the repurchase of up to $1,000,000 of the Company’s outstanding ordinary shares over the following 24 months. The authorizations permit the Company to purchase its ordinary shares in open market or privately negotiated transactions at times and prices that it considers appropriate. In April 2011, the Company completed the repurchase of the remaining authorized amount under the April 2010 share repurchase plan and began executing repurchases under the February 2011 plan. In the six months ended March 31, 2012, the Company repurchased approximately 8.8 million ordinary shares at an average price of $29.21 per share (excluding broker and transaction fees). As of March 31, 2012, the Company had remaining authority to repurchase up to $430.7 million of its outstanding ordinary shares under this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Financing Arrangements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November 2007, the Company entered into an unsecured $500,000 five-year revolving credit facility with a syndicate of banks. In September 2011, the Company borrowed an aggregate of $250,000 under the facility and repaid it in October 2011. In December 2011, the Company entered into a new $500,000 five-year revolving credit facility with a syndicate of banks, which replaced the November 2007 credit facility. The new credit facility is available for general corporate purposes, including acquisitions and repurchases of ordinary shares that the Company may consider from time to time. The interest rate for borrowings under the revolving credit facility is chosen at the Company’s option from several pre-defined alternatives, depends on the circumstances of any advance and is based on the Company’s credit ratings. As of March 31, 2012, the Company was in compliance with the financial covenants under the revolving credit facility and had no outstanding borrowings under this facility.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Option and Incentive Plan</w:t>
      </w:r>
    </w:p>
    <w:p>
      <w:pPr>
        <w:spacing w:after="0" w:line="96"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In January 1998, the Company adopted the 1998 Stock Option and Incentive Plan (the “Plan”), which provides for the grant of restricted stock awards, stock options and other equity-based awards to employees, officers, directors and consultants. The purpose of the Plan is to enable the Company to attract and retain qualified personnel and to motivate such persons by providing them with an equity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participation in the Company. Since its adoption, the Plan has been amended on several occasions to, among other things, increase the number of ordinary shares issuable under the Plan. In February 2012, the maximum number of ordinary shares authorized to be granted under the Plan was increased from 55,300 to 62,300. Awards granted under the Plan generally vest over a period of four years and stock options have a term of ten years.</w:t>
      </w:r>
    </w:p>
    <w:p>
      <w:pPr>
        <w:spacing w:after="0" w:line="101"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color w:val="auto"/>
        </w:rPr>
        <w:t>The following table summarizes information about options to purchase the Company</w:t>
      </w:r>
      <w:r>
        <w:rPr>
          <w:rFonts w:ascii="Arial" w:cs="Arial" w:eastAsia="Arial" w:hAnsi="Arial"/>
          <w:sz w:val="18"/>
          <w:szCs w:val="18"/>
          <w:b w:val="1"/>
          <w:bCs w:val="1"/>
          <w:color w:val="auto"/>
        </w:rPr>
        <w:t>’</w:t>
      </w:r>
      <w:r>
        <w:rPr>
          <w:rFonts w:ascii="Arial" w:cs="Arial" w:eastAsia="Arial" w:hAnsi="Arial"/>
          <w:sz w:val="18"/>
          <w:szCs w:val="18"/>
          <w:color w:val="auto"/>
        </w:rPr>
        <w:t>s ordinary shares, as well as changes during the six-month period ended March 31, 2012:</w:t>
      </w:r>
    </w:p>
    <w:p>
      <w:pPr>
        <w:spacing w:after="0" w:line="15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Weighted</w:t>
            </w: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Average</w:t>
            </w: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8"/>
              </w:rPr>
              <w:t>Number of</w:t>
            </w:r>
          </w:p>
        </w:tc>
        <w:tc>
          <w:tcPr>
            <w:tcW w:w="8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Exercise</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61"/>
        </w:trPr>
        <w:tc>
          <w:tcPr>
            <w:tcW w:w="720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Price</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210"/>
        </w:trPr>
        <w:tc>
          <w:tcPr>
            <w:tcW w:w="7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as of October 1, 2011</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$ 28.64</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Granted</w:t>
            </w:r>
          </w:p>
        </w:tc>
        <w:tc>
          <w:tcPr>
            <w:tcW w:w="640" w:type="dxa"/>
            <w:vAlign w:val="bottom"/>
          </w:tcPr>
          <w:p>
            <w:pPr>
              <w:jc w:val="right"/>
              <w:spacing w:after="0"/>
              <w:rPr>
                <w:sz w:val="20"/>
                <w:szCs w:val="20"/>
                <w:color w:val="auto"/>
              </w:rPr>
            </w:pPr>
            <w:r>
              <w:rPr>
                <w:rFonts w:ascii="Arial" w:cs="Arial" w:eastAsia="Arial" w:hAnsi="Arial"/>
                <w:sz w:val="18"/>
                <w:szCs w:val="18"/>
                <w:color w:val="auto"/>
              </w:rPr>
              <w:t>3,604</w:t>
            </w:r>
          </w:p>
        </w:tc>
        <w:tc>
          <w:tcPr>
            <w:tcW w:w="12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29.04</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(2,213)</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24.26</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Forfeited</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(2,471)</w:t>
            </w: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31.14</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March 31, 2012</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$ 28.90</w:t>
            </w:r>
          </w:p>
        </w:tc>
        <w:tc>
          <w:tcPr>
            <w:tcW w:w="1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color w:val="auto"/>
              </w:rPr>
              <w:t>Exercisable as of March 31, 2012</w:t>
            </w: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00" w:type="dxa"/>
            <w:vAlign w:val="bottom"/>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10,826</w:t>
            </w:r>
          </w:p>
        </w:tc>
        <w:tc>
          <w:tcPr>
            <w:tcW w:w="12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$ 29.71</w:t>
            </w:r>
          </w:p>
        </w:tc>
        <w:tc>
          <w:tcPr>
            <w:tcW w:w="700" w:type="dxa"/>
            <w:vAlign w:val="bottom"/>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information relating to awards of restricted shares, as well as changes to such awards during the six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31, 2012:</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40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2"/>
                <w:szCs w:val="12"/>
                <w:color w:val="auto"/>
              </w:rPr>
            </w:pPr>
          </w:p>
        </w:tc>
        <w:tc>
          <w:tcPr>
            <w:tcW w:w="10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Average Grant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10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2"/>
              </w:rPr>
              <w:t>Date 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unvested shares as of October 1, 2011</w:t>
            </w:r>
          </w:p>
        </w:tc>
        <w:tc>
          <w:tcPr>
            <w:tcW w:w="16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Granted</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(391)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Forfeited</w:t>
            </w:r>
          </w:p>
        </w:tc>
        <w:tc>
          <w:tcPr>
            <w:tcW w:w="16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Outstanding unvested shares as of March 31, 2012</w:t>
            </w:r>
          </w:p>
        </w:tc>
        <w:tc>
          <w:tcPr>
            <w:tcW w:w="16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As of March 31, 2012, there was $61,132 of unrecognized compensation expense related to unvested stock options and unvested restricted stock awards. The Company recognizes compensation costs using the graded vesting attribution method which results in a weighted average period of approximately one year over which the unrecognized compensation expense is expected to be recognized.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Equity-based payments to employees, including grants of employee stock options, are recognized in the statements of income based on their fair values.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Employee equity-based compensation pre-tax expense for the three and six months ended March 31, 2012 and 2011 was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820" w:type="dxa"/>
            <w:vAlign w:val="bottom"/>
            <w:gridSpan w:val="5"/>
          </w:tcPr>
          <w:p>
            <w:pPr>
              <w:spacing w:after="0"/>
              <w:rPr>
                <w:sz w:val="20"/>
                <w:szCs w:val="20"/>
                <w:color w:val="auto"/>
              </w:rPr>
            </w:pPr>
            <w:r>
              <w:rPr>
                <w:rFonts w:ascii="Arial" w:cs="Arial" w:eastAsia="Arial" w:hAnsi="Arial"/>
                <w:sz w:val="14"/>
                <w:szCs w:val="14"/>
                <w:b w:val="1"/>
                <w:bCs w:val="1"/>
                <w:color w:val="auto"/>
                <w:w w:val="87"/>
              </w:rPr>
              <w:t>Three months ended March 31,</w:t>
            </w:r>
          </w:p>
        </w:tc>
        <w:tc>
          <w:tcPr>
            <w:tcW w:w="180" w:type="dxa"/>
            <w:vAlign w:val="bottom"/>
          </w:tcPr>
          <w:p>
            <w:pPr>
              <w:spacing w:after="0"/>
              <w:rPr>
                <w:sz w:val="14"/>
                <w:szCs w:val="14"/>
                <w:color w:val="auto"/>
              </w:rPr>
            </w:pPr>
          </w:p>
        </w:tc>
        <w:tc>
          <w:tcPr>
            <w:tcW w:w="1760" w:type="dxa"/>
            <w:vAlign w:val="bottom"/>
            <w:gridSpan w:val="6"/>
          </w:tcPr>
          <w:p>
            <w:pPr>
              <w:ind w:left="20"/>
              <w:spacing w:after="0"/>
              <w:rPr>
                <w:sz w:val="20"/>
                <w:szCs w:val="20"/>
                <w:color w:val="auto"/>
              </w:rPr>
            </w:pPr>
            <w:r>
              <w:rPr>
                <w:rFonts w:ascii="Arial" w:cs="Arial" w:eastAsia="Arial" w:hAnsi="Arial"/>
                <w:sz w:val="14"/>
                <w:szCs w:val="14"/>
                <w:b w:val="1"/>
                <w:bCs w:val="1"/>
                <w:color w:val="auto"/>
                <w:w w:val="90"/>
              </w:rPr>
              <w:t>Six months ended March 31,</w:t>
            </w:r>
          </w:p>
        </w:tc>
      </w:tr>
      <w:tr>
        <w:trPr>
          <w:trHeight w:val="142"/>
        </w:trPr>
        <w:tc>
          <w:tcPr>
            <w:tcW w:w="67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service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11,366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6,140</w:t>
            </w: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1,172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2,213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4,185</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2,909</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8,094</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10,850</w:t>
            </w:r>
          </w:p>
        </w:tc>
        <w:tc>
          <w:tcPr>
            <w:tcW w:w="100" w:type="dxa"/>
            <w:vAlign w:val="bottom"/>
            <w:shd w:val="clear" w:color="auto" w:fill="CCEEFF"/>
          </w:tcPr>
          <w:p>
            <w:pPr>
              <w:spacing w:after="0"/>
              <w:rPr>
                <w:sz w:val="18"/>
                <w:szCs w:val="18"/>
                <w:color w:val="auto"/>
              </w:rPr>
            </w:pPr>
          </w:p>
        </w:tc>
      </w:tr>
      <w:tr>
        <w:trPr>
          <w:trHeight w:val="222"/>
        </w:trPr>
        <w:tc>
          <w:tcPr>
            <w:tcW w:w="674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11,120</w:t>
            </w:r>
          </w:p>
        </w:tc>
        <w:tc>
          <w:tcPr>
            <w:tcW w:w="40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4,882</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21,673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18,156</w:t>
            </w:r>
          </w:p>
        </w:tc>
        <w:tc>
          <w:tcPr>
            <w:tcW w:w="10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total income tax benefit (expense) recognized in the income statement for stock-based compensation (including restricted shares) for the three months ended March 31, 2012 and 2011, was $1,667 and $(103), respectively, and for the six months ended March 31, 2012 and 2011, was $3,443 and $1,002, respectively.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Company selected the Black-Scholes option pricing model as the most appropriate fair value method for its equity-based awards. The Black-Scholes option pricing model assumptions used are noted in the following table (all in weighted averages for options granted during the period):</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460" w:type="dxa"/>
            <w:vAlign w:val="bottom"/>
          </w:tcPr>
          <w:p>
            <w:pPr>
              <w:spacing w:after="0"/>
              <w:rPr>
                <w:sz w:val="14"/>
                <w:szCs w:val="14"/>
                <w:color w:val="auto"/>
              </w:rPr>
            </w:pPr>
          </w:p>
        </w:tc>
        <w:tc>
          <w:tcPr>
            <w:tcW w:w="15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6"/>
              </w:rPr>
              <w:t>Three months</w:t>
            </w:r>
          </w:p>
        </w:tc>
        <w:tc>
          <w:tcPr>
            <w:tcW w:w="14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4"/>
              </w:rPr>
              <w:t>Six months</w:t>
            </w:r>
          </w:p>
        </w:tc>
      </w:tr>
      <w:tr>
        <w:trPr>
          <w:trHeight w:val="149"/>
        </w:trPr>
        <w:tc>
          <w:tcPr>
            <w:tcW w:w="7460" w:type="dxa"/>
            <w:vAlign w:val="bottom"/>
          </w:tcPr>
          <w:p>
            <w:pPr>
              <w:spacing w:after="0"/>
              <w:rPr>
                <w:sz w:val="12"/>
                <w:szCs w:val="12"/>
                <w:color w:val="auto"/>
              </w:rPr>
            </w:pPr>
          </w:p>
        </w:tc>
        <w:tc>
          <w:tcPr>
            <w:tcW w:w="880" w:type="dxa"/>
            <w:vAlign w:val="bottom"/>
            <w:gridSpan w:val="4"/>
          </w:tcPr>
          <w:p>
            <w:pPr>
              <w:jc w:val="center"/>
              <w:ind w:left="301"/>
              <w:spacing w:after="0" w:line="149" w:lineRule="exact"/>
              <w:rPr>
                <w:sz w:val="20"/>
                <w:szCs w:val="20"/>
                <w:color w:val="auto"/>
              </w:rPr>
            </w:pPr>
            <w:r>
              <w:rPr>
                <w:rFonts w:ascii="Arial" w:cs="Arial" w:eastAsia="Arial" w:hAnsi="Arial"/>
                <w:sz w:val="14"/>
                <w:szCs w:val="14"/>
                <w:b w:val="1"/>
                <w:bCs w:val="1"/>
                <w:color w:val="auto"/>
                <w:w w:val="82"/>
              </w:rPr>
              <w:t>ended</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4"/>
          </w:tcPr>
          <w:p>
            <w:pPr>
              <w:jc w:val="center"/>
              <w:ind w:left="341"/>
              <w:spacing w:after="0" w:line="149" w:lineRule="exact"/>
              <w:rPr>
                <w:sz w:val="20"/>
                <w:szCs w:val="20"/>
                <w:color w:val="auto"/>
              </w:rPr>
            </w:pPr>
            <w:r>
              <w:rPr>
                <w:rFonts w:ascii="Arial" w:cs="Arial" w:eastAsia="Arial" w:hAnsi="Arial"/>
                <w:sz w:val="14"/>
                <w:szCs w:val="14"/>
                <w:b w:val="1"/>
                <w:bCs w:val="1"/>
                <w:color w:val="auto"/>
                <w:w w:val="82"/>
              </w:rPr>
              <w:t>ended</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61"/>
        </w:trPr>
        <w:tc>
          <w:tcPr>
            <w:tcW w:w="7460" w:type="dxa"/>
            <w:vAlign w:val="bottom"/>
          </w:tcPr>
          <w:p>
            <w:pPr>
              <w:spacing w:after="0"/>
              <w:rPr>
                <w:sz w:val="14"/>
                <w:szCs w:val="14"/>
                <w:color w:val="auto"/>
              </w:rPr>
            </w:pPr>
          </w:p>
        </w:tc>
        <w:tc>
          <w:tcPr>
            <w:tcW w:w="15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2"/>
              </w:rPr>
              <w:t>March 31,</w:t>
            </w:r>
          </w:p>
        </w:tc>
        <w:tc>
          <w:tcPr>
            <w:tcW w:w="14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2"/>
              </w:rPr>
              <w:t>March 31,</w:t>
            </w:r>
          </w:p>
        </w:tc>
      </w:tr>
      <w:tr>
        <w:trPr>
          <w:trHeight w:val="142"/>
        </w:trPr>
        <w:tc>
          <w:tcPr>
            <w:tcW w:w="746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7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 (1)</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1.77%</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1.56%</w:t>
            </w: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Expected life of stock options (2)</w:t>
            </w:r>
          </w:p>
        </w:tc>
        <w:tc>
          <w:tcPr>
            <w:tcW w:w="480" w:type="dxa"/>
            <w:vAlign w:val="bottom"/>
          </w:tcPr>
          <w:p>
            <w:pPr>
              <w:jc w:val="right"/>
              <w:spacing w:after="0"/>
              <w:rPr>
                <w:sz w:val="20"/>
                <w:szCs w:val="20"/>
                <w:color w:val="auto"/>
              </w:rPr>
            </w:pPr>
            <w:r>
              <w:rPr>
                <w:rFonts w:ascii="Arial" w:cs="Arial" w:eastAsia="Arial" w:hAnsi="Arial"/>
                <w:sz w:val="18"/>
                <w:szCs w:val="18"/>
                <w:color w:val="auto"/>
              </w:rPr>
              <w:t>4.50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4.50</w:t>
            </w:r>
          </w:p>
        </w:tc>
        <w:tc>
          <w:tcPr>
            <w:tcW w:w="500" w:type="dxa"/>
            <w:vAlign w:val="bottom"/>
          </w:tcPr>
          <w:p>
            <w:pPr>
              <w:jc w:val="right"/>
              <w:spacing w:after="0"/>
              <w:rPr>
                <w:sz w:val="20"/>
                <w:szCs w:val="20"/>
                <w:color w:val="auto"/>
              </w:rPr>
            </w:pPr>
            <w:r>
              <w:rPr>
                <w:rFonts w:ascii="Arial" w:cs="Arial" w:eastAsia="Arial" w:hAnsi="Arial"/>
                <w:sz w:val="18"/>
                <w:szCs w:val="18"/>
                <w:color w:val="auto"/>
              </w:rPr>
              <w:t>4.50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ind w:left="100"/>
              <w:spacing w:after="0"/>
              <w:rPr>
                <w:sz w:val="20"/>
                <w:szCs w:val="20"/>
                <w:color w:val="auto"/>
              </w:rPr>
            </w:pPr>
            <w:r>
              <w:rPr>
                <w:rFonts w:ascii="Arial" w:cs="Arial" w:eastAsia="Arial" w:hAnsi="Arial"/>
                <w:sz w:val="18"/>
                <w:szCs w:val="18"/>
                <w:color w:val="auto"/>
                <w:w w:val="79"/>
              </w:rPr>
              <w:t>4.50</w:t>
            </w:r>
          </w:p>
        </w:tc>
        <w:tc>
          <w:tcPr>
            <w:tcW w:w="200" w:type="dxa"/>
            <w:vAlign w:val="bottom"/>
          </w:tcPr>
          <w:p>
            <w:pPr>
              <w:spacing w:after="0"/>
              <w:rPr>
                <w:sz w:val="18"/>
                <w:szCs w:val="18"/>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0.31</w:t>
            </w:r>
          </w:p>
        </w:tc>
        <w:tc>
          <w:tcPr>
            <w:tcW w:w="200" w:type="dxa"/>
            <w:vAlign w:val="bottom"/>
            <w:shd w:val="clear" w:color="auto" w:fill="CCEEFF"/>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Expected dividend yield (4)</w:t>
            </w:r>
          </w:p>
        </w:tc>
        <w:tc>
          <w:tcPr>
            <w:tcW w:w="720" w:type="dxa"/>
            <w:vAlign w:val="bottom"/>
            <w:gridSpan w:val="2"/>
          </w:tcPr>
          <w:p>
            <w:pPr>
              <w:ind w:left="100"/>
              <w:spacing w:after="0"/>
              <w:rPr>
                <w:sz w:val="20"/>
                <w:szCs w:val="20"/>
                <w:color w:val="auto"/>
              </w:rPr>
            </w:pPr>
            <w:r>
              <w:rPr>
                <w:rFonts w:ascii="Arial" w:cs="Arial" w:eastAsia="Arial" w:hAnsi="Arial"/>
                <w:sz w:val="18"/>
                <w:szCs w:val="18"/>
                <w:color w:val="auto"/>
              </w:rPr>
              <w:t>None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20"/>
              <w:spacing w:after="0"/>
              <w:rPr>
                <w:sz w:val="20"/>
                <w:szCs w:val="20"/>
                <w:color w:val="auto"/>
              </w:rPr>
            </w:pPr>
            <w:r>
              <w:rPr>
                <w:rFonts w:ascii="Arial" w:cs="Arial" w:eastAsia="Arial" w:hAnsi="Arial"/>
                <w:sz w:val="18"/>
                <w:szCs w:val="18"/>
                <w:color w:val="auto"/>
              </w:rPr>
              <w:t>None</w:t>
            </w: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None</w:t>
            </w: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Fair value per option</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$ 7.00</w:t>
            </w:r>
          </w:p>
        </w:tc>
        <w:tc>
          <w:tcPr>
            <w:tcW w:w="2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7.96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$ 7.19</w:t>
            </w: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7.77</w:t>
            </w:r>
          </w:p>
        </w:tc>
        <w:tc>
          <w:tcPr>
            <w:tcW w:w="2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68580</wp:posOffset>
            </wp:positionV>
            <wp:extent cx="8407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114"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Risk-free interest rate is based upon U.S. Treasury yield curve appropriate for the term of the Company</w:t>
      </w:r>
      <w:r>
        <w:rPr>
          <w:rFonts w:ascii="Arial" w:cs="Arial" w:eastAsia="Arial" w:hAnsi="Arial"/>
          <w:sz w:val="18"/>
          <w:szCs w:val="18"/>
          <w:b w:val="1"/>
          <w:bCs w:val="1"/>
          <w:color w:val="auto"/>
        </w:rPr>
        <w:t>’</w:t>
      </w:r>
      <w:r>
        <w:rPr>
          <w:rFonts w:ascii="Arial" w:cs="Arial" w:eastAsia="Arial" w:hAnsi="Arial"/>
          <w:sz w:val="18"/>
          <w:szCs w:val="18"/>
          <w:color w:val="auto"/>
        </w:rPr>
        <w:t>s employee stock options.</w:t>
      </w:r>
    </w:p>
    <w:p>
      <w:pPr>
        <w:spacing w:after="0" w:line="21"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Expected life of stock options is based upon historical experience.</w:t>
      </w:r>
    </w:p>
    <w:p>
      <w:pPr>
        <w:spacing w:after="0" w:line="9" w:lineRule="exact"/>
        <w:rPr>
          <w:rFonts w:ascii="Arial" w:cs="Arial" w:eastAsia="Arial" w:hAnsi="Arial"/>
          <w:sz w:val="18"/>
          <w:szCs w:val="18"/>
          <w:color w:val="auto"/>
        </w:rPr>
      </w:pPr>
    </w:p>
    <w:p>
      <w:pPr>
        <w:ind w:left="900" w:right="320" w:hanging="446"/>
        <w:spacing w:after="0" w:line="250"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Expected volatility is based on a combination of implied volatility of the Company’s traded options and historical stock price volatility (“blended volatility”).</w:t>
      </w: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Expected dividend yield is based on the Company’s history and future expectation of dividend payouts.</w:t>
      </w:r>
    </w:p>
    <w:p>
      <w:pPr>
        <w:spacing w:after="0" w:line="16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Equity-based compensation recognized is reduced for estimated forfeitures and revised, if necessary, in subsequent periods if actual forfeitures differ from those estimates.</w:t>
      </w:r>
    </w:p>
    <w:p>
      <w:pPr>
        <w:spacing w:after="0" w:line="207" w:lineRule="exact"/>
        <w:rPr>
          <w:sz w:val="20"/>
          <w:szCs w:val="20"/>
          <w:color w:val="auto"/>
        </w:rPr>
      </w:pPr>
    </w:p>
    <w:p>
      <w:pPr>
        <w:ind w:left="460" w:right="9640" w:hanging="452"/>
        <w:spacing w:after="0" w:line="417" w:lineRule="auto"/>
        <w:tabs>
          <w:tab w:leader="none" w:pos="267"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Contingencies </w:t>
      </w:r>
      <w:r>
        <w:rPr>
          <w:rFonts w:ascii="Arial" w:cs="Arial" w:eastAsia="Arial" w:hAnsi="Arial"/>
          <w:sz w:val="15"/>
          <w:szCs w:val="15"/>
          <w:i w:val="1"/>
          <w:iCs w:val="1"/>
          <w:color w:val="auto"/>
        </w:rPr>
        <w:t>Legal Proceedings</w:t>
      </w:r>
    </w:p>
    <w:p>
      <w:pPr>
        <w:spacing w:after="0" w:line="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 is involved in various legal proceedings arising in the normal course of its business. Based upon the advice of counsel, the Company does not believe that the ultimate resolution of these matters will have a material adverse effect on the Company’s consolidated financial position, results of operations, or cash flows.</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generally offers its products with a limited warranty for a period of 90 days. The Company’s policy is to accrue for warranty costs, if needed, based on historical trends in product failure. Based on the Company’s experience, only minimal warranty charges have been required after revenue was fully recognized and, as a result, the Company did not accrue any amounts for product warranty liability during the six months ended March 31, 2012 and 2011.</w:t>
      </w:r>
    </w:p>
    <w:p>
      <w:pPr>
        <w:spacing w:after="0" w:line="107"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The Company generally indemnifies its customers against claims of intellectual property infringement made by third parties arising from the use of the Company’s software. To date, the Company has incurred and recorded only minimal costs as a result of such obligations in its consolidated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May 1, 2012, the Company’s Board of Directors approved, subject to shareholder approval, the institution of a quarterly cash dividend program at the quarterly rate of $0.13 per share. The Company’s articles of incorporation require shareholder approval for the payment of dividends, and the Company will call a special shareholders meeting to approve the dividend program to be held on July 31, 2012. The Board has set June 15, 2012, as the record date for determining the shareholders entitled to vote at the meeting. If the program is approved by shareholders, the Company expects that the first quarterly dividend would be paid in the first quarter of fiscal 2013.</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Operating and Financial Review and Prospects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118"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and other risks, please read the information set forth under the caption “Risk Factors” in our Annual Report on Form 20-F for fiscal 2011, filed on December 8, 2011 with the U.S. Securities and Exchange Commission.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and Trend Information</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Amdocs is a leading provider of software and services for communications, media and entertainment industry service providers in developed and emerging markets.</w:t>
      </w:r>
    </w:p>
    <w:p>
      <w:pPr>
        <w:spacing w:after="0" w:line="132"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We develop, implement and manage software and services associated with business support systems (BSS), operational support systems (OSS) and network control product offerings, which includes our Bridgewater acquisition portfolio. These enable service providers to introduce new products quickly, understand their customers more deeply, process orders more efficiently, monetize data and support new business models while controlling costs. We refer to these systems collectively as customer experience systems because of the crucial impact they have on the service providers’ end-user experience.</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believe the demand for our customer experience systems is driven by the need of service providers to help their consumers navigate the increasing number of devices, services and plans available in the connected world, while coping with the rapidly growing demand for data these new devices and services have created. We embrace service providers’ biggest challenges to enable their success through a strategy of innovation from the network and business support systems to the device and end user. We continue to introduce and enhance products and services that enable service providers to simplify the customer experience, harness and capitalize on the data explosion, stay ahead with new digital services and improve operational efficiency. Our goal is to supply scalable offerings that provide the functionality and flexibility to service providers that facilitate innovation and enable cost-effective execution. Regardless of whether providers are bringing their first offerings to market, scaling for growth, consolidating systems or transforming the way they do business, we believe that providers seek to differentiate their offerings by delivering a customer experience that is simple, personal and consistent at every point of service.</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also offer advertising and media services for directory publishers which are comprised of a comprehensive set of products and services designed to enable local search and directory publishers to manage the entire media selling, fulfillment, consumer experience and financial processes across online, print and mobile media.</w:t>
      </w:r>
    </w:p>
    <w:p>
      <w:pPr>
        <w:spacing w:after="0" w:line="140"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We conduct our business globally, and as a result we are subject to the effects of global economic conditions and, in particular, market conditions in the communications, media and entertainment industry. In the six months ended March 31, 2012, customers in North America accounted for 70.4% of our revenue, while customers in Europe and the rest of the world accounted for 13.7% and 15.9%, respectively. Customers in emerging markets accounted for 10.6% of our revenue in the six months ended March 31, 2012. We maintain development facilities in Brazil, Cyprus, India, Ireland, Israel and the United States.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derive our revenue principally from:</w:t>
      </w:r>
    </w:p>
    <w:p>
      <w:pPr>
        <w:spacing w:after="0" w:line="90" w:lineRule="exact"/>
        <w:rPr>
          <w:sz w:val="20"/>
          <w:szCs w:val="20"/>
          <w:color w:val="auto"/>
        </w:rPr>
      </w:pPr>
    </w:p>
    <w:p>
      <w:pPr>
        <w:jc w:val="center"/>
        <w:ind w:left="5620" w:right="380" w:hanging="5166"/>
        <w:spacing w:after="0" w:line="440" w:lineRule="auto"/>
        <w:tabs>
          <w:tab w:leader="none" w:pos="66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initial sales of licenses to use our products and related services, including modification, implementation, integration and customization services, 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managed services in our domain expertise and other related services, and</w:t>
      </w:r>
    </w:p>
    <w:p>
      <w:pPr>
        <w:spacing w:after="0" w:line="90" w:lineRule="exact"/>
        <w:rPr>
          <w:rFonts w:ascii="Arial" w:cs="Arial" w:eastAsia="Arial" w:hAnsi="Arial"/>
          <w:sz w:val="18"/>
          <w:szCs w:val="18"/>
          <w:color w:val="auto"/>
        </w:rPr>
      </w:pPr>
    </w:p>
    <w:p>
      <w:pPr>
        <w:ind w:left="660" w:right="240" w:hanging="206"/>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recurring revenue from ongoing support, maintenance and enhancements provided to our customers, and from incremental license fees resulting from increases in a customer’s business volume.</w:t>
      </w:r>
    </w:p>
    <w:p>
      <w:pPr>
        <w:spacing w:after="0" w:line="13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Revenue is recognized only when all of the following conditions have been met: (i) there is persuasive evidence of an arrangement; (ii) delivery has occurred; (iii) the fee is fixed or determinable; and (iv) collectibility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Those services are deemed essential to the software. As a result, we generally recognize initial license fee and related service revenue over the course of these long-term projects, using the percentage of completion method of accounting. Subsequent license fee revenue is recognized upon completion of specified conditions in each contract, based on a customer’s subscriber or transaction volume or other measurements when greater than the level specified in the contract for the initial license fee. Revenue from software solutions that do not require significant customization, implementation and modification is recognized upon delivery. Revenue from services that do not involve significant ongoing obligations is recognized as services are rendered. In managed services contracts, we typically recognize revenue from the operation of a customer’s system as services are performed based on time elapsed, output produced or volume of data processed, depending on the specific contract terms of the managed services arrangement. Typically, managed services contracts are long-term in duration and are not subject to seasonality. Revenue from ongoing support services is recognized as work is performed.</w:t>
      </w:r>
    </w:p>
    <w:p>
      <w:pPr>
        <w:spacing w:after="0" w:line="12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Revenue from third-party hardware sales is recognized upon delivery and installation and revenue from third-party software sales is recognized upon delivery. Maintenance revenue is recognized ratably over the term of the maintenance agreement.</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 significant portion of our revenue is recognized over the course of long-term implementation and integration projects under the percentage of completion method of accounting. When total cost estimates exceed revenues in a fixed-price arrangement, the estimated losses are recognized immediately based upon the cost applicable to the project. The percentage of completion method requires the exercise of judgment on a quarterly basis, such as with respect to estimations of progress-to-completion, contract revenue, loss contracts and contract costs. Progress in completing such projects may significantly affect our annual and quarterly operating results.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Revenue from managed services arrangements (for customer experience systems and directory systems) is included in both license and service revenue. Revenue generated in connection with managed services arrangements is a significant part of our business, generating substantial, long-term recurring revenue streams and cash flow. Revenue from managed services arrangements accounted for approximately $414.4 million and $834.1 million in the three and six months ended March 31, 2012, respectively, and $382.6 million and $753.8 million in the three and six months ended March 31, 2011, respectively. In the initial period of our managed services projects, we often invest in modernization and consolidation of the customer’s systems. Managed services engagements can be less profitable in their early stages; however, margins tend to improve over time, more rapidly in the initial period of an engagement, as we derive benefit from the operational efficiencies and from changes in the geographical mix of our resources.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96"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In September 2011, the Financial Accounting Standards Board, or FASB, issued a revised accounting standard update intended to simplify how an entity tests goodwill for impairment. The amendment will allow an entity to first assess qualitative factors to determine whether it is necessary to perform the two-step quantitative goodwill impairment test. An entity no longer will be required to calculate the fair value of a reporting unit unless the entity determines, based on a qualitative assessment, that it is more likely than not that its fair value is less than its carrying amount. This accounting standard update will be effective for us beginning October 1, 2012 and early adoption is permitted. We do not expect that the adoption of this new guidance will have a material impact on our financial statements.</w:t>
      </w:r>
    </w:p>
    <w:p>
      <w:pPr>
        <w:spacing w:after="0" w:line="144"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June 2011, the FASB issued guidance to require an entity to present the total of comprehensive income, the components of net income, and the components of other comprehensive income either in a single continuous statement of comprehensive income or in two separate but consecutive statements. The guidance eliminates the option to present the components of other comprehensive income as part of the statement of equity, and will become effective for us beginning October 1, 2012. In December 2011, the FASB issued guidance which indefinitely defers the guidance related to the presentation of reclassification adjustments. The guidance will only result in changes in our financial statements presentation.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96" w:lineRule="exact"/>
        <w:rPr>
          <w:sz w:val="20"/>
          <w:szCs w:val="20"/>
          <w:color w:val="auto"/>
        </w:rPr>
      </w:pPr>
    </w:p>
    <w:p>
      <w:pPr>
        <w:ind w:right="760" w:firstLine="456"/>
        <w:spacing w:after="0" w:line="332" w:lineRule="auto"/>
        <w:rPr>
          <w:sz w:val="20"/>
          <w:szCs w:val="20"/>
          <w:color w:val="auto"/>
        </w:rPr>
      </w:pPr>
      <w:r>
        <w:rPr>
          <w:rFonts w:ascii="Arial" w:cs="Arial" w:eastAsia="Arial" w:hAnsi="Arial"/>
          <w:sz w:val="16"/>
          <w:szCs w:val="16"/>
          <w:color w:val="auto"/>
        </w:rPr>
        <w:t>In May 2011, the FASB issued guidance to provide a consistent definition of fair value and ensure that the fair value measurement and disclosure requirements under U.S. GAAP and International Financial Reporting Standards are similar. This guidance was effective for us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beginning January 1, 2012. The guidance changes certain fair value measurement principles and enhances the disclosure requirements particularly for Level 3 fair value measurements. The adoption of this new guidance did not have a material impact on our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following table sets forth for the three and six months ended March 31, 2012 and 2011, certain items in our consolidated statements of income reflected as a percentage of total revenue:</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15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6"/>
              </w:rPr>
              <w:t>Three months</w:t>
            </w:r>
          </w:p>
        </w:tc>
        <w:tc>
          <w:tcPr>
            <w:tcW w:w="14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7"/>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800" w:type="dxa"/>
            <w:vAlign w:val="bottom"/>
            <w:gridSpan w:val="2"/>
          </w:tcPr>
          <w:p>
            <w:pPr>
              <w:jc w:val="center"/>
              <w:ind w:left="317"/>
              <w:spacing w:after="0" w:line="149" w:lineRule="exact"/>
              <w:rPr>
                <w:sz w:val="20"/>
                <w:szCs w:val="20"/>
                <w:color w:val="auto"/>
              </w:rPr>
            </w:pPr>
            <w:r>
              <w:rPr>
                <w:rFonts w:ascii="Arial" w:cs="Arial" w:eastAsia="Arial" w:hAnsi="Arial"/>
                <w:sz w:val="14"/>
                <w:szCs w:val="14"/>
                <w:b w:val="1"/>
                <w:bCs w:val="1"/>
                <w:color w:val="auto"/>
                <w:w w:val="87"/>
              </w:rPr>
              <w:t>ended</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tcPr>
          <w:p>
            <w:pPr>
              <w:jc w:val="center"/>
              <w:ind w:left="337"/>
              <w:spacing w:after="0" w:line="149" w:lineRule="exact"/>
              <w:rPr>
                <w:sz w:val="20"/>
                <w:szCs w:val="20"/>
                <w:color w:val="auto"/>
              </w:rPr>
            </w:pPr>
            <w:r>
              <w:rPr>
                <w:rFonts w:ascii="Arial" w:cs="Arial" w:eastAsia="Arial" w:hAnsi="Arial"/>
                <w:sz w:val="14"/>
                <w:szCs w:val="14"/>
                <w:b w:val="1"/>
                <w:bCs w:val="1"/>
                <w:color w:val="auto"/>
                <w:w w:val="82"/>
              </w:rPr>
              <w:t>ended</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15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2"/>
              </w:rPr>
              <w:t>March 31,</w:t>
            </w:r>
          </w:p>
        </w:tc>
        <w:tc>
          <w:tcPr>
            <w:tcW w:w="14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36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2011</w:t>
            </w:r>
          </w:p>
        </w:tc>
        <w:tc>
          <w:tcPr>
            <w:tcW w:w="30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96"/>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44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License</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w:t>
            </w:r>
          </w:p>
        </w:tc>
        <w:tc>
          <w:tcPr>
            <w:tcW w:w="80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96.8</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3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100.0</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100.0</w:t>
            </w:r>
          </w:p>
        </w:tc>
        <w:tc>
          <w:tcPr>
            <w:tcW w:w="300" w:type="dxa"/>
            <w:vAlign w:val="bottom"/>
          </w:tcPr>
          <w:p>
            <w:pPr>
              <w:spacing w:after="0"/>
              <w:rPr>
                <w:sz w:val="20"/>
                <w:szCs w:val="20"/>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100.0</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100.0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40" w:type="dxa"/>
            <w:vAlign w:val="bottom"/>
            <w:tcBorders>
              <w:top w:val="single" w:sz="8" w:color="auto"/>
            </w:tcBorders>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Cost of license</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0.1</w:t>
            </w:r>
          </w:p>
        </w:tc>
        <w:tc>
          <w:tcPr>
            <w:tcW w:w="400" w:type="dxa"/>
            <w:vAlign w:val="bottom"/>
          </w:tcPr>
          <w:p>
            <w:pPr>
              <w:jc w:val="right"/>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0.1</w:t>
            </w: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w:t>
            </w:r>
          </w:p>
        </w:tc>
        <w:tc>
          <w:tcPr>
            <w:tcW w:w="80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3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7.5</w:t>
            </w:r>
          </w:p>
        </w:tc>
        <w:tc>
          <w:tcPr>
            <w:tcW w:w="400" w:type="dxa"/>
            <w:vAlign w:val="bottom"/>
          </w:tcPr>
          <w:p>
            <w:pPr>
              <w:jc w:val="right"/>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7.5</w:t>
            </w:r>
          </w:p>
        </w:tc>
        <w:tc>
          <w:tcPr>
            <w:tcW w:w="42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80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3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Amortization of purchased intangible assets and other</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1.6</w:t>
            </w:r>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1.7</w:t>
            </w:r>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86.4</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3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vMerge w:val="restart"/>
          </w:tcPr>
          <w:p>
            <w:pPr>
              <w:ind w:left="420"/>
              <w:spacing w:after="0"/>
              <w:rPr>
                <w:sz w:val="20"/>
                <w:szCs w:val="20"/>
                <w:color w:val="auto"/>
              </w:rPr>
            </w:pPr>
            <w:r>
              <w:rPr>
                <w:rFonts w:ascii="Arial" w:cs="Arial" w:eastAsia="Arial" w:hAnsi="Arial"/>
                <w:sz w:val="18"/>
                <w:szCs w:val="18"/>
                <w:color w:val="auto"/>
              </w:rPr>
              <w:t>Operating income</w:t>
            </w:r>
          </w:p>
        </w:tc>
        <w:tc>
          <w:tcPr>
            <w:tcW w:w="4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560" w:type="dxa"/>
            <w:vAlign w:val="bottom"/>
            <w:vMerge w:val="continue"/>
          </w:tcPr>
          <w:p>
            <w:pPr>
              <w:spacing w:after="0"/>
              <w:rPr>
                <w:sz w:val="19"/>
                <w:szCs w:val="19"/>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13.6</w:t>
            </w:r>
          </w:p>
        </w:tc>
        <w:tc>
          <w:tcPr>
            <w:tcW w:w="400" w:type="dxa"/>
            <w:vAlign w:val="bottom"/>
          </w:tcPr>
          <w:p>
            <w:pPr>
              <w:jc w:val="right"/>
              <w:spacing w:after="0"/>
              <w:rPr>
                <w:sz w:val="20"/>
                <w:szCs w:val="20"/>
                <w:color w:val="auto"/>
              </w:rPr>
            </w:pPr>
            <w:r>
              <w:rPr>
                <w:rFonts w:ascii="Arial" w:cs="Arial" w:eastAsia="Arial" w:hAnsi="Arial"/>
                <w:sz w:val="18"/>
                <w:szCs w:val="18"/>
                <w:color w:val="auto"/>
              </w:rPr>
              <w:t>13.5</w:t>
            </w:r>
          </w:p>
        </w:tc>
        <w:tc>
          <w:tcPr>
            <w:tcW w:w="300" w:type="dxa"/>
            <w:vAlign w:val="bottom"/>
          </w:tcPr>
          <w:p>
            <w:pPr>
              <w:spacing w:after="0"/>
              <w:rPr>
                <w:sz w:val="19"/>
                <w:szCs w:val="19"/>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13.5</w:t>
            </w:r>
          </w:p>
        </w:tc>
        <w:tc>
          <w:tcPr>
            <w:tcW w:w="420" w:type="dxa"/>
            <w:vAlign w:val="bottom"/>
          </w:tcPr>
          <w:p>
            <w:pPr>
              <w:jc w:val="right"/>
              <w:spacing w:after="0"/>
              <w:rPr>
                <w:sz w:val="20"/>
                <w:szCs w:val="20"/>
                <w:color w:val="auto"/>
              </w:rPr>
            </w:pPr>
            <w:r>
              <w:rPr>
                <w:rFonts w:ascii="Arial" w:cs="Arial" w:eastAsia="Arial" w:hAnsi="Arial"/>
                <w:sz w:val="18"/>
                <w:szCs w:val="18"/>
                <w:color w:val="auto"/>
              </w:rPr>
              <w:t>12.4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other income (expense), net</w:t>
            </w:r>
          </w:p>
        </w:tc>
        <w:tc>
          <w:tcPr>
            <w:tcW w:w="80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vMerge w:val="restart"/>
          </w:tcPr>
          <w:p>
            <w:pPr>
              <w:ind w:left="420"/>
              <w:spacing w:after="0"/>
              <w:rPr>
                <w:sz w:val="20"/>
                <w:szCs w:val="20"/>
                <w:color w:val="auto"/>
              </w:rPr>
            </w:pPr>
            <w:r>
              <w:rPr>
                <w:rFonts w:ascii="Arial" w:cs="Arial" w:eastAsia="Arial" w:hAnsi="Arial"/>
                <w:sz w:val="18"/>
                <w:szCs w:val="18"/>
                <w:color w:val="auto"/>
              </w:rPr>
              <w:t>Income before income taxes</w:t>
            </w:r>
          </w:p>
        </w:tc>
        <w:tc>
          <w:tcPr>
            <w:tcW w:w="4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560" w:type="dxa"/>
            <w:vAlign w:val="bottom"/>
            <w:vMerge w:val="continue"/>
          </w:tcPr>
          <w:p>
            <w:pPr>
              <w:spacing w:after="0"/>
              <w:rPr>
                <w:sz w:val="19"/>
                <w:szCs w:val="19"/>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14.2</w:t>
            </w:r>
          </w:p>
        </w:tc>
        <w:tc>
          <w:tcPr>
            <w:tcW w:w="400" w:type="dxa"/>
            <w:vAlign w:val="bottom"/>
          </w:tcPr>
          <w:p>
            <w:pPr>
              <w:jc w:val="right"/>
              <w:spacing w:after="0"/>
              <w:rPr>
                <w:sz w:val="20"/>
                <w:szCs w:val="20"/>
                <w:color w:val="auto"/>
              </w:rPr>
            </w:pPr>
            <w:r>
              <w:rPr>
                <w:rFonts w:ascii="Arial" w:cs="Arial" w:eastAsia="Arial" w:hAnsi="Arial"/>
                <w:sz w:val="18"/>
                <w:szCs w:val="18"/>
                <w:color w:val="auto"/>
              </w:rPr>
              <w:t>13.5</w:t>
            </w:r>
          </w:p>
        </w:tc>
        <w:tc>
          <w:tcPr>
            <w:tcW w:w="300" w:type="dxa"/>
            <w:vAlign w:val="bottom"/>
          </w:tcPr>
          <w:p>
            <w:pPr>
              <w:spacing w:after="0"/>
              <w:rPr>
                <w:sz w:val="19"/>
                <w:szCs w:val="19"/>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13.6</w:t>
            </w:r>
          </w:p>
        </w:tc>
        <w:tc>
          <w:tcPr>
            <w:tcW w:w="420" w:type="dxa"/>
            <w:vAlign w:val="bottom"/>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w:t>
            </w:r>
          </w:p>
        </w:tc>
        <w:tc>
          <w:tcPr>
            <w:tcW w:w="80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vMerge w:val="restart"/>
          </w:tcPr>
          <w:p>
            <w:pPr>
              <w:ind w:left="420"/>
              <w:spacing w:after="0"/>
              <w:rPr>
                <w:sz w:val="20"/>
                <w:szCs w:val="20"/>
                <w:color w:val="auto"/>
              </w:rPr>
            </w:pPr>
            <w:r>
              <w:rPr>
                <w:rFonts w:ascii="Arial" w:cs="Arial" w:eastAsia="Arial" w:hAnsi="Arial"/>
                <w:sz w:val="18"/>
                <w:szCs w:val="18"/>
                <w:color w:val="auto"/>
              </w:rPr>
              <w:t>Net income</w:t>
            </w:r>
          </w:p>
        </w:tc>
        <w:tc>
          <w:tcPr>
            <w:tcW w:w="4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560" w:type="dxa"/>
            <w:vAlign w:val="bottom"/>
            <w:vMerge w:val="continue"/>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12.6%</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11.9%</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12.0%</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March 31, 2012 and 2011</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tabular presentation of our results of operations for the six months ended March 31, 2012 compared to the six months ended March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 Following the table is a discussion and analysis of our business and results of operations for such periods.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4"/>
                <w:szCs w:val="14"/>
                <w:color w:val="auto"/>
              </w:rPr>
            </w:pPr>
          </w:p>
        </w:tc>
        <w:tc>
          <w:tcPr>
            <w:tcW w:w="14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89"/>
              </w:rPr>
              <w:t>Increase (Decrease)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top w:val="single" w:sz="8" w:color="auto"/>
            </w:tcBorders>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w w:val="94"/>
              </w:rPr>
              <w:t>Amount</w:t>
            </w:r>
          </w:p>
        </w:tc>
        <w:tc>
          <w:tcPr>
            <w:tcW w:w="52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Borders>
              <w:bottom w:val="single" w:sz="8" w:color="CCEEFF"/>
            </w:tcBorders>
          </w:tcPr>
          <w:p>
            <w:pPr>
              <w:spacing w:after="0"/>
              <w:rPr>
                <w:sz w:val="12"/>
                <w:szCs w:val="12"/>
                <w:color w:val="auto"/>
              </w:rPr>
            </w:pPr>
          </w:p>
        </w:tc>
        <w:tc>
          <w:tcPr>
            <w:tcW w:w="2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gridSpan w:val="4"/>
          </w:tcPr>
          <w:p>
            <w:pPr>
              <w:jc w:val="right"/>
              <w:ind w:right="20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License</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62,034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58,601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3,433</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1,553,904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1,505,515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48,389</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1,615,938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1,564,116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51,822</w:t>
            </w:r>
          </w:p>
        </w:tc>
        <w:tc>
          <w:tcPr>
            <w:tcW w:w="5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Cost of license</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898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1,028</w:t>
            </w:r>
          </w:p>
        </w:tc>
        <w:tc>
          <w:tcPr>
            <w:tcW w:w="520" w:type="dxa"/>
            <w:vAlign w:val="bottom"/>
          </w:tcPr>
          <w:p>
            <w:pPr>
              <w:jc w:val="right"/>
              <w:spacing w:after="0"/>
              <w:rPr>
                <w:sz w:val="20"/>
                <w:szCs w:val="20"/>
                <w:color w:val="auto"/>
              </w:rPr>
            </w:pPr>
            <w:r>
              <w:rPr>
                <w:rFonts w:ascii="Arial" w:cs="Arial" w:eastAsia="Arial" w:hAnsi="Arial"/>
                <w:sz w:val="18"/>
                <w:szCs w:val="18"/>
                <w:color w:val="auto"/>
              </w:rPr>
              <w:t>114.5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1,033,730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1,021,376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12,354</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121,657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108,528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13,129</w:t>
            </w:r>
          </w:p>
        </w:tc>
        <w:tc>
          <w:tcPr>
            <w:tcW w:w="520" w:type="dxa"/>
            <w:vAlign w:val="bottom"/>
          </w:tcPr>
          <w:p>
            <w:pPr>
              <w:jc w:val="right"/>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203,421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9,758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w w:val="98"/>
              </w:rPr>
              <w:t>Amortization of purchased intangible assets and other</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26,526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35,753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(9,227)</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1,397,018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1,369,976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27,042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2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00" w:type="dxa"/>
            <w:vAlign w:val="bottom"/>
            <w:gridSpan w:val="2"/>
            <w:vMerge w:val="continue"/>
          </w:tcPr>
          <w:p>
            <w:pPr>
              <w:spacing w:after="0"/>
              <w:rPr>
                <w:sz w:val="19"/>
                <w:szCs w:val="19"/>
                <w:color w:val="auto"/>
              </w:rPr>
            </w:pPr>
          </w:p>
        </w:tc>
        <w:tc>
          <w:tcPr>
            <w:tcW w:w="2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218,920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194,140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24,780</w:t>
            </w:r>
          </w:p>
        </w:tc>
        <w:tc>
          <w:tcPr>
            <w:tcW w:w="5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4,741</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(154.5)</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2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00" w:type="dxa"/>
            <w:vAlign w:val="bottom"/>
            <w:gridSpan w:val="2"/>
            <w:vMerge w:val="continue"/>
          </w:tcPr>
          <w:p>
            <w:pPr>
              <w:spacing w:after="0"/>
              <w:rPr>
                <w:sz w:val="19"/>
                <w:szCs w:val="19"/>
                <w:color w:val="auto"/>
              </w:rPr>
            </w:pPr>
          </w:p>
        </w:tc>
        <w:tc>
          <w:tcPr>
            <w:tcW w:w="2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220,593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191,072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29,521</w:t>
            </w:r>
          </w:p>
        </w:tc>
        <w:tc>
          <w:tcPr>
            <w:tcW w:w="5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23,571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2,421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2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line="20" w:lineRule="exact"/>
              <w:rPr>
                <w:sz w:val="1"/>
                <w:szCs w:val="1"/>
                <w:color w:val="auto"/>
              </w:rPr>
            </w:pPr>
          </w:p>
        </w:tc>
      </w:tr>
      <w:tr>
        <w:trPr>
          <w:trHeight w:val="221"/>
        </w:trPr>
        <w:tc>
          <w:tcPr>
            <w:tcW w:w="4700" w:type="dxa"/>
            <w:vAlign w:val="bottom"/>
            <w:gridSpan w:val="2"/>
            <w:vMerge w:val="continue"/>
          </w:tcPr>
          <w:p>
            <w:pPr>
              <w:spacing w:after="0"/>
              <w:rPr>
                <w:sz w:val="19"/>
                <w:szCs w:val="19"/>
                <w:color w:val="auto"/>
              </w:rPr>
            </w:pPr>
          </w:p>
        </w:tc>
        <w:tc>
          <w:tcPr>
            <w:tcW w:w="2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194,601</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167,501</w:t>
            </w:r>
          </w:p>
        </w:tc>
        <w:tc>
          <w:tcPr>
            <w:tcW w:w="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27,100</w:t>
            </w:r>
          </w:p>
        </w:tc>
        <w:tc>
          <w:tcPr>
            <w:tcW w:w="7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340" w:type="dxa"/>
            <w:vAlign w:val="bottom"/>
          </w:tcPr>
          <w:p>
            <w:pPr>
              <w:jc w:val="right"/>
              <w:ind w:right="1612"/>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Total revenue increased by $51.8 million, or 3.3%, to $1,615.9 million in the six months ended March 31, 2012, from $1,564.1 million in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2011. License revenue in the six months ended March 31, 2012 increased by $3.4 million, or 5.9%, to $62.0 million, from $58.6 million in the six months ended March 31, 2011.</w:t>
      </w:r>
    </w:p>
    <w:p>
      <w:pPr>
        <w:spacing w:after="0" w:line="140"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License and service revenue attributable to the sale of customer experience systems increased by $54.3 million, or 3.7%, to $1,516.9 million in the six months ended March 31, 2012, from $1,462.6 million, in the six months ended March 31, 2011. The increase in revenue was primarily attributable to revenue related to transformation and implementation projects and to revenue related to our network control offerings, partially offset by slower spending by AT&amp;T, as well as by lower revenue resulting from contractual price reductions with Bell Canada. License and service revenue resulting from the sale of customer experience systems represented 93.9% and 93.5% of our total revenue in the six months ended March 31, 2012 and 2011, respectively.</w:t>
      </w:r>
    </w:p>
    <w:p>
      <w:pPr>
        <w:spacing w:after="0" w:line="1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License and service revenue attributable to the sale of directory systems decreased by $2.5 million, or 2.5%, to $99.0 million in the six months ended March 31, 2012, from $101.5 million in the six months ended March 31, 2011. License and service revenue from the sale of directory systems represented 6.1% and 6.5% of our total revenue in the six months ended March 31, 2012 and 2011, respectively.</w:t>
      </w:r>
    </w:p>
    <w:p>
      <w:pPr>
        <w:spacing w:after="0" w:line="14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In the six months ended March 31, 2012, revenue from customers in North America, Europe and the rest of the world accounted for 70.4%, 13.7% and 15.9%, respectively, of total revenue compared to 74.4%, 12.5% and 13.1%, respectively, in the six months ended March 31, 2011. As a percentage of total revenue, revenue from North American customers decreased during the six months ended March 31, 2012, primarily from slower spending by AT&amp;T, as well as from lower revenue resulting from contractual price reductions with Bell Canada, partially offset by an increase in revenue related to transformation and implementation projects, as well as by revenue related to our network control offerings. The increase in revenue from customers in Europe was primarily attributable to revenue related to transformation and implementation projects. The increase in revenue from customers in the rest of the world was primarily attributable to our activity in emerging markets.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Cost of License and Service</w:t>
      </w:r>
      <w:r>
        <w:rPr>
          <w:rFonts w:ascii="Arial" w:cs="Arial" w:eastAsia="Arial" w:hAnsi="Arial"/>
          <w:sz w:val="16"/>
          <w:szCs w:val="16"/>
          <w:color w:val="auto"/>
        </w:rPr>
        <w:t>. Cost of license includes fees and royalty payments to software suppliers. Cost of service consists primarily of costs associated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providing services to customers, including compensation expense and costs of third-party products. Cost of license and service increased by $13.4 million, or 1.3%, to $1,035.7 million in the six months ended March 31, 2012, from $1,022.3 million in the six months ended March 31, 2011. As a percentage of revenue, cost of license and service was 64.1% in the six months ended March 31, 2012, compared to 65.4% in the six months ended March 31, 2011. The decrease in our cost of license and service as a percentage of revenue was primarily attributable to the benefits of prior investments in internal training and knowledge building programs for our employees, as well as to the benefits from various process improvements and efficiency programs.</w:t>
      </w:r>
    </w:p>
    <w:p>
      <w:pPr>
        <w:spacing w:after="0" w:line="12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Research and development expense is primarily comprised of compensation expense. Research and development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increased by $13.1 million, or 12.1%, to $121.7 million in the six months ended March 31, 2012, from $108.5 million in the six months ended March 31, 2011. The increase in research and development expense is primarily attributable to our network control research and development activity. Research and development expense increased as a percentage of revenue from 6.9% in the six months ended March 31, 2011 to 7.5% in the six months ended March 31, 2012. Our research and development efforts are a key element of our strategy and are essential to our success and we intend to maintain our commitment to research and development. An increase or a decrease in our total revenue would not necessarily result in a proportional increase or decrease in the levels of our research and development expenditures, which could affect our operating margin.</w:t>
      </w:r>
    </w:p>
    <w:p>
      <w:pPr>
        <w:spacing w:after="0" w:line="11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Selling, General and Administrative. </w:t>
      </w:r>
      <w:r>
        <w:rPr>
          <w:rFonts w:ascii="Arial" w:cs="Arial" w:eastAsia="Arial" w:hAnsi="Arial"/>
          <w:sz w:val="16"/>
          <w:szCs w:val="16"/>
          <w:color w:val="auto"/>
        </w:rPr>
        <w:t>Selling, general and administrative expense increased by $9.8 million, or 4.8%, to $213.2 million in the six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March 31, 2012, from $203.4 million in the six months ended March 31, 2011. Selling, general and administrative expense is primarily comprised of compensation expense. The increase in selling, general and administrative expense was primarily attributable to selling and marketing activities.</w:t>
      </w:r>
    </w:p>
    <w:p>
      <w:pPr>
        <w:spacing w:after="0" w:line="10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Amortization of Purchased Intangible Assets and Other. </w:t>
      </w:r>
      <w:r>
        <w:rPr>
          <w:rFonts w:ascii="Arial" w:cs="Arial" w:eastAsia="Arial" w:hAnsi="Arial"/>
          <w:sz w:val="18"/>
          <w:szCs w:val="18"/>
          <w:color w:val="auto"/>
        </w:rPr>
        <w:t>Amortization of purchased intangible assets and other in the six months ended March 31, 2012,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decreased by $9.2 million to $26.5 million from $35.8 million in the six months ended March 31, 2011. The decrease in amortization of purchased intangible assets and other was primarily due to purchased intangible assets that were fully amortized in prior periods, partially offset by amortization of intangible assets related to the Bridgewater acquisition.</w:t>
      </w:r>
    </w:p>
    <w:p>
      <w:pPr>
        <w:spacing w:after="0" w:line="143"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b w:val="1"/>
          <w:bCs w:val="1"/>
          <w:i w:val="1"/>
          <w:iCs w:val="1"/>
          <w:color w:val="auto"/>
        </w:rPr>
        <w:t>Operating Income</w:t>
      </w:r>
      <w:r>
        <w:rPr>
          <w:rFonts w:ascii="Arial" w:cs="Arial" w:eastAsia="Arial" w:hAnsi="Arial"/>
          <w:sz w:val="16"/>
          <w:szCs w:val="16"/>
          <w:color w:val="auto"/>
        </w:rPr>
        <w:t>. Operating income increased by $24.8 million, or 12.8%, in the six months ended March 31, 2012, to $218.9 million, or 13.5%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from $194.1 million, or 12.4% of revenue, in the six months ended March 31, 2011. The increase in operating income as a percentage of revenue was primarily attributable to the increase in revenue which was at a higher rate than the increase in operating expenses.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Interest and Other Income (Expense), Net. </w:t>
      </w:r>
      <w:r>
        <w:rPr>
          <w:rFonts w:ascii="Arial" w:cs="Arial" w:eastAsia="Arial" w:hAnsi="Arial"/>
          <w:sz w:val="18"/>
          <w:szCs w:val="18"/>
          <w:color w:val="auto"/>
        </w:rPr>
        <w:t>Interest and other income (expense), net, increased by $4.7 million to an income of $1.7 million in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2012, from an expense of $3.1 million in the six months ended March 31, 2011. The increase in interest and other income (expense), net, was primarily attributable to a gain, resulting from the sale of our minority interest in Longshine, our former Chinese subsidiary, recorded in the three months ended March 31, 2012.</w:t>
      </w:r>
    </w:p>
    <w:p>
      <w:pPr>
        <w:spacing w:after="0" w:line="14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Income taxes for the six months ended March 31, 2012 were $26.0 million on pre-tax income of $220.6 million, resulting in an effective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rate of 11.8%, compared to 12.3% in the six months ended March 31, 2011. Our effective tax rate may fluctuate between quarters as a result of discrete items that may affect a specific quarter.</w:t>
      </w:r>
    </w:p>
    <w:p>
      <w:pPr>
        <w:spacing w:after="0" w:line="14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increased by $27.1 million, or 16.2%, to $194.6 million, in the six months ended March 31, 2012, from $167.5 million in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2011. The increase in net income was attributable primarily to the increase in operating income, as well as to the increase in interest and other income (expense), net.</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Diluted Earnings Per Share. </w:t>
      </w:r>
      <w:r>
        <w:rPr>
          <w:rFonts w:ascii="Arial" w:cs="Arial" w:eastAsia="Arial" w:hAnsi="Arial"/>
          <w:sz w:val="16"/>
          <w:szCs w:val="16"/>
          <w:color w:val="auto"/>
        </w:rPr>
        <w:t>Diluted earnings per share increased by $0.25, or 28.4%, to $1.13 in the six months ended March 31, 2012, from $0.88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six months ended March 31, 2011. The increase in diluted earnings per share resulted from the increase in net income and from the decrease in the diluted weighted average number of shares outstanding resulting from our repurchase of ordinary shares in fiscal 2011 and in the six months ended March 31, 2012.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2012 and 2011</w:t>
      </w:r>
    </w:p>
    <w:p>
      <w:pPr>
        <w:spacing w:after="0" w:line="96"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The following is a tabular presentation of our results of operations for the three months ended March 31, 2012 compared to the three months ended March 31, 2011. Following the table is a discussion and analysis of our business and results of operations for such periods.</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7"/>
              </w:rPr>
              <w:t>Three months ended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March 31,</w:t>
            </w:r>
          </w:p>
        </w:tc>
        <w:tc>
          <w:tcPr>
            <w:tcW w:w="100" w:type="dxa"/>
            <w:vAlign w:val="bottom"/>
          </w:tcPr>
          <w:p>
            <w:pPr>
              <w:spacing w:after="0"/>
              <w:rPr>
                <w:sz w:val="14"/>
                <w:szCs w:val="14"/>
                <w:color w:val="auto"/>
              </w:rPr>
            </w:pPr>
          </w:p>
        </w:tc>
        <w:tc>
          <w:tcPr>
            <w:tcW w:w="16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87"/>
              </w:rPr>
              <w:t>Increase (Decrease)</w:t>
            </w:r>
          </w:p>
        </w:tc>
      </w:tr>
      <w:tr>
        <w:trPr>
          <w:trHeight w:val="142"/>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c>
          <w:tcPr>
            <w:tcW w:w="760" w:type="dxa"/>
            <w:vAlign w:val="bottom"/>
            <w:tcBorders>
              <w:top w:val="single" w:sz="8" w:color="auto"/>
            </w:tcBorders>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w w:val="94"/>
              </w:rPr>
              <w:t>Amount</w:t>
            </w:r>
          </w:p>
        </w:tc>
        <w:tc>
          <w:tcPr>
            <w:tcW w:w="68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0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4"/>
          </w:tcPr>
          <w:p>
            <w:pPr>
              <w:ind w:left="8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License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26,238</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28,695</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(2,457)</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782,690</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760,240</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22,450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w:t>
            </w:r>
          </w:p>
        </w:tc>
      </w:tr>
      <w:tr>
        <w:trPr>
          <w:trHeight w:val="230"/>
        </w:trPr>
        <w:tc>
          <w:tcPr>
            <w:tcW w:w="2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808,928</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788,935</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19,993</w:t>
            </w:r>
          </w:p>
        </w:tc>
        <w:tc>
          <w:tcPr>
            <w:tcW w:w="18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Cost of license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797</w:t>
            </w: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402.5</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517,549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513,238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w:t>
            </w:r>
          </w:p>
        </w:tc>
      </w:tr>
      <w:tr>
        <w:trPr>
          <w:trHeight w:val="216"/>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60,350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53,536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6,814</w:t>
            </w: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12.7</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106,842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7,778</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w:t>
            </w:r>
          </w:p>
        </w:tc>
      </w:tr>
      <w:tr>
        <w:trPr>
          <w:trHeight w:val="223"/>
        </w:trPr>
        <w:tc>
          <w:tcPr>
            <w:tcW w:w="20" w:type="dxa"/>
            <w:vAlign w:val="bottom"/>
          </w:tcPr>
          <w:p>
            <w:pPr>
              <w:spacing w:after="0"/>
              <w:rPr>
                <w:sz w:val="19"/>
                <w:szCs w:val="19"/>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Amortization of purchased intangible assets and other</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13,320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16,343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(3,023)</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(18.5)</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699,056</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682,379</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16,677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r>
      <w:tr>
        <w:trPr>
          <w:trHeight w:val="221"/>
        </w:trPr>
        <w:tc>
          <w:tcPr>
            <w:tcW w:w="70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109,872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106,556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3,316</w:t>
            </w:r>
          </w:p>
        </w:tc>
        <w:tc>
          <w:tcPr>
            <w:tcW w:w="18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3.1</w:t>
            </w:r>
          </w:p>
        </w:tc>
      </w:tr>
      <w:tr>
        <w:trPr>
          <w:trHeight w:val="218"/>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net</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5,286</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10,687.8</w:t>
            </w:r>
          </w:p>
        </w:tc>
      </w:tr>
      <w:tr>
        <w:trPr>
          <w:trHeight w:val="221"/>
        </w:trPr>
        <w:tc>
          <w:tcPr>
            <w:tcW w:w="70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115,158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106,605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8,553</w:t>
            </w:r>
          </w:p>
        </w:tc>
        <w:tc>
          <w:tcPr>
            <w:tcW w:w="18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8.0</w:t>
            </w:r>
          </w:p>
        </w:tc>
      </w:tr>
      <w:tr>
        <w:trPr>
          <w:trHeight w:val="218"/>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13,288</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12,495</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w:t>
            </w:r>
          </w:p>
        </w:tc>
      </w:tr>
      <w:tr>
        <w:trPr>
          <w:trHeight w:val="222"/>
        </w:trPr>
        <w:tc>
          <w:tcPr>
            <w:tcW w:w="70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101,870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94,110</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7,760</w:t>
            </w:r>
          </w:p>
        </w:tc>
        <w:tc>
          <w:tcPr>
            <w:tcW w:w="1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Total revenue increased by $20.0 million, or 2.5%, to $808.9 million in the three months ended March 31, 2012, from $788.9 million in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2011. License revenue in the three months ended March 31, 2012, decreased by $2.5 million, or 8.6%, to $26.2 million, from $28.7 million in the three months ended March 31, 2011.</w:t>
      </w:r>
    </w:p>
    <w:p>
      <w:pPr>
        <w:spacing w:after="0" w:line="140"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License and service revenue attributable to the sale of customer experience systems increased by $21.7 million, or 2.9%, to $758.9 million in the three months ended March 31, 2012, from $737.2 million in the three months ended March 31, 2011. The increase in revenue was primarily attributable to revenue related to transformation and implementation projects and to revenue related to our network control offerings, partially offset by slower spending by AT&amp;T, as well as by lower revenue resulting from contractual price reductions with Bell Canada. License and service revenue resulting from the sale of customer experience systems represented 93.8% and 93.4% of our total revenue in the three months ended March 31, 2012 and 2011, respectively.</w:t>
      </w:r>
    </w:p>
    <w:p>
      <w:pPr>
        <w:spacing w:after="0" w:line="1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License and service revenue attributable to the sale of directory systems decreased by $1.7 million, or 3.3%, to $50.0 million in the three months ended March 31, 2012 from $51.7 million in the three months ended March 31, 2011. License and service revenue from the sale of directory systems represented 6.2% and 6.6% of our total revenue in the three months ended March 31, 2012 and 2011, respectively.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In the three months ended March 31, 2012, revenue from customers in North America, Europe and the rest of the world accounted for 69.6%, 13.8% and 16.6%, respectively, of total revenue, compared to 75.9%, 12.3% and 11.8%, respectively, in the three months ended March 31, 2011. As a percentage of total revenue, revenue from North American customers decreased during the six months ended March 31, 2012, primarily from slower spending by AT&amp;T, as well as from lower revenue resulting from contractual price reductions with Bell Canada, partially offset by increase in revenue related to transformation and implementation projects, as well as by revenue related to our network control offerings. The increase in revenue from customers in Europe was primarily attributable to revenue related to transformation and implementation projects. The increase in revenue from customers in the rest of the world was primarily attributable to our activity in emerging markets.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Cost of License and Service</w:t>
      </w:r>
      <w:r>
        <w:rPr>
          <w:rFonts w:ascii="Arial" w:cs="Arial" w:eastAsia="Arial" w:hAnsi="Arial"/>
          <w:sz w:val="16"/>
          <w:szCs w:val="16"/>
          <w:color w:val="auto"/>
        </w:rPr>
        <w:t>. Cost of license includes fees and royalty payments to software suppliers. Cost of service consists primarily of costs associated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providing services to customers, including compensation expense and costs of third-party products. Cost of license and service increased by $5.1 million, or 1.0%, to $518.5 million in the three months ended March 31, 2012, from $513.4 million in the three months ended March 31, 2011. As a percentage of revenue, cost of license and service was 64.1% in the three months ended March 31, 2012, compared to 65.1% in the three months ended March 31, 2011. The decrease in our cost of license and service as a percentage of revenue was primarily attributable to the benefits of prior investments in internal training and knowledge building programs for our employees, as well as to the benefits from various process improvements and efficiency programs.</w:t>
      </w:r>
    </w:p>
    <w:p>
      <w:pPr>
        <w:spacing w:after="0" w:line="12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color w:val="auto"/>
        </w:rPr>
        <w:t>. Research and development expense is primarily comprised of compensation expense. Research and development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increased by $6.8 million, or 12.7%, to $60.4 million in the three months ended March 31, 2012, from $53.5 million in the three months ended March 31, 2011. The increase in research and development expense is primarily attributable to our network control research and development activity. Research and development expense increased as a percentage of revenue from 6.8% in the three months ended March 31, 2011 to 7.5% in the three months ended March 31, 2012. Our research and development efforts are a key element of our strategy and are essential to our success and we intend to maintain our commitment to research and development. An increase or a decrease in our total revenue would not necessarily result in a proportional increase or decrease in the levels of our research and development expenditures, which could affect our operating margin.</w:t>
      </w:r>
    </w:p>
    <w:p>
      <w:pPr>
        <w:spacing w:after="0" w:line="11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b w:val="1"/>
          <w:bCs w:val="1"/>
          <w:i w:val="1"/>
          <w:iCs w:val="1"/>
          <w:color w:val="auto"/>
        </w:rPr>
        <w:t>Selling, General and Administrative</w:t>
      </w:r>
      <w:r>
        <w:rPr>
          <w:rFonts w:ascii="Arial" w:cs="Arial" w:eastAsia="Arial" w:hAnsi="Arial"/>
          <w:sz w:val="16"/>
          <w:szCs w:val="16"/>
          <w:color w:val="auto"/>
        </w:rPr>
        <w:t>. Selling, general and administrative expense increased by $7.8 million, or 7.9%, to $106.8 million in the three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March 31, 2012, from $99.1 million in the three months ended March 31, 2011. Selling, general and administrative expense is primarily comprised of compensation expense. The increase in selling, general and administrative expense was primarily attributable to selling and marketing activities.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Amortization of Purchased Intangible Assets and Other. </w:t>
      </w:r>
      <w:r>
        <w:rPr>
          <w:rFonts w:ascii="Arial" w:cs="Arial" w:eastAsia="Arial" w:hAnsi="Arial"/>
          <w:sz w:val="18"/>
          <w:szCs w:val="18"/>
          <w:color w:val="auto"/>
        </w:rPr>
        <w:t>Amortization of purchased intangible assets and other in the three months ended March 31, 2012,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decreased by $3.0 million to $13.3 million from $16.3 million in the three months ended March 31, 2011. The decrease in amortization of purchased intangible assets and other was primarily due to purchased intangible assets that were fully amortized in prior periods, partially offset by amortization of intangible assets related to the Bridgewater acquisition.</w:t>
      </w:r>
    </w:p>
    <w:p>
      <w:pPr>
        <w:spacing w:after="0" w:line="14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b w:val="1"/>
          <w:bCs w:val="1"/>
          <w:i w:val="1"/>
          <w:iCs w:val="1"/>
          <w:color w:val="auto"/>
        </w:rPr>
        <w:t>Operating Income</w:t>
      </w:r>
      <w:r>
        <w:rPr>
          <w:rFonts w:ascii="Arial" w:cs="Arial" w:eastAsia="Arial" w:hAnsi="Arial"/>
          <w:sz w:val="18"/>
          <w:szCs w:val="18"/>
          <w:color w:val="auto"/>
        </w:rPr>
        <w:t>. Operating income increased by $3.3 million, or 3.1%, in the three months ended March 31, 2012, to $109.9 million, or 13.6%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from $106.6 million, or 13.5% of revenue, in the three months ended March 31, 2011.</w:t>
      </w:r>
    </w:p>
    <w:p>
      <w:pPr>
        <w:spacing w:after="0" w:line="132"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Interest and Other Income, Net. </w:t>
      </w:r>
      <w:r>
        <w:rPr>
          <w:rFonts w:ascii="Arial" w:cs="Arial" w:eastAsia="Arial" w:hAnsi="Arial"/>
          <w:sz w:val="18"/>
          <w:szCs w:val="18"/>
          <w:color w:val="auto"/>
        </w:rPr>
        <w:t>Interest and other income, net, increased by $5.2 million to $5.3 million in the three months ended March 31, 2012.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in interest and other income, net, was attributable primarily to a gain, resulting from the sale of our minority interest in Longshine, our former Chinese subsidiary, recorded in the three months ended March 31, 2012.</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Income taxes for the three months ended March 31, 2012 were $13.3 million on pre-tax income of $115.2 million, resulting in an effective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 rate of 11.5%, compared to 11.7% in the three months ended March 31, 2011. Our effective tax rate may fluctuate between quarters as a result of discrete items that may affect a specific quarter.</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increased by $7.8 million, or 8.2%, to $101.9 million in the three months ended March 31, 2012, from $94.1 million in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2011. The increase in net income was attributable primarily to the increase in interest and other income, net, as well as to the increase in operating income, partially offset by the increase in income tax expense.</w:t>
      </w:r>
    </w:p>
    <w:p>
      <w:pPr>
        <w:spacing w:after="0" w:line="140" w:lineRule="exact"/>
        <w:rPr>
          <w:sz w:val="20"/>
          <w:szCs w:val="20"/>
          <w:color w:val="auto"/>
        </w:rPr>
      </w:pPr>
    </w:p>
    <w:p>
      <w:pPr>
        <w:jc w:val="both"/>
        <w:ind w:right="140" w:firstLine="456"/>
        <w:spacing w:after="0" w:line="335" w:lineRule="auto"/>
        <w:rPr>
          <w:sz w:val="20"/>
          <w:szCs w:val="20"/>
          <w:color w:val="auto"/>
        </w:rPr>
      </w:pPr>
      <w:r>
        <w:rPr>
          <w:rFonts w:ascii="Arial" w:cs="Arial" w:eastAsia="Arial" w:hAnsi="Arial"/>
          <w:sz w:val="15"/>
          <w:szCs w:val="15"/>
          <w:b w:val="1"/>
          <w:bCs w:val="1"/>
          <w:i w:val="1"/>
          <w:iCs w:val="1"/>
          <w:color w:val="auto"/>
        </w:rPr>
        <w:t xml:space="preserve">Diluted Earnings Per Share. </w:t>
      </w:r>
      <w:r>
        <w:rPr>
          <w:rFonts w:ascii="Arial" w:cs="Arial" w:eastAsia="Arial" w:hAnsi="Arial"/>
          <w:sz w:val="15"/>
          <w:szCs w:val="15"/>
          <w:color w:val="auto"/>
        </w:rPr>
        <w:t>Diluted earnings per share increased by $0.10, or 20.0%, to $0.60 in the three months ended March 31, 2012, from $0.50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three months ended March 31, 2011. The increase in diluted earnings per share resulted from the decrease in the diluted weighted average number of shares outstanding resulting from our repurchase of ordinary shares in fiscal 2011 and in the six months ended March 31, 2012, and from the increase in net income.</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Cash, cash equivalents and short-term interest-bearing investments, net of short-term debt, totaled $896 million as of March 31, 2012, compared to $923 million as of September 30, 2011. The decrease in the six months ended March 31, 2012, was mainly attributable to $256.5 million used to repurchase our ordinary shares pursuant to our share repurchase program and $50.2 million for capital expenditures, net, partially offset by $224.5 million in positive cash flow from operations and $53.7 million of proceeds from employee stock options exercised. Net cash provided by operating activities amounted to $224.5 million and $237.8 million for the six months ended March 31, 2012 and 2011, respectively.</w:t>
      </w:r>
    </w:p>
    <w:p>
      <w:pPr>
        <w:spacing w:after="0" w:line="11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Our policy is to retain sufficient cash balances in order to support our growth. We believe that our current cash balances, cash generated from operations and our current lines of credit will provide sufficient resources to meet our operational needs for at least the next fiscal year.</w:t>
      </w:r>
    </w:p>
    <w:p>
      <w:pPr>
        <w:spacing w:after="0" w:line="85"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Our interest-bearing investments are classified as available-for-sale securities. Such short-term interest-bearing investments consist primarily of money market funds, U.S. government treasuries, corporate bonds, government guaranteed debt and U.S. agency securities. We believe we have conservative investment policy guidelines. Our interest-bearing investments are stated at fair value with the unrealized gains or losses reported as a separate component of accumulated other comprehensive loss, net of tax. Our interest-bearing investments are priced by pricing vendors and are classified as Level 1 or Level 2 investments, since these vendors either provide a quoted market price in an active market or use observable inputs. During the three and six months ended March 31, 2012 and 2011, we recognized immaterial credit losses. As of March 31, 2012, unrealized losses of $0.8 million related to other-than-temporarily impaired securities, for which credit losses were included in accumulated other comprehensive loss. Please see Notes 4 and 5 to the consolidated financial statements.</w:t>
      </w:r>
    </w:p>
    <w:p>
      <w:pPr>
        <w:spacing w:after="0" w:line="105"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In November 2007, we entered into an unsecured $500.0 million five-year revolving credit facility with a syndicate of banks. In September 2011, we borrowed an aggregate of $250.0 million under the facility and repaid it in October 2011. In December 2011, we entered into a new unsecured $500.0 million five-year revolving credit facility with a syndicate of banks, which replaced the November 2007 credit facility. The new credit facility is available for general corporate purposes, including acquisitions and repurchases of ordinary shares that we may consider from time to time. The interest rate for borrowings under the revolving credit facility is chosen at our option from several pre-defined alternatives, depends on the circumstances of any advance and is based on our credit rating. As of March 31, 2012, we were in compliance with the financial covenants under the revolving credit facility and had no outstanding borrowings under this facility.</w:t>
      </w:r>
    </w:p>
    <w:p>
      <w:pPr>
        <w:spacing w:after="0" w:line="14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As of March 31, 2012, we had outstanding letters of credit and bank guarantees from various banks totaling $67.5 million. As of March 31, 2012, we had outstanding obligations of $0.8 million in connection with leasing arrangements.</w:t>
      </w:r>
    </w:p>
    <w:p>
      <w:pPr>
        <w:spacing w:after="0" w:line="132"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We have contractual obligations for our non-cancelable operating leases, purchase obligations, pension funding and convertible notes summarized in the tabular disclosure of contractual obligations set forth in our Annual Report on Form 20-F for the fiscal year ended September 30, 2011, filed on December 8, 2011 with the SEC. Since September 30, 2011, there have been no material changes in our contractual obligations other than in the ordinary course of our business.</w:t>
      </w:r>
    </w:p>
    <w:p>
      <w:pPr>
        <w:spacing w:after="0" w:line="8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capital expenditures were approximately $50.2 million in the six months ended March 31, 2012. Approximately 80% of these expenditures consisted of purchases of computer equipment, and the remainder was attributable mainly to leasehold improvements. The capital expenditures in the six months ended March 31, 2012 were mainly attributable to investments in our operating facilities and our development centers around the world. Our policy is to fund our capital expenditures principally from operating cash flows and we do not anticipate any changes to this policy in the foreseeable future.</w:t>
      </w:r>
    </w:p>
    <w:p>
      <w:pPr>
        <w:spacing w:after="0" w:line="113" w:lineRule="exact"/>
        <w:rPr>
          <w:sz w:val="20"/>
          <w:szCs w:val="20"/>
          <w:color w:val="auto"/>
        </w:rPr>
      </w:pPr>
    </w:p>
    <w:p>
      <w:pPr>
        <w:ind w:right="80" w:firstLine="456"/>
        <w:spacing w:after="0" w:line="302" w:lineRule="auto"/>
        <w:rPr>
          <w:sz w:val="20"/>
          <w:szCs w:val="20"/>
          <w:color w:val="auto"/>
        </w:rPr>
      </w:pPr>
      <w:r>
        <w:rPr>
          <w:rFonts w:ascii="Arial" w:cs="Arial" w:eastAsia="Arial" w:hAnsi="Arial"/>
          <w:sz w:val="15"/>
          <w:szCs w:val="15"/>
          <w:color w:val="auto"/>
        </w:rPr>
        <w:t>In April 2010, our board of directors authorized a share repurchase plan allowing the repurchase of up to $700.0 million of our outstanding ordinary shares over the following 12 months. In February 2011, our board of directors adopted a share repurchase plan authorizing the repurchase of up to $1 billion of our outstanding ordinary shares over the following 24 months. The authorizations permit us to purchase our ordinary shares in open market or privately negotiated transactions at times and prices we consider appropriate. In April 2011, we completed the repurchase of the remaining authorized amount under the April</w:t>
      </w:r>
    </w:p>
    <w:p>
      <w:pPr>
        <w:spacing w:after="0" w:line="3" w:lineRule="exact"/>
        <w:rPr>
          <w:sz w:val="20"/>
          <w:szCs w:val="20"/>
          <w:color w:val="auto"/>
        </w:rPr>
      </w:pPr>
    </w:p>
    <w:p>
      <w:pPr>
        <w:ind w:right="680"/>
        <w:spacing w:after="0" w:line="302" w:lineRule="auto"/>
        <w:rPr>
          <w:sz w:val="20"/>
          <w:szCs w:val="20"/>
          <w:color w:val="auto"/>
        </w:rPr>
      </w:pPr>
      <w:r>
        <w:rPr>
          <w:rFonts w:ascii="Arial" w:cs="Arial" w:eastAsia="Arial" w:hAnsi="Arial"/>
          <w:sz w:val="16"/>
          <w:szCs w:val="16"/>
          <w:color w:val="auto"/>
        </w:rPr>
        <w:t>2010 share repurchase plan and began executing repurchases under the February 2011 plan. In the six months ended March 31, 2012, we repurchased approximately 8.8 million ordinary shares at an average price of $29.21 per share (excluding broker and transaction fees). As of March 31, 2012, we had remaining authority to repurchase up to $430.7 million of our outstanding ordinary shares under this plan.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 May 1, 2012, our Board of Directors approved, subject to shareholder approval, the institution of a quarterly cash dividend program at the quarterly rate of $0.13 per share. Our articles of incorporation require shareholder approval for the payment of dividends, and we will call a special shareholders meeting to approve the dividend program to be held on July 31, 2012. The Board has set June 15, 2012, as the record date for determining the shareholders entitled to vote at the meeting. If the program is approved by shareholders, we expect that the first quarterly dividend would be paid in the first quarter of fiscal 2013.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Fluctuations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manage our foreign subsidiaries as integral direct components of our operations. The operations of our foreign subsidiaries provide the same type of services with the same type of expenditure throughout the Amdocs group. The U.S. dollar is our functional currency according to the salient economic factors as indicated in the authoritative guidance for foreign currency matters.</w:t>
      </w:r>
    </w:p>
    <w:p>
      <w:pPr>
        <w:spacing w:after="0" w:line="14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During the six months ended March 31, 2012 and 2011, approximately 70% to 80% of our revenue and approximately 50% to 60% of our operating expenses were in U.S. dollars or linked to the U.S. dollar. If more customers will seek contracts in currencies other than the U.S. dollar and as our operational activities outside of the United States may increase, the percentage of our revenue and operating expenses in U.S. dollar or linked to the U.S. dollar may decrease over time, which may increase our exposure to fluctuations in currency exchange rates.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We periodically assess the applicability of the U.S. dollar as our functional currency by reviewing the salient indicators.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Changes in Securities, Use of Proceeds and Issuer Purchases of Equity Securities.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following table provides information about purchases by us and our affiliated purchasers during the three months ended March 31, 2012 of equity securities that are registered by us pursuant to Section 12 of the Exchange Act: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Ordinary Shares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(c)</w:t>
            </w:r>
          </w:p>
        </w:tc>
        <w:tc>
          <w:tcPr>
            <w:tcW w:w="180" w:type="dxa"/>
            <w:vAlign w:val="bottom"/>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(or Approximate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Total Number of</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Dollar Value)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of Shares that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9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(a)</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Purchased as Part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May</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7"/>
              </w:rPr>
              <w:t>Total Number of</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(b)</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Publicly</w:t>
            </w:r>
          </w:p>
        </w:tc>
        <w:tc>
          <w:tcPr>
            <w:tcW w:w="180" w:type="dxa"/>
            <w:vAlign w:val="bottom"/>
          </w:tcPr>
          <w:p>
            <w:pPr>
              <w:spacing w:after="0"/>
              <w:rPr>
                <w:sz w:val="12"/>
                <w:szCs w:val="12"/>
                <w:color w:val="auto"/>
              </w:rPr>
            </w:pPr>
          </w:p>
        </w:tc>
        <w:tc>
          <w:tcPr>
            <w:tcW w:w="12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Yet Be Purchased</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Period</w:t>
            </w:r>
          </w:p>
        </w:tc>
        <w:tc>
          <w:tcPr>
            <w:tcW w:w="5440" w:type="dxa"/>
            <w:vAlign w:val="bottom"/>
            <w:gridSpan w:val="2"/>
            <w:vMerge w:val="restart"/>
          </w:tcPr>
          <w:p>
            <w:pPr>
              <w:spacing w:after="0"/>
              <w:rPr>
                <w:sz w:val="12"/>
                <w:szCs w:val="12"/>
                <w:color w:val="auto"/>
              </w:rPr>
            </w:pPr>
          </w:p>
        </w:tc>
        <w:tc>
          <w:tcPr>
            <w:tcW w:w="9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2"/>
                <w:szCs w:val="12"/>
                <w:color w:val="auto"/>
              </w:rPr>
            </w:pPr>
          </w:p>
        </w:tc>
        <w:tc>
          <w:tcPr>
            <w:tcW w:w="10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Average Price</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Announced Plans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Under the Plans</w:t>
            </w:r>
          </w:p>
        </w:tc>
        <w:tc>
          <w:tcPr>
            <w:tcW w:w="0" w:type="dxa"/>
            <w:vAlign w:val="bottom"/>
          </w:tcPr>
          <w:p>
            <w:pPr>
              <w:spacing w:after="0"/>
              <w:rPr>
                <w:sz w:val="1"/>
                <w:szCs w:val="1"/>
                <w:color w:val="auto"/>
              </w:rPr>
            </w:pPr>
          </w:p>
        </w:tc>
      </w:tr>
      <w:tr>
        <w:trPr>
          <w:trHeight w:val="168"/>
        </w:trPr>
        <w:tc>
          <w:tcPr>
            <w:tcW w:w="460" w:type="dxa"/>
            <w:vAlign w:val="bottom"/>
            <w:vMerge w:val="continue"/>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5440" w:type="dxa"/>
            <w:vAlign w:val="bottom"/>
            <w:gridSpan w:val="2"/>
            <w:vMerge w:val="continue"/>
          </w:tcPr>
          <w:p>
            <w:pPr>
              <w:spacing w:after="0"/>
              <w:rPr>
                <w:sz w:val="14"/>
                <w:szCs w:val="14"/>
                <w:color w:val="auto"/>
              </w:rPr>
            </w:pPr>
          </w:p>
        </w:tc>
        <w:tc>
          <w:tcPr>
            <w:tcW w:w="980" w:type="dxa"/>
            <w:vAlign w:val="bottom"/>
            <w:gridSpan w:val="2"/>
          </w:tcPr>
          <w:p>
            <w:pPr>
              <w:jc w:val="center"/>
              <w:ind w:right="20"/>
              <w:spacing w:after="0" w:line="148" w:lineRule="exact"/>
              <w:rPr>
                <w:sz w:val="20"/>
                <w:szCs w:val="20"/>
                <w:color w:val="auto"/>
              </w:rPr>
            </w:pPr>
            <w:r>
              <w:rPr>
                <w:rFonts w:ascii="Arial" w:cs="Arial" w:eastAsia="Arial" w:hAnsi="Arial"/>
                <w:sz w:val="14"/>
                <w:szCs w:val="14"/>
                <w:b w:val="1"/>
                <w:bCs w:val="1"/>
                <w:color w:val="auto"/>
                <w:w w:val="83"/>
              </w:rPr>
              <w:t>Purchased</w:t>
            </w:r>
          </w:p>
        </w:tc>
        <w:tc>
          <w:tcPr>
            <w:tcW w:w="160" w:type="dxa"/>
            <w:vAlign w:val="bottom"/>
          </w:tcPr>
          <w:p>
            <w:pPr>
              <w:spacing w:after="0"/>
              <w:rPr>
                <w:sz w:val="14"/>
                <w:szCs w:val="14"/>
                <w:color w:val="auto"/>
              </w:rPr>
            </w:pPr>
          </w:p>
        </w:tc>
        <w:tc>
          <w:tcPr>
            <w:tcW w:w="106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Paid per Share</w:t>
            </w: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or Programs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7"/>
              </w:rPr>
              <w:t>or Programs(1)</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584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01/01/12-01/31/12</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1,294,442</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28.98</w:t>
            </w:r>
          </w:p>
        </w:tc>
        <w:tc>
          <w:tcPr>
            <w:tcW w:w="1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1,294,442</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547,495,109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gridSpan w:val="3"/>
          </w:tcPr>
          <w:p>
            <w:pPr>
              <w:spacing w:after="0"/>
              <w:rPr>
                <w:sz w:val="20"/>
                <w:szCs w:val="20"/>
                <w:color w:val="auto"/>
              </w:rPr>
            </w:pPr>
            <w:r>
              <w:rPr>
                <w:rFonts w:ascii="Arial" w:cs="Arial" w:eastAsia="Arial" w:hAnsi="Arial"/>
                <w:sz w:val="18"/>
                <w:szCs w:val="18"/>
                <w:color w:val="auto"/>
              </w:rPr>
              <w:t>02/01/12-02/29/12</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1,186,367</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30.31</w:t>
            </w:r>
          </w:p>
        </w:tc>
        <w:tc>
          <w:tcPr>
            <w:tcW w:w="1060" w:type="dxa"/>
            <w:vAlign w:val="bottom"/>
          </w:tcPr>
          <w:p>
            <w:pPr>
              <w:jc w:val="right"/>
              <w:spacing w:after="0"/>
              <w:rPr>
                <w:sz w:val="20"/>
                <w:szCs w:val="20"/>
                <w:color w:val="auto"/>
              </w:rPr>
            </w:pPr>
            <w:r>
              <w:rPr>
                <w:rFonts w:ascii="Arial" w:cs="Arial" w:eastAsia="Arial" w:hAnsi="Arial"/>
                <w:sz w:val="18"/>
                <w:szCs w:val="18"/>
                <w:color w:val="auto"/>
              </w:rPr>
              <w:t>1,186,367</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509,980,300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03/01/12-03/31/12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1,405,300</w:t>
            </w:r>
          </w:p>
        </w:tc>
        <w:tc>
          <w:tcPr>
            <w:tcW w:w="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30.81</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1,405,300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474,022,660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00" w:type="dxa"/>
            <w:vAlign w:val="bottom"/>
            <w:gridSpan w:val="4"/>
          </w:tcPr>
          <w:p>
            <w:pPr>
              <w:ind w:left="46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3,886,109</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30.05</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3,886,109</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430,723,533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90"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April 2010, our board of directors authorized a share repurchase plan allowing the repurchase of up to $700.0 million of our outstanding ordinary shares over the following 12 months. In February 2011, our board of directors adopted an additional share repurchase plan authorizing the repurchase of up to $1 billion of our outstanding ordinary shares over the following 24 months. The authorizations permit us to purchase our ordinary shares in open market or privately negotiated transactions at times and prices we consider appropriate. In April 2011, we completed the repurchase of the remaining authorized amount under the April 2010 share repurchase plan and began executing repurchases under the February 2011 plan. In the six months ended March 31, 2012, we repurchased approximately 8.8 million ordinary shares at an average price of $29.21 per share (excluding broker and transaction fees). As of March 31, 2012, we had remaining authority to repurchase up to $430.7 million of our outstanding ordinary shares under this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Reports on Form 6-K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Reports on Form 6-K</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furnished or filed the following reports on Form 6-K during the three months ended March 31, 2012:</w:t>
      </w:r>
    </w:p>
    <w:p>
      <w:pPr>
        <w:spacing w:after="0" w:line="171" w:lineRule="exact"/>
        <w:rPr>
          <w:sz w:val="20"/>
          <w:szCs w:val="20"/>
          <w:color w:val="auto"/>
        </w:rPr>
      </w:pPr>
    </w:p>
    <w:p>
      <w:pPr>
        <w:ind w:left="720" w:hanging="256"/>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6-K dated February 2, 2012</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6-K dated February 14, 2012</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459" w:right="3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G.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G. O’Brien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Treasurer and Secretary</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U.S. Representative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2012</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sectPr>
      <w:pgSz w:w="11900" w:h="16838" w:orient="portrait"/>
      <w:cols w:equalWidth="0" w:num="1">
        <w:col w:w="10500"/>
      </w:cols>
      <w:pgMar w:left="240" w:top="459" w:right="1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4"/>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2019-12-09T13:50:58Z</dcterms:created>
  <dcterms:modified xsi:type="dcterms:W3CDTF">2019-12-09T13:50:58Z</dcterms:modified>
</cp:coreProperties>
</file>