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59"/>
        <w:spacing w:after="0"/>
        <w:rPr>
          <w:sz w:val="20"/>
          <w:szCs w:val="20"/>
          <w:color w:val="auto"/>
        </w:rPr>
      </w:pPr>
      <w:r>
        <w:rPr>
          <w:rFonts w:ascii="Courier New" w:cs="Courier New" w:eastAsia="Courier New" w:hAnsi="Courier New"/>
          <w:sz w:val="17"/>
          <w:szCs w:val="17"/>
          <w:color w:val="auto"/>
        </w:rPr>
        <w:t>UNITED STATES SECURITIES AND EXCHANGE COMMISSION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FORM 6-K</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REPORT OF FOREIGN PRIVATE ISSUER</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PURSUANT TO RULE 13A-16 OR 15D-16 OF</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200" w:lineRule="exact"/>
        <w:rPr>
          <w:sz w:val="24"/>
          <w:szCs w:val="24"/>
          <w:color w:val="auto"/>
        </w:rPr>
      </w:pPr>
    </w:p>
    <w:p>
      <w:pPr>
        <w:ind w:left="2360"/>
        <w:spacing w:after="0"/>
        <w:rPr>
          <w:sz w:val="20"/>
          <w:szCs w:val="20"/>
          <w:color w:val="auto"/>
        </w:rPr>
      </w:pPr>
      <w:r>
        <w:rPr>
          <w:rFonts w:ascii="Courier New" w:cs="Courier New" w:eastAsia="Courier New" w:hAnsi="Courier New"/>
          <w:sz w:val="17"/>
          <w:szCs w:val="17"/>
          <w:color w:val="auto"/>
        </w:rPr>
        <w:t>For the Quarter Ended June 30, 2007</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Commission File Number 1-14840</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Suite 5, Tower Hill House Le Bordage</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St. Peter Port, Island of Guernsey, GY1 3QT Channel Islands</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Amdocs, Inc.</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1390 Timberlake Manor Parkway, Chesterfield, Missouri 63017</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1" w:lineRule="exact"/>
        <w:rPr>
          <w:sz w:val="24"/>
          <w:szCs w:val="24"/>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Indicate by check mark whether the registrant files or will file annual reports under cover of Form 20-F or Form 40-F:</w:t>
      </w:r>
    </w:p>
    <w:p>
      <w:pPr>
        <w:spacing w:after="0" w:line="198" w:lineRule="exact"/>
        <w:rPr>
          <w:sz w:val="24"/>
          <w:szCs w:val="24"/>
          <w:color w:val="auto"/>
        </w:rPr>
      </w:pPr>
    </w:p>
    <w:p>
      <w:pPr>
        <w:ind w:left="2560"/>
        <w:spacing w:after="0"/>
        <w:tabs>
          <w:tab w:leader="none" w:pos="3760" w:val="left"/>
          <w:tab w:leader="none" w:pos="4160" w:val="left"/>
        </w:tabs>
        <w:rPr>
          <w:sz w:val="20"/>
          <w:szCs w:val="20"/>
          <w:color w:val="auto"/>
        </w:rPr>
      </w:pPr>
      <w:r>
        <w:rPr>
          <w:rFonts w:ascii="Courier New" w:cs="Courier New" w:eastAsia="Courier New" w:hAnsi="Courier New"/>
          <w:sz w:val="17"/>
          <w:szCs w:val="17"/>
          <w:color w:val="auto"/>
        </w:rPr>
        <w:t>FORM 20-F</w:t>
        <w:tab/>
        <w:t>X</w:t>
        <w:tab/>
        <w:t>FORM 40-F</w:t>
      </w:r>
    </w:p>
    <w:p>
      <w:pPr>
        <w:spacing w:after="0" w:line="4" w:lineRule="exact"/>
        <w:rPr>
          <w:sz w:val="24"/>
          <w:szCs w:val="24"/>
          <w:color w:val="auto"/>
        </w:rPr>
      </w:pPr>
    </w:p>
    <w:p>
      <w:pPr>
        <w:ind w:left="3580"/>
        <w:spacing w:after="0"/>
        <w:tabs>
          <w:tab w:leader="none" w:pos="51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1" w:lineRule="exact"/>
        <w:rPr>
          <w:sz w:val="24"/>
          <w:szCs w:val="24"/>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Indicate by check mark if the registrant is submitting the Form 6-K in paper as permitted by Regulation S-T Rule 101(b)(1):</w:t>
      </w:r>
    </w:p>
    <w:p>
      <w:pPr>
        <w:spacing w:after="0" w:line="1" w:lineRule="exact"/>
        <w:rPr>
          <w:sz w:val="24"/>
          <w:szCs w:val="24"/>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4"/>
          <w:szCs w:val="24"/>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Indicate by check mark if the registrant is submitting the Form 6-K in paper as permitted by Regulation S-T Rule 101(b)(7):</w:t>
      </w:r>
    </w:p>
    <w:p>
      <w:pPr>
        <w:spacing w:after="0" w:line="1" w:lineRule="exact"/>
        <w:rPr>
          <w:sz w:val="24"/>
          <w:szCs w:val="24"/>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4"/>
          <w:szCs w:val="24"/>
          <w:color w:val="auto"/>
        </w:rPr>
      </w:pPr>
    </w:p>
    <w:p>
      <w:pPr>
        <w:ind w:right="2059"/>
        <w:spacing w:after="0" w:line="266"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38" w:right="1440" w:bottom="1440" w:gutter="0" w:footer="0" w:header="0"/>
        </w:sectPr>
      </w:pPr>
    </w:p>
    <w:p>
      <w:pPr>
        <w:spacing w:after="0" w:line="181" w:lineRule="exact"/>
        <w:rPr>
          <w:sz w:val="24"/>
          <w:szCs w:val="24"/>
          <w:color w:val="auto"/>
        </w:rPr>
      </w:pPr>
    </w:p>
    <w:p>
      <w:pPr>
        <w:ind w:left="3160"/>
        <w:spacing w:after="0"/>
        <w:rPr>
          <w:sz w:val="20"/>
          <w:szCs w:val="20"/>
          <w:color w:val="auto"/>
        </w:rPr>
      </w:pPr>
      <w:r>
        <w:rPr>
          <w:rFonts w:ascii="Courier New" w:cs="Courier New" w:eastAsia="Courier New" w:hAnsi="Courier New"/>
          <w:sz w:val="17"/>
          <w:szCs w:val="17"/>
          <w:color w:val="auto"/>
        </w:rPr>
        <w:t>YES</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5219"/>
        <w:spacing w:after="0"/>
        <w:rPr>
          <w:sz w:val="20"/>
          <w:szCs w:val="20"/>
          <w:color w:val="auto"/>
        </w:rPr>
      </w:pPr>
      <w:r>
        <w:rPr>
          <w:rFonts w:ascii="Courier New" w:cs="Courier New" w:eastAsia="Courier New" w:hAnsi="Courier New"/>
          <w:sz w:val="17"/>
          <w:szCs w:val="17"/>
          <w:color w:val="auto"/>
        </w:rPr>
        <w:t>X</w:t>
      </w:r>
    </w:p>
    <w:p>
      <w:pPr>
        <w:spacing w:after="0" w:line="5" w:lineRule="exact"/>
        <w:rPr>
          <w:sz w:val="24"/>
          <w:szCs w:val="24"/>
          <w:color w:val="auto"/>
        </w:rPr>
      </w:pPr>
    </w:p>
    <w:p>
      <w:pPr>
        <w:jc w:val="center"/>
        <w:ind w:right="52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3480" w:space="100"/>
            <w:col w:w="500" w:space="100"/>
            <w:col w:w="220" w:space="100"/>
            <w:col w:w="5719"/>
          </w:cols>
          <w:pgMar w:left="240" w:top="638" w:right="1440" w:bottom="1440" w:gutter="0" w:footer="0" w:header="0"/>
          <w:type w:val="continuous"/>
        </w:sectPr>
      </w:pPr>
    </w:p>
    <w:p>
      <w:pPr>
        <w:spacing w:after="0" w:line="11" w:lineRule="exact"/>
        <w:rPr>
          <w:sz w:val="24"/>
          <w:szCs w:val="24"/>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If "Yes" is marked, indicate below the file number assigned to the registrant in connection with Rule 12g3-2(b): 82-_____</w:t>
      </w:r>
    </w:p>
    <w:p>
      <w:pPr>
        <w:sectPr>
          <w:pgSz w:w="11900" w:h="16838" w:orient="portrait"/>
          <w:cols w:equalWidth="0" w:num="1">
            <w:col w:w="10219"/>
          </w:cols>
          <w:pgMar w:left="240" w:top="638" w:right="1440" w:bottom="1440" w:gutter="0" w:footer="0" w:header="0"/>
          <w:type w:val="continuous"/>
        </w:sectPr>
      </w:pPr>
    </w:p>
    <w:bookmarkStart w:id="1" w:name="page2"/>
    <w:bookmarkEnd w:id="1"/>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FORM 6-K</w:t>
      </w:r>
    </w:p>
    <w:p>
      <w:pPr>
        <w:spacing w:after="0" w:line="200"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REPORT OF FOREIGN PRIVATE ISSUER</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FOR THE QUARTER ENDED JUNE 30, 2007</w:t>
      </w:r>
    </w:p>
    <w:p>
      <w:pPr>
        <w:spacing w:after="0" w:line="20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INDEX</w:t>
      </w:r>
    </w:p>
    <w:p>
      <w:pPr>
        <w:spacing w:after="0" w:line="200" w:lineRule="exact"/>
        <w:rPr>
          <w:sz w:val="20"/>
          <w:szCs w:val="20"/>
          <w:color w:val="auto"/>
        </w:rPr>
      </w:pPr>
    </w:p>
    <w:p>
      <w:pPr>
        <w:spacing w:after="0" w:line="39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0"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Item 1. Financial Statements</w:t>
      </w:r>
    </w:p>
    <w:p>
      <w:pPr>
        <w:spacing w:after="0" w:line="200"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Unaudited Consolidated Financial Statements</w:t>
      </w:r>
    </w:p>
    <w:p>
      <w:pPr>
        <w:spacing w:after="0" w:line="200"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200"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Consolidated Statement of Changes in Shareholders' Equity</w:t>
      </w:r>
    </w:p>
    <w:p>
      <w:pPr>
        <w:spacing w:after="0" w:line="200"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200"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200"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Item 2. Operating and Financial Review and Prospects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OTHER INFORMATION</w:t>
      </w:r>
    </w:p>
    <w:p>
      <w:pPr>
        <w:spacing w:after="0" w:line="200"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Item 1. Changes in Securities, Use of Proceeds and Issuer</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Purchases of Equity Securities</w:t>
      </w:r>
    </w:p>
    <w:p>
      <w:pPr>
        <w:spacing w:after="0" w:line="200"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Item 2. Reports on Form 6-K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SIGNATURES</w:t>
      </w:r>
    </w:p>
    <w:p>
      <w:pPr>
        <w:spacing w:after="0" w:line="397" w:lineRule="exact"/>
        <w:rPr>
          <w:sz w:val="20"/>
          <w:szCs w:val="20"/>
          <w:color w:val="auto"/>
        </w:rPr>
      </w:pPr>
    </w:p>
    <w:p>
      <w:pPr>
        <w:ind w:right="2059"/>
        <w:spacing w:after="0" w:line="263" w:lineRule="auto"/>
        <w:rPr>
          <w:sz w:val="20"/>
          <w:szCs w:val="20"/>
          <w:color w:val="auto"/>
        </w:rPr>
      </w:pPr>
      <w:r>
        <w:rPr>
          <w:rFonts w:ascii="Courier New" w:cs="Courier New" w:eastAsia="Courier New" w:hAnsi="Courier New"/>
          <w:sz w:val="16"/>
          <w:szCs w:val="16"/>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379"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70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PART I FINANCIAL INFORMATION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FINANCIAL STATEMENTS</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CONSOLIDATED BALANCE SHEETS</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AS OF</w:t>
            </w:r>
          </w:p>
        </w:tc>
        <w:tc>
          <w:tcPr>
            <w:tcW w:w="1120" w:type="dxa"/>
            <w:vAlign w:val="bottom"/>
          </w:tcPr>
          <w:p>
            <w:pPr>
              <w:spacing w:after="0"/>
              <w:rPr>
                <w:sz w:val="16"/>
                <w:szCs w:val="16"/>
                <w:color w:val="auto"/>
              </w:rPr>
            </w:pPr>
          </w:p>
        </w:tc>
      </w:tr>
      <w:tr>
        <w:trPr>
          <w:trHeight w:val="196"/>
        </w:trPr>
        <w:tc>
          <w:tcPr>
            <w:tcW w:w="6180" w:type="dxa"/>
            <w:vAlign w:val="bottom"/>
          </w:tcPr>
          <w:p>
            <w:pPr>
              <w:spacing w:after="0"/>
              <w:rPr>
                <w:sz w:val="17"/>
                <w:szCs w:val="17"/>
                <w:color w:val="auto"/>
              </w:rPr>
            </w:pPr>
          </w:p>
        </w:tc>
        <w:tc>
          <w:tcPr>
            <w:tcW w:w="2900" w:type="dxa"/>
            <w:vAlign w:val="bottom"/>
            <w:gridSpan w:val="4"/>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JUNE 30,</w:t>
            </w: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2007</w:t>
            </w:r>
          </w:p>
        </w:tc>
        <w:tc>
          <w:tcPr>
            <w:tcW w:w="500" w:type="dxa"/>
            <w:vAlign w:val="bottom"/>
          </w:tcPr>
          <w:p>
            <w:pPr>
              <w:spacing w:after="0"/>
              <w:rPr>
                <w:sz w:val="17"/>
                <w:szCs w:val="17"/>
                <w:color w:val="auto"/>
              </w:rPr>
            </w:pPr>
          </w:p>
        </w:tc>
        <w:tc>
          <w:tcPr>
            <w:tcW w:w="11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2006</w:t>
            </w:r>
          </w:p>
        </w:tc>
      </w:tr>
      <w:tr>
        <w:trPr>
          <w:trHeight w:val="196"/>
        </w:trPr>
        <w:tc>
          <w:tcPr>
            <w:tcW w:w="618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7"/>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(UNAUDITED)</w:t>
            </w: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92"/>
        </w:trPr>
        <w:tc>
          <w:tcPr>
            <w:tcW w:w="61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Cash and cash equivalents</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623,643</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607,187</w:t>
            </w: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Short-term interest-bearing investments</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528,006</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372,194</w:t>
            </w: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Accounts receivable, net</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480,433</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425,805</w:t>
            </w: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Deferred income taxes and taxes receivable</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130,876</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136,044</w:t>
            </w: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Prepaid expenses and other current assets</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93,991</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97,476</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Total current assets</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1,856,949</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1,638,706</w:t>
            </w: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Equipment, vehicles and leasehold improvements, net</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258,272</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220,290</w:t>
            </w: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189,477</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133,690</w:t>
            </w: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Goodwill</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1,481,010</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1,461,606</w:t>
            </w: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Intangible assets, net</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323,067</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347,716</w:t>
            </w: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Other noncurrent assets</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175,025</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160,820</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Total assets</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$4,283,800</w:t>
            </w:r>
          </w:p>
        </w:tc>
        <w:tc>
          <w:tcPr>
            <w:tcW w:w="16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$3,962,828</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Accounts payable</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153,101</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148,398</w:t>
            </w: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Accrued expenses and other current liabilities</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216,803</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270,268</w:t>
            </w: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Accrued personnel costs</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178,222</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178,441</w:t>
            </w: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Short-term portion of financing arrangements</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2,029</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1,963</w:t>
            </w: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Deferred revenue</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243,917</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253,376</w:t>
            </w: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Deferred income taxes and taxes payable</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209,635</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179,241</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Total current liabilities</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1,003,707</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1,031,687</w:t>
            </w: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Convertible notes</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450,000</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450,000</w:t>
            </w: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125,975</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129,339</w:t>
            </w: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Noncurrent liabilities and other</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189,241</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197,637</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Total liabilities</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1,768,923</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1,808,663</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Preferred Shares - Authorized 25,000 shares; L0.01</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par value; 0 shares issued and outstanding</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Ordinary Shares - Authorized 550,000 shares; L0.01</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par value; 237,263 and 233,932 issued and 210,124 and</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206,793 outstanding, respectively</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3,828</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3,763</w:t>
            </w: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Additional paid-in capital</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2,137,494</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2,035,309</w:t>
            </w: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Treasury stock, at cost - 27,139 Ordinary Shares</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(602,392)</w:t>
            </w:r>
          </w:p>
        </w:tc>
        <w:tc>
          <w:tcPr>
            <w:tcW w:w="50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(602,392)</w:t>
            </w: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Accumulated other comprehensive (loss) income</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(7,509)</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2,723</w:t>
            </w:r>
          </w:p>
        </w:tc>
      </w:tr>
      <w:tr>
        <w:trPr>
          <w:trHeight w:val="196"/>
        </w:trPr>
        <w:tc>
          <w:tcPr>
            <w:tcW w:w="6180" w:type="dxa"/>
            <w:vAlign w:val="bottom"/>
          </w:tcPr>
          <w:p>
            <w:pPr>
              <w:ind w:left="320"/>
              <w:spacing w:after="0"/>
              <w:rPr>
                <w:sz w:val="20"/>
                <w:szCs w:val="20"/>
                <w:color w:val="auto"/>
              </w:rPr>
            </w:pPr>
            <w:r>
              <w:rPr>
                <w:rFonts w:ascii="Courier New" w:cs="Courier New" w:eastAsia="Courier New" w:hAnsi="Courier New"/>
                <w:sz w:val="17"/>
                <w:szCs w:val="17"/>
                <w:color w:val="auto"/>
              </w:rPr>
              <w:t>Retained earnings</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983,456</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714,762</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Total shareholders' equity</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2,514,877</w:t>
            </w:r>
          </w:p>
        </w:tc>
        <w:tc>
          <w:tcPr>
            <w:tcW w:w="5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2,154,165</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ind w:left="620"/>
              <w:spacing w:after="0"/>
              <w:rPr>
                <w:sz w:val="20"/>
                <w:szCs w:val="20"/>
                <w:color w:val="auto"/>
              </w:rPr>
            </w:pPr>
            <w:r>
              <w:rPr>
                <w:rFonts w:ascii="Courier New" w:cs="Courier New" w:eastAsia="Courier New" w:hAnsi="Courier New"/>
                <w:sz w:val="17"/>
                <w:szCs w:val="17"/>
                <w:color w:val="auto"/>
              </w:rPr>
              <w:t>Total liabilities and shareholders' equity</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$4,283,800</w:t>
            </w:r>
          </w:p>
        </w:tc>
        <w:tc>
          <w:tcPr>
            <w:tcW w:w="16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$3,962,828</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accompanying notes are an integral part of these consolidated financial</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statements.</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3" w:right="1440" w:bottom="1440" w:gutter="0" w:footer="0" w:header="0"/>
        </w:sectPr>
      </w:pPr>
    </w:p>
    <w:bookmarkStart w:id="3" w:name="page4"/>
    <w:bookmarkEnd w:id="3"/>
    <w:p>
      <w:pPr>
        <w:jc w:val="center"/>
        <w:ind w:right="2039"/>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CONSOLIDATED STATEMENTS OF INCOME (UNAUDITED)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(dollar and share amounts in thousands, except per share</w:t>
            </w:r>
          </w:p>
        </w:tc>
        <w:tc>
          <w:tcPr>
            <w:tcW w:w="12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data)</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785"/>
        </w:trPr>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3"/>
          </w:tcPr>
          <w:p>
            <w:pPr>
              <w:jc w:val="right"/>
              <w:ind w:right="155"/>
              <w:spacing w:after="0"/>
              <w:rPr>
                <w:sz w:val="20"/>
                <w:szCs w:val="20"/>
                <w:color w:val="auto"/>
              </w:rPr>
            </w:pPr>
            <w:r>
              <w:rPr>
                <w:rFonts w:ascii="Courier New" w:cs="Courier New" w:eastAsia="Courier New" w:hAnsi="Courier New"/>
                <w:sz w:val="17"/>
                <w:szCs w:val="17"/>
                <w:color w:val="auto"/>
                <w:w w:val="99"/>
              </w:rPr>
              <w:t>THREE MONTHS ENDED</w:t>
            </w:r>
          </w:p>
        </w:tc>
        <w:tc>
          <w:tcPr>
            <w:tcW w:w="160" w:type="dxa"/>
            <w:vAlign w:val="bottom"/>
          </w:tcPr>
          <w:p>
            <w:pPr>
              <w:spacing w:after="0"/>
              <w:rPr>
                <w:sz w:val="24"/>
                <w:szCs w:val="24"/>
                <w:color w:val="auto"/>
              </w:rPr>
            </w:pPr>
          </w:p>
        </w:tc>
        <w:tc>
          <w:tcPr>
            <w:tcW w:w="2240" w:type="dxa"/>
            <w:vAlign w:val="bottom"/>
            <w:gridSpan w:val="3"/>
          </w:tcPr>
          <w:p>
            <w:pPr>
              <w:jc w:val="right"/>
              <w:ind w:right="215"/>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4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JUNE</w:t>
            </w:r>
          </w:p>
        </w:tc>
        <w:tc>
          <w:tcPr>
            <w:tcW w:w="11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30,</w:t>
            </w:r>
          </w:p>
        </w:tc>
        <w:tc>
          <w:tcPr>
            <w:tcW w:w="160" w:type="dxa"/>
            <w:vAlign w:val="bottom"/>
          </w:tcPr>
          <w:p>
            <w:pPr>
              <w:spacing w:after="0"/>
              <w:rPr>
                <w:sz w:val="17"/>
                <w:szCs w:val="17"/>
                <w:color w:val="auto"/>
              </w:rPr>
            </w:pPr>
          </w:p>
        </w:tc>
        <w:tc>
          <w:tcPr>
            <w:tcW w:w="2240" w:type="dxa"/>
            <w:vAlign w:val="bottom"/>
            <w:gridSpan w:val="3"/>
          </w:tcPr>
          <w:p>
            <w:pPr>
              <w:jc w:val="right"/>
              <w:ind w:right="615"/>
              <w:spacing w:after="0"/>
              <w:rPr>
                <w:sz w:val="20"/>
                <w:szCs w:val="20"/>
                <w:color w:val="auto"/>
              </w:rPr>
            </w:pPr>
            <w:r>
              <w:rPr>
                <w:rFonts w:ascii="Courier New" w:cs="Courier New" w:eastAsia="Courier New" w:hAnsi="Courier New"/>
                <w:sz w:val="17"/>
                <w:szCs w:val="17"/>
                <w:color w:val="auto"/>
              </w:rPr>
              <w:t>JUNE 30,</w:t>
            </w:r>
          </w:p>
        </w:tc>
      </w:tr>
      <w:tr>
        <w:trPr>
          <w:trHeight w:val="196"/>
        </w:trPr>
        <w:tc>
          <w:tcPr>
            <w:tcW w:w="4340" w:type="dxa"/>
            <w:vAlign w:val="bottom"/>
          </w:tcPr>
          <w:p>
            <w:pPr>
              <w:spacing w:after="0"/>
              <w:rPr>
                <w:sz w:val="17"/>
                <w:szCs w:val="17"/>
                <w:color w:val="auto"/>
              </w:rPr>
            </w:pPr>
          </w:p>
        </w:tc>
        <w:tc>
          <w:tcPr>
            <w:tcW w:w="2340" w:type="dxa"/>
            <w:vAlign w:val="bottom"/>
            <w:gridSpan w:val="4"/>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2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2007</w:t>
            </w:r>
          </w:p>
        </w:tc>
        <w:tc>
          <w:tcPr>
            <w:tcW w:w="160" w:type="dxa"/>
            <w:vAlign w:val="bottom"/>
          </w:tcPr>
          <w:p>
            <w:pPr>
              <w:spacing w:after="0"/>
              <w:rPr>
                <w:sz w:val="17"/>
                <w:szCs w:val="17"/>
                <w:color w:val="auto"/>
              </w:rPr>
            </w:pPr>
          </w:p>
        </w:tc>
        <w:tc>
          <w:tcPr>
            <w:tcW w:w="9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2006</w:t>
            </w:r>
          </w:p>
        </w:tc>
        <w:tc>
          <w:tcPr>
            <w:tcW w:w="160" w:type="dxa"/>
            <w:vAlign w:val="bottom"/>
          </w:tcPr>
          <w:p>
            <w:pPr>
              <w:spacing w:after="0"/>
              <w:rPr>
                <w:sz w:val="17"/>
                <w:szCs w:val="17"/>
                <w:color w:val="auto"/>
              </w:rPr>
            </w:pPr>
          </w:p>
        </w:tc>
        <w:tc>
          <w:tcPr>
            <w:tcW w:w="10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2007</w:t>
            </w:r>
          </w:p>
        </w:tc>
        <w:tc>
          <w:tcPr>
            <w:tcW w:w="24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2006</w:t>
            </w:r>
          </w:p>
        </w:tc>
      </w:tr>
      <w:tr>
        <w:trPr>
          <w:trHeight w:val="196"/>
        </w:trPr>
        <w:tc>
          <w:tcPr>
            <w:tcW w:w="4340" w:type="dxa"/>
            <w:vAlign w:val="bottom"/>
          </w:tcPr>
          <w:p>
            <w:pPr>
              <w:spacing w:after="0"/>
              <w:rPr>
                <w:sz w:val="17"/>
                <w:szCs w:val="17"/>
                <w:color w:val="auto"/>
              </w:rPr>
            </w:pP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34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4340" w:type="dxa"/>
            <w:vAlign w:val="bottom"/>
          </w:tcPr>
          <w:p>
            <w:pPr>
              <w:ind w:left="320"/>
              <w:spacing w:after="0"/>
              <w:rPr>
                <w:sz w:val="20"/>
                <w:szCs w:val="20"/>
                <w:color w:val="auto"/>
              </w:rPr>
            </w:pPr>
            <w:r>
              <w:rPr>
                <w:rFonts w:ascii="Courier New" w:cs="Courier New" w:eastAsia="Courier New" w:hAnsi="Courier New"/>
                <w:sz w:val="17"/>
                <w:szCs w:val="17"/>
                <w:color w:val="auto"/>
              </w:rPr>
              <w:t>License</w:t>
            </w: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$ 43,821</w:t>
            </w:r>
          </w:p>
        </w:tc>
        <w:tc>
          <w:tcPr>
            <w:tcW w:w="11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$ 23,220</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113,091</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85,172</w:t>
            </w:r>
          </w:p>
        </w:tc>
      </w:tr>
      <w:tr>
        <w:trPr>
          <w:trHeight w:val="196"/>
        </w:trPr>
        <w:tc>
          <w:tcPr>
            <w:tcW w:w="4340" w:type="dxa"/>
            <w:vAlign w:val="bottom"/>
          </w:tcPr>
          <w:p>
            <w:pPr>
              <w:ind w:left="320"/>
              <w:spacing w:after="0"/>
              <w:rPr>
                <w:sz w:val="20"/>
                <w:szCs w:val="20"/>
                <w:color w:val="auto"/>
              </w:rPr>
            </w:pPr>
            <w:r>
              <w:rPr>
                <w:rFonts w:ascii="Courier New" w:cs="Courier New" w:eastAsia="Courier New" w:hAnsi="Courier New"/>
                <w:sz w:val="17"/>
                <w:szCs w:val="17"/>
                <w:color w:val="auto"/>
              </w:rPr>
              <w:t>Service</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5"/>
              </w:rPr>
              <w:t>668,270</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603,228</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1,996,393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1,729,433</w:t>
            </w:r>
          </w:p>
        </w:tc>
      </w:tr>
      <w:tr>
        <w:trPr>
          <w:trHeight w:val="196"/>
        </w:trPr>
        <w:tc>
          <w:tcPr>
            <w:tcW w:w="4340" w:type="dxa"/>
            <w:vAlign w:val="bottom"/>
          </w:tcPr>
          <w:p>
            <w:pPr>
              <w:spacing w:after="0"/>
              <w:rPr>
                <w:sz w:val="17"/>
                <w:szCs w:val="17"/>
                <w:color w:val="auto"/>
              </w:rPr>
            </w:pP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5"/>
              </w:rPr>
              <w:t>712,091</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626,448</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2,109,484</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1,814,605</w:t>
            </w:r>
          </w:p>
        </w:tc>
      </w:tr>
      <w:tr>
        <w:trPr>
          <w:trHeight w:val="196"/>
        </w:trPr>
        <w:tc>
          <w:tcPr>
            <w:tcW w:w="4340" w:type="dxa"/>
            <w:vAlign w:val="bottom"/>
          </w:tcPr>
          <w:p>
            <w:pPr>
              <w:spacing w:after="0"/>
              <w:rPr>
                <w:sz w:val="17"/>
                <w:szCs w:val="17"/>
                <w:color w:val="auto"/>
              </w:rPr>
            </w:pP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4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34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960</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995</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3,045</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2,973</w:t>
            </w:r>
          </w:p>
        </w:tc>
      </w:tr>
      <w:tr>
        <w:trPr>
          <w:trHeight w:val="196"/>
        </w:trPr>
        <w:tc>
          <w:tcPr>
            <w:tcW w:w="434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5"/>
              </w:rPr>
              <w:t>448,795</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402,626</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1,330,776</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1,165,010</w:t>
            </w:r>
          </w:p>
        </w:tc>
      </w:tr>
      <w:tr>
        <w:trPr>
          <w:trHeight w:val="196"/>
        </w:trPr>
        <w:tc>
          <w:tcPr>
            <w:tcW w:w="4340" w:type="dxa"/>
            <w:vAlign w:val="bottom"/>
          </w:tcPr>
          <w:p>
            <w:pPr>
              <w:ind w:left="320"/>
              <w:spacing w:after="0"/>
              <w:rPr>
                <w:sz w:val="20"/>
                <w:szCs w:val="20"/>
                <w:color w:val="auto"/>
              </w:rPr>
            </w:pPr>
            <w:r>
              <w:rPr>
                <w:rFonts w:ascii="Courier New" w:cs="Courier New" w:eastAsia="Courier New" w:hAnsi="Courier New"/>
                <w:sz w:val="17"/>
                <w:szCs w:val="17"/>
                <w:color w:val="auto"/>
              </w:rPr>
              <w:t>Research and development</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56,727</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46,455</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174,929</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131,392</w:t>
            </w:r>
          </w:p>
        </w:tc>
      </w:tr>
      <w:tr>
        <w:trPr>
          <w:trHeight w:val="196"/>
        </w:trPr>
        <w:tc>
          <w:tcPr>
            <w:tcW w:w="434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 administrative</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94,445</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74,940</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274,895</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227,289</w:t>
            </w:r>
          </w:p>
        </w:tc>
      </w:tr>
      <w:tr>
        <w:trPr>
          <w:trHeight w:val="196"/>
        </w:trPr>
        <w:tc>
          <w:tcPr>
            <w:tcW w:w="434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purchased intangible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340" w:type="dxa"/>
            <w:vAlign w:val="bottom"/>
          </w:tcPr>
          <w:p>
            <w:pPr>
              <w:ind w:left="620"/>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19,175</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8,547</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55,785</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23,588</w:t>
            </w:r>
          </w:p>
        </w:tc>
      </w:tr>
      <w:tr>
        <w:trPr>
          <w:trHeight w:val="196"/>
        </w:trPr>
        <w:tc>
          <w:tcPr>
            <w:tcW w:w="4340" w:type="dxa"/>
            <w:vAlign w:val="bottom"/>
          </w:tcPr>
          <w:p>
            <w:pPr>
              <w:ind w:left="320"/>
              <w:spacing w:after="0"/>
              <w:rPr>
                <w:sz w:val="20"/>
                <w:szCs w:val="20"/>
                <w:color w:val="auto"/>
              </w:rPr>
            </w:pPr>
            <w:r>
              <w:rPr>
                <w:rFonts w:ascii="Courier New" w:cs="Courier New" w:eastAsia="Courier New" w:hAnsi="Courier New"/>
                <w:sz w:val="17"/>
                <w:szCs w:val="17"/>
                <w:color w:val="auto"/>
              </w:rPr>
              <w:t>Restructuring charges, in-process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340" w:type="dxa"/>
            <w:vAlign w:val="bottom"/>
          </w:tcPr>
          <w:p>
            <w:pPr>
              <w:ind w:left="620"/>
              <w:spacing w:after="0"/>
              <w:rPr>
                <w:sz w:val="20"/>
                <w:szCs w:val="20"/>
                <w:color w:val="auto"/>
              </w:rPr>
            </w:pPr>
            <w:r>
              <w:rPr>
                <w:rFonts w:ascii="Courier New" w:cs="Courier New" w:eastAsia="Courier New" w:hAnsi="Courier New"/>
                <w:sz w:val="17"/>
                <w:szCs w:val="17"/>
                <w:color w:val="auto"/>
              </w:rPr>
              <w:t>research and development and other</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8,415</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6,761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8,415</w:t>
            </w:r>
          </w:p>
        </w:tc>
      </w:tr>
      <w:tr>
        <w:trPr>
          <w:trHeight w:val="196"/>
        </w:trPr>
        <w:tc>
          <w:tcPr>
            <w:tcW w:w="4340" w:type="dxa"/>
            <w:vAlign w:val="bottom"/>
          </w:tcPr>
          <w:p>
            <w:pPr>
              <w:spacing w:after="0"/>
              <w:rPr>
                <w:sz w:val="17"/>
                <w:szCs w:val="17"/>
                <w:color w:val="auto"/>
              </w:rPr>
            </w:pP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5"/>
              </w:rPr>
              <w:t>620,102</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541,978</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1,846,191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1,558,667</w:t>
            </w:r>
          </w:p>
        </w:tc>
      </w:tr>
      <w:tr>
        <w:trPr>
          <w:trHeight w:val="196"/>
        </w:trPr>
        <w:tc>
          <w:tcPr>
            <w:tcW w:w="4340" w:type="dxa"/>
            <w:vAlign w:val="bottom"/>
          </w:tcPr>
          <w:p>
            <w:pPr>
              <w:spacing w:after="0"/>
              <w:rPr>
                <w:sz w:val="17"/>
                <w:szCs w:val="17"/>
                <w:color w:val="auto"/>
              </w:rPr>
            </w:pP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4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91,989</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84,470</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263,293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255,938</w:t>
            </w:r>
          </w:p>
        </w:tc>
      </w:tr>
      <w:tr>
        <w:trPr>
          <w:trHeight w:val="196"/>
        </w:trPr>
        <w:tc>
          <w:tcPr>
            <w:tcW w:w="4340" w:type="dxa"/>
            <w:vAlign w:val="bottom"/>
          </w:tcPr>
          <w:p>
            <w:pPr>
              <w:spacing w:after="0"/>
              <w:rPr>
                <w:sz w:val="20"/>
                <w:szCs w:val="20"/>
                <w:color w:val="auto"/>
              </w:rPr>
            </w:pPr>
            <w:r>
              <w:rPr>
                <w:rFonts w:ascii="Courier New" w:cs="Courier New" w:eastAsia="Courier New" w:hAnsi="Courier New"/>
                <w:sz w:val="17"/>
                <w:szCs w:val="17"/>
                <w:color w:val="auto"/>
              </w:rPr>
              <w:t>Interest income and other, net</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14,290</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14,938</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36,928</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33,659</w:t>
            </w:r>
          </w:p>
        </w:tc>
      </w:tr>
      <w:tr>
        <w:trPr>
          <w:trHeight w:val="196"/>
        </w:trPr>
        <w:tc>
          <w:tcPr>
            <w:tcW w:w="4340" w:type="dxa"/>
            <w:vAlign w:val="bottom"/>
          </w:tcPr>
          <w:p>
            <w:pPr>
              <w:spacing w:after="0"/>
              <w:rPr>
                <w:sz w:val="17"/>
                <w:szCs w:val="17"/>
                <w:color w:val="auto"/>
              </w:rPr>
            </w:pP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4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5"/>
              </w:rPr>
              <w:t>106,279</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99,408</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300,221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289,597</w:t>
            </w:r>
          </w:p>
        </w:tc>
      </w:tr>
      <w:tr>
        <w:trPr>
          <w:trHeight w:val="196"/>
        </w:trPr>
        <w:tc>
          <w:tcPr>
            <w:tcW w:w="434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18,098</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13,823</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31,527</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46,916</w:t>
            </w:r>
          </w:p>
        </w:tc>
      </w:tr>
      <w:tr>
        <w:trPr>
          <w:trHeight w:val="196"/>
        </w:trPr>
        <w:tc>
          <w:tcPr>
            <w:tcW w:w="4340" w:type="dxa"/>
            <w:vAlign w:val="bottom"/>
          </w:tcPr>
          <w:p>
            <w:pPr>
              <w:spacing w:after="0"/>
              <w:rPr>
                <w:sz w:val="17"/>
                <w:szCs w:val="17"/>
                <w:color w:val="auto"/>
              </w:rPr>
            </w:pP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$ 88,181</w:t>
            </w:r>
          </w:p>
        </w:tc>
        <w:tc>
          <w:tcPr>
            <w:tcW w:w="11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$ 85,585</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268,694</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242,681</w:t>
            </w:r>
          </w:p>
        </w:tc>
      </w:tr>
      <w:tr>
        <w:trPr>
          <w:trHeight w:val="196"/>
        </w:trPr>
        <w:tc>
          <w:tcPr>
            <w:tcW w:w="4340" w:type="dxa"/>
            <w:vAlign w:val="bottom"/>
          </w:tcPr>
          <w:p>
            <w:pPr>
              <w:spacing w:after="0"/>
              <w:rPr>
                <w:sz w:val="17"/>
                <w:szCs w:val="17"/>
                <w:color w:val="auto"/>
              </w:rPr>
            </w:pP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40" w:type="dxa"/>
            <w:vAlign w:val="bottom"/>
          </w:tcPr>
          <w:p>
            <w:pPr>
              <w:spacing w:after="0"/>
              <w:rPr>
                <w:sz w:val="20"/>
                <w:szCs w:val="20"/>
                <w:color w:val="auto"/>
              </w:rPr>
            </w:pPr>
            <w:r>
              <w:rPr>
                <w:rFonts w:ascii="Courier New" w:cs="Courier New" w:eastAsia="Courier New" w:hAnsi="Courier New"/>
                <w:sz w:val="17"/>
                <w:szCs w:val="17"/>
                <w:color w:val="auto"/>
              </w:rPr>
              <w:t>Basic earnings per share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0.42</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0.42</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1.30</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1.20</w:t>
            </w:r>
          </w:p>
        </w:tc>
      </w:tr>
      <w:tr>
        <w:trPr>
          <w:trHeight w:val="196"/>
        </w:trPr>
        <w:tc>
          <w:tcPr>
            <w:tcW w:w="4340" w:type="dxa"/>
            <w:vAlign w:val="bottom"/>
          </w:tcPr>
          <w:p>
            <w:pPr>
              <w:spacing w:after="0"/>
              <w:rPr>
                <w:sz w:val="17"/>
                <w:szCs w:val="17"/>
                <w:color w:val="auto"/>
              </w:rPr>
            </w:pP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40" w:type="dxa"/>
            <w:vAlign w:val="bottom"/>
          </w:tcPr>
          <w:p>
            <w:pPr>
              <w:spacing w:after="0"/>
              <w:rPr>
                <w:sz w:val="20"/>
                <w:szCs w:val="20"/>
                <w:color w:val="auto"/>
              </w:rPr>
            </w:pPr>
            <w:r>
              <w:rPr>
                <w:rFonts w:ascii="Courier New" w:cs="Courier New" w:eastAsia="Courier New" w:hAnsi="Courier New"/>
                <w:sz w:val="17"/>
                <w:szCs w:val="17"/>
                <w:color w:val="auto"/>
              </w:rPr>
              <w:t>Diluted earnings per share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0.40</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0.39</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1.22</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1.13</w:t>
            </w:r>
          </w:p>
        </w:tc>
      </w:tr>
      <w:tr>
        <w:trPr>
          <w:trHeight w:val="196"/>
        </w:trPr>
        <w:tc>
          <w:tcPr>
            <w:tcW w:w="4340" w:type="dxa"/>
            <w:vAlign w:val="bottom"/>
          </w:tcPr>
          <w:p>
            <w:pPr>
              <w:spacing w:after="0"/>
              <w:rPr>
                <w:sz w:val="17"/>
                <w:szCs w:val="17"/>
                <w:color w:val="auto"/>
              </w:rPr>
            </w:pP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40" w:type="dxa"/>
            <w:vAlign w:val="bottom"/>
          </w:tcPr>
          <w:p>
            <w:pPr>
              <w:spacing w:after="0"/>
              <w:rPr>
                <w:sz w:val="20"/>
                <w:szCs w:val="20"/>
                <w:color w:val="auto"/>
              </w:rPr>
            </w:pPr>
            <w:r>
              <w:rPr>
                <w:rFonts w:ascii="Courier New" w:cs="Courier New" w:eastAsia="Courier New" w:hAnsi="Courier New"/>
                <w:sz w:val="17"/>
                <w:szCs w:val="17"/>
                <w:color w:val="auto"/>
              </w:rPr>
              <w:t>Basic weighted average number of shares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340" w:type="dxa"/>
            <w:vAlign w:val="bottom"/>
          </w:tcPr>
          <w:p>
            <w:pPr>
              <w:ind w:left="320"/>
              <w:spacing w:after="0"/>
              <w:rPr>
                <w:sz w:val="20"/>
                <w:szCs w:val="20"/>
                <w:color w:val="auto"/>
              </w:rPr>
            </w:pPr>
            <w:r>
              <w:rPr>
                <w:rFonts w:ascii="Courier New" w:cs="Courier New" w:eastAsia="Courier New" w:hAnsi="Courier New"/>
                <w:sz w:val="17"/>
                <w:szCs w:val="17"/>
                <w:color w:val="auto"/>
              </w:rPr>
              <w:t>outstanding</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5"/>
              </w:rPr>
              <w:t>208,262</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204,404</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207,332</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202,474</w:t>
            </w:r>
          </w:p>
        </w:tc>
      </w:tr>
      <w:tr>
        <w:trPr>
          <w:trHeight w:val="196"/>
        </w:trPr>
        <w:tc>
          <w:tcPr>
            <w:tcW w:w="4340" w:type="dxa"/>
            <w:vAlign w:val="bottom"/>
          </w:tcPr>
          <w:p>
            <w:pPr>
              <w:spacing w:after="0"/>
              <w:rPr>
                <w:sz w:val="17"/>
                <w:szCs w:val="17"/>
                <w:color w:val="auto"/>
              </w:rPr>
            </w:pP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4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 of shares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340" w:type="dxa"/>
            <w:vAlign w:val="bottom"/>
          </w:tcPr>
          <w:p>
            <w:pPr>
              <w:ind w:left="320"/>
              <w:spacing w:after="0"/>
              <w:rPr>
                <w:sz w:val="20"/>
                <w:szCs w:val="20"/>
                <w:color w:val="auto"/>
              </w:rPr>
            </w:pPr>
            <w:r>
              <w:rPr>
                <w:rFonts w:ascii="Courier New" w:cs="Courier New" w:eastAsia="Courier New" w:hAnsi="Courier New"/>
                <w:sz w:val="17"/>
                <w:szCs w:val="17"/>
                <w:color w:val="auto"/>
              </w:rPr>
              <w:t>outstanding</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5"/>
              </w:rPr>
              <w:t>223,775</w:t>
            </w:r>
          </w:p>
        </w:tc>
        <w:tc>
          <w:tcPr>
            <w:tcW w:w="1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220,109</w:t>
            </w:r>
          </w:p>
        </w:tc>
        <w:tc>
          <w:tcPr>
            <w:tcW w:w="1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222,997</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217,633</w:t>
            </w:r>
          </w:p>
        </w:tc>
      </w:tr>
      <w:tr>
        <w:trPr>
          <w:trHeight w:val="196"/>
        </w:trPr>
        <w:tc>
          <w:tcPr>
            <w:tcW w:w="4340" w:type="dxa"/>
            <w:vAlign w:val="bottom"/>
          </w:tcPr>
          <w:p>
            <w:pPr>
              <w:spacing w:after="0"/>
              <w:rPr>
                <w:sz w:val="17"/>
                <w:szCs w:val="17"/>
                <w:color w:val="auto"/>
              </w:rPr>
            </w:pP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accompanying notes are an integral part of these consolidated financial</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statements.</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3" w:right="1440" w:bottom="1440" w:gutter="0" w:footer="0" w:header="0"/>
        </w:sectPr>
      </w:pPr>
    </w:p>
    <w:bookmarkStart w:id="4" w:name="page5"/>
    <w:bookmarkEnd w:id="4"/>
    <w:p>
      <w:pPr>
        <w:jc w:val="center"/>
        <w:ind w:right="3340"/>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7"/>
          <w:szCs w:val="17"/>
          <w:color w:val="auto"/>
        </w:rPr>
        <w:t>CONSOLIDATED STATEMENT OF CHANGES IN SHAREHOLDERS' EQUITY (UNAUDITED)</w:t>
      </w:r>
    </w:p>
    <w:p>
      <w:pPr>
        <w:spacing w:after="0" w:line="200"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(dollar and share amounts in thousands)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7"/>
                <w:szCs w:val="17"/>
                <w:color w:val="auto"/>
                <w:w w:val="99"/>
              </w:rPr>
              <w:t>Accumulated</w:t>
            </w:r>
          </w:p>
        </w:tc>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6"/>
        </w:trPr>
        <w:tc>
          <w:tcPr>
            <w:tcW w:w="2820" w:type="dxa"/>
            <w:vAlign w:val="bottom"/>
          </w:tcPr>
          <w:p>
            <w:pPr>
              <w:spacing w:after="0"/>
              <w:rPr>
                <w:sz w:val="17"/>
                <w:szCs w:val="17"/>
                <w:color w:val="auto"/>
              </w:rPr>
            </w:pPr>
          </w:p>
        </w:tc>
        <w:tc>
          <w:tcPr>
            <w:tcW w:w="19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Ordinary Shares</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Additional</w:t>
            </w:r>
          </w:p>
        </w:tc>
        <w:tc>
          <w:tcPr>
            <w:tcW w:w="12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7"/>
                <w:szCs w:val="17"/>
                <w:color w:val="auto"/>
              </w:rPr>
              <w:t>Other</w:t>
            </w:r>
          </w:p>
        </w:tc>
        <w:tc>
          <w:tcPr>
            <w:tcW w:w="1120" w:type="dxa"/>
            <w:vAlign w:val="bottom"/>
          </w:tcPr>
          <w:p>
            <w:pPr>
              <w:spacing w:after="0"/>
              <w:rPr>
                <w:sz w:val="17"/>
                <w:szCs w:val="17"/>
                <w:color w:val="auto"/>
              </w:rPr>
            </w:pPr>
          </w:p>
        </w:tc>
        <w:tc>
          <w:tcPr>
            <w:tcW w:w="1460" w:type="dxa"/>
            <w:vAlign w:val="bottom"/>
          </w:tcPr>
          <w:p>
            <w:pPr>
              <w:ind w:left="560"/>
              <w:spacing w:after="0"/>
              <w:rPr>
                <w:sz w:val="20"/>
                <w:szCs w:val="20"/>
                <w:color w:val="auto"/>
              </w:rPr>
            </w:pPr>
            <w:r>
              <w:rPr>
                <w:rFonts w:ascii="Courier New" w:cs="Courier New" w:eastAsia="Courier New" w:hAnsi="Courier New"/>
                <w:sz w:val="17"/>
                <w:szCs w:val="17"/>
                <w:color w:val="auto"/>
              </w:rPr>
              <w:t>Total</w:t>
            </w:r>
          </w:p>
        </w:tc>
      </w:tr>
      <w:tr>
        <w:trPr>
          <w:trHeight w:val="196"/>
        </w:trPr>
        <w:tc>
          <w:tcPr>
            <w:tcW w:w="2820" w:type="dxa"/>
            <w:vAlign w:val="bottom"/>
          </w:tcPr>
          <w:p>
            <w:pPr>
              <w:spacing w:after="0"/>
              <w:rPr>
                <w:sz w:val="17"/>
                <w:szCs w:val="17"/>
                <w:color w:val="auto"/>
              </w:rPr>
            </w:pPr>
          </w:p>
        </w:tc>
        <w:tc>
          <w:tcPr>
            <w:tcW w:w="19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Paid-in</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Treasury</w:t>
            </w:r>
          </w:p>
        </w:tc>
        <w:tc>
          <w:tcPr>
            <w:tcW w:w="1580" w:type="dxa"/>
            <w:vAlign w:val="bottom"/>
          </w:tcPr>
          <w:p>
            <w:pPr>
              <w:jc w:val="center"/>
              <w:spacing w:after="0"/>
              <w:rPr>
                <w:sz w:val="20"/>
                <w:szCs w:val="20"/>
                <w:color w:val="auto"/>
              </w:rPr>
            </w:pPr>
            <w:r>
              <w:rPr>
                <w:rFonts w:ascii="Courier New" w:cs="Courier New" w:eastAsia="Courier New" w:hAnsi="Courier New"/>
                <w:sz w:val="17"/>
                <w:szCs w:val="17"/>
                <w:color w:val="auto"/>
                <w:w w:val="99"/>
              </w:rPr>
              <w:t>Comprehensive</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Retained</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Shareholders'</w:t>
            </w:r>
          </w:p>
        </w:tc>
      </w:tr>
      <w:tr>
        <w:trPr>
          <w:trHeight w:val="196"/>
        </w:trPr>
        <w:tc>
          <w:tcPr>
            <w:tcW w:w="2820" w:type="dxa"/>
            <w:vAlign w:val="bottom"/>
          </w:tcPr>
          <w:p>
            <w:pPr>
              <w:spacing w:after="0"/>
              <w:rPr>
                <w:sz w:val="17"/>
                <w:szCs w:val="17"/>
                <w:color w:val="auto"/>
              </w:rPr>
            </w:pP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Shares</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Amount</w:t>
            </w:r>
          </w:p>
        </w:tc>
        <w:tc>
          <w:tcPr>
            <w:tcW w:w="13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Capital</w:t>
            </w:r>
          </w:p>
        </w:tc>
        <w:tc>
          <w:tcPr>
            <w:tcW w:w="12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Stock</w:t>
            </w:r>
          </w:p>
        </w:tc>
        <w:tc>
          <w:tcPr>
            <w:tcW w:w="1580" w:type="dxa"/>
            <w:vAlign w:val="bottom"/>
          </w:tcPr>
          <w:p>
            <w:pPr>
              <w:jc w:val="center"/>
              <w:spacing w:after="0"/>
              <w:rPr>
                <w:sz w:val="20"/>
                <w:szCs w:val="20"/>
                <w:color w:val="auto"/>
              </w:rPr>
            </w:pPr>
            <w:r>
              <w:rPr>
                <w:rFonts w:ascii="Courier New" w:cs="Courier New" w:eastAsia="Courier New" w:hAnsi="Courier New"/>
                <w:sz w:val="17"/>
                <w:szCs w:val="17"/>
                <w:color w:val="auto"/>
                <w:w w:val="99"/>
              </w:rPr>
              <w:t>(Loss) Income</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Earnings</w:t>
            </w:r>
          </w:p>
        </w:tc>
        <w:tc>
          <w:tcPr>
            <w:tcW w:w="1460" w:type="dxa"/>
            <w:vAlign w:val="bottom"/>
          </w:tcPr>
          <w:p>
            <w:pPr>
              <w:ind w:left="560"/>
              <w:spacing w:after="0"/>
              <w:rPr>
                <w:sz w:val="20"/>
                <w:szCs w:val="20"/>
                <w:color w:val="auto"/>
              </w:rPr>
            </w:pPr>
            <w:r>
              <w:rPr>
                <w:rFonts w:ascii="Courier New" w:cs="Courier New" w:eastAsia="Courier New" w:hAnsi="Courier New"/>
                <w:sz w:val="17"/>
                <w:szCs w:val="17"/>
                <w:color w:val="auto"/>
              </w:rPr>
              <w:t>Equity</w:t>
            </w:r>
          </w:p>
        </w:tc>
      </w:tr>
      <w:tr>
        <w:trPr>
          <w:trHeight w:val="196"/>
        </w:trPr>
        <w:tc>
          <w:tcPr>
            <w:tcW w:w="2820" w:type="dxa"/>
            <w:vAlign w:val="bottom"/>
          </w:tcPr>
          <w:p>
            <w:pPr>
              <w:spacing w:after="0"/>
              <w:rPr>
                <w:sz w:val="17"/>
                <w:szCs w:val="17"/>
                <w:color w:val="auto"/>
              </w:rPr>
            </w:pP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center"/>
              <w:spacing w:after="0"/>
              <w:rPr>
                <w:sz w:val="20"/>
                <w:szCs w:val="20"/>
                <w:color w:val="auto"/>
              </w:rPr>
            </w:pPr>
            <w:r>
              <w:rPr>
                <w:rFonts w:ascii="Courier New" w:cs="Courier New" w:eastAsia="Courier New" w:hAnsi="Courier New"/>
                <w:sz w:val="17"/>
                <w:szCs w:val="17"/>
                <w:color w:val="auto"/>
                <w:w w:val="99"/>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2820" w:type="dxa"/>
            <w:vAlign w:val="bottom"/>
          </w:tcPr>
          <w:p>
            <w:pPr>
              <w:spacing w:after="0"/>
              <w:rPr>
                <w:sz w:val="20"/>
                <w:szCs w:val="20"/>
                <w:color w:val="auto"/>
              </w:rPr>
            </w:pPr>
            <w:r>
              <w:rPr>
                <w:rFonts w:ascii="Courier New" w:cs="Courier New" w:eastAsia="Courier New" w:hAnsi="Courier New"/>
                <w:sz w:val="17"/>
                <w:szCs w:val="17"/>
                <w:color w:val="auto"/>
              </w:rPr>
              <w:t>BALANCE AS OF SEPTEMBER</w:t>
            </w: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30, 2006</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206,793</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$3,763</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$2,035,309</w:t>
            </w:r>
          </w:p>
        </w:tc>
        <w:tc>
          <w:tcPr>
            <w:tcW w:w="12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$(602,392)</w:t>
            </w:r>
          </w:p>
        </w:tc>
        <w:tc>
          <w:tcPr>
            <w:tcW w:w="15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$ 2,723</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$714,762</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$2,154,165</w:t>
            </w:r>
          </w:p>
        </w:tc>
      </w:tr>
      <w:tr>
        <w:trPr>
          <w:trHeight w:val="196"/>
        </w:trPr>
        <w:tc>
          <w:tcPr>
            <w:tcW w:w="2820" w:type="dxa"/>
            <w:vAlign w:val="bottom"/>
          </w:tcPr>
          <w:p>
            <w:pPr>
              <w:spacing w:after="0"/>
              <w:rPr>
                <w:sz w:val="20"/>
                <w:szCs w:val="20"/>
                <w:color w:val="auto"/>
              </w:rPr>
            </w:pPr>
            <w:r>
              <w:rPr>
                <w:rFonts w:ascii="Courier New" w:cs="Courier New" w:eastAsia="Courier New" w:hAnsi="Courier New"/>
                <w:sz w:val="17"/>
                <w:szCs w:val="17"/>
                <w:color w:val="auto"/>
              </w:rPr>
              <w:t>Comprehensive income:</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268,694</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268,694</w:t>
            </w: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Unrealized loss on</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620"/>
              <w:spacing w:after="0"/>
              <w:rPr>
                <w:sz w:val="20"/>
                <w:szCs w:val="20"/>
                <w:color w:val="auto"/>
              </w:rPr>
            </w:pPr>
            <w:r>
              <w:rPr>
                <w:rFonts w:ascii="Courier New" w:cs="Courier New" w:eastAsia="Courier New" w:hAnsi="Courier New"/>
                <w:sz w:val="17"/>
                <w:szCs w:val="17"/>
                <w:color w:val="auto"/>
              </w:rPr>
              <w:t>foreign currency</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620"/>
              <w:spacing w:after="0"/>
              <w:rPr>
                <w:sz w:val="20"/>
                <w:szCs w:val="20"/>
                <w:color w:val="auto"/>
              </w:rPr>
            </w:pPr>
            <w:r>
              <w:rPr>
                <w:rFonts w:ascii="Courier New" w:cs="Courier New" w:eastAsia="Courier New" w:hAnsi="Courier New"/>
                <w:sz w:val="17"/>
                <w:szCs w:val="17"/>
                <w:color w:val="auto"/>
              </w:rPr>
              <w:t>hedging contracts,</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620"/>
              <w:spacing w:after="0"/>
              <w:rPr>
                <w:sz w:val="20"/>
                <w:szCs w:val="20"/>
                <w:color w:val="auto"/>
              </w:rPr>
            </w:pPr>
            <w:r>
              <w:rPr>
                <w:rFonts w:ascii="Courier New" w:cs="Courier New" w:eastAsia="Courier New" w:hAnsi="Courier New"/>
                <w:sz w:val="17"/>
                <w:szCs w:val="17"/>
                <w:color w:val="auto"/>
              </w:rPr>
              <w:t>net of $(1,961) tax</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(9,831)</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(9,831)</w:t>
            </w: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Unrealized loss on</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620"/>
              <w:spacing w:after="0"/>
              <w:rPr>
                <w:sz w:val="20"/>
                <w:szCs w:val="20"/>
                <w:color w:val="auto"/>
              </w:rPr>
            </w:pPr>
            <w:r>
              <w:rPr>
                <w:rFonts w:ascii="Courier New" w:cs="Courier New" w:eastAsia="Courier New" w:hAnsi="Courier New"/>
                <w:sz w:val="17"/>
                <w:szCs w:val="17"/>
                <w:color w:val="auto"/>
              </w:rPr>
              <w:t>short-term</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620"/>
              <w:spacing w:after="0"/>
              <w:rPr>
                <w:sz w:val="20"/>
                <w:szCs w:val="20"/>
                <w:color w:val="auto"/>
              </w:rPr>
            </w:pPr>
            <w:r>
              <w:rPr>
                <w:rFonts w:ascii="Courier New" w:cs="Courier New" w:eastAsia="Courier New" w:hAnsi="Courier New"/>
                <w:sz w:val="17"/>
                <w:szCs w:val="17"/>
                <w:color w:val="auto"/>
              </w:rPr>
              <w:t>interest-bearing</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620"/>
              <w:spacing w:after="0"/>
              <w:rPr>
                <w:sz w:val="20"/>
                <w:szCs w:val="20"/>
                <w:color w:val="auto"/>
              </w:rPr>
            </w:pPr>
            <w:r>
              <w:rPr>
                <w:rFonts w:ascii="Courier New" w:cs="Courier New" w:eastAsia="Courier New" w:hAnsi="Courier New"/>
                <w:sz w:val="17"/>
                <w:szCs w:val="17"/>
                <w:color w:val="auto"/>
              </w:rPr>
              <w:t>investments, net of</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620"/>
              <w:spacing w:after="0"/>
              <w:rPr>
                <w:sz w:val="20"/>
                <w:szCs w:val="20"/>
                <w:color w:val="auto"/>
              </w:rPr>
            </w:pPr>
            <w:r>
              <w:rPr>
                <w:rFonts w:ascii="Courier New" w:cs="Courier New" w:eastAsia="Courier New" w:hAnsi="Courier New"/>
                <w:sz w:val="17"/>
                <w:szCs w:val="17"/>
                <w:color w:val="auto"/>
              </w:rPr>
              <w:t>$(37) tax</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(401)</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(401)</w:t>
            </w:r>
          </w:p>
        </w:tc>
      </w:tr>
      <w:tr>
        <w:trPr>
          <w:trHeight w:val="196"/>
        </w:trPr>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2820" w:type="dxa"/>
            <w:vAlign w:val="bottom"/>
          </w:tcPr>
          <w:p>
            <w:pPr>
              <w:ind w:left="200"/>
              <w:spacing w:after="0"/>
              <w:rPr>
                <w:sz w:val="20"/>
                <w:szCs w:val="20"/>
                <w:color w:val="auto"/>
              </w:rPr>
            </w:pPr>
            <w:r>
              <w:rPr>
                <w:rFonts w:ascii="Courier New" w:cs="Courier New" w:eastAsia="Courier New" w:hAnsi="Courier New"/>
                <w:sz w:val="17"/>
                <w:szCs w:val="17"/>
                <w:color w:val="auto"/>
              </w:rPr>
              <w:t>Comprehensive income</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258,462</w:t>
            </w:r>
          </w:p>
        </w:tc>
      </w:tr>
      <w:tr>
        <w:trPr>
          <w:trHeight w:val="196"/>
        </w:trPr>
        <w:tc>
          <w:tcPr>
            <w:tcW w:w="2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2820" w:type="dxa"/>
            <w:vAlign w:val="bottom"/>
          </w:tcPr>
          <w:p>
            <w:pPr>
              <w:spacing w:after="0"/>
              <w:rPr>
                <w:sz w:val="20"/>
                <w:szCs w:val="20"/>
                <w:color w:val="auto"/>
              </w:rPr>
            </w:pPr>
            <w:r>
              <w:rPr>
                <w:rFonts w:ascii="Courier New" w:cs="Courier New" w:eastAsia="Courier New" w:hAnsi="Courier New"/>
                <w:sz w:val="17"/>
                <w:szCs w:val="17"/>
                <w:color w:val="auto"/>
              </w:rPr>
              <w:t>Employee stock options</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exercised</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3,056</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60</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58,208</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58,268</w:t>
            </w:r>
          </w:p>
        </w:tc>
      </w:tr>
      <w:tr>
        <w:trPr>
          <w:trHeight w:val="196"/>
        </w:trPr>
        <w:tc>
          <w:tcPr>
            <w:tcW w:w="2820" w:type="dxa"/>
            <w:vAlign w:val="bottom"/>
          </w:tcPr>
          <w:p>
            <w:pPr>
              <w:spacing w:after="0"/>
              <w:rPr>
                <w:sz w:val="20"/>
                <w:szCs w:val="20"/>
                <w:color w:val="auto"/>
              </w:rPr>
            </w:pPr>
            <w:r>
              <w:rPr>
                <w:rFonts w:ascii="Courier New" w:cs="Courier New" w:eastAsia="Courier New" w:hAnsi="Courier New"/>
                <w:sz w:val="17"/>
                <w:szCs w:val="17"/>
                <w:color w:val="auto"/>
              </w:rPr>
              <w:t>Issuance of restricted</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stock, net of</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forfeitures</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275</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w:t>
            </w:r>
          </w:p>
        </w:tc>
      </w:tr>
      <w:tr>
        <w:trPr>
          <w:trHeight w:val="196"/>
        </w:trPr>
        <w:tc>
          <w:tcPr>
            <w:tcW w:w="2820" w:type="dxa"/>
            <w:vAlign w:val="bottom"/>
          </w:tcPr>
          <w:p>
            <w:pPr>
              <w:spacing w:after="0"/>
              <w:rPr>
                <w:sz w:val="20"/>
                <w:szCs w:val="20"/>
                <w:color w:val="auto"/>
              </w:rPr>
            </w:pPr>
            <w:r>
              <w:rPr>
                <w:rFonts w:ascii="Courier New" w:cs="Courier New" w:eastAsia="Courier New" w:hAnsi="Courier New"/>
                <w:sz w:val="17"/>
                <w:szCs w:val="17"/>
                <w:color w:val="auto"/>
              </w:rPr>
              <w:t>Issuance of stock options</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related to acquisition</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768</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768</w:t>
            </w:r>
          </w:p>
        </w:tc>
      </w:tr>
      <w:tr>
        <w:trPr>
          <w:trHeight w:val="196"/>
        </w:trPr>
        <w:tc>
          <w:tcPr>
            <w:tcW w:w="2820" w:type="dxa"/>
            <w:vAlign w:val="bottom"/>
          </w:tcPr>
          <w:p>
            <w:pPr>
              <w:spacing w:after="0"/>
              <w:rPr>
                <w:sz w:val="20"/>
                <w:szCs w:val="20"/>
                <w:color w:val="auto"/>
              </w:rPr>
            </w:pPr>
            <w:r>
              <w:rPr>
                <w:rFonts w:ascii="Courier New" w:cs="Courier New" w:eastAsia="Courier New" w:hAnsi="Courier New"/>
                <w:sz w:val="17"/>
                <w:szCs w:val="17"/>
                <w:color w:val="auto"/>
              </w:rPr>
              <w:t>Tax benefit of stock</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options exercised and</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restricted stock vested</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3,216</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3,216</w:t>
            </w:r>
          </w:p>
        </w:tc>
      </w:tr>
      <w:tr>
        <w:trPr>
          <w:trHeight w:val="196"/>
        </w:trPr>
        <w:tc>
          <w:tcPr>
            <w:tcW w:w="2820" w:type="dxa"/>
            <w:vAlign w:val="bottom"/>
          </w:tcPr>
          <w:p>
            <w:pPr>
              <w:spacing w:after="0"/>
              <w:rPr>
                <w:sz w:val="20"/>
                <w:szCs w:val="20"/>
                <w:color w:val="auto"/>
              </w:rPr>
            </w:pPr>
            <w:r>
              <w:rPr>
                <w:rFonts w:ascii="Courier New" w:cs="Courier New" w:eastAsia="Courier New" w:hAnsi="Courier New"/>
                <w:sz w:val="17"/>
                <w:szCs w:val="17"/>
                <w:color w:val="auto"/>
              </w:rPr>
              <w:t>Equity-based compensation</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expense related to</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employees</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39,970</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39,970</w:t>
            </w:r>
          </w:p>
        </w:tc>
      </w:tr>
      <w:tr>
        <w:trPr>
          <w:trHeight w:val="196"/>
        </w:trPr>
        <w:tc>
          <w:tcPr>
            <w:tcW w:w="2820" w:type="dxa"/>
            <w:vAlign w:val="bottom"/>
          </w:tcPr>
          <w:p>
            <w:pPr>
              <w:spacing w:after="0"/>
              <w:rPr>
                <w:sz w:val="20"/>
                <w:szCs w:val="20"/>
                <w:color w:val="auto"/>
              </w:rPr>
            </w:pPr>
            <w:r>
              <w:rPr>
                <w:rFonts w:ascii="Courier New" w:cs="Courier New" w:eastAsia="Courier New" w:hAnsi="Courier New"/>
                <w:sz w:val="17"/>
                <w:szCs w:val="17"/>
                <w:color w:val="auto"/>
              </w:rPr>
              <w:t>Equity-based compensation</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expense related to non</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employee stock options</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23</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w:t>
            </w:r>
          </w:p>
        </w:tc>
      </w:tr>
      <w:tr>
        <w:trPr>
          <w:trHeight w:val="196"/>
        </w:trPr>
        <w:tc>
          <w:tcPr>
            <w:tcW w:w="2820" w:type="dxa"/>
            <w:vAlign w:val="bottom"/>
          </w:tcPr>
          <w:p>
            <w:pPr>
              <w:spacing w:after="0"/>
              <w:rPr>
                <w:sz w:val="17"/>
                <w:szCs w:val="17"/>
                <w:color w:val="auto"/>
              </w:rPr>
            </w:pP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2820" w:type="dxa"/>
            <w:vAlign w:val="bottom"/>
          </w:tcPr>
          <w:p>
            <w:pPr>
              <w:spacing w:after="0"/>
              <w:rPr>
                <w:sz w:val="20"/>
                <w:szCs w:val="20"/>
                <w:color w:val="auto"/>
              </w:rPr>
            </w:pPr>
            <w:r>
              <w:rPr>
                <w:rFonts w:ascii="Courier New" w:cs="Courier New" w:eastAsia="Courier New" w:hAnsi="Courier New"/>
                <w:sz w:val="17"/>
                <w:szCs w:val="17"/>
                <w:color w:val="auto"/>
              </w:rPr>
              <w:t>BALANCE AS OF  JUNE 30,</w:t>
            </w: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820" w:type="dxa"/>
            <w:vAlign w:val="bottom"/>
          </w:tcPr>
          <w:p>
            <w:pPr>
              <w:ind w:left="320"/>
              <w:spacing w:after="0"/>
              <w:rPr>
                <w:sz w:val="20"/>
                <w:szCs w:val="20"/>
                <w:color w:val="auto"/>
              </w:rPr>
            </w:pPr>
            <w:r>
              <w:rPr>
                <w:rFonts w:ascii="Courier New" w:cs="Courier New" w:eastAsia="Courier New" w:hAnsi="Courier New"/>
                <w:sz w:val="17"/>
                <w:szCs w:val="17"/>
                <w:color w:val="auto"/>
              </w:rPr>
              <w:t>2007</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210,124</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$3,828</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$2,137,494</w:t>
            </w:r>
          </w:p>
        </w:tc>
        <w:tc>
          <w:tcPr>
            <w:tcW w:w="12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$(602,392)</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$(7,509)</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$983,456</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$2,514,877</w:t>
            </w:r>
          </w:p>
        </w:tc>
      </w:tr>
      <w:tr>
        <w:trPr>
          <w:trHeight w:val="196"/>
        </w:trPr>
        <w:tc>
          <w:tcPr>
            <w:tcW w:w="2820" w:type="dxa"/>
            <w:vAlign w:val="bottom"/>
          </w:tcPr>
          <w:p>
            <w:pPr>
              <w:spacing w:after="0"/>
              <w:rPr>
                <w:sz w:val="17"/>
                <w:szCs w:val="17"/>
                <w:color w:val="auto"/>
              </w:rPr>
            </w:pP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3360"/>
        <w:spacing w:after="0" w:line="244" w:lineRule="auto"/>
        <w:rPr>
          <w:sz w:val="20"/>
          <w:szCs w:val="20"/>
          <w:color w:val="auto"/>
        </w:rPr>
      </w:pPr>
      <w:r>
        <w:rPr>
          <w:rFonts w:ascii="Courier New" w:cs="Courier New" w:eastAsia="Courier New" w:hAnsi="Courier New"/>
          <w:sz w:val="17"/>
          <w:szCs w:val="17"/>
          <w:color w:val="auto"/>
        </w:rPr>
        <w:t>As of June 30, 2007 and September 30, 2006, accumulated other comprehensive (loss) income is comprised of unrealized (loss) gain on foreign currency hedging contracts, net of tax, of $(6,990) and $2,841, respectively, and unrealized loss on short-term interest-bearing investments, net of tax, of $(519) and $(118), respectively.</w:t>
      </w:r>
    </w:p>
    <w:p>
      <w:pPr>
        <w:spacing w:after="0" w:line="197"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The accompanying notes are an integral part of these consolidated financial</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statements.</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703" w:right="139" w:bottom="1440" w:gutter="0" w:footer="0" w:header="0"/>
        </w:sectPr>
      </w:pPr>
    </w:p>
    <w:bookmarkStart w:id="5" w:name="page6"/>
    <w:bookmarkEnd w:id="5"/>
    <w:p>
      <w:pPr>
        <w:jc w:val="center"/>
        <w:ind w:right="203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CONSOLIDATED STATEMENTS OF CASH FLOWS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80" w:type="dxa"/>
            <w:vAlign w:val="bottom"/>
          </w:tcPr>
          <w:p>
            <w:pPr>
              <w:ind w:left="2960"/>
              <w:spacing w:after="0"/>
              <w:rPr>
                <w:sz w:val="20"/>
                <w:szCs w:val="20"/>
                <w:color w:val="auto"/>
              </w:rPr>
            </w:pPr>
            <w:r>
              <w:rPr>
                <w:rFonts w:ascii="Courier New" w:cs="Courier New" w:eastAsia="Courier New" w:hAnsi="Courier New"/>
                <w:sz w:val="17"/>
                <w:szCs w:val="17"/>
                <w:color w:val="auto"/>
              </w:rPr>
              <w:t>(dollar in thousands)</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785"/>
        </w:trPr>
        <w:tc>
          <w:tcPr>
            <w:tcW w:w="5880" w:type="dxa"/>
            <w:vAlign w:val="bottom"/>
          </w:tcPr>
          <w:p>
            <w:pPr>
              <w:spacing w:after="0"/>
              <w:rPr>
                <w:sz w:val="24"/>
                <w:szCs w:val="24"/>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NINE MONTHS ENDED JUNE 30,</w:t>
            </w:r>
          </w:p>
        </w:tc>
      </w:tr>
      <w:tr>
        <w:trPr>
          <w:trHeight w:val="196"/>
        </w:trPr>
        <w:tc>
          <w:tcPr>
            <w:tcW w:w="588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17"/>
                <w:szCs w:val="17"/>
                <w:color w:val="auto"/>
              </w:rPr>
            </w:pPr>
          </w:p>
        </w:tc>
        <w:tc>
          <w:tcPr>
            <w:tcW w:w="13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2007</w:t>
            </w:r>
          </w:p>
        </w:tc>
        <w:tc>
          <w:tcPr>
            <w:tcW w:w="220" w:type="dxa"/>
            <w:vAlign w:val="bottom"/>
          </w:tcPr>
          <w:p>
            <w:pPr>
              <w:spacing w:after="0"/>
              <w:rPr>
                <w:sz w:val="17"/>
                <w:szCs w:val="17"/>
                <w:color w:val="auto"/>
              </w:rPr>
            </w:pPr>
          </w:p>
        </w:tc>
        <w:tc>
          <w:tcPr>
            <w:tcW w:w="11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2006</w:t>
            </w:r>
          </w:p>
        </w:tc>
      </w:tr>
      <w:tr>
        <w:trPr>
          <w:trHeight w:val="196"/>
        </w:trPr>
        <w:tc>
          <w:tcPr>
            <w:tcW w:w="5880" w:type="dxa"/>
            <w:vAlign w:val="bottom"/>
          </w:tcPr>
          <w:p>
            <w:pPr>
              <w:spacing w:after="0"/>
              <w:rPr>
                <w:sz w:val="17"/>
                <w:szCs w:val="17"/>
                <w:color w:val="auto"/>
              </w:rPr>
            </w:pP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880" w:type="dxa"/>
            <w:vAlign w:val="bottom"/>
          </w:tcPr>
          <w:p>
            <w:pPr>
              <w:spacing w:after="0"/>
              <w:rPr>
                <w:sz w:val="20"/>
                <w:szCs w:val="20"/>
                <w:color w:val="auto"/>
              </w:rPr>
            </w:pPr>
            <w:r>
              <w:rPr>
                <w:rFonts w:ascii="Courier New" w:cs="Courier New" w:eastAsia="Courier New" w:hAnsi="Courier New"/>
                <w:sz w:val="17"/>
                <w:szCs w:val="17"/>
                <w:color w:val="auto"/>
              </w:rPr>
              <w:t>CASH FLOW FROM OPERATING ACTIVITIES: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$ 268,694</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242,681</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Reconciliation of net income to net cash provided by</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operating activities: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Depreciation and amortization</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120,581</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83,151</w:t>
            </w: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In-process research and development and other</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750</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8,415</w:t>
            </w: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(Gain) loss on sale of equipment</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(973)</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925</w:t>
            </w: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Equity-based compensation expense</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39,970</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31,948</w:t>
            </w: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Deferred income taxes</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(17,779)</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25,118</w:t>
            </w: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Excess tax benefit from equity-based compensation</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(437)</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(2,301)</w:t>
            </w: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Realized gain from short-term interest-bearing</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880" w:type="dxa"/>
            <w:vAlign w:val="bottom"/>
          </w:tcPr>
          <w:p>
            <w:pPr>
              <w:ind w:left="620"/>
              <w:spacing w:after="0"/>
              <w:rPr>
                <w:sz w:val="20"/>
                <w:szCs w:val="20"/>
                <w:color w:val="auto"/>
              </w:rPr>
            </w:pPr>
            <w:r>
              <w:rPr>
                <w:rFonts w:ascii="Courier New" w:cs="Courier New" w:eastAsia="Courier New" w:hAnsi="Courier New"/>
                <w:sz w:val="17"/>
                <w:szCs w:val="17"/>
                <w:color w:val="auto"/>
              </w:rPr>
              <w:t>investments</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(2,084)</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(5,392)</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Net changes in operating assets and liabilities, net of</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amounts acquired:</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Accounts receivable</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(53,597)</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(105,002)</w:t>
            </w: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Prepaid expenses and other current assets</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1,399</w:t>
            </w: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Other noncurrent assets</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(14,517)</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(12,671)</w:t>
            </w: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Accounts payable and accrued expenses</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(7,950)</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39,633</w:t>
            </w: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Deferred revenue</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(27,008)</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(10,060)</w:t>
            </w: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Income taxes payable</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6,200</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(8,114)</w:t>
            </w: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Noncurrent liabilities and other</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4,929</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11,687</w:t>
            </w:r>
          </w:p>
        </w:tc>
      </w:tr>
      <w:tr>
        <w:trPr>
          <w:trHeight w:val="196"/>
        </w:trPr>
        <w:tc>
          <w:tcPr>
            <w:tcW w:w="5880" w:type="dxa"/>
            <w:vAlign w:val="bottom"/>
          </w:tcPr>
          <w:p>
            <w:pPr>
              <w:spacing w:after="0"/>
              <w:rPr>
                <w:sz w:val="17"/>
                <w:szCs w:val="17"/>
                <w:color w:val="auto"/>
              </w:rPr>
            </w:pP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316,763</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301,417</w:t>
            </w:r>
          </w:p>
        </w:tc>
      </w:tr>
      <w:tr>
        <w:trPr>
          <w:trHeight w:val="196"/>
        </w:trPr>
        <w:tc>
          <w:tcPr>
            <w:tcW w:w="5880" w:type="dxa"/>
            <w:vAlign w:val="bottom"/>
          </w:tcPr>
          <w:p>
            <w:pPr>
              <w:spacing w:after="0"/>
              <w:rPr>
                <w:sz w:val="17"/>
                <w:szCs w:val="17"/>
                <w:color w:val="auto"/>
              </w:rPr>
            </w:pP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CASH FLOW FROM INVESTING ACTIVITIES: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Proceeds from sale of equipment, vehicles and leasehold</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improvements</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3,184</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3,736</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Payments for purchase of equipment, vehicles and</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leasehold improvements</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(126,259)</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(53,617)</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Proceeds from sale of short-term interest-bearing</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investments</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628,167</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851,868</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Purchase of short-term interest-bearing investments</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(782,333)</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w w:val="97"/>
              </w:rPr>
              <w:t>(1,131,159)</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Net cash paid for acquisitions</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(81,751)</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(271,930)</w:t>
            </w:r>
          </w:p>
        </w:tc>
      </w:tr>
      <w:tr>
        <w:trPr>
          <w:trHeight w:val="196"/>
        </w:trPr>
        <w:tc>
          <w:tcPr>
            <w:tcW w:w="5880" w:type="dxa"/>
            <w:vAlign w:val="bottom"/>
          </w:tcPr>
          <w:p>
            <w:pPr>
              <w:spacing w:after="0"/>
              <w:rPr>
                <w:sz w:val="17"/>
                <w:szCs w:val="17"/>
                <w:color w:val="auto"/>
              </w:rPr>
            </w:pP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Net cash used in investing activities</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(358,992)</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(601,102)</w:t>
            </w:r>
          </w:p>
        </w:tc>
      </w:tr>
      <w:tr>
        <w:trPr>
          <w:trHeight w:val="196"/>
        </w:trPr>
        <w:tc>
          <w:tcPr>
            <w:tcW w:w="5880" w:type="dxa"/>
            <w:vAlign w:val="bottom"/>
          </w:tcPr>
          <w:p>
            <w:pPr>
              <w:spacing w:after="0"/>
              <w:rPr>
                <w:sz w:val="17"/>
                <w:szCs w:val="17"/>
                <w:color w:val="auto"/>
              </w:rPr>
            </w:pP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CASH FLOW FROM FINANCING ACTIVITIES: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Proceeds from employee stock options exercised</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and issuance of restricted stock</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58,273</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83,195</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Excess tax benefit from equity-based compensation</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437</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2,301</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Principal payments under financing arrangements and other</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(4,774)</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Principal payments on capital lease obligations</w:t>
            </w:r>
          </w:p>
        </w:tc>
        <w:tc>
          <w:tcPr>
            <w:tcW w:w="1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(3,131)</w:t>
            </w:r>
          </w:p>
        </w:tc>
      </w:tr>
      <w:tr>
        <w:trPr>
          <w:trHeight w:val="196"/>
        </w:trPr>
        <w:tc>
          <w:tcPr>
            <w:tcW w:w="5880" w:type="dxa"/>
            <w:vAlign w:val="bottom"/>
          </w:tcPr>
          <w:p>
            <w:pPr>
              <w:spacing w:after="0"/>
              <w:rPr>
                <w:sz w:val="17"/>
                <w:szCs w:val="17"/>
                <w:color w:val="auto"/>
              </w:rPr>
            </w:pP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Net cash provided by financing activities</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58,685</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77,591</w:t>
            </w:r>
          </w:p>
        </w:tc>
      </w:tr>
      <w:tr>
        <w:trPr>
          <w:trHeight w:val="196"/>
        </w:trPr>
        <w:tc>
          <w:tcPr>
            <w:tcW w:w="5880" w:type="dxa"/>
            <w:vAlign w:val="bottom"/>
          </w:tcPr>
          <w:p>
            <w:pPr>
              <w:spacing w:after="0"/>
              <w:rPr>
                <w:sz w:val="17"/>
                <w:szCs w:val="17"/>
                <w:color w:val="auto"/>
              </w:rPr>
            </w:pP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Net increase (decrease) in cash and cash equivalents</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16,456</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(222,094)</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607,187</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707,552</w:t>
            </w:r>
          </w:p>
        </w:tc>
      </w:tr>
      <w:tr>
        <w:trPr>
          <w:trHeight w:val="196"/>
        </w:trPr>
        <w:tc>
          <w:tcPr>
            <w:tcW w:w="5880" w:type="dxa"/>
            <w:vAlign w:val="bottom"/>
          </w:tcPr>
          <w:p>
            <w:pPr>
              <w:spacing w:after="0"/>
              <w:rPr>
                <w:sz w:val="17"/>
                <w:szCs w:val="17"/>
                <w:color w:val="auto"/>
              </w:rPr>
            </w:pP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$ 623,643</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485,458</w:t>
            </w:r>
          </w:p>
        </w:tc>
      </w:tr>
      <w:tr>
        <w:trPr>
          <w:trHeight w:val="196"/>
        </w:trPr>
        <w:tc>
          <w:tcPr>
            <w:tcW w:w="5880" w:type="dxa"/>
            <w:vAlign w:val="bottom"/>
          </w:tcPr>
          <w:p>
            <w:pPr>
              <w:spacing w:after="0"/>
              <w:rPr>
                <w:sz w:val="17"/>
                <w:szCs w:val="17"/>
                <w:color w:val="auto"/>
              </w:rPr>
            </w:pP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SUPPLEMENTARY CASH FLOW INFORMATION</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Cash paid for:</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Income taxes, net of refunds</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35,016</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27,996</w:t>
            </w:r>
          </w:p>
        </w:tc>
      </w:tr>
      <w:tr>
        <w:trPr>
          <w:trHeight w:val="196"/>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Interest</w:t>
            </w:r>
          </w:p>
        </w:tc>
        <w:tc>
          <w:tcPr>
            <w:tcW w:w="1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2,601</w:t>
            </w:r>
          </w:p>
        </w:tc>
        <w:tc>
          <w:tcPr>
            <w:tcW w:w="2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2,182</w:t>
            </w:r>
          </w:p>
        </w:tc>
      </w:tr>
    </w:tbl>
    <w:p>
      <w:pPr>
        <w:spacing w:after="0" w:line="396"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accompanying notes are an integral part of these consolidated financial</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statements.</w:t>
      </w:r>
    </w:p>
    <w:p>
      <w:pPr>
        <w:spacing w:after="0" w:line="396"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3" w:right="1440" w:bottom="1055" w:gutter="0" w:footer="0" w:header="0"/>
        </w:sectPr>
      </w:pPr>
    </w:p>
    <w:bookmarkStart w:id="6" w:name="page7"/>
    <w:bookmarkEnd w:id="6"/>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200" w:lineRule="exact"/>
        <w:rPr>
          <w:sz w:val="20"/>
          <w:szCs w:val="20"/>
          <w:color w:val="auto"/>
        </w:rPr>
      </w:pPr>
    </w:p>
    <w:p>
      <w:pPr>
        <w:ind w:left="520" w:hanging="515"/>
        <w:spacing w:after="0"/>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201"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Amdocs Limited (the "Company") is a leading provider of software products and services primarily to the communications industry. The Company and its subsidiaries operate in one segment offering products and services that enable their customers to move toward an integrated approach to customer management. The Company designs, develops, markets, supports, operates, and provides managed services for information system solutions primarily for leading communications companies throughout the world.</w:t>
      </w:r>
    </w:p>
    <w:p>
      <w:pPr>
        <w:spacing w:after="0" w:line="199"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The unaudited consolidated financial statements of the Company have been prepared in accordance with U.S. generally accepted accounting principles ("GAAP"). In the opinion of the Company's management, all adjustments considered necessary for a fair presentation of the unaudited interim consolidated financial statements have been included herein and are of a normal recurring nature.</w:t>
      </w:r>
    </w:p>
    <w:p>
      <w:pPr>
        <w:spacing w:after="0" w:line="199" w:lineRule="exact"/>
        <w:rPr>
          <w:sz w:val="20"/>
          <w:szCs w:val="20"/>
          <w:color w:val="auto"/>
        </w:rPr>
      </w:pPr>
    </w:p>
    <w:p>
      <w:pPr>
        <w:ind w:right="2259" w:firstLine="1020"/>
        <w:spacing w:after="0" w:line="244" w:lineRule="auto"/>
        <w:rPr>
          <w:sz w:val="20"/>
          <w:szCs w:val="20"/>
          <w:color w:val="auto"/>
        </w:rPr>
      </w:pPr>
      <w:r>
        <w:rPr>
          <w:rFonts w:ascii="Courier New" w:cs="Courier New" w:eastAsia="Courier New" w:hAnsi="Courier New"/>
          <w:sz w:val="17"/>
          <w:szCs w:val="17"/>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99" w:lineRule="exact"/>
        <w:rPr>
          <w:sz w:val="20"/>
          <w:szCs w:val="20"/>
          <w:color w:val="auto"/>
        </w:rPr>
      </w:pPr>
    </w:p>
    <w:p>
      <w:pPr>
        <w:ind w:right="2059" w:firstLine="1020"/>
        <w:spacing w:after="0" w:line="261" w:lineRule="auto"/>
        <w:rPr>
          <w:sz w:val="20"/>
          <w:szCs w:val="20"/>
          <w:color w:val="auto"/>
        </w:rPr>
      </w:pPr>
      <w:r>
        <w:rPr>
          <w:rFonts w:ascii="Courier New" w:cs="Courier New" w:eastAsia="Courier New" w:hAnsi="Courier New"/>
          <w:sz w:val="16"/>
          <w:szCs w:val="16"/>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2006, set forth in the Company's Annual Report on Form 20-F filed with the U.S. Securities and Exchange Commission (the "SEC").</w:t>
      </w:r>
    </w:p>
    <w:p>
      <w:pPr>
        <w:spacing w:after="0" w:line="188" w:lineRule="exact"/>
        <w:rPr>
          <w:sz w:val="20"/>
          <w:szCs w:val="20"/>
          <w:color w:val="auto"/>
        </w:rPr>
      </w:pPr>
    </w:p>
    <w:p>
      <w:pPr>
        <w:ind w:left="520" w:hanging="515"/>
        <w:spacing w:after="0"/>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RECENT ACCOUNTING PRONOUNCEMENTS</w:t>
      </w:r>
    </w:p>
    <w:p>
      <w:pPr>
        <w:spacing w:after="0" w:line="201"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In February 2007, the Financial Accounting Standards Board ("FASB") issued Statement No. 159 "The Fair Value Option for Financial Assets and Financial Liabilities" including an amendment of FASB Statement No. 115 ("SFAS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SFAS 159 also establishes additional disclosure requirements and is effective for fiscal years beginning after November 15, 2007, with early adoption permitted provided that the entity also adopts Statement No. 157, "Fair Value Measurements" ("SFAS 157"). The Company is currently evaluating the effect that the application of SFAS 159 will have on its consolidated results of operations and financial condition.</w:t>
      </w:r>
    </w:p>
    <w:p>
      <w:pPr>
        <w:spacing w:after="0" w:line="202" w:lineRule="exact"/>
        <w:rPr>
          <w:sz w:val="20"/>
          <w:szCs w:val="20"/>
          <w:color w:val="auto"/>
        </w:rPr>
      </w:pPr>
    </w:p>
    <w:p>
      <w:pPr>
        <w:ind w:right="2159" w:firstLine="1020"/>
        <w:spacing w:after="0" w:line="244" w:lineRule="auto"/>
        <w:rPr>
          <w:sz w:val="20"/>
          <w:szCs w:val="20"/>
          <w:color w:val="auto"/>
        </w:rPr>
      </w:pPr>
      <w:r>
        <w:rPr>
          <w:rFonts w:ascii="Courier New" w:cs="Courier New" w:eastAsia="Courier New" w:hAnsi="Courier New"/>
          <w:sz w:val="17"/>
          <w:szCs w:val="17"/>
          <w:color w:val="auto"/>
        </w:rPr>
        <w:t>In September 2006, the FASB issued SFAS 157. SFAS 157 defines fair value, establishes a framework for measuring fair value in generally accepted accounting principles, and expands disclosures about fair value measurements. SFAS 157 applies under other accounting pronouncements that require or permit fair value measurements. SFAS 157 will be effective for fiscal years beginning after November 15, 2007, and interim periods within those fiscal years, with early adoption permitted. The Company is currently evaluating the effect that the application of SFAS 157 will have on its consolidated results of operations and financial condition.</w:t>
      </w:r>
    </w:p>
    <w:p>
      <w:pPr>
        <w:spacing w:after="0" w:line="395"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3" w:right="1440" w:bottom="1440" w:gutter="0" w:footer="0" w:header="0"/>
        </w:sectPr>
      </w:pPr>
    </w:p>
    <w:bookmarkStart w:id="7" w:name="page8"/>
    <w:bookmarkEnd w:id="7"/>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201"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In September 2006, the SEC issued Staff Accounting Bulletin No. 108, "Financial Statements - Considering the Effects of Prior Year Misstatements when Quantifying Misstatements in Current Year Financial Statements" ("SAB 108"). SAB 108 requires companies to quantify the impact of all correcting misstatements, including both the carryover and reversing effects of prior year misstatements, on the current year financial statements. SAB 108 is effective for fiscal years ending after November 15, 2006. The Company applied the provisions of SAB 108 in the first quarter of fiscal 2007 and there was no impact to the consolidated financial statements.</w:t>
      </w:r>
    </w:p>
    <w:p>
      <w:pPr>
        <w:spacing w:after="0" w:line="200"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In May 2007, the FASB published FASB Staff Position No. FIN 48-1, "Definition of Settlement of FASB Interpretation No. 48" ("FSP FIN 48-1"). FSP FIN 48-1 is an amendment to FIN 48. It clarified how an enterprise should determine whether a tax position is effectively settled for the purpose of recognizing previously unrecognized tax benefits. FSP FIN 48-1 is effective upon the initial adoption of FIN 48. These interpretations are effective for fiscal years beginning after December 15, 2006. The Company is currently evaluating the effect that the application of FIN 48 and FSP FIN 48-1 will have on its consolidated results of operations and financial condition.</w:t>
      </w:r>
    </w:p>
    <w:p>
      <w:pPr>
        <w:spacing w:after="0" w:line="204"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In February 2006, the FASB issued SFAS No. 155, "Accounting for Certain Hybrid Financial Instruments," an amendment of FASB Statement No. 133 and 140 ("SFAS 155"), which permits fair value measurement for any hybrid financial instrument that contains an embedded derivative that otherwise would require bifurcation, with changes in fair value recognized in earnings. The fair-value election will eliminate the need to separately recognize certain derivatives embedded in hybrid financial instruments under FASB Statement No. 133, Accounting for Derivative Instruments and Hedging Activities. In January 2007, the FASB issued Statement 133 Implementation Issue No. B40 "Application of Paragraph 13(b) to Securitized Interests in Prepayable Financial Assets", which provides a possibility of an exemption from bifurcation analysis in paragraph 13(b) of Statement 133 for certain securitized interests in prepayable financial assets. The Company applied the provisions of SFAS 155 and Statement 133 Implementation Issue No. B40 in the first quarter of fiscal 2007 and there was no impact to the consolidated financial statements.</w:t>
      </w:r>
    </w:p>
    <w:p>
      <w:pPr>
        <w:spacing w:after="0" w:line="398"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03" w:right="1440" w:bottom="1440" w:gutter="0" w:footer="0" w:header="0"/>
        </w:sectPr>
      </w:pPr>
    </w:p>
    <w:bookmarkStart w:id="8" w:name="page9"/>
    <w:bookmarkEnd w:id="8"/>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200" w:lineRule="exact"/>
        <w:rPr>
          <w:sz w:val="20"/>
          <w:szCs w:val="20"/>
          <w:color w:val="auto"/>
        </w:rPr>
      </w:pPr>
    </w:p>
    <w:p>
      <w:pPr>
        <w:ind w:left="520" w:hanging="515"/>
        <w:spacing w:after="0"/>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RECEIVABLE, NET</w:t>
      </w:r>
    </w:p>
    <w:p>
      <w:pPr>
        <w:spacing w:after="0" w:line="200"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Accounts receivable, net consists of the following:</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jc w:val="right"/>
              <w:ind w:right="935"/>
              <w:spacing w:after="0"/>
              <w:rPr>
                <w:sz w:val="20"/>
                <w:szCs w:val="20"/>
                <w:color w:val="auto"/>
              </w:rPr>
            </w:pPr>
            <w:r>
              <w:rPr>
                <w:rFonts w:ascii="Courier New" w:cs="Courier New" w:eastAsia="Courier New" w:hAnsi="Courier New"/>
                <w:sz w:val="17"/>
                <w:szCs w:val="17"/>
                <w:color w:val="auto"/>
                <w:w w:val="94"/>
              </w:rPr>
              <w:t>AS OF</w:t>
            </w:r>
          </w:p>
        </w:tc>
      </w:tr>
      <w:tr>
        <w:trPr>
          <w:trHeight w:val="196"/>
        </w:trPr>
        <w:tc>
          <w:tcPr>
            <w:tcW w:w="3220" w:type="dxa"/>
            <w:vAlign w:val="bottom"/>
          </w:tcPr>
          <w:p>
            <w:pPr>
              <w:spacing w:after="0"/>
              <w:rPr>
                <w:sz w:val="17"/>
                <w:szCs w:val="17"/>
                <w:color w:val="auto"/>
              </w:rPr>
            </w:pPr>
          </w:p>
        </w:tc>
        <w:tc>
          <w:tcPr>
            <w:tcW w:w="27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22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JUNE 30,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3220" w:type="dxa"/>
            <w:vAlign w:val="bottom"/>
          </w:tcPr>
          <w:p>
            <w:pPr>
              <w:spacing w:after="0"/>
              <w:rPr>
                <w:sz w:val="17"/>
                <w:szCs w:val="17"/>
                <w:color w:val="auto"/>
              </w:rPr>
            </w:pPr>
          </w:p>
        </w:tc>
        <w:tc>
          <w:tcPr>
            <w:tcW w:w="11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2007</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2006</w:t>
            </w:r>
          </w:p>
        </w:tc>
      </w:tr>
      <w:tr>
        <w:trPr>
          <w:trHeight w:val="196"/>
        </w:trPr>
        <w:tc>
          <w:tcPr>
            <w:tcW w:w="322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3220" w:type="dxa"/>
            <w:vAlign w:val="bottom"/>
          </w:tcPr>
          <w:p>
            <w:pPr>
              <w:spacing w:after="0"/>
              <w:rPr>
                <w:sz w:val="20"/>
                <w:szCs w:val="20"/>
                <w:color w:val="auto"/>
              </w:rPr>
            </w:pPr>
            <w:r>
              <w:rPr>
                <w:rFonts w:ascii="Courier New" w:cs="Courier New" w:eastAsia="Courier New" w:hAnsi="Courier New"/>
                <w:sz w:val="17"/>
                <w:szCs w:val="17"/>
                <w:color w:val="auto"/>
              </w:rPr>
              <w:t>Accounts receivable - billed</w:t>
            </w:r>
          </w:p>
        </w:tc>
        <w:tc>
          <w:tcPr>
            <w:tcW w:w="11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$449,877</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$383,763</w:t>
            </w:r>
          </w:p>
        </w:tc>
      </w:tr>
      <w:tr>
        <w:trPr>
          <w:trHeight w:val="196"/>
        </w:trPr>
        <w:tc>
          <w:tcPr>
            <w:tcW w:w="3220" w:type="dxa"/>
            <w:vAlign w:val="bottom"/>
          </w:tcPr>
          <w:p>
            <w:pPr>
              <w:spacing w:after="0"/>
              <w:rPr>
                <w:sz w:val="20"/>
                <w:szCs w:val="20"/>
                <w:color w:val="auto"/>
              </w:rPr>
            </w:pPr>
            <w:r>
              <w:rPr>
                <w:rFonts w:ascii="Courier New" w:cs="Courier New" w:eastAsia="Courier New" w:hAnsi="Courier New"/>
                <w:sz w:val="17"/>
                <w:szCs w:val="17"/>
                <w:color w:val="auto"/>
              </w:rPr>
              <w:t>Accounts receivable - unbilled</w:t>
            </w:r>
          </w:p>
        </w:tc>
        <w:tc>
          <w:tcPr>
            <w:tcW w:w="11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54,243</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54,117</w:t>
            </w:r>
          </w:p>
        </w:tc>
      </w:tr>
      <w:tr>
        <w:trPr>
          <w:trHeight w:val="196"/>
        </w:trPr>
        <w:tc>
          <w:tcPr>
            <w:tcW w:w="3220" w:type="dxa"/>
            <w:vAlign w:val="bottom"/>
          </w:tcPr>
          <w:p>
            <w:pPr>
              <w:spacing w:after="0"/>
              <w:rPr>
                <w:sz w:val="20"/>
                <w:szCs w:val="20"/>
                <w:color w:val="auto"/>
              </w:rPr>
            </w:pPr>
            <w:r>
              <w:rPr>
                <w:rFonts w:ascii="Courier New" w:cs="Courier New" w:eastAsia="Courier New" w:hAnsi="Courier New"/>
                <w:sz w:val="17"/>
                <w:szCs w:val="17"/>
                <w:color w:val="auto"/>
              </w:rPr>
              <w:t>Less-allowances</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(23,687)</w:t>
            </w:r>
          </w:p>
        </w:tc>
        <w:tc>
          <w:tcPr>
            <w:tcW w:w="1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(12,075)</w:t>
            </w:r>
          </w:p>
        </w:tc>
      </w:tr>
      <w:tr>
        <w:trPr>
          <w:trHeight w:val="196"/>
        </w:trPr>
        <w:tc>
          <w:tcPr>
            <w:tcW w:w="322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3220" w:type="dxa"/>
            <w:vAlign w:val="bottom"/>
          </w:tcPr>
          <w:p>
            <w:pPr>
              <w:spacing w:after="0"/>
              <w:rPr>
                <w:sz w:val="20"/>
                <w:szCs w:val="20"/>
                <w:color w:val="auto"/>
              </w:rPr>
            </w:pPr>
            <w:r>
              <w:rPr>
                <w:rFonts w:ascii="Courier New" w:cs="Courier New" w:eastAsia="Courier New" w:hAnsi="Courier New"/>
                <w:sz w:val="17"/>
                <w:szCs w:val="17"/>
                <w:color w:val="auto"/>
              </w:rPr>
              <w:t>Accounts receivable, net</w:t>
            </w:r>
          </w:p>
        </w:tc>
        <w:tc>
          <w:tcPr>
            <w:tcW w:w="11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$480,433</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$425,805</w:t>
            </w:r>
          </w:p>
        </w:tc>
      </w:tr>
      <w:tr>
        <w:trPr>
          <w:trHeight w:val="196"/>
        </w:trPr>
        <w:tc>
          <w:tcPr>
            <w:tcW w:w="322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ind w:left="520" w:hanging="515"/>
        <w:spacing w:after="0"/>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COMPREHENSIVE INCOME</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98" w:lineRule="exact"/>
        <w:rPr>
          <w:sz w:val="20"/>
          <w:szCs w:val="20"/>
          <w:color w:val="auto"/>
        </w:rPr>
      </w:pPr>
    </w:p>
    <w:p>
      <w:pPr>
        <w:ind w:right="2759" w:firstLine="510"/>
        <w:spacing w:after="0" w:line="243" w:lineRule="auto"/>
        <w:rPr>
          <w:sz w:val="20"/>
          <w:szCs w:val="20"/>
          <w:color w:val="auto"/>
        </w:rPr>
      </w:pPr>
      <w:r>
        <w:rPr>
          <w:rFonts w:ascii="Courier New" w:cs="Courier New" w:eastAsia="Courier New" w:hAnsi="Courier New"/>
          <w:sz w:val="17"/>
          <w:szCs w:val="17"/>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20" w:type="dxa"/>
            <w:vAlign w:val="bottom"/>
          </w:tcPr>
          <w:p>
            <w:pPr>
              <w:spacing w:after="0"/>
              <w:rPr>
                <w:sz w:val="16"/>
                <w:szCs w:val="16"/>
                <w:color w:val="auto"/>
              </w:rPr>
            </w:pPr>
          </w:p>
        </w:tc>
        <w:tc>
          <w:tcPr>
            <w:tcW w:w="220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THREE MONTHS ENDED</w:t>
            </w:r>
          </w:p>
        </w:tc>
        <w:tc>
          <w:tcPr>
            <w:tcW w:w="21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3620" w:type="dxa"/>
            <w:vAlign w:val="bottom"/>
          </w:tcPr>
          <w:p>
            <w:pPr>
              <w:spacing w:after="0"/>
              <w:rPr>
                <w:sz w:val="17"/>
                <w:szCs w:val="17"/>
                <w:color w:val="auto"/>
              </w:rPr>
            </w:pPr>
          </w:p>
        </w:tc>
        <w:tc>
          <w:tcPr>
            <w:tcW w:w="2200" w:type="dxa"/>
            <w:vAlign w:val="bottom"/>
            <w:gridSpan w:val="2"/>
          </w:tcPr>
          <w:p>
            <w:pPr>
              <w:jc w:val="right"/>
              <w:ind w:right="635"/>
              <w:spacing w:after="0"/>
              <w:rPr>
                <w:sz w:val="20"/>
                <w:szCs w:val="20"/>
                <w:color w:val="auto"/>
              </w:rPr>
            </w:pPr>
            <w:r>
              <w:rPr>
                <w:rFonts w:ascii="Courier New" w:cs="Courier New" w:eastAsia="Courier New" w:hAnsi="Courier New"/>
                <w:sz w:val="17"/>
                <w:szCs w:val="17"/>
                <w:color w:val="auto"/>
              </w:rPr>
              <w:t>JUNE 30,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JUNE</w:t>
            </w:r>
          </w:p>
        </w:tc>
        <w:tc>
          <w:tcPr>
            <w:tcW w:w="9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30,</w:t>
            </w:r>
          </w:p>
        </w:tc>
      </w:tr>
      <w:tr>
        <w:trPr>
          <w:trHeight w:val="196"/>
        </w:trPr>
        <w:tc>
          <w:tcPr>
            <w:tcW w:w="3620" w:type="dxa"/>
            <w:vAlign w:val="bottom"/>
          </w:tcPr>
          <w:p>
            <w:pPr>
              <w:spacing w:after="0"/>
              <w:rPr>
                <w:sz w:val="17"/>
                <w:szCs w:val="17"/>
                <w:color w:val="auto"/>
              </w:rPr>
            </w:pPr>
          </w:p>
        </w:tc>
        <w:tc>
          <w:tcPr>
            <w:tcW w:w="220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21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3620" w:type="dxa"/>
            <w:vAlign w:val="bottom"/>
          </w:tcPr>
          <w:p>
            <w:pPr>
              <w:spacing w:after="0"/>
              <w:rPr>
                <w:sz w:val="17"/>
                <w:szCs w:val="17"/>
                <w:color w:val="auto"/>
              </w:rPr>
            </w:pPr>
          </w:p>
        </w:tc>
        <w:tc>
          <w:tcPr>
            <w:tcW w:w="11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2007</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2006</w:t>
            </w: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2007</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2006</w:t>
            </w:r>
          </w:p>
        </w:tc>
      </w:tr>
      <w:tr>
        <w:trPr>
          <w:trHeight w:val="196"/>
        </w:trPr>
        <w:tc>
          <w:tcPr>
            <w:tcW w:w="3620" w:type="dxa"/>
            <w:vAlign w:val="bottom"/>
          </w:tcPr>
          <w:p>
            <w:pPr>
              <w:spacing w:after="0"/>
              <w:rPr>
                <w:sz w:val="17"/>
                <w:szCs w:val="17"/>
                <w:color w:val="auto"/>
              </w:rPr>
            </w:pP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36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$ 88,181</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$85,585</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$268,694</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$242,681</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Other comprehensive income (loss):</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3620" w:type="dxa"/>
            <w:vAlign w:val="bottom"/>
          </w:tcPr>
          <w:p>
            <w:pPr>
              <w:ind w:left="320"/>
              <w:spacing w:after="0"/>
              <w:rPr>
                <w:sz w:val="20"/>
                <w:szCs w:val="20"/>
                <w:color w:val="auto"/>
              </w:rPr>
            </w:pPr>
            <w:r>
              <w:rPr>
                <w:rFonts w:ascii="Courier New" w:cs="Courier New" w:eastAsia="Courier New" w:hAnsi="Courier New"/>
                <w:sz w:val="17"/>
                <w:szCs w:val="17"/>
                <w:color w:val="auto"/>
              </w:rPr>
              <w:t>Unrealized (loss) gain on</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3620" w:type="dxa"/>
            <w:vAlign w:val="bottom"/>
          </w:tcPr>
          <w:p>
            <w:pPr>
              <w:ind w:left="620"/>
              <w:spacing w:after="0"/>
              <w:rPr>
                <w:sz w:val="20"/>
                <w:szCs w:val="20"/>
                <w:color w:val="auto"/>
              </w:rPr>
            </w:pPr>
            <w:r>
              <w:rPr>
                <w:rFonts w:ascii="Courier New" w:cs="Courier New" w:eastAsia="Courier New" w:hAnsi="Courier New"/>
                <w:sz w:val="17"/>
                <w:szCs w:val="17"/>
                <w:color w:val="auto"/>
              </w:rPr>
              <w:t>foreign currency hedging</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3620" w:type="dxa"/>
            <w:vAlign w:val="bottom"/>
          </w:tcPr>
          <w:p>
            <w:pPr>
              <w:ind w:left="620"/>
              <w:spacing w:after="0"/>
              <w:rPr>
                <w:sz w:val="20"/>
                <w:szCs w:val="20"/>
                <w:color w:val="auto"/>
              </w:rPr>
            </w:pPr>
            <w:r>
              <w:rPr>
                <w:rFonts w:ascii="Courier New" w:cs="Courier New" w:eastAsia="Courier New" w:hAnsi="Courier New"/>
                <w:sz w:val="17"/>
                <w:szCs w:val="17"/>
                <w:color w:val="auto"/>
              </w:rPr>
              <w:t>contracts, net of tax</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(11,330)</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3,644</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(9,831)</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7,802</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Unrealized loss on short-term</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3620" w:type="dxa"/>
            <w:vAlign w:val="bottom"/>
          </w:tcPr>
          <w:p>
            <w:pPr>
              <w:ind w:left="320"/>
              <w:spacing w:after="0"/>
              <w:rPr>
                <w:sz w:val="20"/>
                <w:szCs w:val="20"/>
                <w:color w:val="auto"/>
              </w:rPr>
            </w:pPr>
            <w:r>
              <w:rPr>
                <w:rFonts w:ascii="Courier New" w:cs="Courier New" w:eastAsia="Courier New" w:hAnsi="Courier New"/>
                <w:sz w:val="17"/>
                <w:szCs w:val="17"/>
                <w:color w:val="auto"/>
              </w:rPr>
              <w:t>interest-bearing investments,</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3620" w:type="dxa"/>
            <w:vAlign w:val="bottom"/>
          </w:tcPr>
          <w:p>
            <w:pPr>
              <w:ind w:left="320"/>
              <w:spacing w:after="0"/>
              <w:rPr>
                <w:sz w:val="20"/>
                <w:szCs w:val="20"/>
                <w:color w:val="auto"/>
              </w:rPr>
            </w:pPr>
            <w:r>
              <w:rPr>
                <w:rFonts w:ascii="Courier New" w:cs="Courier New" w:eastAsia="Courier New" w:hAnsi="Courier New"/>
                <w:sz w:val="17"/>
                <w:szCs w:val="17"/>
                <w:color w:val="auto"/>
              </w:rPr>
              <w:t>net of tax</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(816)</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(280)</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(401)</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(537)</w:t>
            </w:r>
          </w:p>
        </w:tc>
      </w:tr>
      <w:tr>
        <w:trPr>
          <w:trHeight w:val="196"/>
        </w:trPr>
        <w:tc>
          <w:tcPr>
            <w:tcW w:w="3620" w:type="dxa"/>
            <w:vAlign w:val="bottom"/>
          </w:tcPr>
          <w:p>
            <w:pPr>
              <w:spacing w:after="0"/>
              <w:rPr>
                <w:sz w:val="17"/>
                <w:szCs w:val="17"/>
                <w:color w:val="auto"/>
              </w:rPr>
            </w:pP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Comprehensive income</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$ 76,035</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$88,949</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$258,462</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$249,946</w:t>
            </w:r>
          </w:p>
        </w:tc>
      </w:tr>
      <w:tr>
        <w:trPr>
          <w:trHeight w:val="196"/>
        </w:trPr>
        <w:tc>
          <w:tcPr>
            <w:tcW w:w="3620" w:type="dxa"/>
            <w:vAlign w:val="bottom"/>
          </w:tcPr>
          <w:p>
            <w:pPr>
              <w:spacing w:after="0"/>
              <w:rPr>
                <w:sz w:val="17"/>
                <w:szCs w:val="17"/>
                <w:color w:val="auto"/>
              </w:rPr>
            </w:pP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785"/>
        </w:trPr>
        <w:tc>
          <w:tcPr>
            <w:tcW w:w="3620" w:type="dxa"/>
            <w:vAlign w:val="bottom"/>
          </w:tcPr>
          <w:p>
            <w:pPr>
              <w:spacing w:after="0"/>
              <w:rPr>
                <w:sz w:val="24"/>
                <w:szCs w:val="24"/>
                <w:color w:val="auto"/>
              </w:rPr>
            </w:pPr>
          </w:p>
        </w:tc>
        <w:tc>
          <w:tcPr>
            <w:tcW w:w="118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8</w:t>
            </w: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703" w:right="1440" w:bottom="1440" w:gutter="0" w:footer="0" w:header="0"/>
        </w:sectPr>
      </w:pPr>
    </w:p>
    <w:bookmarkStart w:id="9" w:name="page10"/>
    <w:bookmarkEnd w:id="9"/>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200" w:lineRule="exact"/>
        <w:rPr>
          <w:sz w:val="20"/>
          <w:szCs w:val="20"/>
          <w:color w:val="auto"/>
        </w:rPr>
      </w:pPr>
    </w:p>
    <w:p>
      <w:pPr>
        <w:ind w:left="520" w:hanging="515"/>
        <w:spacing w:after="0"/>
        <w:tabs>
          <w:tab w:leader="none" w:pos="5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200"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The provision for income taxes for the following periods consisted of:</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16"/>
                <w:szCs w:val="16"/>
                <w:color w:val="auto"/>
              </w:rPr>
            </w:pPr>
          </w:p>
        </w:tc>
        <w:tc>
          <w:tcPr>
            <w:tcW w:w="3120" w:type="dxa"/>
            <w:vAlign w:val="bottom"/>
            <w:gridSpan w:val="3"/>
          </w:tcPr>
          <w:p>
            <w:pPr>
              <w:jc w:val="right"/>
              <w:ind w:right="75"/>
              <w:spacing w:after="0"/>
              <w:rPr>
                <w:sz w:val="20"/>
                <w:szCs w:val="20"/>
                <w:color w:val="auto"/>
              </w:rPr>
            </w:pPr>
            <w:r>
              <w:rPr>
                <w:rFonts w:ascii="Courier New" w:cs="Courier New" w:eastAsia="Courier New" w:hAnsi="Courier New"/>
                <w:sz w:val="17"/>
                <w:szCs w:val="17"/>
                <w:color w:val="auto"/>
              </w:rPr>
              <w:t>THREE MONTHS ENDED</w:t>
            </w:r>
          </w:p>
        </w:tc>
        <w:tc>
          <w:tcPr>
            <w:tcW w:w="1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1940" w:type="dxa"/>
            <w:vAlign w:val="bottom"/>
          </w:tcPr>
          <w:p>
            <w:pPr>
              <w:spacing w:after="0"/>
              <w:rPr>
                <w:sz w:val="17"/>
                <w:szCs w:val="17"/>
                <w:color w:val="auto"/>
              </w:rPr>
            </w:pPr>
          </w:p>
        </w:tc>
        <w:tc>
          <w:tcPr>
            <w:tcW w:w="3120" w:type="dxa"/>
            <w:vAlign w:val="bottom"/>
            <w:gridSpan w:val="3"/>
          </w:tcPr>
          <w:p>
            <w:pPr>
              <w:jc w:val="right"/>
              <w:ind w:right="575"/>
              <w:spacing w:after="0"/>
              <w:rPr>
                <w:sz w:val="20"/>
                <w:szCs w:val="20"/>
                <w:color w:val="auto"/>
              </w:rPr>
            </w:pPr>
            <w:r>
              <w:rPr>
                <w:rFonts w:ascii="Courier New" w:cs="Courier New" w:eastAsia="Courier New" w:hAnsi="Courier New"/>
                <w:sz w:val="17"/>
                <w:szCs w:val="17"/>
                <w:color w:val="auto"/>
              </w:rPr>
              <w:t>JUNE 30,</w:t>
            </w:r>
          </w:p>
        </w:tc>
        <w:tc>
          <w:tcPr>
            <w:tcW w:w="198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JUNE 30,</w:t>
            </w:r>
          </w:p>
        </w:tc>
      </w:tr>
      <w:tr>
        <w:trPr>
          <w:trHeight w:val="196"/>
        </w:trPr>
        <w:tc>
          <w:tcPr>
            <w:tcW w:w="1940" w:type="dxa"/>
            <w:vAlign w:val="bottom"/>
          </w:tcPr>
          <w:p>
            <w:pPr>
              <w:spacing w:after="0"/>
              <w:rPr>
                <w:sz w:val="17"/>
                <w:szCs w:val="17"/>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1940" w:type="dxa"/>
            <w:vAlign w:val="bottom"/>
          </w:tcPr>
          <w:p>
            <w:pPr>
              <w:spacing w:after="0"/>
              <w:rPr>
                <w:sz w:val="17"/>
                <w:szCs w:val="17"/>
                <w:color w:val="auto"/>
              </w:rPr>
            </w:pPr>
          </w:p>
        </w:tc>
        <w:tc>
          <w:tcPr>
            <w:tcW w:w="22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2007</w:t>
            </w:r>
          </w:p>
        </w:tc>
        <w:tc>
          <w:tcPr>
            <w:tcW w:w="100" w:type="dxa"/>
            <w:vAlign w:val="bottom"/>
          </w:tcPr>
          <w:p>
            <w:pPr>
              <w:spacing w:after="0"/>
              <w:rPr>
                <w:sz w:val="17"/>
                <w:szCs w:val="17"/>
                <w:color w:val="auto"/>
              </w:rPr>
            </w:pP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2006</w:t>
            </w:r>
          </w:p>
        </w:tc>
        <w:tc>
          <w:tcPr>
            <w:tcW w:w="11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2007</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2006</w:t>
            </w:r>
          </w:p>
        </w:tc>
      </w:tr>
      <w:tr>
        <w:trPr>
          <w:trHeight w:val="196"/>
        </w:trPr>
        <w:tc>
          <w:tcPr>
            <w:tcW w:w="1940" w:type="dxa"/>
            <w:vAlign w:val="bottom"/>
          </w:tcPr>
          <w:p>
            <w:pPr>
              <w:spacing w:after="0"/>
              <w:rPr>
                <w:sz w:val="17"/>
                <w:szCs w:val="17"/>
                <w:color w:val="auto"/>
              </w:rPr>
            </w:pPr>
          </w:p>
        </w:tc>
        <w:tc>
          <w:tcPr>
            <w:tcW w:w="22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w w:val="97"/>
              </w:rPr>
              <w:t>-------</w:t>
            </w:r>
          </w:p>
        </w:tc>
        <w:tc>
          <w:tcPr>
            <w:tcW w:w="11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194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22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$27,567</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7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86</w:t>
            </w:r>
          </w:p>
        </w:tc>
        <w:tc>
          <w:tcPr>
            <w:tcW w:w="11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$ 50,735</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$22,518</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Deferred</w:t>
            </w:r>
          </w:p>
        </w:tc>
        <w:tc>
          <w:tcPr>
            <w:tcW w:w="22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(9,469)</w:t>
            </w:r>
          </w:p>
        </w:tc>
        <w:tc>
          <w:tcPr>
            <w:tcW w:w="100" w:type="dxa"/>
            <w:vAlign w:val="bottom"/>
          </w:tcPr>
          <w:p>
            <w:pPr>
              <w:spacing w:after="0"/>
              <w:rPr>
                <w:sz w:val="17"/>
                <w:szCs w:val="17"/>
                <w:color w:val="auto"/>
              </w:rPr>
            </w:pPr>
          </w:p>
        </w:tc>
        <w:tc>
          <w:tcPr>
            <w:tcW w:w="7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13,737</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(19,208)</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24,398</w:t>
            </w:r>
          </w:p>
        </w:tc>
      </w:tr>
      <w:tr>
        <w:trPr>
          <w:trHeight w:val="196"/>
        </w:trPr>
        <w:tc>
          <w:tcPr>
            <w:tcW w:w="1940" w:type="dxa"/>
            <w:vAlign w:val="bottom"/>
          </w:tcPr>
          <w:p>
            <w:pPr>
              <w:spacing w:after="0"/>
              <w:rPr>
                <w:sz w:val="17"/>
                <w:szCs w:val="17"/>
                <w:color w:val="auto"/>
              </w:rPr>
            </w:pPr>
          </w:p>
        </w:tc>
        <w:tc>
          <w:tcPr>
            <w:tcW w:w="22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w w:val="97"/>
              </w:rPr>
              <w:t>-------</w:t>
            </w:r>
          </w:p>
        </w:tc>
        <w:tc>
          <w:tcPr>
            <w:tcW w:w="11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1940" w:type="dxa"/>
            <w:vAlign w:val="bottom"/>
          </w:tcPr>
          <w:p>
            <w:pPr>
              <w:spacing w:after="0"/>
              <w:rPr>
                <w:sz w:val="17"/>
                <w:szCs w:val="17"/>
                <w:color w:val="auto"/>
              </w:rPr>
            </w:pPr>
          </w:p>
        </w:tc>
        <w:tc>
          <w:tcPr>
            <w:tcW w:w="22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$18,098</w:t>
            </w:r>
          </w:p>
        </w:tc>
        <w:tc>
          <w:tcPr>
            <w:tcW w:w="8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w w:val="97"/>
              </w:rPr>
              <w:t>$13,823</w:t>
            </w:r>
          </w:p>
        </w:tc>
        <w:tc>
          <w:tcPr>
            <w:tcW w:w="11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$ 31,527</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$46,916</w:t>
            </w:r>
          </w:p>
        </w:tc>
      </w:tr>
      <w:tr>
        <w:trPr>
          <w:trHeight w:val="196"/>
        </w:trPr>
        <w:tc>
          <w:tcPr>
            <w:tcW w:w="1940" w:type="dxa"/>
            <w:vAlign w:val="bottom"/>
          </w:tcPr>
          <w:p>
            <w:pPr>
              <w:spacing w:after="0"/>
              <w:rPr>
                <w:sz w:val="17"/>
                <w:szCs w:val="17"/>
                <w:color w:val="auto"/>
              </w:rPr>
            </w:pPr>
          </w:p>
        </w:tc>
        <w:tc>
          <w:tcPr>
            <w:tcW w:w="22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w w:val="97"/>
              </w:rPr>
              <w:t>=======</w:t>
            </w:r>
          </w:p>
        </w:tc>
        <w:tc>
          <w:tcPr>
            <w:tcW w:w="11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left="520" w:right="2259" w:firstLine="510"/>
        <w:spacing w:after="0" w:line="243" w:lineRule="auto"/>
        <w:rPr>
          <w:sz w:val="20"/>
          <w:szCs w:val="20"/>
          <w:color w:val="auto"/>
        </w:rPr>
      </w:pPr>
      <w:r>
        <w:rPr>
          <w:rFonts w:ascii="Courier New" w:cs="Courier New" w:eastAsia="Courier New" w:hAnsi="Courier New"/>
          <w:sz w:val="17"/>
          <w:szCs w:val="17"/>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20" w:type="dxa"/>
            <w:vAlign w:val="bottom"/>
          </w:tcPr>
          <w:p>
            <w:pPr>
              <w:spacing w:after="0"/>
              <w:rPr>
                <w:sz w:val="16"/>
                <w:szCs w:val="16"/>
                <w:color w:val="auto"/>
              </w:rPr>
            </w:pPr>
          </w:p>
        </w:tc>
        <w:tc>
          <w:tcPr>
            <w:tcW w:w="21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THREE MONTHS ENDED</w:t>
            </w:r>
          </w:p>
        </w:tc>
        <w:tc>
          <w:tcPr>
            <w:tcW w:w="1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2920" w:type="dxa"/>
            <w:vAlign w:val="bottom"/>
          </w:tcPr>
          <w:p>
            <w:pPr>
              <w:spacing w:after="0"/>
              <w:rPr>
                <w:sz w:val="17"/>
                <w:szCs w:val="17"/>
                <w:color w:val="auto"/>
              </w:rPr>
            </w:pPr>
          </w:p>
        </w:tc>
        <w:tc>
          <w:tcPr>
            <w:tcW w:w="214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JUNE 30,</w:t>
            </w:r>
          </w:p>
        </w:tc>
        <w:tc>
          <w:tcPr>
            <w:tcW w:w="18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JUNE 30,</w:t>
            </w:r>
          </w:p>
        </w:tc>
      </w:tr>
      <w:tr>
        <w:trPr>
          <w:trHeight w:val="196"/>
        </w:trPr>
        <w:tc>
          <w:tcPr>
            <w:tcW w:w="2920" w:type="dxa"/>
            <w:vAlign w:val="bottom"/>
          </w:tcPr>
          <w:p>
            <w:pPr>
              <w:spacing w:after="0"/>
              <w:rPr>
                <w:sz w:val="17"/>
                <w:szCs w:val="17"/>
                <w:color w:val="auto"/>
              </w:rPr>
            </w:pPr>
          </w:p>
        </w:tc>
        <w:tc>
          <w:tcPr>
            <w:tcW w:w="21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2920" w:type="dxa"/>
            <w:vAlign w:val="bottom"/>
          </w:tcPr>
          <w:p>
            <w:pPr>
              <w:spacing w:after="0"/>
              <w:rPr>
                <w:sz w:val="17"/>
                <w:szCs w:val="17"/>
                <w:color w:val="auto"/>
              </w:rPr>
            </w:pP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2007</w:t>
            </w:r>
          </w:p>
        </w:tc>
        <w:tc>
          <w:tcPr>
            <w:tcW w:w="10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2006</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2007</w:t>
            </w:r>
          </w:p>
        </w:tc>
        <w:tc>
          <w:tcPr>
            <w:tcW w:w="8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2006</w:t>
            </w:r>
          </w:p>
        </w:tc>
      </w:tr>
      <w:tr>
        <w:trPr>
          <w:trHeight w:val="196"/>
        </w:trPr>
        <w:tc>
          <w:tcPr>
            <w:tcW w:w="2920" w:type="dxa"/>
            <w:vAlign w:val="bottom"/>
          </w:tcPr>
          <w:p>
            <w:pPr>
              <w:spacing w:after="0"/>
              <w:rPr>
                <w:sz w:val="17"/>
                <w:szCs w:val="17"/>
                <w:color w:val="auto"/>
              </w:rPr>
            </w:pP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392"/>
        </w:trPr>
        <w:tc>
          <w:tcPr>
            <w:tcW w:w="2920" w:type="dxa"/>
            <w:vAlign w:val="bottom"/>
          </w:tcPr>
          <w:p>
            <w:pPr>
              <w:spacing w:after="0"/>
              <w:rPr>
                <w:sz w:val="20"/>
                <w:szCs w:val="20"/>
                <w:color w:val="auto"/>
              </w:rPr>
            </w:pPr>
            <w:r>
              <w:rPr>
                <w:rFonts w:ascii="Courier New" w:cs="Courier New" w:eastAsia="Courier New" w:hAnsi="Courier New"/>
                <w:sz w:val="17"/>
                <w:szCs w:val="17"/>
                <w:color w:val="auto"/>
              </w:rPr>
              <w:t>Statutory Guernsey tax rate</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w:t>
            </w:r>
          </w:p>
        </w:tc>
        <w:tc>
          <w:tcPr>
            <w:tcW w:w="10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20%</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w:t>
            </w:r>
          </w:p>
        </w:tc>
        <w:tc>
          <w:tcPr>
            <w:tcW w:w="8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w:t>
            </w:r>
          </w:p>
        </w:tc>
      </w:tr>
      <w:tr>
        <w:trPr>
          <w:trHeight w:val="196"/>
        </w:trPr>
        <w:tc>
          <w:tcPr>
            <w:tcW w:w="2920" w:type="dxa"/>
            <w:vAlign w:val="bottom"/>
          </w:tcPr>
          <w:p>
            <w:pPr>
              <w:spacing w:after="0"/>
              <w:rPr>
                <w:sz w:val="20"/>
                <w:szCs w:val="20"/>
                <w:color w:val="auto"/>
              </w:rPr>
            </w:pPr>
            <w:r>
              <w:rPr>
                <w:rFonts w:ascii="Courier New" w:cs="Courier New" w:eastAsia="Courier New" w:hAnsi="Courier New"/>
                <w:sz w:val="17"/>
                <w:szCs w:val="17"/>
                <w:color w:val="auto"/>
              </w:rPr>
              <w:t>Guernsey tax-exempt status</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w:t>
            </w:r>
          </w:p>
        </w:tc>
        <w:tc>
          <w:tcPr>
            <w:tcW w:w="10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(20)</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w:t>
            </w:r>
          </w:p>
        </w:tc>
        <w:tc>
          <w:tcPr>
            <w:tcW w:w="8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w:t>
            </w:r>
          </w:p>
        </w:tc>
      </w:tr>
      <w:tr>
        <w:trPr>
          <w:trHeight w:val="196"/>
        </w:trPr>
        <w:tc>
          <w:tcPr>
            <w:tcW w:w="2920" w:type="dxa"/>
            <w:vAlign w:val="bottom"/>
          </w:tcPr>
          <w:p>
            <w:pPr>
              <w:spacing w:after="0"/>
              <w:rPr>
                <w:sz w:val="20"/>
                <w:szCs w:val="20"/>
                <w:color w:val="auto"/>
              </w:rPr>
            </w:pPr>
            <w:r>
              <w:rPr>
                <w:rFonts w:ascii="Courier New" w:cs="Courier New" w:eastAsia="Courier New" w:hAnsi="Courier New"/>
                <w:sz w:val="17"/>
                <w:szCs w:val="17"/>
                <w:color w:val="auto"/>
              </w:rPr>
              <w:t>Foreign taxes</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17</w:t>
            </w:r>
          </w:p>
        </w:tc>
        <w:tc>
          <w:tcPr>
            <w:tcW w:w="10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14</w:t>
            </w:r>
          </w:p>
        </w:tc>
        <w:tc>
          <w:tcPr>
            <w:tcW w:w="10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w:t>
            </w:r>
          </w:p>
        </w:tc>
        <w:tc>
          <w:tcPr>
            <w:tcW w:w="8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16</w:t>
            </w:r>
          </w:p>
        </w:tc>
      </w:tr>
      <w:tr>
        <w:trPr>
          <w:trHeight w:val="196"/>
        </w:trPr>
        <w:tc>
          <w:tcPr>
            <w:tcW w:w="2920" w:type="dxa"/>
            <w:vAlign w:val="bottom"/>
          </w:tcPr>
          <w:p>
            <w:pPr>
              <w:spacing w:after="0"/>
              <w:rPr>
                <w:sz w:val="17"/>
                <w:szCs w:val="17"/>
                <w:color w:val="auto"/>
              </w:rPr>
            </w:pP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2920" w:type="dxa"/>
            <w:vAlign w:val="bottom"/>
          </w:tcPr>
          <w:p>
            <w:pPr>
              <w:spacing w:after="0"/>
              <w:rPr>
                <w:sz w:val="20"/>
                <w:szCs w:val="20"/>
                <w:color w:val="auto"/>
              </w:rPr>
            </w:pPr>
            <w:r>
              <w:rPr>
                <w:rFonts w:ascii="Courier New" w:cs="Courier New" w:eastAsia="Courier New" w:hAnsi="Courier New"/>
                <w:sz w:val="17"/>
                <w:szCs w:val="17"/>
                <w:color w:val="auto"/>
              </w:rPr>
              <w:t>Effective income tax rate</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17%</w:t>
            </w:r>
          </w:p>
        </w:tc>
        <w:tc>
          <w:tcPr>
            <w:tcW w:w="10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14%</w:t>
            </w: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w:t>
            </w:r>
          </w:p>
        </w:tc>
        <w:tc>
          <w:tcPr>
            <w:tcW w:w="8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16%</w:t>
            </w:r>
          </w:p>
        </w:tc>
      </w:tr>
      <w:tr>
        <w:trPr>
          <w:trHeight w:val="196"/>
        </w:trPr>
        <w:tc>
          <w:tcPr>
            <w:tcW w:w="2920" w:type="dxa"/>
            <w:vAlign w:val="bottom"/>
          </w:tcPr>
          <w:p>
            <w:pPr>
              <w:spacing w:after="0"/>
              <w:rPr>
                <w:sz w:val="17"/>
                <w:szCs w:val="17"/>
                <w:color w:val="auto"/>
              </w:rPr>
            </w:pP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left="520" w:right="2359" w:firstLine="510"/>
        <w:spacing w:after="0" w:line="243" w:lineRule="auto"/>
        <w:rPr>
          <w:sz w:val="20"/>
          <w:szCs w:val="20"/>
          <w:color w:val="auto"/>
        </w:rPr>
      </w:pPr>
      <w:r>
        <w:rPr>
          <w:rFonts w:ascii="Courier New" w:cs="Courier New" w:eastAsia="Courier New" w:hAnsi="Courier New"/>
          <w:sz w:val="17"/>
          <w:szCs w:val="17"/>
          <w:color w:val="auto"/>
        </w:rPr>
        <w:t>As a Guernsey company with tax-exempt status, the Company's overall effective tax rate is attributable to foreign taxes.</w:t>
      </w:r>
    </w:p>
    <w:p>
      <w:pPr>
        <w:spacing w:after="0" w:line="199"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As of June 30, 2007, deferred tax assets of $29,881, derived from net capital and operating loss carry forwards related to some of the Company's subsidiaries, were offset by valuation allowances related to the uncertainty of realizing tax benefit for such losses. When realization of the tax benefits associated with such net capital and operating losses is deemed more likely than not, the valuation allowance will be released through income taxes or through goodwill when it relates to a business combination. During the quarter ended June 30, 2007, the Company released certain valuation allowances in connection with the Company's estimation that carry forward losses related to one of its subsidiaries will be realized through future taxable earnings. The decrease in the valuation allowance was partially offset by an increase in tax reserves to this same subsidiary.</w:t>
      </w:r>
    </w:p>
    <w:p>
      <w:pPr>
        <w:spacing w:after="0" w:line="396"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3" w:right="1440" w:bottom="1440" w:gutter="0" w:footer="0" w:header="0"/>
        </w:sectPr>
      </w:pPr>
    </w:p>
    <w:bookmarkStart w:id="10" w:name="page11"/>
    <w:bookmarkEnd w:id="10"/>
    <w:p>
      <w:pPr>
        <w:jc w:val="center"/>
        <w:ind w:right="2039"/>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200" w:lineRule="exact"/>
        <w:rPr>
          <w:sz w:val="20"/>
          <w:szCs w:val="20"/>
          <w:color w:val="auto"/>
        </w:rPr>
      </w:pPr>
    </w:p>
    <w:p>
      <w:pPr>
        <w:ind w:left="520" w:hanging="515"/>
        <w:spacing w:after="0"/>
        <w:tabs>
          <w:tab w:leader="none" w:pos="5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SHARE</w:t>
      </w:r>
    </w:p>
    <w:p>
      <w:pPr>
        <w:spacing w:after="0" w:line="201" w:lineRule="exact"/>
        <w:rPr>
          <w:sz w:val="20"/>
          <w:szCs w:val="20"/>
          <w:color w:val="auto"/>
        </w:rPr>
      </w:pPr>
    </w:p>
    <w:p>
      <w:pPr>
        <w:ind w:left="520" w:right="2359" w:firstLine="510"/>
        <w:spacing w:after="0" w:line="243" w:lineRule="auto"/>
        <w:rPr>
          <w:sz w:val="20"/>
          <w:szCs w:val="20"/>
          <w:color w:val="auto"/>
        </w:rPr>
      </w:pPr>
      <w:r>
        <w:rPr>
          <w:rFonts w:ascii="Courier New" w:cs="Courier New" w:eastAsia="Courier New" w:hAnsi="Courier New"/>
          <w:sz w:val="17"/>
          <w:szCs w:val="17"/>
          <w:color w:val="auto"/>
        </w:rPr>
        <w:t>The following table sets forth the computation of basic and diluted earnings per share:</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tcPr>
          <w:p>
            <w:pPr>
              <w:jc w:val="right"/>
              <w:ind w:right="75"/>
              <w:spacing w:after="0"/>
              <w:rPr>
                <w:sz w:val="20"/>
                <w:szCs w:val="20"/>
                <w:color w:val="auto"/>
              </w:rPr>
            </w:pPr>
            <w:r>
              <w:rPr>
                <w:rFonts w:ascii="Courier New" w:cs="Courier New" w:eastAsia="Courier New" w:hAnsi="Courier New"/>
                <w:sz w:val="17"/>
                <w:szCs w:val="17"/>
                <w:color w:val="auto"/>
                <w:w w:val="99"/>
              </w:rPr>
              <w:t>THREE MONTHS ENDED</w:t>
            </w:r>
          </w:p>
        </w:tc>
        <w:tc>
          <w:tcPr>
            <w:tcW w:w="260" w:type="dxa"/>
            <w:vAlign w:val="bottom"/>
          </w:tcPr>
          <w:p>
            <w:pPr>
              <w:spacing w:after="0"/>
              <w:rPr>
                <w:sz w:val="16"/>
                <w:szCs w:val="16"/>
                <w:color w:val="auto"/>
              </w:rPr>
            </w:pPr>
          </w:p>
        </w:tc>
        <w:tc>
          <w:tcPr>
            <w:tcW w:w="1820" w:type="dxa"/>
            <w:vAlign w:val="bottom"/>
            <w:gridSpan w:val="3"/>
          </w:tcPr>
          <w:p>
            <w:pPr>
              <w:jc w:val="right"/>
              <w:ind w:right="15"/>
              <w:spacing w:after="0"/>
              <w:rPr>
                <w:sz w:val="20"/>
                <w:szCs w:val="20"/>
                <w:color w:val="auto"/>
              </w:rPr>
            </w:pPr>
            <w:r>
              <w:rPr>
                <w:rFonts w:ascii="Courier New" w:cs="Courier New" w:eastAsia="Courier New" w:hAnsi="Courier New"/>
                <w:sz w:val="17"/>
                <w:szCs w:val="17"/>
                <w:color w:val="auto"/>
                <w:w w:val="98"/>
              </w:rPr>
              <w:t>NINE MONTHS ENDED</w:t>
            </w:r>
          </w:p>
        </w:tc>
      </w:tr>
      <w:tr>
        <w:trPr>
          <w:trHeight w:val="196"/>
        </w:trPr>
        <w:tc>
          <w:tcPr>
            <w:tcW w:w="3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3"/>
          </w:tcPr>
          <w:p>
            <w:pPr>
              <w:jc w:val="right"/>
              <w:ind w:right="575"/>
              <w:spacing w:after="0"/>
              <w:rPr>
                <w:sz w:val="20"/>
                <w:szCs w:val="20"/>
                <w:color w:val="auto"/>
              </w:rPr>
            </w:pPr>
            <w:r>
              <w:rPr>
                <w:rFonts w:ascii="Courier New" w:cs="Courier New" w:eastAsia="Courier New" w:hAnsi="Courier New"/>
                <w:sz w:val="17"/>
                <w:szCs w:val="17"/>
                <w:color w:val="auto"/>
              </w:rPr>
              <w:t>JUNE 30,</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JUNE</w:t>
            </w:r>
          </w:p>
        </w:tc>
        <w:tc>
          <w:tcPr>
            <w:tcW w:w="8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30,</w:t>
            </w:r>
          </w:p>
        </w:tc>
      </w:tr>
      <w:tr>
        <w:trPr>
          <w:trHeight w:val="196"/>
        </w:trPr>
        <w:tc>
          <w:tcPr>
            <w:tcW w:w="3880" w:type="dxa"/>
            <w:vAlign w:val="bottom"/>
          </w:tcPr>
          <w:p>
            <w:pPr>
              <w:spacing w:after="0"/>
              <w:rPr>
                <w:sz w:val="17"/>
                <w:szCs w:val="17"/>
                <w:color w:val="auto"/>
              </w:rPr>
            </w:pPr>
          </w:p>
        </w:tc>
        <w:tc>
          <w:tcPr>
            <w:tcW w:w="2300" w:type="dxa"/>
            <w:vAlign w:val="bottom"/>
            <w:gridSpan w:val="4"/>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2007</w:t>
            </w:r>
          </w:p>
        </w:tc>
        <w:tc>
          <w:tcPr>
            <w:tcW w:w="240" w:type="dxa"/>
            <w:vAlign w:val="bottom"/>
          </w:tcPr>
          <w:p>
            <w:pPr>
              <w:spacing w:after="0"/>
              <w:rPr>
                <w:sz w:val="17"/>
                <w:szCs w:val="17"/>
                <w:color w:val="auto"/>
              </w:rPr>
            </w:pPr>
          </w:p>
        </w:tc>
        <w:tc>
          <w:tcPr>
            <w:tcW w:w="8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2006</w:t>
            </w:r>
          </w:p>
        </w:tc>
        <w:tc>
          <w:tcPr>
            <w:tcW w:w="260" w:type="dxa"/>
            <w:vAlign w:val="bottom"/>
          </w:tcPr>
          <w:p>
            <w:pPr>
              <w:spacing w:after="0"/>
              <w:rPr>
                <w:sz w:val="17"/>
                <w:szCs w:val="17"/>
                <w:color w:val="auto"/>
              </w:rPr>
            </w:pPr>
          </w:p>
        </w:tc>
        <w:tc>
          <w:tcPr>
            <w:tcW w:w="9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2007</w:t>
            </w:r>
          </w:p>
        </w:tc>
        <w:tc>
          <w:tcPr>
            <w:tcW w:w="160" w:type="dxa"/>
            <w:vAlign w:val="bottom"/>
          </w:tcPr>
          <w:p>
            <w:pPr>
              <w:spacing w:after="0"/>
              <w:rPr>
                <w:sz w:val="17"/>
                <w:szCs w:val="17"/>
                <w:color w:val="auto"/>
              </w:rPr>
            </w:pPr>
          </w:p>
        </w:tc>
        <w:tc>
          <w:tcPr>
            <w:tcW w:w="7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2006</w:t>
            </w:r>
          </w:p>
        </w:tc>
      </w:tr>
      <w:tr>
        <w:trPr>
          <w:trHeight w:val="196"/>
        </w:trPr>
        <w:tc>
          <w:tcPr>
            <w:tcW w:w="388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3880" w:type="dxa"/>
            <w:vAlign w:val="bottom"/>
          </w:tcPr>
          <w:p>
            <w:pPr>
              <w:spacing w:after="0"/>
              <w:rPr>
                <w:sz w:val="20"/>
                <w:szCs w:val="20"/>
                <w:color w:val="auto"/>
              </w:rPr>
            </w:pPr>
            <w:r>
              <w:rPr>
                <w:rFonts w:ascii="Courier New" w:cs="Courier New" w:eastAsia="Courier New" w:hAnsi="Courier New"/>
                <w:sz w:val="17"/>
                <w:szCs w:val="17"/>
                <w:color w:val="auto"/>
              </w:rPr>
              <w:t>Numerator:</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3880" w:type="dxa"/>
            <w:vAlign w:val="bottom"/>
          </w:tcPr>
          <w:p>
            <w:pPr>
              <w:ind w:left="320"/>
              <w:spacing w:after="0"/>
              <w:rPr>
                <w:sz w:val="20"/>
                <w:szCs w:val="20"/>
                <w:color w:val="auto"/>
              </w:rPr>
            </w:pPr>
            <w:r>
              <w:rPr>
                <w:rFonts w:ascii="Courier New" w:cs="Courier New" w:eastAsia="Courier New" w:hAnsi="Courier New"/>
                <w:sz w:val="17"/>
                <w:szCs w:val="17"/>
                <w:color w:val="auto"/>
              </w:rPr>
              <w:t>Numerator for basic earnings per</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3880" w:type="dxa"/>
            <w:vAlign w:val="bottom"/>
          </w:tcPr>
          <w:p>
            <w:pPr>
              <w:ind w:left="620"/>
              <w:spacing w:after="0"/>
              <w:rPr>
                <w:sz w:val="20"/>
                <w:szCs w:val="20"/>
                <w:color w:val="auto"/>
              </w:rPr>
            </w:pPr>
            <w:r>
              <w:rPr>
                <w:rFonts w:ascii="Courier New" w:cs="Courier New" w:eastAsia="Courier New" w:hAnsi="Courier New"/>
                <w:sz w:val="17"/>
                <w:szCs w:val="17"/>
                <w:color w:val="auto"/>
              </w:rPr>
              <w:t>share</w:t>
            </w: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$ 88,181</w:t>
            </w:r>
          </w:p>
        </w:tc>
        <w:tc>
          <w:tcPr>
            <w:tcW w:w="11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$ 85,585</w:t>
            </w: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$268,694</w:t>
            </w:r>
          </w:p>
        </w:tc>
        <w:tc>
          <w:tcPr>
            <w:tcW w:w="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$242,681</w:t>
            </w:r>
          </w:p>
        </w:tc>
      </w:tr>
      <w:tr>
        <w:trPr>
          <w:trHeight w:val="196"/>
        </w:trPr>
        <w:tc>
          <w:tcPr>
            <w:tcW w:w="3880" w:type="dxa"/>
            <w:vAlign w:val="bottom"/>
          </w:tcPr>
          <w:p>
            <w:pPr>
              <w:ind w:left="320"/>
              <w:spacing w:after="0"/>
              <w:rPr>
                <w:sz w:val="20"/>
                <w:szCs w:val="20"/>
                <w:color w:val="auto"/>
              </w:rPr>
            </w:pPr>
            <w:r>
              <w:rPr>
                <w:rFonts w:ascii="Courier New" w:cs="Courier New" w:eastAsia="Courier New" w:hAnsi="Courier New"/>
                <w:sz w:val="17"/>
                <w:szCs w:val="17"/>
                <w:color w:val="auto"/>
              </w:rPr>
              <w:t>Effect of assumed conversion of</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3880" w:type="dxa"/>
            <w:vAlign w:val="bottom"/>
          </w:tcPr>
          <w:p>
            <w:pPr>
              <w:ind w:left="620"/>
              <w:spacing w:after="0"/>
              <w:rPr>
                <w:sz w:val="20"/>
                <w:szCs w:val="20"/>
                <w:color w:val="auto"/>
              </w:rPr>
            </w:pPr>
            <w:r>
              <w:rPr>
                <w:rFonts w:ascii="Courier New" w:cs="Courier New" w:eastAsia="Courier New" w:hAnsi="Courier New"/>
                <w:sz w:val="17"/>
                <w:szCs w:val="17"/>
                <w:color w:val="auto"/>
              </w:rPr>
              <w:t>0.50% convertible notes</w:t>
            </w:r>
          </w:p>
        </w:tc>
        <w:tc>
          <w:tcPr>
            <w:tcW w:w="30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985</w:t>
            </w:r>
          </w:p>
        </w:tc>
        <w:tc>
          <w:tcPr>
            <w:tcW w:w="24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985</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2,955</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2,964</w:t>
            </w:r>
          </w:p>
        </w:tc>
      </w:tr>
      <w:tr>
        <w:trPr>
          <w:trHeight w:val="196"/>
        </w:trPr>
        <w:tc>
          <w:tcPr>
            <w:tcW w:w="388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880" w:type="dxa"/>
            <w:vAlign w:val="bottom"/>
          </w:tcPr>
          <w:p>
            <w:pPr>
              <w:ind w:left="320"/>
              <w:spacing w:after="0"/>
              <w:rPr>
                <w:sz w:val="20"/>
                <w:szCs w:val="20"/>
                <w:color w:val="auto"/>
              </w:rPr>
            </w:pPr>
            <w:r>
              <w:rPr>
                <w:rFonts w:ascii="Courier New" w:cs="Courier New" w:eastAsia="Courier New" w:hAnsi="Courier New"/>
                <w:sz w:val="17"/>
                <w:szCs w:val="17"/>
                <w:color w:val="auto"/>
              </w:rPr>
              <w:t>Numerator for diluted earnings per</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3880" w:type="dxa"/>
            <w:vAlign w:val="bottom"/>
          </w:tcPr>
          <w:p>
            <w:pPr>
              <w:ind w:left="620"/>
              <w:spacing w:after="0"/>
              <w:rPr>
                <w:sz w:val="20"/>
                <w:szCs w:val="20"/>
                <w:color w:val="auto"/>
              </w:rPr>
            </w:pPr>
            <w:r>
              <w:rPr>
                <w:rFonts w:ascii="Courier New" w:cs="Courier New" w:eastAsia="Courier New" w:hAnsi="Courier New"/>
                <w:sz w:val="17"/>
                <w:szCs w:val="17"/>
                <w:color w:val="auto"/>
              </w:rPr>
              <w:t>share</w:t>
            </w: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$ 89,166</w:t>
            </w:r>
          </w:p>
        </w:tc>
        <w:tc>
          <w:tcPr>
            <w:tcW w:w="11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$ 86,570</w:t>
            </w: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$271,649</w:t>
            </w:r>
          </w:p>
        </w:tc>
        <w:tc>
          <w:tcPr>
            <w:tcW w:w="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$245,645</w:t>
            </w:r>
          </w:p>
        </w:tc>
      </w:tr>
      <w:tr>
        <w:trPr>
          <w:trHeight w:val="196"/>
        </w:trPr>
        <w:tc>
          <w:tcPr>
            <w:tcW w:w="388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3880" w:type="dxa"/>
            <w:vAlign w:val="bottom"/>
          </w:tcPr>
          <w:p>
            <w:pPr>
              <w:spacing w:after="0"/>
              <w:rPr>
                <w:sz w:val="20"/>
                <w:szCs w:val="20"/>
                <w:color w:val="auto"/>
              </w:rPr>
            </w:pPr>
            <w:r>
              <w:rPr>
                <w:rFonts w:ascii="Courier New" w:cs="Courier New" w:eastAsia="Courier New" w:hAnsi="Courier New"/>
                <w:sz w:val="17"/>
                <w:szCs w:val="17"/>
                <w:color w:val="auto"/>
              </w:rPr>
              <w:t>Denominator:</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3880" w:type="dxa"/>
            <w:vAlign w:val="bottom"/>
          </w:tcPr>
          <w:p>
            <w:pPr>
              <w:ind w:left="320"/>
              <w:spacing w:after="0"/>
              <w:rPr>
                <w:sz w:val="20"/>
                <w:szCs w:val="20"/>
                <w:color w:val="auto"/>
              </w:rPr>
            </w:pPr>
            <w:r>
              <w:rPr>
                <w:rFonts w:ascii="Courier New" w:cs="Courier New" w:eastAsia="Courier New" w:hAnsi="Courier New"/>
                <w:sz w:val="17"/>
                <w:szCs w:val="17"/>
                <w:color w:val="auto"/>
              </w:rPr>
              <w:t>Denominator for basic earnings per</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3880" w:type="dxa"/>
            <w:vAlign w:val="bottom"/>
          </w:tcPr>
          <w:p>
            <w:pPr>
              <w:ind w:left="620"/>
              <w:spacing w:after="0"/>
              <w:rPr>
                <w:sz w:val="20"/>
                <w:szCs w:val="20"/>
                <w:color w:val="auto"/>
              </w:rPr>
            </w:pPr>
            <w:r>
              <w:rPr>
                <w:rFonts w:ascii="Courier New" w:cs="Courier New" w:eastAsia="Courier New" w:hAnsi="Courier New"/>
                <w:sz w:val="17"/>
                <w:szCs w:val="17"/>
                <w:color w:val="auto"/>
              </w:rPr>
              <w:t>share - weighted average number</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3880" w:type="dxa"/>
            <w:vAlign w:val="bottom"/>
          </w:tcPr>
          <w:p>
            <w:pPr>
              <w:ind w:left="620"/>
              <w:spacing w:after="0"/>
              <w:rPr>
                <w:sz w:val="20"/>
                <w:szCs w:val="20"/>
                <w:color w:val="auto"/>
              </w:rPr>
            </w:pPr>
            <w:r>
              <w:rPr>
                <w:rFonts w:ascii="Courier New" w:cs="Courier New" w:eastAsia="Courier New" w:hAnsi="Courier New"/>
                <w:sz w:val="17"/>
                <w:szCs w:val="17"/>
                <w:color w:val="auto"/>
              </w:rPr>
              <w:t>of shares outstanding</w:t>
            </w:r>
          </w:p>
        </w:tc>
        <w:tc>
          <w:tcPr>
            <w:tcW w:w="30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208,262</w:t>
            </w:r>
          </w:p>
        </w:tc>
        <w:tc>
          <w:tcPr>
            <w:tcW w:w="24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204,404</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5"/>
              </w:rPr>
              <w:t>207,332</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202,474</w:t>
            </w:r>
          </w:p>
        </w:tc>
      </w:tr>
      <w:tr>
        <w:trPr>
          <w:trHeight w:val="196"/>
        </w:trPr>
        <w:tc>
          <w:tcPr>
            <w:tcW w:w="3880" w:type="dxa"/>
            <w:vAlign w:val="bottom"/>
          </w:tcPr>
          <w:p>
            <w:pPr>
              <w:ind w:left="320"/>
              <w:spacing w:after="0"/>
              <w:rPr>
                <w:sz w:val="20"/>
                <w:szCs w:val="20"/>
                <w:color w:val="auto"/>
              </w:rPr>
            </w:pPr>
            <w:r>
              <w:rPr>
                <w:rFonts w:ascii="Courier New" w:cs="Courier New" w:eastAsia="Courier New" w:hAnsi="Courier New"/>
                <w:sz w:val="17"/>
                <w:szCs w:val="17"/>
                <w:color w:val="auto"/>
              </w:rPr>
              <w:t>Effect of assumed conversion of</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3880" w:type="dxa"/>
            <w:vAlign w:val="bottom"/>
          </w:tcPr>
          <w:p>
            <w:pPr>
              <w:ind w:left="620"/>
              <w:spacing w:after="0"/>
              <w:rPr>
                <w:sz w:val="20"/>
                <w:szCs w:val="20"/>
                <w:color w:val="auto"/>
              </w:rPr>
            </w:pPr>
            <w:r>
              <w:rPr>
                <w:rFonts w:ascii="Courier New" w:cs="Courier New" w:eastAsia="Courier New" w:hAnsi="Courier New"/>
                <w:sz w:val="17"/>
                <w:szCs w:val="17"/>
                <w:color w:val="auto"/>
              </w:rPr>
              <w:t>0.50% convertible notes</w:t>
            </w:r>
          </w:p>
        </w:tc>
        <w:tc>
          <w:tcPr>
            <w:tcW w:w="30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10,436</w:t>
            </w:r>
          </w:p>
        </w:tc>
        <w:tc>
          <w:tcPr>
            <w:tcW w:w="24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10,436</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10,436</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10,436</w:t>
            </w:r>
          </w:p>
        </w:tc>
      </w:tr>
      <w:tr>
        <w:trPr>
          <w:trHeight w:val="196"/>
        </w:trPr>
        <w:tc>
          <w:tcPr>
            <w:tcW w:w="3880" w:type="dxa"/>
            <w:vAlign w:val="bottom"/>
          </w:tcPr>
          <w:p>
            <w:pPr>
              <w:ind w:left="320"/>
              <w:spacing w:after="0"/>
              <w:rPr>
                <w:sz w:val="20"/>
                <w:szCs w:val="20"/>
                <w:color w:val="auto"/>
              </w:rPr>
            </w:pPr>
            <w:r>
              <w:rPr>
                <w:rFonts w:ascii="Courier New" w:cs="Courier New" w:eastAsia="Courier New" w:hAnsi="Courier New"/>
                <w:sz w:val="17"/>
                <w:szCs w:val="17"/>
                <w:color w:val="auto"/>
              </w:rPr>
              <w:t>Effect of dilutive stock options</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3880" w:type="dxa"/>
            <w:vAlign w:val="bottom"/>
          </w:tcPr>
          <w:p>
            <w:pPr>
              <w:ind w:left="620"/>
              <w:spacing w:after="0"/>
              <w:rPr>
                <w:sz w:val="20"/>
                <w:szCs w:val="20"/>
                <w:color w:val="auto"/>
              </w:rPr>
            </w:pPr>
            <w:r>
              <w:rPr>
                <w:rFonts w:ascii="Courier New" w:cs="Courier New" w:eastAsia="Courier New" w:hAnsi="Courier New"/>
                <w:sz w:val="17"/>
                <w:szCs w:val="17"/>
                <w:color w:val="auto"/>
              </w:rPr>
              <w:t>granted</w:t>
            </w:r>
          </w:p>
        </w:tc>
        <w:tc>
          <w:tcPr>
            <w:tcW w:w="30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4,665</w:t>
            </w:r>
          </w:p>
        </w:tc>
        <w:tc>
          <w:tcPr>
            <w:tcW w:w="24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5,080</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4,879</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4,609</w:t>
            </w:r>
          </w:p>
        </w:tc>
      </w:tr>
      <w:tr>
        <w:trPr>
          <w:trHeight w:val="196"/>
        </w:trPr>
        <w:tc>
          <w:tcPr>
            <w:tcW w:w="3880" w:type="dxa"/>
            <w:vAlign w:val="bottom"/>
          </w:tcPr>
          <w:p>
            <w:pPr>
              <w:ind w:left="320"/>
              <w:spacing w:after="0"/>
              <w:rPr>
                <w:sz w:val="20"/>
                <w:szCs w:val="20"/>
                <w:color w:val="auto"/>
              </w:rPr>
            </w:pPr>
            <w:r>
              <w:rPr>
                <w:rFonts w:ascii="Courier New" w:cs="Courier New" w:eastAsia="Courier New" w:hAnsi="Courier New"/>
                <w:sz w:val="17"/>
                <w:szCs w:val="17"/>
                <w:color w:val="auto"/>
              </w:rPr>
              <w:t>Effect of restricted stock issued</w:t>
            </w:r>
          </w:p>
        </w:tc>
        <w:tc>
          <w:tcPr>
            <w:tcW w:w="30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412</w:t>
            </w:r>
          </w:p>
        </w:tc>
        <w:tc>
          <w:tcPr>
            <w:tcW w:w="24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189</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350</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114</w:t>
            </w:r>
          </w:p>
        </w:tc>
      </w:tr>
      <w:tr>
        <w:trPr>
          <w:trHeight w:val="196"/>
        </w:trPr>
        <w:tc>
          <w:tcPr>
            <w:tcW w:w="388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880" w:type="dxa"/>
            <w:vAlign w:val="bottom"/>
          </w:tcPr>
          <w:p>
            <w:pPr>
              <w:ind w:left="320"/>
              <w:spacing w:after="0"/>
              <w:rPr>
                <w:sz w:val="20"/>
                <w:szCs w:val="20"/>
                <w:color w:val="auto"/>
              </w:rPr>
            </w:pPr>
            <w:r>
              <w:rPr>
                <w:rFonts w:ascii="Courier New" w:cs="Courier New" w:eastAsia="Courier New" w:hAnsi="Courier New"/>
                <w:sz w:val="17"/>
                <w:szCs w:val="17"/>
                <w:color w:val="auto"/>
              </w:rPr>
              <w:t>Denominator for diluted earnings</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3880" w:type="dxa"/>
            <w:vAlign w:val="bottom"/>
          </w:tcPr>
          <w:p>
            <w:pPr>
              <w:ind w:left="620"/>
              <w:spacing w:after="0"/>
              <w:rPr>
                <w:sz w:val="20"/>
                <w:szCs w:val="20"/>
                <w:color w:val="auto"/>
              </w:rPr>
            </w:pPr>
            <w:r>
              <w:rPr>
                <w:rFonts w:ascii="Courier New" w:cs="Courier New" w:eastAsia="Courier New" w:hAnsi="Courier New"/>
                <w:sz w:val="17"/>
                <w:szCs w:val="17"/>
                <w:color w:val="auto"/>
              </w:rPr>
              <w:t>per share - adjusted weighted</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3880" w:type="dxa"/>
            <w:vAlign w:val="bottom"/>
          </w:tcPr>
          <w:p>
            <w:pPr>
              <w:ind w:left="620"/>
              <w:spacing w:after="0"/>
              <w:rPr>
                <w:sz w:val="20"/>
                <w:szCs w:val="20"/>
                <w:color w:val="auto"/>
              </w:rPr>
            </w:pPr>
            <w:r>
              <w:rPr>
                <w:rFonts w:ascii="Courier New" w:cs="Courier New" w:eastAsia="Courier New" w:hAnsi="Courier New"/>
                <w:sz w:val="17"/>
                <w:szCs w:val="17"/>
                <w:color w:val="auto"/>
              </w:rPr>
              <w:t>average shares and assumed</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3880" w:type="dxa"/>
            <w:vAlign w:val="bottom"/>
          </w:tcPr>
          <w:p>
            <w:pPr>
              <w:ind w:left="620"/>
              <w:spacing w:after="0"/>
              <w:rPr>
                <w:sz w:val="20"/>
                <w:szCs w:val="20"/>
                <w:color w:val="auto"/>
              </w:rPr>
            </w:pPr>
            <w:r>
              <w:rPr>
                <w:rFonts w:ascii="Courier New" w:cs="Courier New" w:eastAsia="Courier New" w:hAnsi="Courier New"/>
                <w:sz w:val="17"/>
                <w:szCs w:val="17"/>
                <w:color w:val="auto"/>
              </w:rPr>
              <w:t>conversions</w:t>
            </w:r>
          </w:p>
        </w:tc>
        <w:tc>
          <w:tcPr>
            <w:tcW w:w="30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223,775</w:t>
            </w:r>
          </w:p>
        </w:tc>
        <w:tc>
          <w:tcPr>
            <w:tcW w:w="24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220,109</w:t>
            </w:r>
          </w:p>
        </w:tc>
        <w:tc>
          <w:tcPr>
            <w:tcW w:w="26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5"/>
              </w:rPr>
              <w:t>222,997</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217,633</w:t>
            </w:r>
          </w:p>
        </w:tc>
      </w:tr>
      <w:tr>
        <w:trPr>
          <w:trHeight w:val="196"/>
        </w:trPr>
        <w:tc>
          <w:tcPr>
            <w:tcW w:w="388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880" w:type="dxa"/>
            <w:vAlign w:val="bottom"/>
          </w:tcPr>
          <w:p>
            <w:pPr>
              <w:ind w:left="200"/>
              <w:spacing w:after="0"/>
              <w:rPr>
                <w:sz w:val="20"/>
                <w:szCs w:val="20"/>
                <w:color w:val="auto"/>
              </w:rPr>
            </w:pPr>
            <w:r>
              <w:rPr>
                <w:rFonts w:ascii="Courier New" w:cs="Courier New" w:eastAsia="Courier New" w:hAnsi="Courier New"/>
                <w:sz w:val="17"/>
                <w:szCs w:val="17"/>
                <w:color w:val="auto"/>
              </w:rPr>
              <w:t>Basic earnings per share</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0.42</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0.42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1.30</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1.20</w:t>
            </w:r>
          </w:p>
        </w:tc>
      </w:tr>
      <w:tr>
        <w:trPr>
          <w:trHeight w:val="196"/>
        </w:trPr>
        <w:tc>
          <w:tcPr>
            <w:tcW w:w="388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880" w:type="dxa"/>
            <w:vAlign w:val="bottom"/>
          </w:tcPr>
          <w:p>
            <w:pPr>
              <w:ind w:left="200"/>
              <w:spacing w:after="0"/>
              <w:rPr>
                <w:sz w:val="20"/>
                <w:szCs w:val="20"/>
                <w:color w:val="auto"/>
              </w:rPr>
            </w:pPr>
            <w:r>
              <w:rPr>
                <w:rFonts w:ascii="Courier New" w:cs="Courier New" w:eastAsia="Courier New" w:hAnsi="Courier New"/>
                <w:sz w:val="17"/>
                <w:szCs w:val="17"/>
                <w:color w:val="auto"/>
              </w:rPr>
              <w:t>Diluted earnings per share</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0.40</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0.39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1.22</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1.13</w:t>
            </w:r>
          </w:p>
        </w:tc>
      </w:tr>
      <w:tr>
        <w:trPr>
          <w:trHeight w:val="196"/>
        </w:trPr>
        <w:tc>
          <w:tcPr>
            <w:tcW w:w="388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785"/>
        </w:trPr>
        <w:tc>
          <w:tcPr>
            <w:tcW w:w="38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703" w:right="1440" w:bottom="1440" w:gutter="0" w:footer="0" w:header="0"/>
        </w:sectPr>
      </w:pPr>
    </w:p>
    <w:bookmarkStart w:id="11" w:name="page12"/>
    <w:bookmarkEnd w:id="11"/>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201" w:lineRule="exact"/>
        <w:rPr>
          <w:sz w:val="20"/>
          <w:szCs w:val="20"/>
          <w:color w:val="auto"/>
        </w:rPr>
      </w:pPr>
    </w:p>
    <w:p>
      <w:pPr>
        <w:ind w:left="1020" w:right="8379" w:hanging="1015"/>
        <w:spacing w:after="0" w:line="487" w:lineRule="auto"/>
        <w:tabs>
          <w:tab w:leader="none" w:pos="51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ACQUISITIONS SIGVALUE</w:t>
      </w:r>
    </w:p>
    <w:p>
      <w:pPr>
        <w:spacing w:after="0" w:line="3" w:lineRule="exact"/>
        <w:rPr>
          <w:sz w:val="20"/>
          <w:szCs w:val="20"/>
          <w:color w:val="auto"/>
        </w:rPr>
      </w:pPr>
    </w:p>
    <w:p>
      <w:pPr>
        <w:ind w:left="520" w:right="2059" w:firstLine="510"/>
        <w:spacing w:after="0" w:line="261" w:lineRule="auto"/>
        <w:rPr>
          <w:sz w:val="20"/>
          <w:szCs w:val="20"/>
          <w:color w:val="auto"/>
        </w:rPr>
      </w:pPr>
      <w:r>
        <w:rPr>
          <w:rFonts w:ascii="Courier New" w:cs="Courier New" w:eastAsia="Courier New" w:hAnsi="Courier New"/>
          <w:sz w:val="16"/>
          <w:szCs w:val="16"/>
          <w:color w:val="auto"/>
        </w:rPr>
        <w:t>On February 7, 2007, the Company acquired SigValue Technologies, Inc. ("SigValue"), a provider of an integrated billing, customer care and service control platform designed for telecommunications service providers in high-growth emerging markets around the world, where the customer base is predominantly comprised of mobile pre-paid subscribers. Prior to the acquisition, the Company owned 14% of SigValue's outstanding capital stock. Under the terms of the agreement, the Company acquired all of SigValue's remaining share capital. The Company expects that this acquisition will expand its offering for the fast growing emerging markets.</w:t>
      </w:r>
    </w:p>
    <w:p>
      <w:pPr>
        <w:spacing w:after="0" w:line="188" w:lineRule="exact"/>
        <w:rPr>
          <w:sz w:val="20"/>
          <w:szCs w:val="20"/>
          <w:color w:val="auto"/>
        </w:rPr>
      </w:pPr>
    </w:p>
    <w:p>
      <w:pPr>
        <w:ind w:left="520" w:right="2059" w:firstLine="510"/>
        <w:spacing w:after="0" w:line="244" w:lineRule="auto"/>
        <w:rPr>
          <w:sz w:val="20"/>
          <w:szCs w:val="20"/>
          <w:color w:val="auto"/>
        </w:rPr>
      </w:pPr>
      <w:r>
        <w:rPr>
          <w:rFonts w:ascii="Courier New" w:cs="Courier New" w:eastAsia="Courier New" w:hAnsi="Courier New"/>
          <w:sz w:val="17"/>
          <w:szCs w:val="17"/>
          <w:color w:val="auto"/>
        </w:rPr>
        <w:t>The aggregate purchase price for the remaining 86% of SigValue's outstanding capital stock was $71,872, which consisted of $70,428 in cash (including cash on hand), $768 related to the assumption of stock options held by SigValue employees and $676 of transaction costs. The fair value of the stock options was estimated using the Black-Scholes option pricing model.</w:t>
      </w:r>
    </w:p>
    <w:p>
      <w:pPr>
        <w:spacing w:after="0" w:line="198"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CRAMER</w:t>
      </w:r>
    </w:p>
    <w:p>
      <w:pPr>
        <w:spacing w:after="0" w:line="201" w:lineRule="exact"/>
        <w:rPr>
          <w:sz w:val="20"/>
          <w:szCs w:val="20"/>
          <w:color w:val="auto"/>
        </w:rPr>
      </w:pPr>
    </w:p>
    <w:p>
      <w:pPr>
        <w:ind w:left="520" w:right="2059" w:firstLine="510"/>
        <w:spacing w:after="0" w:line="244" w:lineRule="auto"/>
        <w:rPr>
          <w:sz w:val="20"/>
          <w:szCs w:val="20"/>
          <w:color w:val="auto"/>
        </w:rPr>
      </w:pPr>
      <w:r>
        <w:rPr>
          <w:rFonts w:ascii="Courier New" w:cs="Courier New" w:eastAsia="Courier New" w:hAnsi="Courier New"/>
          <w:sz w:val="17"/>
          <w:szCs w:val="17"/>
          <w:color w:val="auto"/>
        </w:rPr>
        <w:t>On August 14, 2006, the Company acquired all of the capital stock of Cramer Systems Group Limited, or Cramer, a privately-held leading provider of operations support systems (OSS) solutions. The Company expects that this acquisition will enable it to leverage and greatly enhance its current assets in the BSS (business support systems) and OSS market.</w:t>
      </w:r>
    </w:p>
    <w:p>
      <w:pPr>
        <w:spacing w:after="0" w:line="198" w:lineRule="exact"/>
        <w:rPr>
          <w:sz w:val="20"/>
          <w:szCs w:val="20"/>
          <w:color w:val="auto"/>
        </w:rPr>
      </w:pPr>
    </w:p>
    <w:p>
      <w:pPr>
        <w:ind w:left="520" w:right="2059" w:firstLine="510"/>
        <w:spacing w:after="0" w:line="260" w:lineRule="auto"/>
        <w:rPr>
          <w:sz w:val="20"/>
          <w:szCs w:val="20"/>
          <w:color w:val="auto"/>
        </w:rPr>
      </w:pPr>
      <w:r>
        <w:rPr>
          <w:rFonts w:ascii="Courier New" w:cs="Courier New" w:eastAsia="Courier New" w:hAnsi="Courier New"/>
          <w:sz w:val="16"/>
          <w:szCs w:val="16"/>
          <w:color w:val="auto"/>
        </w:rPr>
        <w:t>The aggregate purchase price for Cramer was $420,985, which consisted of $412,403 in cash (including cash on hand), $2,228 related to the assumption of stock options and restricted shares held by Cramer employees and $6,354 of transaction costs. The purchase price was adjusted in the first quarter of fiscal 2007 as a result of post closing adjustments which were not material. The fair value of the stock options was estimated using the Black-Scholes option pricing model and the fair value of the restricted shares was valued based on the market value of the underlying shares at the date of grant. During the nine months ended June 30, 2007, within the one year allocation period, the Company revised the allocation of the purchase price as it obtained more information and changed its estimates related to the tax basis of assumed liabilities and related to certain other acquired assets and assumed liabilities. The revised purchase price allocation resulted in a decrease of $10,870 and $5,786 in goodwill during the three and nine months ended June 30, 2007, respectively.</w:t>
      </w:r>
    </w:p>
    <w:p>
      <w:pPr>
        <w:spacing w:after="0" w:line="193"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QPASS</w:t>
      </w:r>
    </w:p>
    <w:p>
      <w:pPr>
        <w:spacing w:after="0" w:line="201" w:lineRule="exact"/>
        <w:rPr>
          <w:sz w:val="20"/>
          <w:szCs w:val="20"/>
          <w:color w:val="auto"/>
        </w:rPr>
      </w:pPr>
    </w:p>
    <w:p>
      <w:pPr>
        <w:ind w:left="520" w:right="2259" w:firstLine="510"/>
        <w:spacing w:after="0" w:line="244" w:lineRule="auto"/>
        <w:rPr>
          <w:sz w:val="20"/>
          <w:szCs w:val="20"/>
          <w:color w:val="auto"/>
        </w:rPr>
      </w:pPr>
      <w:r>
        <w:rPr>
          <w:rFonts w:ascii="Courier New" w:cs="Courier New" w:eastAsia="Courier New" w:hAnsi="Courier New"/>
          <w:sz w:val="17"/>
          <w:szCs w:val="17"/>
          <w:color w:val="auto"/>
        </w:rPr>
        <w:t>On May 31, 2006, the Company acquired all of the capital stock of Qpass Inc., or Qpass, a leading provider of digital commerce software and solutions. The Company expects that this acquisition will allow it to support service providers and media companies seeking to launch and monetize digital content, and believes that this acquisition positions it as the leader in the emerging digital content market.</w:t>
      </w:r>
    </w:p>
    <w:p>
      <w:pPr>
        <w:spacing w:after="0" w:line="199" w:lineRule="exact"/>
        <w:rPr>
          <w:sz w:val="20"/>
          <w:szCs w:val="20"/>
          <w:color w:val="auto"/>
        </w:rPr>
      </w:pPr>
    </w:p>
    <w:p>
      <w:pPr>
        <w:ind w:left="520" w:right="2159" w:firstLine="510"/>
        <w:spacing w:after="0" w:line="244" w:lineRule="auto"/>
        <w:rPr>
          <w:sz w:val="20"/>
          <w:szCs w:val="20"/>
          <w:color w:val="auto"/>
        </w:rPr>
      </w:pPr>
      <w:r>
        <w:rPr>
          <w:rFonts w:ascii="Courier New" w:cs="Courier New" w:eastAsia="Courier New" w:hAnsi="Courier New"/>
          <w:sz w:val="17"/>
          <w:szCs w:val="17"/>
          <w:color w:val="auto"/>
        </w:rPr>
        <w:t>The aggregate purchase price for Qpass was $280,983, which consisted of $274,024 in cash, (including cash on hand), $2,405 related to the assumption of stock options held by Qpass employees and $4,554 of transaction costs. The fair value of the stock options was estimated using the Black-Scholes option pricing model. During the nine months ended June 30, 2007, within the one year allocation period, the Company revised the allocation of the purchase price as it obtained more information and changed its estimates related to certain acquired assets and assumed liabilities. The revised purchase price allocation</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3" w:right="1440" w:bottom="1440" w:gutter="0" w:footer="0" w:header="0"/>
        </w:sectPr>
      </w:pPr>
    </w:p>
    <w:bookmarkStart w:id="12" w:name="page13"/>
    <w:bookmarkEnd w:id="12"/>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201" w:lineRule="exact"/>
        <w:rPr>
          <w:sz w:val="20"/>
          <w:szCs w:val="20"/>
          <w:color w:val="auto"/>
        </w:rPr>
      </w:pPr>
    </w:p>
    <w:p>
      <w:pPr>
        <w:ind w:left="520" w:right="2359"/>
        <w:spacing w:after="0" w:line="243" w:lineRule="auto"/>
        <w:rPr>
          <w:sz w:val="20"/>
          <w:szCs w:val="20"/>
          <w:color w:val="auto"/>
        </w:rPr>
      </w:pPr>
      <w:r>
        <w:rPr>
          <w:rFonts w:ascii="Courier New" w:cs="Courier New" w:eastAsia="Courier New" w:hAnsi="Courier New"/>
          <w:sz w:val="17"/>
          <w:szCs w:val="17"/>
          <w:color w:val="auto"/>
        </w:rPr>
        <w:t>resulted in a decrease of $3,274 and $4,377 in goodwill during the three and nine months ended June 30, 2007, respectively.</w:t>
      </w:r>
    </w:p>
    <w:p>
      <w:pPr>
        <w:spacing w:after="0" w:line="198" w:lineRule="exact"/>
        <w:rPr>
          <w:sz w:val="20"/>
          <w:szCs w:val="20"/>
          <w:color w:val="auto"/>
        </w:rPr>
      </w:pPr>
    </w:p>
    <w:p>
      <w:pPr>
        <w:ind w:left="520" w:hanging="515"/>
        <w:spacing w:after="0"/>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 AND INCENTIVE PLAN</w:t>
      </w:r>
    </w:p>
    <w:p>
      <w:pPr>
        <w:spacing w:after="0" w:line="201" w:lineRule="exact"/>
        <w:rPr>
          <w:sz w:val="20"/>
          <w:szCs w:val="20"/>
          <w:color w:val="auto"/>
        </w:rPr>
      </w:pPr>
    </w:p>
    <w:p>
      <w:pPr>
        <w:ind w:left="520" w:right="2059" w:firstLine="510"/>
        <w:spacing w:after="0" w:line="244" w:lineRule="auto"/>
        <w:rPr>
          <w:sz w:val="20"/>
          <w:szCs w:val="20"/>
          <w:color w:val="auto"/>
        </w:rPr>
      </w:pPr>
      <w:r>
        <w:rPr>
          <w:rFonts w:ascii="Courier New" w:cs="Courier New" w:eastAsia="Courier New" w:hAnsi="Courier New"/>
          <w:sz w:val="17"/>
          <w:szCs w:val="17"/>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January 2006, the maximum number of Ordinary Shares authorized to be granted under the Plan was increased from 38,300 to 46,300. Awards granted under the Plan generally vest over a period of four years and stock options have a term of ten years. In the fourth quarter of fiscal 2005, the Company commenced routinely granting restricted shares and the Company's equity-based grant package may be comprised of restricted stock awards and stock options.</w:t>
      </w:r>
    </w:p>
    <w:p>
      <w:pPr>
        <w:spacing w:after="0" w:line="202" w:lineRule="exact"/>
        <w:rPr>
          <w:sz w:val="20"/>
          <w:szCs w:val="20"/>
          <w:color w:val="auto"/>
        </w:rPr>
      </w:pPr>
    </w:p>
    <w:p>
      <w:pPr>
        <w:ind w:left="520" w:right="2259" w:firstLine="510"/>
        <w:spacing w:after="0" w:line="243" w:lineRule="auto"/>
        <w:rPr>
          <w:sz w:val="20"/>
          <w:szCs w:val="20"/>
          <w:color w:val="auto"/>
        </w:rPr>
      </w:pPr>
      <w:r>
        <w:rPr>
          <w:rFonts w:ascii="Courier New" w:cs="Courier New" w:eastAsia="Courier New" w:hAnsi="Courier New"/>
          <w:sz w:val="17"/>
          <w:szCs w:val="17"/>
          <w:color w:val="auto"/>
        </w:rPr>
        <w:t>The following table summarizes information about options to purchase the Company's Ordinary Shares, as well as changes during the nine month period ended June 30, 2007:</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jc w:val="center"/>
              <w:ind w:left="175"/>
              <w:spacing w:after="0"/>
              <w:rPr>
                <w:sz w:val="20"/>
                <w:szCs w:val="20"/>
                <w:color w:val="auto"/>
              </w:rPr>
            </w:pPr>
            <w:r>
              <w:rPr>
                <w:rFonts w:ascii="Courier New" w:cs="Courier New" w:eastAsia="Courier New" w:hAnsi="Courier New"/>
                <w:sz w:val="17"/>
                <w:szCs w:val="17"/>
                <w:color w:val="auto"/>
              </w:rPr>
              <w:t>WEIGHTED</w:t>
            </w:r>
          </w:p>
        </w:tc>
      </w:tr>
      <w:tr>
        <w:trPr>
          <w:trHeight w:val="196"/>
        </w:trPr>
        <w:tc>
          <w:tcPr>
            <w:tcW w:w="3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WEIGHTED</w:t>
            </w:r>
          </w:p>
        </w:tc>
        <w:tc>
          <w:tcPr>
            <w:tcW w:w="1280" w:type="dxa"/>
            <w:vAlign w:val="bottom"/>
          </w:tcPr>
          <w:p>
            <w:pPr>
              <w:jc w:val="center"/>
              <w:ind w:left="75"/>
              <w:spacing w:after="0"/>
              <w:rPr>
                <w:sz w:val="20"/>
                <w:szCs w:val="20"/>
                <w:color w:val="auto"/>
              </w:rPr>
            </w:pPr>
            <w:r>
              <w:rPr>
                <w:rFonts w:ascii="Courier New" w:cs="Courier New" w:eastAsia="Courier New" w:hAnsi="Courier New"/>
                <w:sz w:val="17"/>
                <w:szCs w:val="17"/>
                <w:color w:val="auto"/>
              </w:rPr>
              <w:t>AVERAGE</w:t>
            </w:r>
          </w:p>
        </w:tc>
      </w:tr>
      <w:tr>
        <w:trPr>
          <w:trHeight w:val="196"/>
        </w:trPr>
        <w:tc>
          <w:tcPr>
            <w:tcW w:w="348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NUMBER</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AVERAGE</w:t>
            </w:r>
          </w:p>
        </w:tc>
        <w:tc>
          <w:tcPr>
            <w:tcW w:w="1280" w:type="dxa"/>
            <w:vAlign w:val="bottom"/>
          </w:tcPr>
          <w:p>
            <w:pPr>
              <w:jc w:val="center"/>
              <w:ind w:left="75"/>
              <w:spacing w:after="0"/>
              <w:rPr>
                <w:sz w:val="20"/>
                <w:szCs w:val="20"/>
                <w:color w:val="auto"/>
              </w:rPr>
            </w:pPr>
            <w:r>
              <w:rPr>
                <w:rFonts w:ascii="Courier New" w:cs="Courier New" w:eastAsia="Courier New" w:hAnsi="Courier New"/>
                <w:sz w:val="17"/>
                <w:szCs w:val="17"/>
                <w:color w:val="auto"/>
              </w:rPr>
              <w:t>REMAINING</w:t>
            </w:r>
          </w:p>
        </w:tc>
      </w:tr>
      <w:tr>
        <w:trPr>
          <w:trHeight w:val="196"/>
        </w:trPr>
        <w:tc>
          <w:tcPr>
            <w:tcW w:w="3480" w:type="dxa"/>
            <w:vAlign w:val="bottom"/>
          </w:tcPr>
          <w:p>
            <w:pPr>
              <w:spacing w:after="0"/>
              <w:rPr>
                <w:sz w:val="17"/>
                <w:szCs w:val="17"/>
                <w:color w:val="auto"/>
              </w:rPr>
            </w:pPr>
          </w:p>
        </w:tc>
        <w:tc>
          <w:tcPr>
            <w:tcW w:w="9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OF</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EXERCISE</w:t>
            </w:r>
          </w:p>
        </w:tc>
        <w:tc>
          <w:tcPr>
            <w:tcW w:w="1280" w:type="dxa"/>
            <w:vAlign w:val="bottom"/>
          </w:tcPr>
          <w:p>
            <w:pPr>
              <w:jc w:val="center"/>
              <w:ind w:left="75"/>
              <w:spacing w:after="0"/>
              <w:rPr>
                <w:sz w:val="20"/>
                <w:szCs w:val="20"/>
                <w:color w:val="auto"/>
              </w:rPr>
            </w:pPr>
            <w:r>
              <w:rPr>
                <w:rFonts w:ascii="Courier New" w:cs="Courier New" w:eastAsia="Courier New" w:hAnsi="Courier New"/>
                <w:sz w:val="17"/>
                <w:szCs w:val="17"/>
                <w:color w:val="auto"/>
                <w:w w:val="99"/>
              </w:rPr>
              <w:t>CONTRACTUAL</w:t>
            </w:r>
          </w:p>
        </w:tc>
      </w:tr>
      <w:tr>
        <w:trPr>
          <w:trHeight w:val="196"/>
        </w:trPr>
        <w:tc>
          <w:tcPr>
            <w:tcW w:w="348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OPTIONS</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PRICE</w:t>
            </w:r>
          </w:p>
        </w:tc>
        <w:tc>
          <w:tcPr>
            <w:tcW w:w="1280" w:type="dxa"/>
            <w:vAlign w:val="bottom"/>
          </w:tcPr>
          <w:p>
            <w:pPr>
              <w:jc w:val="center"/>
              <w:ind w:left="175"/>
              <w:spacing w:after="0"/>
              <w:rPr>
                <w:sz w:val="20"/>
                <w:szCs w:val="20"/>
                <w:color w:val="auto"/>
              </w:rPr>
            </w:pPr>
            <w:r>
              <w:rPr>
                <w:rFonts w:ascii="Courier New" w:cs="Courier New" w:eastAsia="Courier New" w:hAnsi="Courier New"/>
                <w:sz w:val="17"/>
                <w:szCs w:val="17"/>
                <w:color w:val="auto"/>
              </w:rPr>
              <w:t>TERM</w:t>
            </w:r>
          </w:p>
        </w:tc>
      </w:tr>
      <w:tr>
        <w:trPr>
          <w:trHeight w:val="196"/>
        </w:trPr>
        <w:tc>
          <w:tcPr>
            <w:tcW w:w="348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center"/>
              <w:ind w:left="75"/>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3480" w:type="dxa"/>
            <w:vAlign w:val="bottom"/>
          </w:tcPr>
          <w:p>
            <w:pPr>
              <w:spacing w:after="0"/>
              <w:rPr>
                <w:sz w:val="20"/>
                <w:szCs w:val="20"/>
                <w:color w:val="auto"/>
              </w:rPr>
            </w:pPr>
            <w:r>
              <w:rPr>
                <w:rFonts w:ascii="Courier New" w:cs="Courier New" w:eastAsia="Courier New" w:hAnsi="Courier New"/>
                <w:sz w:val="17"/>
                <w:szCs w:val="17"/>
                <w:color w:val="auto"/>
              </w:rPr>
              <w:t>Outstanding as of October 1, 2006</w:t>
            </w: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22,794</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$29.02</w:t>
            </w:r>
          </w:p>
        </w:tc>
        <w:tc>
          <w:tcPr>
            <w:tcW w:w="1280" w:type="dxa"/>
            <w:vAlign w:val="bottom"/>
          </w:tcPr>
          <w:p>
            <w:pPr>
              <w:spacing w:after="0"/>
              <w:rPr>
                <w:sz w:val="24"/>
                <w:szCs w:val="24"/>
                <w:color w:val="auto"/>
              </w:rPr>
            </w:pP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Granted</w:t>
            </w: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2,434</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35.70</w:t>
            </w:r>
          </w:p>
        </w:tc>
        <w:tc>
          <w:tcPr>
            <w:tcW w:w="1280" w:type="dxa"/>
            <w:vAlign w:val="bottom"/>
          </w:tcPr>
          <w:p>
            <w:pPr>
              <w:spacing w:after="0"/>
              <w:rPr>
                <w:sz w:val="17"/>
                <w:szCs w:val="17"/>
                <w:color w:val="auto"/>
              </w:rPr>
            </w:pP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(3,056)</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19.07</w:t>
            </w:r>
          </w:p>
        </w:tc>
        <w:tc>
          <w:tcPr>
            <w:tcW w:w="1280" w:type="dxa"/>
            <w:vAlign w:val="bottom"/>
          </w:tcPr>
          <w:p>
            <w:pPr>
              <w:spacing w:after="0"/>
              <w:rPr>
                <w:sz w:val="17"/>
                <w:szCs w:val="17"/>
                <w:color w:val="auto"/>
              </w:rPr>
            </w:pP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Forfeited</w:t>
            </w: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(925)</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33.87</w:t>
            </w:r>
          </w:p>
        </w:tc>
        <w:tc>
          <w:tcPr>
            <w:tcW w:w="1280" w:type="dxa"/>
            <w:vAlign w:val="bottom"/>
          </w:tcPr>
          <w:p>
            <w:pPr>
              <w:spacing w:after="0"/>
              <w:rPr>
                <w:sz w:val="17"/>
                <w:szCs w:val="17"/>
                <w:color w:val="auto"/>
              </w:rPr>
            </w:pPr>
          </w:p>
        </w:tc>
      </w:tr>
      <w:tr>
        <w:trPr>
          <w:trHeight w:val="196"/>
        </w:trPr>
        <w:tc>
          <w:tcPr>
            <w:tcW w:w="348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Outstanding as of June 30, 2007</w:t>
            </w: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21,247</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$31.01</w:t>
            </w:r>
          </w:p>
        </w:tc>
        <w:tc>
          <w:tcPr>
            <w:tcW w:w="1280" w:type="dxa"/>
            <w:vAlign w:val="bottom"/>
          </w:tcPr>
          <w:p>
            <w:pPr>
              <w:jc w:val="center"/>
              <w:ind w:left="175"/>
              <w:spacing w:after="0"/>
              <w:rPr>
                <w:sz w:val="20"/>
                <w:szCs w:val="20"/>
                <w:color w:val="auto"/>
              </w:rPr>
            </w:pPr>
            <w:r>
              <w:rPr>
                <w:rFonts w:ascii="Courier New" w:cs="Courier New" w:eastAsia="Courier New" w:hAnsi="Courier New"/>
                <w:sz w:val="17"/>
                <w:szCs w:val="17"/>
                <w:color w:val="auto"/>
              </w:rPr>
              <w:t>6.16</w:t>
            </w:r>
          </w:p>
        </w:tc>
      </w:tr>
      <w:tr>
        <w:trPr>
          <w:trHeight w:val="196"/>
        </w:trPr>
        <w:tc>
          <w:tcPr>
            <w:tcW w:w="348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center"/>
              <w:ind w:left="175"/>
              <w:spacing w:after="0"/>
              <w:rPr>
                <w:sz w:val="20"/>
                <w:szCs w:val="20"/>
                <w:color w:val="auto"/>
              </w:rPr>
            </w:pPr>
            <w:r>
              <w:rPr>
                <w:rFonts w:ascii="Courier New" w:cs="Courier New" w:eastAsia="Courier New" w:hAnsi="Courier New"/>
                <w:sz w:val="17"/>
                <w:szCs w:val="17"/>
                <w:color w:val="auto"/>
              </w:rPr>
              <w:t>====</w:t>
            </w: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Exercisable on June 30, 2007</w:t>
            </w: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12,500</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$31.90</w:t>
            </w:r>
          </w:p>
        </w:tc>
        <w:tc>
          <w:tcPr>
            <w:tcW w:w="1280" w:type="dxa"/>
            <w:vAlign w:val="bottom"/>
          </w:tcPr>
          <w:p>
            <w:pPr>
              <w:jc w:val="center"/>
              <w:ind w:left="175"/>
              <w:spacing w:after="0"/>
              <w:rPr>
                <w:sz w:val="20"/>
                <w:szCs w:val="20"/>
                <w:color w:val="auto"/>
              </w:rPr>
            </w:pPr>
            <w:r>
              <w:rPr>
                <w:rFonts w:ascii="Courier New" w:cs="Courier New" w:eastAsia="Courier New" w:hAnsi="Courier New"/>
                <w:sz w:val="17"/>
                <w:szCs w:val="17"/>
                <w:color w:val="auto"/>
              </w:rPr>
              <w:t>4.56</w:t>
            </w:r>
          </w:p>
        </w:tc>
      </w:tr>
      <w:tr>
        <w:trPr>
          <w:trHeight w:val="196"/>
        </w:trPr>
        <w:tc>
          <w:tcPr>
            <w:tcW w:w="348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center"/>
              <w:ind w:left="175"/>
              <w:spacing w:after="0"/>
              <w:rPr>
                <w:sz w:val="20"/>
                <w:szCs w:val="20"/>
                <w:color w:val="auto"/>
              </w:rPr>
            </w:pPr>
            <w:r>
              <w:rPr>
                <w:rFonts w:ascii="Courier New" w:cs="Courier New" w:eastAsia="Courier New" w:hAnsi="Courier New"/>
                <w:sz w:val="17"/>
                <w:szCs w:val="17"/>
                <w:color w:val="auto"/>
              </w:rPr>
              <w:t>====</w:t>
            </w:r>
          </w:p>
        </w:tc>
      </w:tr>
      <w:tr>
        <w:trPr>
          <w:trHeight w:val="785"/>
        </w:trPr>
        <w:tc>
          <w:tcPr>
            <w:tcW w:w="3480" w:type="dxa"/>
            <w:vAlign w:val="bottom"/>
          </w:tcPr>
          <w:p>
            <w:pPr>
              <w:spacing w:after="0"/>
              <w:rPr>
                <w:sz w:val="24"/>
                <w:szCs w:val="24"/>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w:t>
            </w: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19"/>
          </w:cols>
          <w:pgMar w:left="240" w:top="703" w:right="1440" w:bottom="1440" w:gutter="0" w:footer="0" w:header="0"/>
        </w:sectPr>
      </w:pPr>
    </w:p>
    <w:bookmarkStart w:id="13" w:name="page14"/>
    <w:bookmarkEnd w:id="13"/>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201"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The following table summarizes information relating to awards of restricted shares, as well as changes to such awards during the nine month period ended on June 30, 2007:</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WEIGHTED</w:t>
            </w:r>
          </w:p>
        </w:tc>
      </w:tr>
      <w:tr>
        <w:trPr>
          <w:trHeight w:val="196"/>
        </w:trPr>
        <w:tc>
          <w:tcPr>
            <w:tcW w:w="3520" w:type="dxa"/>
            <w:vAlign w:val="bottom"/>
          </w:tcPr>
          <w:p>
            <w:pPr>
              <w:spacing w:after="0"/>
              <w:rPr>
                <w:sz w:val="17"/>
                <w:szCs w:val="17"/>
                <w:color w:val="auto"/>
              </w:rPr>
            </w:pPr>
          </w:p>
        </w:tc>
        <w:tc>
          <w:tcPr>
            <w:tcW w:w="12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NUMBER</w:t>
            </w:r>
          </w:p>
        </w:tc>
        <w:tc>
          <w:tcPr>
            <w:tcW w:w="1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AVERAGE GRANT</w:t>
            </w:r>
          </w:p>
        </w:tc>
      </w:tr>
      <w:tr>
        <w:trPr>
          <w:trHeight w:val="196"/>
        </w:trPr>
        <w:tc>
          <w:tcPr>
            <w:tcW w:w="3520" w:type="dxa"/>
            <w:vAlign w:val="bottom"/>
          </w:tcPr>
          <w:p>
            <w:pPr>
              <w:spacing w:after="0"/>
              <w:rPr>
                <w:sz w:val="17"/>
                <w:szCs w:val="17"/>
                <w:color w:val="auto"/>
              </w:rPr>
            </w:pP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OF SHARES</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DATE FAIR VALUE</w:t>
            </w:r>
          </w:p>
        </w:tc>
      </w:tr>
      <w:tr>
        <w:trPr>
          <w:trHeight w:val="196"/>
        </w:trPr>
        <w:tc>
          <w:tcPr>
            <w:tcW w:w="3520" w:type="dxa"/>
            <w:vAlign w:val="bottom"/>
          </w:tcPr>
          <w:p>
            <w:pPr>
              <w:spacing w:after="0"/>
              <w:rPr>
                <w:sz w:val="17"/>
                <w:szCs w:val="17"/>
                <w:color w:val="auto"/>
              </w:rPr>
            </w:pP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3520" w:type="dxa"/>
            <w:vAlign w:val="bottom"/>
          </w:tcPr>
          <w:p>
            <w:pPr>
              <w:spacing w:after="0"/>
              <w:rPr>
                <w:sz w:val="20"/>
                <w:szCs w:val="20"/>
                <w:color w:val="auto"/>
              </w:rPr>
            </w:pPr>
            <w:r>
              <w:rPr>
                <w:rFonts w:ascii="Courier New" w:cs="Courier New" w:eastAsia="Courier New" w:hAnsi="Courier New"/>
                <w:sz w:val="17"/>
                <w:szCs w:val="17"/>
                <w:color w:val="auto"/>
              </w:rPr>
              <w:t>Outstanding unvested shares as of</w:t>
            </w: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October 1, 2006</w:t>
            </w:r>
          </w:p>
        </w:tc>
        <w:tc>
          <w:tcPr>
            <w:tcW w:w="12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780</w:t>
            </w: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$32.89</w:t>
            </w: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Granted</w:t>
            </w:r>
          </w:p>
        </w:tc>
        <w:tc>
          <w:tcPr>
            <w:tcW w:w="12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307</w:t>
            </w: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36.72</w:t>
            </w: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Vested</w:t>
            </w:r>
          </w:p>
        </w:tc>
        <w:tc>
          <w:tcPr>
            <w:tcW w:w="12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(137)</w:t>
            </w: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31.27</w:t>
            </w: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Forfeited</w:t>
            </w:r>
          </w:p>
        </w:tc>
        <w:tc>
          <w:tcPr>
            <w:tcW w:w="12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(31)</w:t>
            </w: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35.55</w:t>
            </w:r>
          </w:p>
        </w:tc>
      </w:tr>
      <w:tr>
        <w:trPr>
          <w:trHeight w:val="196"/>
        </w:trPr>
        <w:tc>
          <w:tcPr>
            <w:tcW w:w="3520" w:type="dxa"/>
            <w:vAlign w:val="bottom"/>
          </w:tcPr>
          <w:p>
            <w:pPr>
              <w:spacing w:after="0"/>
              <w:rPr>
                <w:sz w:val="17"/>
                <w:szCs w:val="17"/>
                <w:color w:val="auto"/>
              </w:rPr>
            </w:pPr>
          </w:p>
        </w:tc>
        <w:tc>
          <w:tcPr>
            <w:tcW w:w="12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r>
        <w:trPr>
          <w:trHeight w:val="196"/>
        </w:trPr>
        <w:tc>
          <w:tcPr>
            <w:tcW w:w="3520" w:type="dxa"/>
            <w:vAlign w:val="bottom"/>
          </w:tcPr>
          <w:p>
            <w:pPr>
              <w:spacing w:after="0"/>
              <w:rPr>
                <w:sz w:val="20"/>
                <w:szCs w:val="20"/>
                <w:color w:val="auto"/>
              </w:rPr>
            </w:pPr>
            <w:r>
              <w:rPr>
                <w:rFonts w:ascii="Courier New" w:cs="Courier New" w:eastAsia="Courier New" w:hAnsi="Courier New"/>
                <w:sz w:val="17"/>
                <w:szCs w:val="17"/>
                <w:color w:val="auto"/>
              </w:rPr>
              <w:t>Outstanding unvested shares as of</w:t>
            </w:r>
          </w:p>
        </w:tc>
        <w:tc>
          <w:tcPr>
            <w:tcW w:w="1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June 30, 2007</w:t>
            </w:r>
          </w:p>
        </w:tc>
        <w:tc>
          <w:tcPr>
            <w:tcW w:w="12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919</w:t>
            </w: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$34.32</w:t>
            </w:r>
          </w:p>
        </w:tc>
      </w:tr>
      <w:tr>
        <w:trPr>
          <w:trHeight w:val="196"/>
        </w:trPr>
        <w:tc>
          <w:tcPr>
            <w:tcW w:w="3520" w:type="dxa"/>
            <w:vAlign w:val="bottom"/>
          </w:tcPr>
          <w:p>
            <w:pPr>
              <w:spacing w:after="0"/>
              <w:rPr>
                <w:sz w:val="17"/>
                <w:szCs w:val="17"/>
                <w:color w:val="auto"/>
              </w:rPr>
            </w:pPr>
          </w:p>
        </w:tc>
        <w:tc>
          <w:tcPr>
            <w:tcW w:w="12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As of June 30, 2007, there was $54,346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On October 1, 2005, the Company adopted FASB Statement No. 123 (revised 2004), "Share-Based Payment," a revision of SFAS No. 123 ("SFAS 123(R)"). SFAS 123(R) requires all equity-based payments to employees, including grants of employee stock options, to be recognized in the income statement based on their fair values. In March 2005, the SEC issued Staff Accounting Bulletin No. 107 ("SAB 107"), which provides supplemental implementation guidance on SFAS 123(R). The Company has applied the provisions of SAB 107 in its adoption of SFAS 123(R).</w:t>
      </w:r>
    </w:p>
    <w:p>
      <w:pPr>
        <w:spacing w:after="0" w:line="199"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Employee equity-based compensation pre-tax expense under SFAS 123(R) for the three and nine months ended June 30, 2007 and 2006 was as follows: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0" w:type="dxa"/>
            <w:vAlign w:val="bottom"/>
          </w:tcPr>
          <w:p>
            <w:pPr>
              <w:spacing w:after="0"/>
              <w:rPr>
                <w:sz w:val="16"/>
                <w:szCs w:val="16"/>
                <w:color w:val="auto"/>
              </w:rPr>
            </w:pPr>
          </w:p>
        </w:tc>
        <w:tc>
          <w:tcPr>
            <w:tcW w:w="226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THREE MONTHS ENDED</w:t>
            </w:r>
          </w:p>
        </w:tc>
        <w:tc>
          <w:tcPr>
            <w:tcW w:w="20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2600" w:type="dxa"/>
            <w:vAlign w:val="bottom"/>
          </w:tcPr>
          <w:p>
            <w:pPr>
              <w:spacing w:after="0"/>
              <w:rPr>
                <w:sz w:val="17"/>
                <w:szCs w:val="17"/>
                <w:color w:val="auto"/>
              </w:rPr>
            </w:pPr>
          </w:p>
        </w:tc>
        <w:tc>
          <w:tcPr>
            <w:tcW w:w="226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260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JUNE 30,</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JUNE 30,</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JUNE 30,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JUNE 30,</w:t>
            </w:r>
          </w:p>
        </w:tc>
      </w:tr>
      <w:tr>
        <w:trPr>
          <w:trHeight w:val="196"/>
        </w:trPr>
        <w:tc>
          <w:tcPr>
            <w:tcW w:w="2600" w:type="dxa"/>
            <w:vAlign w:val="bottom"/>
          </w:tcPr>
          <w:p>
            <w:pPr>
              <w:spacing w:after="0"/>
              <w:rPr>
                <w:sz w:val="17"/>
                <w:szCs w:val="17"/>
                <w:color w:val="auto"/>
              </w:rPr>
            </w:pP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2007</w:t>
            </w:r>
          </w:p>
        </w:tc>
        <w:tc>
          <w:tcPr>
            <w:tcW w:w="11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2006</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2007</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2006</w:t>
            </w:r>
          </w:p>
        </w:tc>
      </w:tr>
      <w:tr>
        <w:trPr>
          <w:trHeight w:val="196"/>
        </w:trPr>
        <w:tc>
          <w:tcPr>
            <w:tcW w:w="260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2600" w:type="dxa"/>
            <w:vAlign w:val="bottom"/>
          </w:tcPr>
          <w:p>
            <w:pPr>
              <w:spacing w:after="0"/>
              <w:rPr>
                <w:sz w:val="20"/>
                <w:szCs w:val="20"/>
                <w:color w:val="auto"/>
              </w:rPr>
            </w:pPr>
            <w:r>
              <w:rPr>
                <w:rFonts w:ascii="Courier New" w:cs="Courier New" w:eastAsia="Courier New" w:hAnsi="Courier New"/>
                <w:sz w:val="17"/>
                <w:szCs w:val="17"/>
                <w:color w:val="auto"/>
              </w:rPr>
              <w:t>Cost of service</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$ 6,587</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$ 4,165</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$18,914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$12,237</w:t>
            </w:r>
          </w:p>
        </w:tc>
      </w:tr>
      <w:tr>
        <w:trPr>
          <w:trHeight w:val="196"/>
        </w:trPr>
        <w:tc>
          <w:tcPr>
            <w:tcW w:w="2600" w:type="dxa"/>
            <w:vAlign w:val="bottom"/>
          </w:tcPr>
          <w:p>
            <w:pPr>
              <w:spacing w:after="0"/>
              <w:rPr>
                <w:sz w:val="20"/>
                <w:szCs w:val="20"/>
                <w:color w:val="auto"/>
              </w:rPr>
            </w:pPr>
            <w:r>
              <w:rPr>
                <w:rFonts w:ascii="Courier New" w:cs="Courier New" w:eastAsia="Courier New" w:hAnsi="Courier New"/>
                <w:sz w:val="17"/>
                <w:szCs w:val="17"/>
                <w:color w:val="auto"/>
              </w:rPr>
              <w:t>Research and development</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1,734</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1,232</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5,099</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3,041</w:t>
            </w:r>
          </w:p>
        </w:tc>
      </w:tr>
      <w:tr>
        <w:trPr>
          <w:trHeight w:val="196"/>
        </w:trPr>
        <w:tc>
          <w:tcPr>
            <w:tcW w:w="2600" w:type="dxa"/>
            <w:vAlign w:val="bottom"/>
          </w:tcPr>
          <w:p>
            <w:pPr>
              <w:spacing w:after="0"/>
              <w:rPr>
                <w:sz w:val="20"/>
                <w:szCs w:val="20"/>
                <w:color w:val="auto"/>
              </w:rPr>
            </w:pPr>
            <w:r>
              <w:rPr>
                <w:rFonts w:ascii="Courier New" w:cs="Courier New" w:eastAsia="Courier New" w:hAnsi="Courier New"/>
                <w:sz w:val="17"/>
                <w:szCs w:val="17"/>
                <w:color w:val="auto"/>
              </w:rPr>
              <w:t>Selling, general and</w:t>
            </w: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2600" w:type="dxa"/>
            <w:vAlign w:val="bottom"/>
          </w:tcPr>
          <w:p>
            <w:pPr>
              <w:ind w:left="320"/>
              <w:spacing w:after="0"/>
              <w:rPr>
                <w:sz w:val="20"/>
                <w:szCs w:val="20"/>
                <w:color w:val="auto"/>
              </w:rPr>
            </w:pPr>
            <w:r>
              <w:rPr>
                <w:rFonts w:ascii="Courier New" w:cs="Courier New" w:eastAsia="Courier New" w:hAnsi="Courier New"/>
                <w:sz w:val="17"/>
                <w:szCs w:val="17"/>
                <w:color w:val="auto"/>
              </w:rPr>
              <w:t>administrative</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4,358</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5,551</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15,957</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16,670</w:t>
            </w:r>
          </w:p>
        </w:tc>
      </w:tr>
      <w:tr>
        <w:trPr>
          <w:trHeight w:val="196"/>
        </w:trPr>
        <w:tc>
          <w:tcPr>
            <w:tcW w:w="260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260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$12,679</w:t>
            </w:r>
          </w:p>
        </w:tc>
        <w:tc>
          <w:tcPr>
            <w:tcW w:w="11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$10,948</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$39,970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$31,948</w:t>
            </w:r>
          </w:p>
        </w:tc>
      </w:tr>
      <w:tr>
        <w:trPr>
          <w:trHeight w:val="785"/>
        </w:trPr>
        <w:tc>
          <w:tcPr>
            <w:tcW w:w="2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13</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703" w:right="1440" w:bottom="1440" w:gutter="0" w:footer="0" w:header="0"/>
        </w:sectPr>
      </w:pPr>
    </w:p>
    <w:bookmarkStart w:id="14" w:name="page15"/>
    <w:bookmarkEnd w:id="14"/>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201"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The total income tax benefit recognized in the income statement for stock-based compensation (including restricted shares) for the three months ended June 30, 2007 and 2006 was $2,161 and $1,281, respectively, and for the nine months ended June 30, 2007 and 2006 was $6,467 and $3,815, respectively.</w:t>
      </w:r>
    </w:p>
    <w:p>
      <w:pPr>
        <w:spacing w:after="0" w:line="198"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The Company selected the Black-Scholes option pricing model as the most appropriate fair value method for its equity-based awards. The Black-Scholes option pricing model assumptions used are noted in the following table (all in weighted averages for options granted during the period):</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20" w:type="dxa"/>
            <w:vAlign w:val="bottom"/>
          </w:tcPr>
          <w:p>
            <w:pPr>
              <w:spacing w:after="0"/>
              <w:rPr>
                <w:sz w:val="16"/>
                <w:szCs w:val="16"/>
                <w:color w:val="auto"/>
              </w:rPr>
            </w:pPr>
          </w:p>
        </w:tc>
        <w:tc>
          <w:tcPr>
            <w:tcW w:w="1900" w:type="dxa"/>
            <w:vAlign w:val="bottom"/>
            <w:gridSpan w:val="2"/>
          </w:tcPr>
          <w:p>
            <w:pPr>
              <w:jc w:val="right"/>
              <w:ind w:right="635"/>
              <w:spacing w:after="0"/>
              <w:rPr>
                <w:sz w:val="20"/>
                <w:szCs w:val="20"/>
                <w:color w:val="auto"/>
              </w:rPr>
            </w:pPr>
            <w:r>
              <w:rPr>
                <w:rFonts w:ascii="Courier New" w:cs="Courier New" w:eastAsia="Courier New" w:hAnsi="Courier New"/>
                <w:sz w:val="17"/>
                <w:szCs w:val="17"/>
                <w:color w:val="auto"/>
              </w:rPr>
              <w:t>THREE</w:t>
            </w:r>
          </w:p>
        </w:tc>
        <w:tc>
          <w:tcPr>
            <w:tcW w:w="172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NINE</w:t>
            </w:r>
          </w:p>
        </w:tc>
      </w:tr>
      <w:tr>
        <w:trPr>
          <w:trHeight w:val="196"/>
        </w:trPr>
        <w:tc>
          <w:tcPr>
            <w:tcW w:w="3620" w:type="dxa"/>
            <w:vAlign w:val="bottom"/>
          </w:tcPr>
          <w:p>
            <w:pPr>
              <w:spacing w:after="0"/>
              <w:rPr>
                <w:sz w:val="17"/>
                <w:szCs w:val="17"/>
                <w:color w:val="auto"/>
              </w:rPr>
            </w:pPr>
          </w:p>
        </w:tc>
        <w:tc>
          <w:tcPr>
            <w:tcW w:w="190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MONTHS ENDED</w:t>
            </w:r>
          </w:p>
        </w:tc>
        <w:tc>
          <w:tcPr>
            <w:tcW w:w="17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MONTHS ENDED</w:t>
            </w:r>
          </w:p>
        </w:tc>
      </w:tr>
      <w:tr>
        <w:trPr>
          <w:trHeight w:val="196"/>
        </w:trPr>
        <w:tc>
          <w:tcPr>
            <w:tcW w:w="3620" w:type="dxa"/>
            <w:vAlign w:val="bottom"/>
          </w:tcPr>
          <w:p>
            <w:pPr>
              <w:spacing w:after="0"/>
              <w:rPr>
                <w:sz w:val="17"/>
                <w:szCs w:val="17"/>
                <w:color w:val="auto"/>
              </w:rPr>
            </w:pPr>
          </w:p>
        </w:tc>
        <w:tc>
          <w:tcPr>
            <w:tcW w:w="1900" w:type="dxa"/>
            <w:vAlign w:val="bottom"/>
            <w:gridSpan w:val="2"/>
          </w:tcPr>
          <w:p>
            <w:pPr>
              <w:jc w:val="right"/>
              <w:ind w:right="435"/>
              <w:spacing w:after="0"/>
              <w:rPr>
                <w:sz w:val="20"/>
                <w:szCs w:val="20"/>
                <w:color w:val="auto"/>
              </w:rPr>
            </w:pPr>
            <w:r>
              <w:rPr>
                <w:rFonts w:ascii="Courier New" w:cs="Courier New" w:eastAsia="Courier New" w:hAnsi="Courier New"/>
                <w:sz w:val="17"/>
                <w:szCs w:val="17"/>
                <w:color w:val="auto"/>
              </w:rPr>
              <w:t>JUNE 30,</w:t>
            </w:r>
          </w:p>
        </w:tc>
        <w:tc>
          <w:tcPr>
            <w:tcW w:w="17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JUNE 30,</w:t>
            </w:r>
          </w:p>
        </w:tc>
      </w:tr>
      <w:tr>
        <w:trPr>
          <w:trHeight w:val="196"/>
        </w:trPr>
        <w:tc>
          <w:tcPr>
            <w:tcW w:w="3620" w:type="dxa"/>
            <w:vAlign w:val="bottom"/>
          </w:tcPr>
          <w:p>
            <w:pPr>
              <w:spacing w:after="0"/>
              <w:rPr>
                <w:sz w:val="17"/>
                <w:szCs w:val="17"/>
                <w:color w:val="auto"/>
              </w:rPr>
            </w:pPr>
          </w:p>
        </w:tc>
        <w:tc>
          <w:tcPr>
            <w:tcW w:w="190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3620" w:type="dxa"/>
            <w:vAlign w:val="bottom"/>
          </w:tcPr>
          <w:p>
            <w:pPr>
              <w:spacing w:after="0"/>
              <w:rPr>
                <w:sz w:val="17"/>
                <w:szCs w:val="17"/>
                <w:color w:val="auto"/>
              </w:rPr>
            </w:pPr>
          </w:p>
        </w:tc>
        <w:tc>
          <w:tcPr>
            <w:tcW w:w="9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2007</w:t>
            </w:r>
          </w:p>
        </w:tc>
        <w:tc>
          <w:tcPr>
            <w:tcW w:w="9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2006</w:t>
            </w:r>
          </w:p>
        </w:tc>
        <w:tc>
          <w:tcPr>
            <w:tcW w:w="9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2007</w:t>
            </w:r>
          </w:p>
        </w:tc>
        <w:tc>
          <w:tcPr>
            <w:tcW w:w="8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2006</w:t>
            </w:r>
          </w:p>
        </w:tc>
      </w:tr>
      <w:tr>
        <w:trPr>
          <w:trHeight w:val="196"/>
        </w:trPr>
        <w:tc>
          <w:tcPr>
            <w:tcW w:w="362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3620" w:type="dxa"/>
            <w:vAlign w:val="bottom"/>
          </w:tcPr>
          <w:p>
            <w:pPr>
              <w:spacing w:after="0"/>
              <w:rPr>
                <w:sz w:val="20"/>
                <w:szCs w:val="20"/>
                <w:color w:val="auto"/>
              </w:rPr>
            </w:pPr>
            <w:r>
              <w:rPr>
                <w:rFonts w:ascii="Courier New" w:cs="Courier New" w:eastAsia="Courier New" w:hAnsi="Courier New"/>
                <w:sz w:val="17"/>
                <w:szCs w:val="17"/>
                <w:color w:val="auto"/>
              </w:rPr>
              <w:t>Risk-free interest rate (1)</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4.67%</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5.00%</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4.61%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4.54%</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Expected life of stock options (2)</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4.50</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3.74</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4.54</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4.38</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Expected volatility (3)</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0.29</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0.30</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0.315</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0.327</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Expected dividend yield (4)</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None</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None</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None</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None</w:t>
            </w:r>
          </w:p>
        </w:tc>
      </w:tr>
      <w:tr>
        <w:trPr>
          <w:trHeight w:val="392"/>
        </w:trPr>
        <w:tc>
          <w:tcPr>
            <w:tcW w:w="3620" w:type="dxa"/>
            <w:vAlign w:val="bottom"/>
          </w:tcPr>
          <w:p>
            <w:pPr>
              <w:spacing w:after="0"/>
              <w:rPr>
                <w:sz w:val="20"/>
                <w:szCs w:val="20"/>
                <w:color w:val="auto"/>
              </w:rPr>
            </w:pPr>
            <w:r>
              <w:rPr>
                <w:rFonts w:ascii="Courier New" w:cs="Courier New" w:eastAsia="Courier New" w:hAnsi="Courier New"/>
                <w:sz w:val="17"/>
                <w:szCs w:val="17"/>
                <w:color w:val="auto"/>
              </w:rPr>
              <w:t>Fair value per option</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$12.14</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$22.75</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$12.72</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$11.66</w:t>
            </w:r>
          </w:p>
        </w:tc>
      </w:tr>
    </w:tbl>
    <w:p>
      <w:pPr>
        <w:spacing w:after="0" w:line="397" w:lineRule="exact"/>
        <w:rPr>
          <w:sz w:val="20"/>
          <w:szCs w:val="20"/>
          <w:color w:val="auto"/>
        </w:rPr>
      </w:pPr>
    </w:p>
    <w:p>
      <w:pPr>
        <w:ind w:left="520" w:right="2059" w:hanging="515"/>
        <w:spacing w:after="0" w:line="243" w:lineRule="auto"/>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Risk-free interest rate is based upon U.S. Treasury yield curve appropriate for the term of the Company's employee stock options.</w:t>
      </w:r>
    </w:p>
    <w:p>
      <w:pPr>
        <w:spacing w:after="0" w:line="197" w:lineRule="exact"/>
        <w:rPr>
          <w:rFonts w:ascii="Courier New" w:cs="Courier New" w:eastAsia="Courier New" w:hAnsi="Courier New"/>
          <w:sz w:val="17"/>
          <w:szCs w:val="17"/>
          <w:color w:val="auto"/>
        </w:rPr>
      </w:pPr>
    </w:p>
    <w:p>
      <w:pPr>
        <w:ind w:left="520" w:hanging="515"/>
        <w:spacing w:after="0"/>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Expected life of stock options is based upon historical experience.</w:t>
      </w:r>
    </w:p>
    <w:p>
      <w:pPr>
        <w:spacing w:after="0" w:line="200" w:lineRule="exact"/>
        <w:rPr>
          <w:rFonts w:ascii="Courier New" w:cs="Courier New" w:eastAsia="Courier New" w:hAnsi="Courier New"/>
          <w:sz w:val="17"/>
          <w:szCs w:val="17"/>
          <w:color w:val="auto"/>
        </w:rPr>
      </w:pPr>
    </w:p>
    <w:p>
      <w:pPr>
        <w:ind w:left="520" w:right="2159" w:hanging="515"/>
        <w:spacing w:after="0" w:line="243" w:lineRule="auto"/>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Expected volatility is based on a combination of implied volatility of the Company's traded options and historical stock price volatility ("blended volatility").</w:t>
      </w:r>
    </w:p>
    <w:p>
      <w:pPr>
        <w:spacing w:after="0" w:line="199" w:lineRule="exact"/>
        <w:rPr>
          <w:rFonts w:ascii="Courier New" w:cs="Courier New" w:eastAsia="Courier New" w:hAnsi="Courier New"/>
          <w:sz w:val="17"/>
          <w:szCs w:val="17"/>
          <w:color w:val="auto"/>
        </w:rPr>
      </w:pPr>
    </w:p>
    <w:p>
      <w:pPr>
        <w:ind w:left="520" w:right="2759" w:hanging="515"/>
        <w:spacing w:after="0" w:line="243" w:lineRule="auto"/>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Expected dividend yield is based on the Company's history and future expectation of dividend payouts.</w:t>
      </w:r>
    </w:p>
    <w:p>
      <w:pPr>
        <w:spacing w:after="0" w:line="199" w:lineRule="exact"/>
        <w:rPr>
          <w:sz w:val="20"/>
          <w:szCs w:val="20"/>
          <w:color w:val="auto"/>
        </w:rPr>
      </w:pPr>
    </w:p>
    <w:p>
      <w:pPr>
        <w:jc w:val="both"/>
        <w:ind w:right="2259" w:firstLine="510"/>
        <w:spacing w:after="0" w:line="243" w:lineRule="auto"/>
        <w:rPr>
          <w:sz w:val="20"/>
          <w:szCs w:val="20"/>
          <w:color w:val="auto"/>
        </w:rPr>
      </w:pPr>
      <w:r>
        <w:rPr>
          <w:rFonts w:ascii="Courier New" w:cs="Courier New" w:eastAsia="Courier New" w:hAnsi="Courier New"/>
          <w:sz w:val="17"/>
          <w:szCs w:val="17"/>
          <w:color w:val="auto"/>
        </w:rPr>
        <w:t>Equity-based compensation recognized is reduced for estimated forfeitures and revised, if necessary, in subsequent periods if actual forfeitures differ from those estimates.</w:t>
      </w:r>
    </w:p>
    <w:p>
      <w:pPr>
        <w:spacing w:after="0" w:line="199" w:lineRule="exact"/>
        <w:rPr>
          <w:sz w:val="20"/>
          <w:szCs w:val="20"/>
          <w:color w:val="auto"/>
        </w:rPr>
      </w:pPr>
    </w:p>
    <w:p>
      <w:pPr>
        <w:ind w:left="520" w:hanging="515"/>
        <w:spacing w:after="0"/>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OPERATIONAL EFFICIENCY AND COST REDUCTION PROGRAMS</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In the quarter ended March 31, 2007, the Company commenced a series of measures designed to align its operational structure to its expected future growth and to improve efficiency. As part of this plan, the Company recorded a charge of $6,011, consisting primarily of employee separation costs in connection with the termination of the employment of software and information technology specialists and administrative professionals at various locations around the world and for facility related costs. Approximately $4,411 of the total charge had been paid in cash as of June 30, 2007. The facility related costs are expected to be paid through May 2013, and the remaining separation costs are expected to be paid by September 30, 2007.</w:t>
      </w:r>
    </w:p>
    <w:p>
      <w:pPr>
        <w:spacing w:after="0" w:line="200"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Each of these expenses related to our operational efficiency and cost reduction program is included in restructuring charges and in-process research and development and other.</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3" w:right="1440" w:bottom="1440" w:gutter="0" w:footer="0" w:header="0"/>
        </w:sectPr>
      </w:pPr>
    </w:p>
    <w:bookmarkStart w:id="15" w:name="page16"/>
    <w:bookmarkEnd w:id="15"/>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201"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The restructuring accrual for this cost reduction program is comprised of the following as of June 30, 2007:</w:t>
      </w:r>
    </w:p>
    <w:p>
      <w:pPr>
        <w:spacing w:after="0" w:line="200" w:lineRule="exact"/>
        <w:rPr>
          <w:sz w:val="20"/>
          <w:szCs w:val="20"/>
          <w:color w:val="auto"/>
        </w:rPr>
      </w:pPr>
    </w:p>
    <w:p>
      <w:pPr>
        <w:spacing w:after="0" w:line="39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7"/>
          <w:szCs w:val="17"/>
          <w:color w:val="auto"/>
        </w:rPr>
        <w:t>EMPLOYEE</w:t>
      </w:r>
    </w:p>
    <w:p>
      <w:pPr>
        <w:spacing w:after="0" w:line="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7"/>
          <w:szCs w:val="17"/>
          <w:color w:val="auto"/>
        </w:rPr>
        <w:t>SEPARATION</w:t>
      </w:r>
    </w:p>
    <w:p>
      <w:pPr>
        <w:sectPr>
          <w:pgSz w:w="11900" w:h="16838" w:orient="portrait"/>
          <w:cols w:equalWidth="0" w:num="1">
            <w:col w:w="10219"/>
          </w:cols>
          <w:pgMar w:left="240" w:top="703" w:right="1440" w:bottom="1440" w:gutter="0" w:footer="0" w:header="0"/>
        </w:sectPr>
      </w:pP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COSTS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both"/>
        <w:spacing w:after="0" w:line="273" w:lineRule="auto"/>
        <w:rPr>
          <w:sz w:val="20"/>
          <w:szCs w:val="20"/>
          <w:color w:val="auto"/>
        </w:rPr>
      </w:pPr>
      <w:r>
        <w:rPr>
          <w:rFonts w:ascii="Courier New" w:cs="Courier New" w:eastAsia="Courier New" w:hAnsi="Courier New"/>
          <w:sz w:val="16"/>
          <w:szCs w:val="16"/>
          <w:color w:val="auto"/>
        </w:rPr>
        <w:t>FACILITIES ----------</w:t>
      </w:r>
    </w:p>
    <w:p>
      <w:pPr>
        <w:spacing w:after="0" w:line="20" w:lineRule="exact"/>
        <w:rPr>
          <w:sz w:val="20"/>
          <w:szCs w:val="20"/>
          <w:color w:val="auto"/>
        </w:rPr>
      </w:pPr>
      <w:r>
        <w:rPr>
          <w:sz w:val="20"/>
          <w:szCs w:val="20"/>
          <w:color w:val="auto"/>
        </w:rPr>
        <w:br w:type="column"/>
      </w:r>
    </w:p>
    <w:p>
      <w:pPr>
        <w:jc w:val="center"/>
        <w:ind w:right="3779"/>
        <w:spacing w:after="0"/>
        <w:rPr>
          <w:sz w:val="20"/>
          <w:szCs w:val="20"/>
          <w:color w:val="auto"/>
        </w:rPr>
      </w:pPr>
      <w:r>
        <w:rPr>
          <w:rFonts w:ascii="Courier New" w:cs="Courier New" w:eastAsia="Courier New" w:hAnsi="Courier New"/>
          <w:sz w:val="17"/>
          <w:szCs w:val="17"/>
          <w:color w:val="auto"/>
        </w:rPr>
        <w:t>TOTAL</w:t>
      </w:r>
    </w:p>
    <w:p>
      <w:pPr>
        <w:spacing w:after="0" w:line="4"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0"/>
          <w:szCs w:val="20"/>
          <w:color w:val="auto"/>
        </w:rPr>
      </w:pPr>
    </w:p>
    <w:p>
      <w:pPr>
        <w:sectPr>
          <w:pgSz w:w="11900" w:h="16838" w:orient="portrait"/>
          <w:cols w:equalWidth="0" w:num="3">
            <w:col w:w="4080" w:space="320"/>
            <w:col w:w="1020" w:space="300"/>
            <w:col w:w="4499"/>
          </w:cols>
          <w:pgMar w:left="240" w:top="70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Balance as of January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ectPr>
          <w:pgSz w:w="11900" w:h="16838" w:orient="portrait"/>
          <w:cols w:equalWidth="0" w:num="7">
            <w:col w:w="2460" w:space="700"/>
            <w:col w:w="100" w:space="420"/>
            <w:col w:w="200" w:space="720"/>
            <w:col w:w="100" w:space="300"/>
            <w:col w:w="200" w:space="520"/>
            <w:col w:w="100" w:space="400"/>
            <w:col w:w="3999"/>
          </w:cols>
          <w:pgMar w:left="240" w:top="703" w:right="1440" w:bottom="1440" w:gutter="0" w:footer="0" w:header="0"/>
          <w:type w:val="continuous"/>
        </w:sectPr>
      </w:pPr>
    </w:p>
    <w:p>
      <w:pPr>
        <w:ind w:left="320"/>
        <w:spacing w:after="0"/>
        <w:rPr>
          <w:sz w:val="20"/>
          <w:szCs w:val="20"/>
          <w:color w:val="auto"/>
        </w:rPr>
      </w:pPr>
      <w:r>
        <w:rPr>
          <w:rFonts w:ascii="Courier New" w:cs="Courier New" w:eastAsia="Courier New" w:hAnsi="Courier New"/>
          <w:sz w:val="17"/>
          <w:szCs w:val="17"/>
          <w:color w:val="auto"/>
        </w:rPr>
        <w:t>2007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Charge in second quarter of</w:t>
      </w:r>
    </w:p>
    <w:p>
      <w:pPr>
        <w:sectPr>
          <w:pgSz w:w="11900" w:h="16838" w:orient="portrait"/>
          <w:cols w:equalWidth="0" w:num="1">
            <w:col w:w="10219"/>
          </w:cols>
          <w:pgMar w:left="240" w:top="703" w:right="1440" w:bottom="1440" w:gutter="0" w:footer="0" w:header="0"/>
          <w:type w:val="continuous"/>
        </w:sectPr>
      </w:pP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fiscal 2007</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Cash payments</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Non-cash</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Balance as of June 30, 2007</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7"/>
          <w:szCs w:val="17"/>
          <w:color w:val="auto"/>
        </w:rPr>
        <w:t>4,935</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(4,317)</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(151)</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467</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7"/>
          <w:szCs w:val="17"/>
          <w:color w:val="auto"/>
        </w:rPr>
        <w:t>1,076</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(94)</w:t>
      </w:r>
    </w:p>
    <w:p>
      <w:pPr>
        <w:spacing w:after="0" w:line="1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(48)</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7"/>
          <w:szCs w:val="17"/>
          <w:color w:val="auto"/>
        </w:rPr>
        <w:t>$</w:t>
        <w:tab/>
        <w:t>934</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7"/>
          <w:szCs w:val="17"/>
          <w:color w:val="auto"/>
        </w:rPr>
        <w:t>6,011</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(4,411)</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$ 1,401</w:t>
      </w:r>
    </w:p>
    <w:p>
      <w:pPr>
        <w:spacing w:after="0" w:line="200" w:lineRule="exact"/>
        <w:rPr>
          <w:sz w:val="20"/>
          <w:szCs w:val="20"/>
          <w:color w:val="auto"/>
        </w:rPr>
      </w:pPr>
    </w:p>
    <w:p>
      <w:pPr>
        <w:sectPr>
          <w:pgSz w:w="11900" w:h="16838" w:orient="portrait"/>
          <w:cols w:equalWidth="0" w:num="4">
            <w:col w:w="2760" w:space="400"/>
            <w:col w:w="820" w:space="620"/>
            <w:col w:w="700" w:space="420"/>
            <w:col w:w="4499"/>
          </w:cols>
          <w:pgMar w:left="240" w:top="703" w:right="1440" w:bottom="1440" w:gutter="0" w:footer="0" w:header="0"/>
          <w:type w:val="continuous"/>
        </w:sectPr>
      </w:pPr>
    </w:p>
    <w:p>
      <w:pPr>
        <w:spacing w:after="0" w:line="19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connection with the acquisition of DST Innovis, Inc. and DST Interactive, Inc (collectively, "DST Innovis") in fiscal 2005, the Company commenced integration activities with respect to the DST Innovis business based on a plan to exit specific research and development activities and to terminate employees associated with these activities. The liabilities associated with this plan, which were recorded as part of the purchase accounting, are presented in the following table:</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20" w:type="dxa"/>
            <w:vAlign w:val="bottom"/>
          </w:tcPr>
          <w:p>
            <w:pPr>
              <w:spacing w:after="0"/>
              <w:rPr>
                <w:sz w:val="16"/>
                <w:szCs w:val="16"/>
                <w:color w:val="auto"/>
              </w:rPr>
            </w:pPr>
          </w:p>
        </w:tc>
        <w:tc>
          <w:tcPr>
            <w:tcW w:w="14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CONTRACTUAL</w:t>
            </w: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6"/>
        </w:trPr>
        <w:tc>
          <w:tcPr>
            <w:tcW w:w="3120" w:type="dxa"/>
            <w:vAlign w:val="bottom"/>
          </w:tcPr>
          <w:p>
            <w:pPr>
              <w:spacing w:after="0"/>
              <w:rPr>
                <w:sz w:val="17"/>
                <w:szCs w:val="17"/>
                <w:color w:val="auto"/>
              </w:rPr>
            </w:pPr>
          </w:p>
        </w:tc>
        <w:tc>
          <w:tcPr>
            <w:tcW w:w="14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OBLIGATIONS</w:t>
            </w:r>
          </w:p>
        </w:tc>
        <w:tc>
          <w:tcPr>
            <w:tcW w:w="8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OTHER</w:t>
            </w:r>
          </w:p>
        </w:tc>
        <w:tc>
          <w:tcPr>
            <w:tcW w:w="9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TOTAL</w:t>
            </w:r>
          </w:p>
        </w:tc>
      </w:tr>
      <w:tr>
        <w:trPr>
          <w:trHeight w:val="196"/>
        </w:trPr>
        <w:tc>
          <w:tcPr>
            <w:tcW w:w="3120" w:type="dxa"/>
            <w:vAlign w:val="bottom"/>
          </w:tcPr>
          <w:p>
            <w:pPr>
              <w:spacing w:after="0"/>
              <w:rPr>
                <w:sz w:val="17"/>
                <w:szCs w:val="17"/>
                <w:color w:val="auto"/>
              </w:rPr>
            </w:pPr>
          </w:p>
        </w:tc>
        <w:tc>
          <w:tcPr>
            <w:tcW w:w="14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3120" w:type="dxa"/>
            <w:vAlign w:val="bottom"/>
          </w:tcPr>
          <w:p>
            <w:pPr>
              <w:spacing w:after="0"/>
              <w:rPr>
                <w:sz w:val="20"/>
                <w:szCs w:val="20"/>
                <w:color w:val="auto"/>
              </w:rPr>
            </w:pPr>
            <w:r>
              <w:rPr>
                <w:rFonts w:ascii="Courier New" w:cs="Courier New" w:eastAsia="Courier New" w:hAnsi="Courier New"/>
                <w:sz w:val="17"/>
                <w:szCs w:val="17"/>
                <w:color w:val="auto"/>
              </w:rPr>
              <w:t>Balance as of October 1, 2006</w:t>
            </w:r>
          </w:p>
        </w:tc>
        <w:tc>
          <w:tcPr>
            <w:tcW w:w="14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$ 6,875</w:t>
            </w:r>
          </w:p>
        </w:tc>
        <w:tc>
          <w:tcPr>
            <w:tcW w:w="8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$112</w:t>
            </w: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$ 6,987</w:t>
            </w:r>
          </w:p>
        </w:tc>
      </w:tr>
      <w:tr>
        <w:trPr>
          <w:trHeight w:val="196"/>
        </w:trPr>
        <w:tc>
          <w:tcPr>
            <w:tcW w:w="3120" w:type="dxa"/>
            <w:vAlign w:val="bottom"/>
          </w:tcPr>
          <w:p>
            <w:pPr>
              <w:spacing w:after="0"/>
              <w:rPr>
                <w:sz w:val="20"/>
                <w:szCs w:val="20"/>
                <w:color w:val="auto"/>
              </w:rPr>
            </w:pPr>
            <w:r>
              <w:rPr>
                <w:rFonts w:ascii="Courier New" w:cs="Courier New" w:eastAsia="Courier New" w:hAnsi="Courier New"/>
                <w:sz w:val="17"/>
                <w:szCs w:val="17"/>
                <w:color w:val="auto"/>
              </w:rPr>
              <w:t>Cash payments</w:t>
            </w:r>
          </w:p>
        </w:tc>
        <w:tc>
          <w:tcPr>
            <w:tcW w:w="14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(1,869)</w:t>
            </w:r>
          </w:p>
        </w:tc>
        <w:tc>
          <w:tcPr>
            <w:tcW w:w="8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(1,869)</w:t>
            </w:r>
          </w:p>
        </w:tc>
      </w:tr>
      <w:tr>
        <w:trPr>
          <w:trHeight w:val="196"/>
        </w:trPr>
        <w:tc>
          <w:tcPr>
            <w:tcW w:w="3120" w:type="dxa"/>
            <w:vAlign w:val="bottom"/>
          </w:tcPr>
          <w:p>
            <w:pPr>
              <w:spacing w:after="0"/>
              <w:rPr>
                <w:sz w:val="17"/>
                <w:szCs w:val="17"/>
                <w:color w:val="auto"/>
              </w:rPr>
            </w:pPr>
          </w:p>
        </w:tc>
        <w:tc>
          <w:tcPr>
            <w:tcW w:w="14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3120" w:type="dxa"/>
            <w:vAlign w:val="bottom"/>
          </w:tcPr>
          <w:p>
            <w:pPr>
              <w:spacing w:after="0"/>
              <w:rPr>
                <w:sz w:val="20"/>
                <w:szCs w:val="20"/>
                <w:color w:val="auto"/>
              </w:rPr>
            </w:pPr>
            <w:r>
              <w:rPr>
                <w:rFonts w:ascii="Courier New" w:cs="Courier New" w:eastAsia="Courier New" w:hAnsi="Courier New"/>
                <w:sz w:val="17"/>
                <w:szCs w:val="17"/>
                <w:color w:val="auto"/>
              </w:rPr>
              <w:t>Balance as of June 30, 2007</w:t>
            </w:r>
          </w:p>
        </w:tc>
        <w:tc>
          <w:tcPr>
            <w:tcW w:w="14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$ 5,006</w:t>
            </w:r>
          </w:p>
        </w:tc>
        <w:tc>
          <w:tcPr>
            <w:tcW w:w="8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$112</w:t>
            </w: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$ 5,118</w:t>
            </w:r>
          </w:p>
        </w:tc>
      </w:tr>
      <w:tr>
        <w:trPr>
          <w:trHeight w:val="196"/>
        </w:trPr>
        <w:tc>
          <w:tcPr>
            <w:tcW w:w="3120" w:type="dxa"/>
            <w:vAlign w:val="bottom"/>
          </w:tcPr>
          <w:p>
            <w:pPr>
              <w:spacing w:after="0"/>
              <w:rPr>
                <w:sz w:val="17"/>
                <w:szCs w:val="17"/>
                <w:color w:val="auto"/>
              </w:rPr>
            </w:pPr>
          </w:p>
        </w:tc>
        <w:tc>
          <w:tcPr>
            <w:tcW w:w="14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left="520" w:right="7979" w:hanging="515"/>
        <w:spacing w:after="0" w:line="519" w:lineRule="auto"/>
        <w:tabs>
          <w:tab w:leader="none" w:pos="5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 Legal Proceedings</w:t>
      </w:r>
    </w:p>
    <w:p>
      <w:pPr>
        <w:spacing w:after="0" w:line="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generally sells its products with a limited warranty for a period of 90 days. The Company's policy is to account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2007 and 2006.</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3"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ITEM 2. OPERATING AND FINANCIAL REVIEW AND PROSPECTS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 LOOKING STATEMENTS</w:t>
      </w:r>
    </w:p>
    <w:p>
      <w:pPr>
        <w:spacing w:after="0" w:line="201" w:lineRule="exact"/>
        <w:rPr>
          <w:sz w:val="20"/>
          <w:szCs w:val="20"/>
          <w:color w:val="auto"/>
        </w:rPr>
      </w:pPr>
    </w:p>
    <w:p>
      <w:pPr>
        <w:ind w:right="2059" w:firstLine="510"/>
        <w:spacing w:after="0" w:line="260" w:lineRule="auto"/>
        <w:rPr>
          <w:sz w:val="20"/>
          <w:szCs w:val="20"/>
          <w:color w:val="auto"/>
        </w:rPr>
      </w:pPr>
      <w:r>
        <w:rPr>
          <w:rFonts w:ascii="Courier New" w:cs="Courier New" w:eastAsia="Courier New" w:hAnsi="Courier New"/>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94"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2006 that we filed with the United States Securities and Exchange Commission ("SEC").</w:t>
      </w: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OVERVIEW OF BUSINESS AND TREND INFORMATION</w:t>
      </w:r>
    </w:p>
    <w:p>
      <w:pPr>
        <w:spacing w:after="0" w:line="201" w:lineRule="exact"/>
        <w:rPr>
          <w:sz w:val="20"/>
          <w:szCs w:val="20"/>
          <w:color w:val="auto"/>
        </w:rPr>
      </w:pPr>
    </w:p>
    <w:p>
      <w:pPr>
        <w:ind w:right="2359" w:firstLine="1020"/>
        <w:spacing w:after="0" w:line="244" w:lineRule="auto"/>
        <w:rPr>
          <w:sz w:val="20"/>
          <w:szCs w:val="20"/>
          <w:color w:val="auto"/>
        </w:rPr>
      </w:pPr>
      <w:r>
        <w:rPr>
          <w:rFonts w:ascii="Courier New" w:cs="Courier New" w:eastAsia="Courier New" w:hAnsi="Courier New"/>
          <w:sz w:val="17"/>
          <w:szCs w:val="17"/>
          <w:color w:val="auto"/>
        </w:rPr>
        <w:t>Amdocs is a leading provider of software and services for communications service providers. Our market focus is primarily tier one and tier two companies in the communications industry, including leading wireline and wireless telecommunications, broadband cable and satellite companies.</w:t>
      </w:r>
    </w:p>
    <w:p>
      <w:pPr>
        <w:spacing w:after="0" w:line="198"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We develop, implement and manage software and services associated with the business support systems and operations support systems (BSS and OSS) that enable service providers to deliver a better customer experience, by, for example, introducing products quickly, understanding their customers more deeply, processing orders efficiently and solving problems productively. We refer to these systems as Customer Experience Systems.</w:t>
      </w:r>
    </w:p>
    <w:p>
      <w:pPr>
        <w:spacing w:after="0" w:line="199"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We believe the demand for our Customer Experience Systems is primarily driven by the need for communications service providers to achieve a business strategy we call integrated customer management. The goal of this strategy is to transform service providers' systems so they can deliver a better, integrated, and differentiated customer experience. We believe we comprehensively address these communications service providers' needs, offering a market-defining software portfolio and services that extend from strategy to execution. Although the pace at which service providers were embarking on transformation projects at the beginning of the year was not as we expected , we continue to regard these projects as a long term industry trend that will continue to drive the demand for our Customer Experience Systems.</w:t>
      </w:r>
    </w:p>
    <w:p>
      <w:pPr>
        <w:spacing w:after="0" w:line="201" w:lineRule="exact"/>
        <w:rPr>
          <w:sz w:val="20"/>
          <w:szCs w:val="20"/>
          <w:color w:val="auto"/>
        </w:rPr>
      </w:pPr>
    </w:p>
    <w:p>
      <w:pPr>
        <w:ind w:right="2059" w:firstLine="1020"/>
        <w:spacing w:after="0" w:line="261" w:lineRule="auto"/>
        <w:rPr>
          <w:sz w:val="20"/>
          <w:szCs w:val="20"/>
          <w:color w:val="auto"/>
        </w:rPr>
      </w:pPr>
      <w:r>
        <w:rPr>
          <w:rFonts w:ascii="Courier New" w:cs="Courier New" w:eastAsia="Courier New" w:hAnsi="Courier New"/>
          <w:sz w:val="16"/>
          <w:szCs w:val="16"/>
          <w:color w:val="auto"/>
        </w:rPr>
        <w:t>In fiscal 2006, we acquired Qpass Inc. and Cramer Systems Group Limited - which we refer to as Qpass and Cramer- to further enhance our portfolio of product offerings, provide a complete end-to-end offering (combined business support and operations support systems, or BSS/OSS) and meet the growing demand for the delivery of next-generation services. During the second quarter of fiscal 2007 we acquired SigValue Technologies, Inc., which we refer to as SigValue. We believe this acquisition will expand our offering for fast growing emerging markets, where the customer base is predominantly comprised of mobile pre-paid subscribers. As part of our strategy, we may continue to pursue acquisitions and other initiatives in order to offer new products or services or otherwise enhance our market position or strategic strengths.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OFFERINGS</w:t>
      </w:r>
    </w:p>
    <w:p>
      <w:pPr>
        <w:spacing w:after="0" w:line="200"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Amdocs' Customer Experience Systems offerings consist of:</w:t>
      </w:r>
    </w:p>
    <w:p>
      <w:pPr>
        <w:spacing w:after="0" w:line="201" w:lineRule="exact"/>
        <w:rPr>
          <w:sz w:val="20"/>
          <w:szCs w:val="20"/>
          <w:color w:val="auto"/>
        </w:rPr>
      </w:pPr>
    </w:p>
    <w:p>
      <w:pPr>
        <w:ind w:left="1540" w:right="2059" w:hanging="515"/>
        <w:spacing w:after="0" w:line="244" w:lineRule="auto"/>
        <w:tabs>
          <w:tab w:leader="none" w:pos="15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complete, modular portfolio of software across BSS and OSS including revenue management (billing, mediation and partner settlement), customer management (ordering, customer relationship management or CRM, and self-service), service and resource management (planning and fulfillment ) and digital commerce management (content revenue management). In the past, we referred to these systems as ICM Enabling Systems.</w:t>
      </w:r>
    </w:p>
    <w:p>
      <w:pPr>
        <w:spacing w:after="0" w:line="199" w:lineRule="exact"/>
        <w:rPr>
          <w:rFonts w:ascii="Courier New" w:cs="Courier New" w:eastAsia="Courier New" w:hAnsi="Courier New"/>
          <w:sz w:val="17"/>
          <w:szCs w:val="17"/>
          <w:color w:val="auto"/>
        </w:rPr>
      </w:pPr>
    </w:p>
    <w:p>
      <w:pPr>
        <w:ind w:left="1540" w:right="2059" w:hanging="515"/>
        <w:spacing w:after="0" w:line="244" w:lineRule="auto"/>
        <w:tabs>
          <w:tab w:leader="none" w:pos="15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comprehensive line of services, from strategy to execution. Because our customers' projects are complex and require systems support expertise, we also provide information technology, or IT, services, including extensive consulting, business strategy, system implementation, training, integration, modification, ongoing support, enhancement and maintenance services. In addition, we offer Managed Services, which include services such as system modernization and consolidation, the operation of data centers, ongoing support, maintenance services, system modification, the provision of rating and billing services and communications facility management services.</w:t>
      </w:r>
    </w:p>
    <w:p>
      <w:pPr>
        <w:spacing w:after="0" w:line="201"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We have designed our Customer Experience Systems to meet the mission-critical needs of leading communications service providers throughout the entire customer lifecycle. We support different lines of business, including wireline, wireless, cable and satellite, and a wide range of communications services, including voice, video, data, IP, broadband, content, electronic and mobile commerce. We also support companies that offer multiple service packages, commonly referred to as bundled or convergent service</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3" w:right="1440" w:bottom="1440" w:gutter="0" w:footer="0" w:header="0"/>
        </w:sectPr>
      </w:pPr>
    </w:p>
    <w:bookmarkStart w:id="18" w:name="page19"/>
    <w:bookmarkEnd w:id="18"/>
    <w:p>
      <w:pPr>
        <w:ind w:right="2059"/>
        <w:spacing w:after="0" w:line="244" w:lineRule="auto"/>
        <w:rPr>
          <w:sz w:val="20"/>
          <w:szCs w:val="20"/>
          <w:color w:val="auto"/>
        </w:rPr>
      </w:pPr>
      <w:r>
        <w:rPr>
          <w:rFonts w:ascii="Courier New" w:cs="Courier New" w:eastAsia="Courier New" w:hAnsi="Courier New"/>
          <w:sz w:val="17"/>
          <w:szCs w:val="17"/>
          <w:color w:val="auto"/>
        </w:rPr>
        <w:t>packages. In addition, we are also leveraging our experience by working with service providers in the financial services sector, because some of the challenges faced by companies in this sector are similar to those encountered by communications service providers.</w:t>
      </w:r>
    </w:p>
    <w:p>
      <w:pPr>
        <w:spacing w:after="0" w:line="198" w:lineRule="exact"/>
        <w:rPr>
          <w:sz w:val="20"/>
          <w:szCs w:val="20"/>
          <w:color w:val="auto"/>
        </w:rPr>
      </w:pPr>
    </w:p>
    <w:p>
      <w:pPr>
        <w:ind w:right="2259" w:firstLine="1020"/>
        <w:spacing w:after="0" w:line="244" w:lineRule="auto"/>
        <w:rPr>
          <w:sz w:val="20"/>
          <w:szCs w:val="20"/>
          <w:color w:val="auto"/>
        </w:rPr>
      </w:pPr>
      <w:r>
        <w:rPr>
          <w:rFonts w:ascii="Courier New" w:cs="Courier New" w:eastAsia="Courier New" w:hAnsi="Courier New"/>
          <w:sz w:val="17"/>
          <w:szCs w:val="17"/>
          <w:color w:val="auto"/>
        </w:rPr>
        <w:t>We also offer a full range of directory sales and publishing systems and related line of services, which we refer to as Directory Systems, for publishers of both traditional printed yellow page and white page directories and electronic Internet directories.</w:t>
      </w:r>
    </w:p>
    <w:p>
      <w:pPr>
        <w:spacing w:after="0" w:line="198" w:lineRule="exact"/>
        <w:rPr>
          <w:sz w:val="20"/>
          <w:szCs w:val="20"/>
          <w:color w:val="auto"/>
        </w:rPr>
      </w:pPr>
    </w:p>
    <w:p>
      <w:pPr>
        <w:ind w:right="2159" w:firstLine="1020"/>
        <w:spacing w:after="0" w:line="244" w:lineRule="auto"/>
        <w:rPr>
          <w:sz w:val="20"/>
          <w:szCs w:val="20"/>
          <w:color w:val="auto"/>
        </w:rPr>
      </w:pPr>
      <w:r>
        <w:rPr>
          <w:rFonts w:ascii="Courier New" w:cs="Courier New" w:eastAsia="Courier New" w:hAnsi="Courier New"/>
          <w:sz w:val="17"/>
          <w:szCs w:val="17"/>
          <w:color w:val="auto"/>
        </w:rPr>
        <w:t>We conduct our business globally, and, as a result we are subject to the effects of global economic conditions and, in particular, market conditions in the communications industry. We maintain development facilities in Canada, China, Cyprus, India, Ireland, Israel and the United States.</w:t>
      </w:r>
    </w:p>
    <w:p>
      <w:pPr>
        <w:spacing w:after="0" w:line="198" w:lineRule="exact"/>
        <w:rPr>
          <w:sz w:val="20"/>
          <w:szCs w:val="20"/>
          <w:color w:val="auto"/>
        </w:rPr>
      </w:pPr>
    </w:p>
    <w:p>
      <w:pPr>
        <w:ind w:right="2979" w:firstLine="1020"/>
        <w:spacing w:after="0" w:line="243" w:lineRule="auto"/>
        <w:rPr>
          <w:sz w:val="20"/>
          <w:szCs w:val="20"/>
          <w:color w:val="auto"/>
        </w:rPr>
      </w:pPr>
      <w:r>
        <w:rPr>
          <w:rFonts w:ascii="Courier New" w:cs="Courier New" w:eastAsia="Courier New" w:hAnsi="Courier New"/>
          <w:sz w:val="17"/>
          <w:szCs w:val="17"/>
          <w:color w:val="auto"/>
        </w:rPr>
        <w:t>We believe that demand for our Customer Experience Systems is primarily driven by the following key factors:</w:t>
      </w:r>
    </w:p>
    <w:p>
      <w:pPr>
        <w:spacing w:after="0" w:line="198" w:lineRule="exact"/>
        <w:rPr>
          <w:sz w:val="20"/>
          <w:szCs w:val="20"/>
          <w:color w:val="auto"/>
        </w:rPr>
      </w:pPr>
    </w:p>
    <w:p>
      <w:pPr>
        <w:ind w:left="1020" w:hanging="505"/>
        <w:spacing w:after="0"/>
        <w:tabs>
          <w:tab w:leader="none" w:pos="10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Industry transformation, including:</w:t>
      </w:r>
    </w:p>
    <w:p>
      <w:pPr>
        <w:spacing w:after="0" w:line="199" w:lineRule="exact"/>
        <w:rPr>
          <w:rFonts w:ascii="Courier New" w:cs="Courier New" w:eastAsia="Courier New" w:hAnsi="Courier New"/>
          <w:sz w:val="17"/>
          <w:szCs w:val="17"/>
          <w:color w:val="auto"/>
        </w:rPr>
      </w:pPr>
    </w:p>
    <w:p>
      <w:pPr>
        <w:ind w:left="1540" w:hanging="515"/>
        <w:spacing w:after="0"/>
        <w:tabs>
          <w:tab w:leader="none" w:pos="154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global use of communications and content services,</w:t>
      </w:r>
    </w:p>
    <w:p>
      <w:pPr>
        <w:spacing w:after="0" w:line="199" w:lineRule="exact"/>
        <w:rPr>
          <w:rFonts w:ascii="Courier New" w:cs="Courier New" w:eastAsia="Courier New" w:hAnsi="Courier New"/>
          <w:sz w:val="17"/>
          <w:szCs w:val="17"/>
          <w:color w:val="auto"/>
        </w:rPr>
      </w:pPr>
    </w:p>
    <w:p>
      <w:pPr>
        <w:ind w:left="1540" w:hanging="515"/>
        <w:spacing w:after="0"/>
        <w:tabs>
          <w:tab w:leader="none" w:pos="154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in digital and mobile commerce,</w:t>
      </w:r>
    </w:p>
    <w:p>
      <w:pPr>
        <w:spacing w:after="0" w:line="199" w:lineRule="exact"/>
        <w:rPr>
          <w:rFonts w:ascii="Courier New" w:cs="Courier New" w:eastAsia="Courier New" w:hAnsi="Courier New"/>
          <w:sz w:val="17"/>
          <w:szCs w:val="17"/>
          <w:color w:val="auto"/>
        </w:rPr>
      </w:pPr>
    </w:p>
    <w:p>
      <w:pPr>
        <w:ind w:left="1540" w:hanging="515"/>
        <w:spacing w:after="0"/>
        <w:tabs>
          <w:tab w:leader="none" w:pos="154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ongoing consolidation within the communications industry, and</w:t>
      </w:r>
    </w:p>
    <w:p>
      <w:pPr>
        <w:spacing w:after="0" w:line="200" w:lineRule="exact"/>
        <w:rPr>
          <w:rFonts w:ascii="Courier New" w:cs="Courier New" w:eastAsia="Courier New" w:hAnsi="Courier New"/>
          <w:sz w:val="17"/>
          <w:szCs w:val="17"/>
          <w:color w:val="auto"/>
        </w:rPr>
      </w:pPr>
    </w:p>
    <w:p>
      <w:pPr>
        <w:ind w:left="1540" w:right="2559" w:hanging="515"/>
        <w:spacing w:after="0" w:line="243" w:lineRule="auto"/>
        <w:tabs>
          <w:tab w:leader="none" w:pos="154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convergence of communications, broadband cable and satellite industries.</w:t>
      </w:r>
    </w:p>
    <w:p>
      <w:pPr>
        <w:spacing w:after="0" w:line="197"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Technology advances, such as:</w:t>
      </w:r>
    </w:p>
    <w:p>
      <w:pPr>
        <w:spacing w:after="0" w:line="200" w:lineRule="exact"/>
        <w:rPr>
          <w:rFonts w:ascii="Courier New" w:cs="Courier New" w:eastAsia="Courier New" w:hAnsi="Courier New"/>
          <w:sz w:val="17"/>
          <w:szCs w:val="17"/>
          <w:color w:val="auto"/>
        </w:rPr>
      </w:pPr>
    </w:p>
    <w:p>
      <w:pPr>
        <w:ind w:left="1540" w:right="2059" w:hanging="515"/>
        <w:spacing w:after="0" w:line="244" w:lineRule="auto"/>
        <w:tabs>
          <w:tab w:leader="none" w:pos="154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emergence of new communications products and services, especially video, broadband, data and content services, including IP-based services, such as Internet Protocol Television (IPTV) and Voice over IP (VoIP),</w:t>
      </w:r>
    </w:p>
    <w:p>
      <w:pPr>
        <w:spacing w:after="0" w:line="197" w:lineRule="exact"/>
        <w:rPr>
          <w:rFonts w:ascii="Courier New" w:cs="Courier New" w:eastAsia="Courier New" w:hAnsi="Courier New"/>
          <w:sz w:val="17"/>
          <w:szCs w:val="17"/>
          <w:color w:val="auto"/>
        </w:rPr>
      </w:pPr>
    </w:p>
    <w:p>
      <w:pPr>
        <w:ind w:left="1540" w:right="2259" w:hanging="515"/>
        <w:spacing w:after="0" w:line="243" w:lineRule="auto"/>
        <w:tabs>
          <w:tab w:leader="none" w:pos="154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evolution to next generation networks such as IP Multimedia Subsystem (IMS), that enable truly converged services offerings like fixed-mobile convergence, and</w:t>
      </w:r>
    </w:p>
    <w:p>
      <w:pPr>
        <w:spacing w:after="0" w:line="199" w:lineRule="exact"/>
        <w:rPr>
          <w:rFonts w:ascii="Courier New" w:cs="Courier New" w:eastAsia="Courier New" w:hAnsi="Courier New"/>
          <w:sz w:val="17"/>
          <w:szCs w:val="17"/>
          <w:color w:val="auto"/>
        </w:rPr>
      </w:pPr>
    </w:p>
    <w:p>
      <w:pPr>
        <w:ind w:left="1540" w:right="2159" w:hanging="515"/>
        <w:spacing w:after="0" w:line="243" w:lineRule="auto"/>
        <w:tabs>
          <w:tab w:leader="none" w:pos="154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technological changes, such as the introduction of 3G wireless technology, next-generation content systems and WiFi- and WiMax-based access technologies.</w:t>
      </w:r>
    </w:p>
    <w:p>
      <w:pPr>
        <w:spacing w:after="0" w:line="198"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Customer focus, such as:</w:t>
      </w:r>
    </w:p>
    <w:p>
      <w:pPr>
        <w:spacing w:after="0" w:line="200" w:lineRule="exact"/>
        <w:rPr>
          <w:rFonts w:ascii="Courier New" w:cs="Courier New" w:eastAsia="Courier New" w:hAnsi="Courier New"/>
          <w:sz w:val="17"/>
          <w:szCs w:val="17"/>
          <w:color w:val="auto"/>
        </w:rPr>
      </w:pPr>
    </w:p>
    <w:p>
      <w:pPr>
        <w:ind w:left="1540" w:right="2359" w:hanging="515"/>
        <w:spacing w:after="0" w:line="243" w:lineRule="auto"/>
        <w:tabs>
          <w:tab w:leader="none" w:pos="154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desire of service providers to focus on their customers in order to build profitable customer relationships,</w:t>
      </w:r>
    </w:p>
    <w:p>
      <w:pPr>
        <w:spacing w:after="0" w:line="198" w:lineRule="exact"/>
        <w:rPr>
          <w:rFonts w:ascii="Courier New" w:cs="Courier New" w:eastAsia="Courier New" w:hAnsi="Courier New"/>
          <w:sz w:val="17"/>
          <w:szCs w:val="17"/>
          <w:color w:val="auto"/>
        </w:rPr>
      </w:pPr>
    </w:p>
    <w:p>
      <w:pPr>
        <w:ind w:left="1540" w:right="2259" w:hanging="515"/>
        <w:spacing w:after="0" w:line="266" w:lineRule="auto"/>
        <w:tabs>
          <w:tab w:leader="none" w:pos="15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shift" toward the consumer, with customers demanding new, innovative services that can be accessed anytime and anywhere, as well as higher levels of customer service, and</w:t>
      </w:r>
    </w:p>
    <w:p>
      <w:pPr>
        <w:spacing w:after="0" w:line="182" w:lineRule="exact"/>
        <w:rPr>
          <w:rFonts w:ascii="Courier New" w:cs="Courier New" w:eastAsia="Courier New" w:hAnsi="Courier New"/>
          <w:sz w:val="16"/>
          <w:szCs w:val="16"/>
          <w:color w:val="auto"/>
        </w:rPr>
      </w:pPr>
    </w:p>
    <w:p>
      <w:pPr>
        <w:ind w:left="1540" w:right="2459" w:hanging="515"/>
        <w:spacing w:after="0" w:line="273" w:lineRule="auto"/>
        <w:tabs>
          <w:tab w:leader="none" w:pos="15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need for service providers to differentiate themselves by creating a unique and mutually valuable customer experience.</w:t>
      </w:r>
    </w:p>
    <w:p>
      <w:pPr>
        <w:spacing w:after="0" w:line="175" w:lineRule="exact"/>
        <w:rPr>
          <w:rFonts w:ascii="Courier New" w:cs="Courier New" w:eastAsia="Courier New" w:hAnsi="Courier New"/>
          <w:sz w:val="16"/>
          <w:szCs w:val="16"/>
          <w:color w:val="auto"/>
        </w:rPr>
      </w:pPr>
    </w:p>
    <w:p>
      <w:pPr>
        <w:ind w:left="1020" w:hanging="505"/>
        <w:spacing w:after="0"/>
        <w:tabs>
          <w:tab w:leader="none" w:pos="10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need for operational efficiency, including:</w:t>
      </w:r>
    </w:p>
    <w:p>
      <w:pPr>
        <w:spacing w:after="0" w:line="199" w:lineRule="exact"/>
        <w:rPr>
          <w:rFonts w:ascii="Courier New" w:cs="Courier New" w:eastAsia="Courier New" w:hAnsi="Courier New"/>
          <w:sz w:val="17"/>
          <w:szCs w:val="17"/>
          <w:color w:val="auto"/>
        </w:rPr>
      </w:pPr>
    </w:p>
    <w:p>
      <w:pPr>
        <w:ind w:left="1540" w:hanging="515"/>
        <w:spacing w:after="0"/>
        <w:tabs>
          <w:tab w:leader="none" w:pos="154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shift from in-house management to vendor solutions,</w:t>
      </w:r>
    </w:p>
    <w:p>
      <w:pPr>
        <w:spacing w:after="0" w:line="200" w:lineRule="exact"/>
        <w:rPr>
          <w:rFonts w:ascii="Courier New" w:cs="Courier New" w:eastAsia="Courier New" w:hAnsi="Courier New"/>
          <w:sz w:val="17"/>
          <w:szCs w:val="17"/>
          <w:color w:val="auto"/>
        </w:rPr>
      </w:pPr>
    </w:p>
    <w:p>
      <w:pPr>
        <w:ind w:left="1540" w:right="2059" w:hanging="515"/>
        <w:spacing w:after="0" w:line="243" w:lineRule="auto"/>
        <w:tabs>
          <w:tab w:leader="none" w:pos="154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needs of service providers to reduce costs and lower total cost of ownership while retaining high value customers in a highly competitive environment,</w:t>
      </w:r>
    </w:p>
    <w:p>
      <w:pPr>
        <w:spacing w:after="0" w:line="199" w:lineRule="exact"/>
        <w:rPr>
          <w:rFonts w:ascii="Courier New" w:cs="Courier New" w:eastAsia="Courier New" w:hAnsi="Courier New"/>
          <w:sz w:val="17"/>
          <w:szCs w:val="17"/>
          <w:color w:val="auto"/>
        </w:rPr>
      </w:pPr>
    </w:p>
    <w:p>
      <w:pPr>
        <w:ind w:left="1540" w:right="2359" w:hanging="515"/>
        <w:spacing w:after="0" w:line="243" w:lineRule="auto"/>
        <w:tabs>
          <w:tab w:leader="none" w:pos="154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automating and integrating business processes that span across business support systems (BSS) and operations support systems (OSS), and</w:t>
      </w:r>
    </w:p>
    <w:p>
      <w:pPr>
        <w:spacing w:after="0" w:line="199" w:lineRule="exact"/>
        <w:rPr>
          <w:rFonts w:ascii="Courier New" w:cs="Courier New" w:eastAsia="Courier New" w:hAnsi="Courier New"/>
          <w:sz w:val="17"/>
          <w:szCs w:val="17"/>
          <w:color w:val="auto"/>
        </w:rPr>
      </w:pPr>
    </w:p>
    <w:p>
      <w:pPr>
        <w:ind w:left="1540" w:right="2359" w:hanging="515"/>
        <w:spacing w:after="0" w:line="243" w:lineRule="auto"/>
        <w:tabs>
          <w:tab w:leader="none" w:pos="154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OSS transformation projects, designed to transform fragmented legacy OSS systems that can make it difficult to introduce new services in a timely and cost-effective manner.</w:t>
      </w:r>
    </w:p>
    <w:p>
      <w:pPr>
        <w:spacing w:after="0" w:line="19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We derive our revenue principally from:</w:t>
      </w:r>
    </w:p>
    <w:p>
      <w:pPr>
        <w:spacing w:after="0" w:line="201" w:lineRule="exact"/>
        <w:rPr>
          <w:sz w:val="20"/>
          <w:szCs w:val="20"/>
          <w:color w:val="auto"/>
        </w:rPr>
      </w:pPr>
    </w:p>
    <w:p>
      <w:pPr>
        <w:ind w:left="1020" w:right="2659" w:hanging="505"/>
        <w:spacing w:after="0" w:line="243" w:lineRule="auto"/>
        <w:tabs>
          <w:tab w:leader="none" w:pos="10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initial sales of licenses to use our products and related services, including modification, implementation and integration services,</w:t>
      </w:r>
    </w:p>
    <w:p>
      <w:pPr>
        <w:spacing w:after="0" w:line="198"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providing Managed Services and other related IT services, and</w:t>
      </w:r>
    </w:p>
    <w:p>
      <w:pPr>
        <w:sectPr>
          <w:pgSz w:w="11900" w:h="16838" w:orient="portrait"/>
          <w:cols w:equalWidth="0" w:num="1">
            <w:col w:w="10219"/>
          </w:cols>
          <w:pgMar w:left="240" w:top="704" w:right="1440" w:bottom="74" w:gutter="0" w:footer="0" w:header="0"/>
        </w:sectPr>
      </w:pPr>
    </w:p>
    <w:bookmarkStart w:id="19" w:name="page20"/>
    <w:bookmarkEnd w:id="19"/>
    <w:p>
      <w:pPr>
        <w:ind w:left="2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142" w:right="1440" w:bottom="1440" w:gutter="0" w:footer="0" w:header="0"/>
        </w:sectPr>
      </w:pPr>
    </w:p>
    <w:bookmarkStart w:id="20" w:name="page21"/>
    <w:bookmarkEnd w:id="20"/>
    <w:p>
      <w:pPr>
        <w:ind w:left="1020" w:right="2059" w:hanging="505"/>
        <w:spacing w:after="0" w:line="243" w:lineRule="auto"/>
        <w:tabs>
          <w:tab w:leader="none" w:pos="10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recurring revenue from ongoing support, maintenance and enhancements provided to our customers, and from incremental license fees resulting from increases in a customer's business volume.</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either ratably over the service period or as services are performed.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208" w:lineRule="exact"/>
        <w:rPr>
          <w:sz w:val="20"/>
          <w:szCs w:val="20"/>
          <w:color w:val="auto"/>
        </w:rPr>
      </w:pPr>
    </w:p>
    <w:p>
      <w:pPr>
        <w:ind w:right="2159" w:firstLine="1020"/>
        <w:spacing w:after="0" w:line="244" w:lineRule="auto"/>
        <w:rPr>
          <w:sz w:val="20"/>
          <w:szCs w:val="20"/>
          <w:color w:val="auto"/>
        </w:rPr>
      </w:pPr>
      <w:r>
        <w:rPr>
          <w:rFonts w:ascii="Courier New" w:cs="Courier New" w:eastAsia="Courier New" w:hAnsi="Courier New"/>
          <w:sz w:val="17"/>
          <w:szCs w:val="17"/>
          <w:color w:val="auto"/>
        </w:rPr>
        <w:t>Revenue from Managed Services arrangements (from the sale of Customer Experience Systems and Directory Systems) is included in both license and service revenue. Managed Services projects are a significant part of our business, accounting for approximately 40% and 35% of our total revenue in the nine months ended June 30, 2007 and 2006, respectively, and generating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ACCOUNTING STANDARDS</w:t>
      </w:r>
    </w:p>
    <w:p>
      <w:pPr>
        <w:spacing w:after="0" w:line="201"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In February 2007, the Financial Accounting Standards Board ("FASB") issued Statement No. 159 "The Fair Value Option for Financial Assets and Financial Liabilities" including an amendment of FASB Statement No. 115 ("SFAS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SFAS 159 also establishes additional disclosure requirements and is effective for fiscal years beginning after November 15, 2007, with early adoption permitted provided that the entity also adopts Statement No. 157, "Fair Value Measurements" ("SFAS 157"). We are currently evaluating the effect that the application of SFAS 159 will have on our consolidated results of operations and financial condition.</w:t>
      </w:r>
    </w:p>
    <w:p>
      <w:pPr>
        <w:spacing w:after="0" w:line="202" w:lineRule="exact"/>
        <w:rPr>
          <w:sz w:val="20"/>
          <w:szCs w:val="20"/>
          <w:color w:val="auto"/>
        </w:rPr>
      </w:pPr>
    </w:p>
    <w:p>
      <w:pPr>
        <w:jc w:val="both"/>
        <w:ind w:right="2359" w:firstLine="1020"/>
        <w:spacing w:after="0" w:line="244" w:lineRule="auto"/>
        <w:rPr>
          <w:sz w:val="20"/>
          <w:szCs w:val="20"/>
          <w:color w:val="auto"/>
        </w:rPr>
      </w:pPr>
      <w:r>
        <w:rPr>
          <w:rFonts w:ascii="Courier New" w:cs="Courier New" w:eastAsia="Courier New" w:hAnsi="Courier New"/>
          <w:sz w:val="17"/>
          <w:szCs w:val="17"/>
          <w:color w:val="auto"/>
        </w:rPr>
        <w:t>In September 2006, the FASB issued SFAS 157. SFAS 157 defines fair value, establishes a framework for measuring fair value in generally accepted accounting principles, and expands disclosures about fair value measurements. SFAS 157 applies under other accounting pronouncements that require or</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04" w:right="1440" w:bottom="1440" w:gutter="0" w:footer="0" w:header="0"/>
        </w:sectPr>
      </w:pPr>
    </w:p>
    <w:bookmarkStart w:id="21" w:name="page22"/>
    <w:bookmarkEnd w:id="21"/>
    <w:p>
      <w:pPr>
        <w:ind w:right="2259"/>
        <w:spacing w:after="0" w:line="244" w:lineRule="auto"/>
        <w:rPr>
          <w:sz w:val="20"/>
          <w:szCs w:val="20"/>
          <w:color w:val="auto"/>
        </w:rPr>
      </w:pPr>
      <w:r>
        <w:rPr>
          <w:rFonts w:ascii="Courier New" w:cs="Courier New" w:eastAsia="Courier New" w:hAnsi="Courier New"/>
          <w:sz w:val="17"/>
          <w:szCs w:val="17"/>
          <w:color w:val="auto"/>
        </w:rPr>
        <w:t>permit fair value measurements. SFAS 157 will be effective for fiscal years beginning after November 15, 2007, and interim periods within those fiscal years. We are currently evaluating the effect that the application of SFAS 157 will have on our consolidated results of operations and financial condition.</w:t>
      </w:r>
    </w:p>
    <w:p>
      <w:pPr>
        <w:spacing w:after="0" w:line="198"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In September 2006, the SEC issued Staff Accounting Bulletin No. 108, "Financial Statements - Considering the Effects of Prior Year Misstatements when Quantifying Misstatements in Current Year Financial Statements" ("SAB 108"). SAB 108 requires companies to quantify the impact of all correcting misstatements, including both the carryover and reversing effects of prior year misstatements, on the current year financial statements. SAB 108 is effective for fiscal years ending after November 15, 2006. We applied the provisions of SAB 108 in the first quarter of fiscal 2007 and there was no impact to the consolidated financial statements.</w:t>
      </w:r>
    </w:p>
    <w:p>
      <w:pPr>
        <w:spacing w:after="0" w:line="200"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In May 2007, the FASB published FASB Staff Position No. FIN 48-1, "Definition of Settlement of FASB Interpretation No. 48" ("FSP FIN 48-1"). FSP FIN 48-1 is an amendment to FIN 48. It clarified how an enterprise should determine whether a tax position is effectively settled for the purpose of recognizing previously unrecognized tax benefits. FSP FIN 48-1 is effective upon the initial adoption of FIN 48. These interpretations are effective for fiscal years beginning after December 15, 2006. We are currently evaluating the effect that the application of FIN 48 and FSP FIN 48-1 will have on our consolidated results of operations and financial condition.</w:t>
      </w:r>
    </w:p>
    <w:p>
      <w:pPr>
        <w:spacing w:after="0" w:line="204" w:lineRule="exact"/>
        <w:rPr>
          <w:sz w:val="20"/>
          <w:szCs w:val="20"/>
          <w:color w:val="auto"/>
        </w:rPr>
      </w:pPr>
    </w:p>
    <w:p>
      <w:pPr>
        <w:ind w:right="2059" w:firstLine="1020"/>
        <w:spacing w:after="0" w:line="244" w:lineRule="auto"/>
        <w:rPr>
          <w:sz w:val="20"/>
          <w:szCs w:val="20"/>
          <w:color w:val="auto"/>
        </w:rPr>
      </w:pPr>
      <w:r>
        <w:rPr>
          <w:rFonts w:ascii="Courier New" w:cs="Courier New" w:eastAsia="Courier New" w:hAnsi="Courier New"/>
          <w:sz w:val="17"/>
          <w:szCs w:val="17"/>
          <w:color w:val="auto"/>
        </w:rPr>
        <w:t>In February 2006, the FASB issued SFAS No. 155, "Accounting for Certain Hybrid Financial Instruments," an amendment of FASB Statement No. 133 and 140 ("SFAS 155"), which permits fair value measurement for any hybrid financial instrument that contains an embedded derivative that otherwise, would require bifurcation, with changes in fair value recognized in earnings. The fair-value election will eliminate the need to separately recognize certain derivatives embedded in hybrid financial instruments under FASB Statement No. 133, Accounting for Derivative Instruments and Hedging Activities. In January 2007, the FASB issued Statement 133 Implementation Issue No. B40 "Application of Paragraph 13(b) to Securitized Interests in Prepayable Financial Assets", which provides a possibility of an exemption from bifurcation analysis in paragraph 13(b) of Statement 133 for certain securitized interests in prepayable financial assets. We applied the provisions of SFAS 155 and Statement 133 Implementation Issue No. B40 in the first quarter of fiscal 2007 and there was no impact to the consolidated financial statements.</w:t>
      </w:r>
    </w:p>
    <w:p>
      <w:pPr>
        <w:spacing w:after="0" w:line="3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0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RESULTS OF OPERATIONS</w:t>
      </w:r>
    </w:p>
    <w:p>
      <w:pPr>
        <w:spacing w:after="0" w:line="201"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The following table sets forth for the three and nine months ended June 30, 2007 and 2006 certain items in our consolidated statements of income reflected as a percentage of total revenue:</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Pr>
          <w:p>
            <w:pPr>
              <w:spacing w:after="0"/>
              <w:rPr>
                <w:sz w:val="16"/>
                <w:szCs w:val="16"/>
                <w:color w:val="auto"/>
              </w:rPr>
            </w:pPr>
          </w:p>
        </w:tc>
        <w:tc>
          <w:tcPr>
            <w:tcW w:w="21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THREE MONTHS ENDED</w:t>
            </w: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4640" w:type="dxa"/>
            <w:vAlign w:val="bottom"/>
          </w:tcPr>
          <w:p>
            <w:pPr>
              <w:spacing w:after="0"/>
              <w:rPr>
                <w:sz w:val="17"/>
                <w:szCs w:val="17"/>
                <w:color w:val="auto"/>
              </w:rPr>
            </w:pPr>
          </w:p>
        </w:tc>
        <w:tc>
          <w:tcPr>
            <w:tcW w:w="21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JUNE 30,</w:t>
            </w:r>
          </w:p>
        </w:tc>
        <w:tc>
          <w:tcPr>
            <w:tcW w:w="190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JUNE 30,</w:t>
            </w:r>
          </w:p>
        </w:tc>
      </w:tr>
      <w:tr>
        <w:trPr>
          <w:trHeight w:val="196"/>
        </w:trPr>
        <w:tc>
          <w:tcPr>
            <w:tcW w:w="4640" w:type="dxa"/>
            <w:vAlign w:val="bottom"/>
          </w:tcPr>
          <w:p>
            <w:pPr>
              <w:spacing w:after="0"/>
              <w:rPr>
                <w:sz w:val="17"/>
                <w:szCs w:val="17"/>
                <w:color w:val="auto"/>
              </w:rPr>
            </w:pPr>
          </w:p>
        </w:tc>
        <w:tc>
          <w:tcPr>
            <w:tcW w:w="21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64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2007</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2006</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2007</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2006</w:t>
            </w:r>
          </w:p>
        </w:tc>
      </w:tr>
      <w:tr>
        <w:trPr>
          <w:trHeight w:val="196"/>
        </w:trPr>
        <w:tc>
          <w:tcPr>
            <w:tcW w:w="464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464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46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License .................................</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6.2%</w:t>
            </w:r>
          </w:p>
        </w:tc>
        <w:tc>
          <w:tcPr>
            <w:tcW w:w="8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3.7%</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5.4%</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4.7%</w:t>
            </w:r>
          </w:p>
        </w:tc>
      </w:tr>
      <w:tr>
        <w:trPr>
          <w:trHeight w:val="196"/>
        </w:trPr>
        <w:tc>
          <w:tcPr>
            <w:tcW w:w="46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Service .................................</w:t>
            </w: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93.8</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96.3</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94.6</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95.3</w:t>
            </w:r>
          </w:p>
        </w:tc>
      </w:tr>
      <w:tr>
        <w:trPr>
          <w:trHeight w:val="196"/>
        </w:trPr>
        <w:tc>
          <w:tcPr>
            <w:tcW w:w="464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464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100.0</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w w:val="97"/>
              </w:rPr>
              <w:t>100.0</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100.0</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100.0</w:t>
            </w:r>
          </w:p>
        </w:tc>
      </w:tr>
      <w:tr>
        <w:trPr>
          <w:trHeight w:val="196"/>
        </w:trPr>
        <w:tc>
          <w:tcPr>
            <w:tcW w:w="464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464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46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Cost of license .........................</w:t>
            </w: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0.1</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0.2</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0.1</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0.2</w:t>
            </w:r>
          </w:p>
        </w:tc>
      </w:tr>
      <w:tr>
        <w:trPr>
          <w:trHeight w:val="196"/>
        </w:trPr>
        <w:tc>
          <w:tcPr>
            <w:tcW w:w="46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Cost of service .........................</w:t>
            </w: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63.0</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64.3</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63.1</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64.2</w:t>
            </w:r>
          </w:p>
        </w:tc>
      </w:tr>
      <w:tr>
        <w:trPr>
          <w:trHeight w:val="196"/>
        </w:trPr>
        <w:tc>
          <w:tcPr>
            <w:tcW w:w="46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Research and development ................</w:t>
            </w: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8.0</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7.4</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8.3</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7.2</w:t>
            </w:r>
          </w:p>
        </w:tc>
      </w:tr>
      <w:tr>
        <w:trPr>
          <w:trHeight w:val="196"/>
        </w:trPr>
        <w:tc>
          <w:tcPr>
            <w:tcW w:w="46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Selling, general and administrative .....</w:t>
            </w: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13.3</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12.0</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13.0</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12.5</w:t>
            </w:r>
          </w:p>
        </w:tc>
      </w:tr>
      <w:tr>
        <w:trPr>
          <w:trHeight w:val="196"/>
        </w:trPr>
        <w:tc>
          <w:tcPr>
            <w:tcW w:w="464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purchased intangible</w:t>
            </w: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46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assets ...............................</w:t>
            </w: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2.7</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1.3</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2.7</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w:t>
            </w:r>
          </w:p>
        </w:tc>
      </w:tr>
      <w:tr>
        <w:trPr>
          <w:trHeight w:val="196"/>
        </w:trPr>
        <w:tc>
          <w:tcPr>
            <w:tcW w:w="4640" w:type="dxa"/>
            <w:vAlign w:val="bottom"/>
          </w:tcPr>
          <w:p>
            <w:pPr>
              <w:ind w:left="320"/>
              <w:spacing w:after="0"/>
              <w:rPr>
                <w:sz w:val="20"/>
                <w:szCs w:val="20"/>
                <w:color w:val="auto"/>
              </w:rPr>
            </w:pPr>
            <w:r>
              <w:rPr>
                <w:rFonts w:ascii="Courier New" w:cs="Courier New" w:eastAsia="Courier New" w:hAnsi="Courier New"/>
                <w:sz w:val="17"/>
                <w:szCs w:val="17"/>
                <w:color w:val="auto"/>
              </w:rPr>
              <w:t>Restructuring charges, in-process</w:t>
            </w: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46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research and development and other ...</w:t>
            </w: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1.3</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0.3</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0.5</w:t>
            </w:r>
          </w:p>
        </w:tc>
      </w:tr>
      <w:tr>
        <w:trPr>
          <w:trHeight w:val="196"/>
        </w:trPr>
        <w:tc>
          <w:tcPr>
            <w:tcW w:w="464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464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87.1</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86.5</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87.5</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85.9</w:t>
            </w:r>
          </w:p>
        </w:tc>
      </w:tr>
      <w:tr>
        <w:trPr>
          <w:trHeight w:val="196"/>
        </w:trPr>
        <w:tc>
          <w:tcPr>
            <w:tcW w:w="464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464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9"/>
              </w:rPr>
              <w:t>Operating income ...........................</w:t>
            </w: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12.9</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13.5</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12.5</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14.1</w:t>
            </w:r>
          </w:p>
        </w:tc>
      </w:tr>
      <w:tr>
        <w:trPr>
          <w:trHeight w:val="196"/>
        </w:trPr>
        <w:tc>
          <w:tcPr>
            <w:tcW w:w="464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9"/>
              </w:rPr>
              <w:t>Interest income and other, net .............</w:t>
            </w: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2.4</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w:t>
            </w:r>
          </w:p>
        </w:tc>
      </w:tr>
      <w:tr>
        <w:trPr>
          <w:trHeight w:val="196"/>
        </w:trPr>
        <w:tc>
          <w:tcPr>
            <w:tcW w:w="464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464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9"/>
              </w:rPr>
              <w:t>Income before income taxes .................</w:t>
            </w: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14.9</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15.9</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14.2</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16.0</w:t>
            </w:r>
          </w:p>
        </w:tc>
      </w:tr>
      <w:tr>
        <w:trPr>
          <w:trHeight w:val="196"/>
        </w:trPr>
        <w:tc>
          <w:tcPr>
            <w:tcW w:w="464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9"/>
              </w:rPr>
              <w:t>Income taxes ...............................</w:t>
            </w: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2.5</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2.2</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w:t>
            </w:r>
          </w:p>
        </w:tc>
      </w:tr>
      <w:tr>
        <w:trPr>
          <w:trHeight w:val="196"/>
        </w:trPr>
        <w:tc>
          <w:tcPr>
            <w:tcW w:w="464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464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9"/>
              </w:rPr>
              <w:t>Net income .................................</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12.4%</w:t>
            </w:r>
          </w:p>
        </w:tc>
        <w:tc>
          <w:tcPr>
            <w:tcW w:w="8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13.7%</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12.7%</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13.4%</w:t>
            </w:r>
          </w:p>
        </w:tc>
      </w:tr>
      <w:tr>
        <w:trPr>
          <w:trHeight w:val="196"/>
        </w:trPr>
        <w:tc>
          <w:tcPr>
            <w:tcW w:w="464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785"/>
        </w:trPr>
        <w:tc>
          <w:tcPr>
            <w:tcW w:w="46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21</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703" w:right="1440" w:bottom="1440" w:gutter="0" w:footer="0" w:header="0"/>
        </w:sectPr>
      </w:pPr>
    </w:p>
    <w:bookmarkStart w:id="23" w:name="page24"/>
    <w:bookmarkEnd w:id="23"/>
    <w:p>
      <w:pPr>
        <w:ind w:left="520"/>
        <w:spacing w:after="0"/>
        <w:rPr>
          <w:sz w:val="20"/>
          <w:szCs w:val="20"/>
          <w:color w:val="auto"/>
        </w:rPr>
      </w:pPr>
      <w:r>
        <w:rPr>
          <w:rFonts w:ascii="Courier New" w:cs="Courier New" w:eastAsia="Courier New" w:hAnsi="Courier New"/>
          <w:sz w:val="17"/>
          <w:szCs w:val="17"/>
          <w:color w:val="auto"/>
        </w:rPr>
        <w:t>NINE MONTHS ENDED JUNE 30, 2007 AND 2006</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The following is a tabular presentation of our results of operations for the nine months ended June 30, 2007 compared to the nine months ended June 30, 2006. Following the table is a discussion and analysis of our business and results of operations for the mentioned periods.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3"/>
          </w:tcPr>
          <w:p>
            <w:pPr>
              <w:jc w:val="right"/>
              <w:ind w:right="415"/>
              <w:spacing w:after="0"/>
              <w:rPr>
                <w:sz w:val="20"/>
                <w:szCs w:val="20"/>
                <w:color w:val="auto"/>
              </w:rPr>
            </w:pPr>
            <w:r>
              <w:rPr>
                <w:rFonts w:ascii="Courier New" w:cs="Courier New" w:eastAsia="Courier New" w:hAnsi="Courier New"/>
                <w:sz w:val="17"/>
                <w:szCs w:val="17"/>
                <w:color w:val="auto"/>
              </w:rPr>
              <w:t>NINE MONTHS ENDED</w:t>
            </w: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6"/>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3"/>
          </w:tcPr>
          <w:p>
            <w:pPr>
              <w:jc w:val="right"/>
              <w:ind w:right="835"/>
              <w:spacing w:after="0"/>
              <w:rPr>
                <w:sz w:val="20"/>
                <w:szCs w:val="20"/>
                <w:color w:val="auto"/>
              </w:rPr>
            </w:pPr>
            <w:r>
              <w:rPr>
                <w:rFonts w:ascii="Courier New" w:cs="Courier New" w:eastAsia="Courier New" w:hAnsi="Courier New"/>
                <w:sz w:val="17"/>
                <w:szCs w:val="17"/>
                <w:color w:val="auto"/>
              </w:rPr>
              <w:t>JUNE 30,</w:t>
            </w:r>
          </w:p>
        </w:tc>
        <w:tc>
          <w:tcPr>
            <w:tcW w:w="2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INCREASE (DECREASE)</w:t>
            </w:r>
          </w:p>
        </w:tc>
      </w:tr>
      <w:tr>
        <w:trPr>
          <w:trHeight w:val="196"/>
        </w:trPr>
        <w:tc>
          <w:tcPr>
            <w:tcW w:w="424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2"/>
              </w:rPr>
              <w:t>-----------------------</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2007</w:t>
            </w:r>
          </w:p>
        </w:tc>
        <w:tc>
          <w:tcPr>
            <w:tcW w:w="400" w:type="dxa"/>
            <w:vAlign w:val="bottom"/>
          </w:tcPr>
          <w:p>
            <w:pPr>
              <w:spacing w:after="0"/>
              <w:rPr>
                <w:sz w:val="17"/>
                <w:szCs w:val="17"/>
                <w:color w:val="auto"/>
              </w:rPr>
            </w:pPr>
          </w:p>
        </w:tc>
        <w:tc>
          <w:tcPr>
            <w:tcW w:w="11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2006</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AMOUNT</w:t>
            </w:r>
          </w:p>
        </w:tc>
        <w:tc>
          <w:tcPr>
            <w:tcW w:w="8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424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w w:val="98"/>
              </w:rPr>
              <w:t>(in thousands)</w:t>
            </w: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4240" w:type="dxa"/>
            <w:vAlign w:val="bottom"/>
          </w:tcPr>
          <w:p>
            <w:pPr>
              <w:spacing w:after="0"/>
              <w:rPr>
                <w:sz w:val="17"/>
                <w:szCs w:val="17"/>
                <w:color w:val="auto"/>
              </w:rPr>
            </w:pPr>
          </w:p>
        </w:tc>
        <w:tc>
          <w:tcPr>
            <w:tcW w:w="3920" w:type="dxa"/>
            <w:vAlign w:val="bottom"/>
            <w:gridSpan w:val="5"/>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7"/>
                <w:szCs w:val="17"/>
                <w:color w:val="auto"/>
              </w:rPr>
            </w:pPr>
          </w:p>
        </w:tc>
      </w:tr>
      <w:tr>
        <w:trPr>
          <w:trHeight w:val="392"/>
        </w:trPr>
        <w:tc>
          <w:tcPr>
            <w:tcW w:w="424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4240" w:type="dxa"/>
            <w:vAlign w:val="bottom"/>
          </w:tcPr>
          <w:p>
            <w:pPr>
              <w:ind w:left="320"/>
              <w:spacing w:after="0"/>
              <w:rPr>
                <w:sz w:val="20"/>
                <w:szCs w:val="20"/>
                <w:color w:val="auto"/>
              </w:rPr>
            </w:pPr>
            <w:r>
              <w:rPr>
                <w:rFonts w:ascii="Courier New" w:cs="Courier New" w:eastAsia="Courier New" w:hAnsi="Courier New"/>
                <w:sz w:val="17"/>
                <w:szCs w:val="17"/>
                <w:color w:val="auto"/>
              </w:rPr>
              <w:t>License .............................</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113,091</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85,172</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$ 27,919</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32.8%</w:t>
            </w:r>
          </w:p>
        </w:tc>
      </w:tr>
      <w:tr>
        <w:trPr>
          <w:trHeight w:val="196"/>
        </w:trPr>
        <w:tc>
          <w:tcPr>
            <w:tcW w:w="4240" w:type="dxa"/>
            <w:vAlign w:val="bottom"/>
          </w:tcPr>
          <w:p>
            <w:pPr>
              <w:ind w:left="320"/>
              <w:spacing w:after="0"/>
              <w:rPr>
                <w:sz w:val="20"/>
                <w:szCs w:val="20"/>
                <w:color w:val="auto"/>
              </w:rPr>
            </w:pPr>
            <w:r>
              <w:rPr>
                <w:rFonts w:ascii="Courier New" w:cs="Courier New" w:eastAsia="Courier New" w:hAnsi="Courier New"/>
                <w:sz w:val="17"/>
                <w:szCs w:val="17"/>
                <w:color w:val="auto"/>
              </w:rPr>
              <w:t>Service .............................</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1,996,393</w:t>
            </w:r>
          </w:p>
        </w:tc>
        <w:tc>
          <w:tcPr>
            <w:tcW w:w="4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1,729,433</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266,960</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15.4</w:t>
            </w:r>
          </w:p>
        </w:tc>
      </w:tr>
      <w:tr>
        <w:trPr>
          <w:trHeight w:val="196"/>
        </w:trPr>
        <w:tc>
          <w:tcPr>
            <w:tcW w:w="424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7"/>
                <w:szCs w:val="17"/>
                <w:color w:val="auto"/>
              </w:rPr>
            </w:pPr>
          </w:p>
        </w:tc>
      </w:tr>
      <w:tr>
        <w:trPr>
          <w:trHeight w:val="196"/>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2,109,484</w:t>
            </w:r>
          </w:p>
        </w:tc>
        <w:tc>
          <w:tcPr>
            <w:tcW w:w="4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1,814,605</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294,879</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16.3</w:t>
            </w:r>
          </w:p>
        </w:tc>
      </w:tr>
      <w:tr>
        <w:trPr>
          <w:trHeight w:val="196"/>
        </w:trPr>
        <w:tc>
          <w:tcPr>
            <w:tcW w:w="424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7"/>
                <w:szCs w:val="17"/>
                <w:color w:val="auto"/>
              </w:rPr>
            </w:pPr>
          </w:p>
        </w:tc>
      </w:tr>
      <w:tr>
        <w:trPr>
          <w:trHeight w:val="196"/>
        </w:trPr>
        <w:tc>
          <w:tcPr>
            <w:tcW w:w="424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424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 .....................</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3,045</w:t>
            </w:r>
          </w:p>
        </w:tc>
        <w:tc>
          <w:tcPr>
            <w:tcW w:w="4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2,973</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72</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2.4</w:t>
            </w:r>
          </w:p>
        </w:tc>
      </w:tr>
      <w:tr>
        <w:trPr>
          <w:trHeight w:val="196"/>
        </w:trPr>
        <w:tc>
          <w:tcPr>
            <w:tcW w:w="424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 .....................</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1,330,776</w:t>
            </w:r>
          </w:p>
        </w:tc>
        <w:tc>
          <w:tcPr>
            <w:tcW w:w="4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1,165,010</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165,766</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14.2</w:t>
            </w:r>
          </w:p>
        </w:tc>
      </w:tr>
      <w:tr>
        <w:trPr>
          <w:trHeight w:val="196"/>
        </w:trPr>
        <w:tc>
          <w:tcPr>
            <w:tcW w:w="4240" w:type="dxa"/>
            <w:vAlign w:val="bottom"/>
          </w:tcPr>
          <w:p>
            <w:pPr>
              <w:ind w:left="320"/>
              <w:spacing w:after="0"/>
              <w:rPr>
                <w:sz w:val="20"/>
                <w:szCs w:val="20"/>
                <w:color w:val="auto"/>
              </w:rPr>
            </w:pPr>
            <w:r>
              <w:rPr>
                <w:rFonts w:ascii="Courier New" w:cs="Courier New" w:eastAsia="Courier New" w:hAnsi="Courier New"/>
                <w:sz w:val="17"/>
                <w:szCs w:val="17"/>
                <w:color w:val="auto"/>
              </w:rPr>
              <w:t>Research and development ............</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174,929</w:t>
            </w:r>
          </w:p>
        </w:tc>
        <w:tc>
          <w:tcPr>
            <w:tcW w:w="4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131,392</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43,537</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33.1</w:t>
            </w:r>
          </w:p>
        </w:tc>
      </w:tr>
      <w:tr>
        <w:trPr>
          <w:trHeight w:val="196"/>
        </w:trPr>
        <w:tc>
          <w:tcPr>
            <w:tcW w:w="424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42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administrative ...................</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274,895</w:t>
            </w:r>
          </w:p>
        </w:tc>
        <w:tc>
          <w:tcPr>
            <w:tcW w:w="4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227,289</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47,606</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20.9</w:t>
            </w:r>
          </w:p>
        </w:tc>
      </w:tr>
      <w:tr>
        <w:trPr>
          <w:trHeight w:val="196"/>
        </w:trPr>
        <w:tc>
          <w:tcPr>
            <w:tcW w:w="424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purchased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42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intangible assets ................</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55,785</w:t>
            </w:r>
          </w:p>
        </w:tc>
        <w:tc>
          <w:tcPr>
            <w:tcW w:w="4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23,588</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32,197</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136.5</w:t>
            </w:r>
          </w:p>
        </w:tc>
      </w:tr>
      <w:tr>
        <w:trPr>
          <w:trHeight w:val="196"/>
        </w:trPr>
        <w:tc>
          <w:tcPr>
            <w:tcW w:w="4240" w:type="dxa"/>
            <w:vAlign w:val="bottom"/>
          </w:tcPr>
          <w:p>
            <w:pPr>
              <w:ind w:left="320"/>
              <w:spacing w:after="0"/>
              <w:rPr>
                <w:sz w:val="20"/>
                <w:szCs w:val="20"/>
                <w:color w:val="auto"/>
              </w:rPr>
            </w:pPr>
            <w:r>
              <w:rPr>
                <w:rFonts w:ascii="Courier New" w:cs="Courier New" w:eastAsia="Courier New" w:hAnsi="Courier New"/>
                <w:sz w:val="17"/>
                <w:szCs w:val="17"/>
                <w:color w:val="auto"/>
              </w:rPr>
              <w:t>Restructuring charges,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4240" w:type="dxa"/>
            <w:vAlign w:val="bottom"/>
          </w:tcPr>
          <w:p>
            <w:pPr>
              <w:ind w:left="620"/>
              <w:spacing w:after="0"/>
              <w:rPr>
                <w:sz w:val="20"/>
                <w:szCs w:val="20"/>
                <w:color w:val="auto"/>
              </w:rPr>
            </w:pPr>
            <w:r>
              <w:rPr>
                <w:rFonts w:ascii="Courier New" w:cs="Courier New" w:eastAsia="Courier New" w:hAnsi="Courier New"/>
                <w:sz w:val="17"/>
                <w:szCs w:val="17"/>
                <w:color w:val="auto"/>
              </w:rPr>
              <w:t>in-process research and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42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development and other ............</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6,761</w:t>
            </w:r>
          </w:p>
        </w:tc>
        <w:tc>
          <w:tcPr>
            <w:tcW w:w="4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8,415</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(1,654)</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(19.7)</w:t>
            </w:r>
          </w:p>
        </w:tc>
      </w:tr>
      <w:tr>
        <w:trPr>
          <w:trHeight w:val="196"/>
        </w:trPr>
        <w:tc>
          <w:tcPr>
            <w:tcW w:w="424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7"/>
                <w:szCs w:val="17"/>
                <w:color w:val="auto"/>
              </w:rPr>
            </w:pPr>
          </w:p>
        </w:tc>
      </w:tr>
      <w:tr>
        <w:trPr>
          <w:trHeight w:val="196"/>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1,846,191</w:t>
            </w:r>
          </w:p>
        </w:tc>
        <w:tc>
          <w:tcPr>
            <w:tcW w:w="4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1,558,667</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287,524</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18.4</w:t>
            </w:r>
          </w:p>
        </w:tc>
      </w:tr>
      <w:tr>
        <w:trPr>
          <w:trHeight w:val="196"/>
        </w:trPr>
        <w:tc>
          <w:tcPr>
            <w:tcW w:w="424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7"/>
                <w:szCs w:val="17"/>
                <w:color w:val="auto"/>
              </w:rPr>
            </w:pPr>
          </w:p>
        </w:tc>
      </w:tr>
      <w:tr>
        <w:trPr>
          <w:trHeight w:val="196"/>
        </w:trPr>
        <w:tc>
          <w:tcPr>
            <w:tcW w:w="424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Operating income .......................</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263,293</w:t>
            </w:r>
          </w:p>
        </w:tc>
        <w:tc>
          <w:tcPr>
            <w:tcW w:w="4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255,938</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7,355</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2.9</w:t>
            </w:r>
          </w:p>
        </w:tc>
      </w:tr>
      <w:tr>
        <w:trPr>
          <w:trHeight w:val="196"/>
        </w:trPr>
        <w:tc>
          <w:tcPr>
            <w:tcW w:w="424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Interest income and other, net .........</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36,928</w:t>
            </w:r>
          </w:p>
        </w:tc>
        <w:tc>
          <w:tcPr>
            <w:tcW w:w="4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33,659</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3,269</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9.7</w:t>
            </w:r>
          </w:p>
        </w:tc>
      </w:tr>
      <w:tr>
        <w:trPr>
          <w:trHeight w:val="196"/>
        </w:trPr>
        <w:tc>
          <w:tcPr>
            <w:tcW w:w="424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7"/>
                <w:szCs w:val="17"/>
                <w:color w:val="auto"/>
              </w:rPr>
            </w:pPr>
          </w:p>
        </w:tc>
      </w:tr>
      <w:tr>
        <w:trPr>
          <w:trHeight w:val="196"/>
        </w:trPr>
        <w:tc>
          <w:tcPr>
            <w:tcW w:w="424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Income before income taxes .............</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300,221</w:t>
            </w:r>
          </w:p>
        </w:tc>
        <w:tc>
          <w:tcPr>
            <w:tcW w:w="4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289,597</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10,624</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3.7</w:t>
            </w:r>
          </w:p>
        </w:tc>
      </w:tr>
      <w:tr>
        <w:trPr>
          <w:trHeight w:val="196"/>
        </w:trPr>
        <w:tc>
          <w:tcPr>
            <w:tcW w:w="424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Income taxes ...........................</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31,527</w:t>
            </w:r>
          </w:p>
        </w:tc>
        <w:tc>
          <w:tcPr>
            <w:tcW w:w="4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46,916</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(15,389)</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(32.8)</w:t>
            </w:r>
          </w:p>
        </w:tc>
      </w:tr>
      <w:tr>
        <w:trPr>
          <w:trHeight w:val="196"/>
        </w:trPr>
        <w:tc>
          <w:tcPr>
            <w:tcW w:w="424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7"/>
                <w:szCs w:val="17"/>
                <w:color w:val="auto"/>
              </w:rPr>
            </w:pPr>
          </w:p>
        </w:tc>
      </w:tr>
      <w:tr>
        <w:trPr>
          <w:trHeight w:val="196"/>
        </w:trPr>
        <w:tc>
          <w:tcPr>
            <w:tcW w:w="424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Net income .............................</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268,694</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242,681</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$ 26,013</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10.7%</w:t>
            </w:r>
          </w:p>
        </w:tc>
      </w:tr>
      <w:tr>
        <w:trPr>
          <w:trHeight w:val="196"/>
        </w:trPr>
        <w:tc>
          <w:tcPr>
            <w:tcW w:w="424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7"/>
                <w:szCs w:val="17"/>
                <w:color w:val="auto"/>
              </w:rPr>
            </w:pPr>
          </w:p>
        </w:tc>
      </w:tr>
    </w:tbl>
    <w:p>
      <w:pPr>
        <w:spacing w:after="0" w:line="39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REVENUE. Total revenue increased by $294.9 million, or 16.3%, in the nine months ended June 30, 2007 to $2,109.5 million from $1,814.6 million in the nine months ended June 30, 2006. Approximately 50% of the increase was attributable to revenue contributed by acquisitions made during fiscal 2006 and 2007, and the remainder was primarily attributable to additional revenue from consolidation and transformation projects for tier one customers.</w:t>
      </w:r>
    </w:p>
    <w:p>
      <w:pPr>
        <w:spacing w:after="0" w:line="199" w:lineRule="exact"/>
        <w:rPr>
          <w:sz w:val="20"/>
          <w:szCs w:val="20"/>
          <w:color w:val="auto"/>
        </w:rPr>
      </w:pPr>
    </w:p>
    <w:p>
      <w:pPr>
        <w:jc w:val="both"/>
        <w:ind w:right="2059" w:firstLine="510"/>
        <w:spacing w:after="0" w:line="259" w:lineRule="auto"/>
        <w:rPr>
          <w:sz w:val="20"/>
          <w:szCs w:val="20"/>
          <w:color w:val="auto"/>
        </w:rPr>
      </w:pPr>
      <w:r>
        <w:rPr>
          <w:rFonts w:ascii="Courier New" w:cs="Courier New" w:eastAsia="Courier New" w:hAnsi="Courier New"/>
          <w:sz w:val="16"/>
          <w:szCs w:val="16"/>
          <w:color w:val="auto"/>
        </w:rPr>
        <w:t>License and service revenue attributable to the sale of Customer Experience Systems was $1,896.8 million in the nine months ended June 30, 2007, an increase of $289.6 million, or 18.0%, over the nine months ended June 30, 2006.</w:t>
      </w:r>
    </w:p>
    <w:p>
      <w:pPr>
        <w:spacing w:after="0" w:line="2"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Approximately 51% of the increase was attributable to revenue contributed by acquisitions made during fiscal 2006 and 2007, and the remainder was primarily attributable to additional revenue from consolidation and transformation projects for tier one customers. License and service revenue resulted from the sale of Customer Experience Systems represented 89.9% and 88.6% of our total revenue in the nine months ended June 30, 2007 and 2006, respectively. We believe the demand for our Customer Experience Systems is primarily driven by the need for communications service providers to achieve integrated customer management. Although the pace at which service providers were embarking on transformation projects at the beginning of the year was not as we expected, we continue to regard these projects as a long term industry trend that will continue to drive the demand for our Customer Experience Systems.</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3" w:right="1440" w:bottom="1440" w:gutter="0" w:footer="0" w:header="0"/>
        </w:sectPr>
      </w:pPr>
    </w:p>
    <w:bookmarkStart w:id="24" w:name="page25"/>
    <w:bookmarkEnd w:id="24"/>
    <w:p>
      <w:pPr>
        <w:ind w:right="2159" w:firstLine="510"/>
        <w:spacing w:after="0" w:line="244" w:lineRule="auto"/>
        <w:rPr>
          <w:sz w:val="20"/>
          <w:szCs w:val="20"/>
          <w:color w:val="auto"/>
        </w:rPr>
      </w:pPr>
      <w:r>
        <w:rPr>
          <w:rFonts w:ascii="Courier New" w:cs="Courier New" w:eastAsia="Courier New" w:hAnsi="Courier New"/>
          <w:sz w:val="17"/>
          <w:szCs w:val="17"/>
          <w:color w:val="auto"/>
        </w:rPr>
        <w:t>License and service revenue from the sale of Directory Systems was $212.7 million in the nine months ended June 30, 2007, an increase of $5.3 million, or 2.5%, over the nine months ended June 30, 2006. The increase in Directory Systems revenue in the nine months ended June 30, 2007 was primarily attributable to increase in revenue from customers in Europe. License and service revenue from the sale of Directory Systems represented 10.1% and 11.4% of our total revenue in the nine months ended June 30, 2007 and 2006, respectively. We believe that we are a leading provider of Directory Systems in most of the markets we serve.</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the nine months ended June 30, 2007, revenue from customers in North America, Europe and the rest of the world accounted for 66.4%, 22.6% and 11.0%, respectively, of total revenue compared to 70.3%, 21.5% and 8.2%, respectively, in the nine months ended June 30, 2006. Revenue from customers in North America increased in absolute amounts, but the increase was less than the 16.3% increase in our total revenue which resulted in a decrease in revenue from customers in North America as a percentage of total revenue . Approximately 81% of the increase in revenue from customers in Europe, in absolute amount, was attributable to revenues contributed by acquisitions made during fiscal 2006 and 2007, and the remainder was primarily attributable to projects for tier one customers. The increase in revenue from customers in the rest of the world in the nine months ended June 30, 2007 was attributable primarily to revenue contributed in Asia Pacific.</w:t>
      </w:r>
    </w:p>
    <w:p>
      <w:pPr>
        <w:spacing w:after="0" w:line="202"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nine months ended June 30, 2007, cost of license as a percentage of license revenue was 2.7%, compared to 3.5% in the nine months ended June 30, 2006.</w:t>
      </w:r>
    </w:p>
    <w:p>
      <w:pPr>
        <w:spacing w:after="0" w:line="199"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COST OF SERVICE. Cost of service consists primarily of costs associated with providing services to customers, including compensation expense and costs of third-party products. The increase in cost of service in the nine months ended June 30, 2007 was $165.8 million or 14.2%, which is less than the increase in our total revenue in the nine months ended June 30, 2007. As a percentage of revenue, cost of service was 63.1% in the nine months ended June 30, 2007, compared to 64.2% in the nine months ended June 30, 2006. The decrease in cost of service in the nine months ended June 30, 2007 as a percentage of revenue was attributable to a decrease in cost of service expense related to our core business, partially offset by cost of service expense related to our fiscal 2006 and 2007 acquisitions. Our cost of service and gross margin may vary depending on the types and geographic locations of projects that we undertake.</w:t>
      </w:r>
    </w:p>
    <w:p>
      <w:pPr>
        <w:spacing w:after="0" w:line="185"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RESEARCH AND DEVELOPMENT. Research and development expense is primarily comprised of compensation expense. Research and development expense increased by $43.5 million, or 33.1%, in the nine months ended June 30, 2007 to $174.9 million from $131.4 million in the nine months ended June 30, 2006. Research and development expense increased as a percentage of revenue from 7.2% in the nine months ended June 30, 2006 to 8.3% in the nine months ended June 30, 2007. The increase in research and development expense as a percentage of revenue was attributable primarily to research and development activities related to our fiscal 2006 and 2007 acquisitions.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202"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SELLING, GENERAL AND ADMINISTRATIVE. Selling, general and administrative expense increased by $47.6 million, or 20.9%, in the nine months ended June 30, 2007 to $274.9 million, from $227.3 million in the nine months ended June 30, 2006. Selling, general and administrative expense is primarily comprised of compensation expense. The increase in selling, general and administrative expense in absolute amount is attributable to selling, general and administrative expense related to our fiscal 2006 and 2007 acquisitions.</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04" w:right="1440" w:bottom="1440" w:gutter="0" w:footer="0" w:header="0"/>
        </w:sectPr>
      </w:pPr>
    </w:p>
    <w:bookmarkStart w:id="25" w:name="page26"/>
    <w:bookmarkEnd w:id="25"/>
    <w:p>
      <w:pPr>
        <w:ind w:right="2259" w:firstLine="510"/>
        <w:spacing w:after="0" w:line="244" w:lineRule="auto"/>
        <w:rPr>
          <w:sz w:val="20"/>
          <w:szCs w:val="20"/>
          <w:color w:val="auto"/>
        </w:rPr>
      </w:pPr>
      <w:r>
        <w:rPr>
          <w:rFonts w:ascii="Courier New" w:cs="Courier New" w:eastAsia="Courier New" w:hAnsi="Courier New"/>
          <w:sz w:val="17"/>
          <w:szCs w:val="17"/>
          <w:color w:val="auto"/>
        </w:rPr>
        <w:t>AMORTIZATION OF PURCHASED INTANGIBLE ASSETS. Amortization of purchased intangible assets in the nine months ended June 30, 2007 was $55.8 million, compared to $23.6 million in the nine months ended June 30, 2006. The increase in amortization of purchased intangible assets was due to purchased intangible assets acquired in our fiscal 2006 and 2007 acquisitions.</w:t>
      </w:r>
    </w:p>
    <w:p>
      <w:pPr>
        <w:spacing w:after="0" w:line="198" w:lineRule="exact"/>
        <w:rPr>
          <w:sz w:val="20"/>
          <w:szCs w:val="20"/>
          <w:color w:val="auto"/>
        </w:rPr>
      </w:pPr>
    </w:p>
    <w:p>
      <w:pPr>
        <w:ind w:right="2059" w:firstLine="510"/>
        <w:spacing w:after="0" w:line="262" w:lineRule="auto"/>
        <w:rPr>
          <w:sz w:val="20"/>
          <w:szCs w:val="20"/>
          <w:color w:val="auto"/>
        </w:rPr>
      </w:pPr>
      <w:r>
        <w:rPr>
          <w:rFonts w:ascii="Courier New" w:cs="Courier New" w:eastAsia="Courier New" w:hAnsi="Courier New"/>
          <w:sz w:val="16"/>
          <w:szCs w:val="16"/>
          <w:color w:val="auto"/>
        </w:rPr>
        <w:t>RESTRUCTURING CHARGES, IN-PROCESS RESEARCH AND DEVELOPMENT AND OTHER. Restructuring charges, in-process research and development and other in the nine months ended June 30, 2007 consisted of a $6.0 million restructuring charge related to our restructuring plan in the second quarter of fiscal 2007, and a charge of $2.7 million for the write-off of purchased in-process research and development related to our acquisition of SigValue, offset by the cumulative effect of our 14% share in SigValue's pre-acquisition results of $1.9 million.</w:t>
      </w:r>
    </w:p>
    <w:p>
      <w:pPr>
        <w:spacing w:after="0" w:line="185"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OPERATING INCOME. Operating income increased by $7.4 million, or 2.9%, in the nine months ended June 30, 2007, to $263.3 million, or 12.5% of revenue, from $255.9 million, or 14.1% of revenue, in the nine months ended June 30, 2006. The decrease in operating income as a percentage of revenue was attributable to an 18.4% increase in operating expense which grew at a greater rate than the 16.3% increase in revenue during the nine months ended June 30, 2007. The increase in operating expense as a percentage of revenue is primarily attributable to the increases in amortization of purchased intangible assets, and to operating expense related to our fiscal 2006 and 2007 acquisitions, partially offset by a decrease in our core operating expenses as a percentage of revenue.</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INTEREST INCOME AND OTHER, NET. Interest income and other, net increased by $3.3 million in the nine months ended June 30, 2007 to $36.9 million from $33.6 million in the nine months ended June 30, 2006. The increase in interest income and other, net, is primarily attributable to the impact of foreign exchange benefits.</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INCOME TAXES. Income taxes for the nine months ended June 30, 2007 were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$31.5 million on pretax income of $300.2 million, resulting in an effective tax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rate of 10.5% compared to 16.2% in the nine months ended June 30, 2006.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reduction in our effective tax rate, 3.2% was attributable to the net effect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acquisition-related costs (which include amortization of purchased intangible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 and other), restructuring charges and equity-based compensation expense,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2.8% was attributable to the net change in valuation allowances and tax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reserves, offset by 2.8% attributable to adjustments to deferred tax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liabilities related to two fiscal 2006 acquisitions, and the remaining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difference was primarily attributable to the geographical distribution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from global operations. Our effective tax rate for fiscal year 2007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expected to be between 10% and 13% on an annualized basis compared to 14.8%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year 2006. Our effective tax rate may fluctuate between quarters as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 of discrete items that may affect a specific quarter as well as changes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the Company's tax reserves in the ordinary course of business.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NET INCOME. Net income was $268.7 million in the nine months ended June 30, 2007, compared to net income of $242.7 million in the nine months ended June 30, 2006. The increase in net income is attributable to the increase in operating income and interest income and other, net and to the decrease of our effective tax rate in the nine months ended June 30, 2007.</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DILUTED EARNINGS PER SHARE. Diluted earnings per share increased by $0.09, or 8.0%, in the nine months ended June 30, 2007 to $1.22 from $1.13 in the nine months ended June 30, 2006. The increase in diluted earnings per share resulted from the increase in net income partially offset by the increase in diluted weighted average number of shares outstanding.</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04" w:right="1440" w:bottom="1440" w:gutter="0" w:footer="0" w:header="0"/>
        </w:sectPr>
      </w:pPr>
    </w:p>
    <w:bookmarkStart w:id="26" w:name="page27"/>
    <w:bookmarkEnd w:id="26"/>
    <w:p>
      <w:pPr>
        <w:ind w:left="520"/>
        <w:spacing w:after="0"/>
        <w:rPr>
          <w:sz w:val="20"/>
          <w:szCs w:val="20"/>
          <w:color w:val="auto"/>
        </w:rPr>
      </w:pPr>
      <w:r>
        <w:rPr>
          <w:rFonts w:ascii="Courier New" w:cs="Courier New" w:eastAsia="Courier New" w:hAnsi="Courier New"/>
          <w:sz w:val="17"/>
          <w:szCs w:val="17"/>
          <w:color w:val="auto"/>
        </w:rPr>
        <w:t>THREE MONTHS ENDED JUNE 30, 2007 AND 2006</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following is a tabular presentation of our results of operations for the three months ended June 30, 2007 compared to the three months ended June 30, 2006. Following the table is a discussion and analysis of our business and results of operations for such periods.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w w:val="99"/>
              </w:rPr>
              <w:t>THREE MONTHS ENDED</w:t>
            </w:r>
          </w:p>
        </w:tc>
        <w:tc>
          <w:tcPr>
            <w:tcW w:w="17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INCREASE</w:t>
            </w:r>
          </w:p>
        </w:tc>
      </w:tr>
      <w:tr>
        <w:trPr>
          <w:trHeight w:val="196"/>
        </w:trPr>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gridSpan w:val="2"/>
          </w:tcPr>
          <w:p>
            <w:pPr>
              <w:jc w:val="right"/>
              <w:ind w:right="735"/>
              <w:spacing w:after="0"/>
              <w:rPr>
                <w:sz w:val="20"/>
                <w:szCs w:val="20"/>
                <w:color w:val="auto"/>
              </w:rPr>
            </w:pPr>
            <w:r>
              <w:rPr>
                <w:rFonts w:ascii="Courier New" w:cs="Courier New" w:eastAsia="Courier New" w:hAnsi="Courier New"/>
                <w:sz w:val="17"/>
                <w:szCs w:val="17"/>
                <w:color w:val="auto"/>
              </w:rPr>
              <w:t>JUNE 30,</w:t>
            </w:r>
          </w:p>
        </w:tc>
        <w:tc>
          <w:tcPr>
            <w:tcW w:w="17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(DECREASE)</w:t>
            </w:r>
          </w:p>
        </w:tc>
      </w:tr>
      <w:tr>
        <w:trPr>
          <w:trHeight w:val="196"/>
        </w:trPr>
        <w:tc>
          <w:tcPr>
            <w:tcW w:w="34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142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2007</w:t>
            </w: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2006</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AMOUNT</w:t>
            </w:r>
          </w:p>
        </w:tc>
        <w:tc>
          <w:tcPr>
            <w:tcW w:w="76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r>
        <w:trPr>
          <w:trHeight w:val="196"/>
        </w:trPr>
        <w:tc>
          <w:tcPr>
            <w:tcW w:w="34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w w:val="98"/>
              </w:rPr>
              <w:t>(in thousands)</w:t>
            </w: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3480" w:type="dxa"/>
            <w:vAlign w:val="bottom"/>
          </w:tcPr>
          <w:p>
            <w:pPr>
              <w:spacing w:after="0"/>
              <w:rPr>
                <w:sz w:val="17"/>
                <w:szCs w:val="17"/>
                <w:color w:val="auto"/>
              </w:rPr>
            </w:pPr>
          </w:p>
        </w:tc>
        <w:tc>
          <w:tcPr>
            <w:tcW w:w="342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spacing w:after="0"/>
              <w:rPr>
                <w:sz w:val="17"/>
                <w:szCs w:val="17"/>
                <w:color w:val="auto"/>
              </w:rPr>
            </w:pPr>
          </w:p>
        </w:tc>
      </w:tr>
      <w:tr>
        <w:trPr>
          <w:trHeight w:val="392"/>
        </w:trPr>
        <w:tc>
          <w:tcPr>
            <w:tcW w:w="348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3480" w:type="dxa"/>
            <w:vAlign w:val="bottom"/>
          </w:tcPr>
          <w:p>
            <w:pPr>
              <w:ind w:left="320"/>
              <w:spacing w:after="0"/>
              <w:rPr>
                <w:sz w:val="20"/>
                <w:szCs w:val="20"/>
                <w:color w:val="auto"/>
              </w:rPr>
            </w:pPr>
            <w:r>
              <w:rPr>
                <w:rFonts w:ascii="Courier New" w:cs="Courier New" w:eastAsia="Courier New" w:hAnsi="Courier New"/>
                <w:sz w:val="17"/>
                <w:szCs w:val="17"/>
                <w:color w:val="auto"/>
              </w:rPr>
              <w:t>License......................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43,821</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$ 23,220</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$20,601</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88.7%</w:t>
            </w:r>
          </w:p>
        </w:tc>
      </w:tr>
      <w:tr>
        <w:trPr>
          <w:trHeight w:val="196"/>
        </w:trPr>
        <w:tc>
          <w:tcPr>
            <w:tcW w:w="3480" w:type="dxa"/>
            <w:vAlign w:val="bottom"/>
          </w:tcPr>
          <w:p>
            <w:pPr>
              <w:ind w:left="320"/>
              <w:spacing w:after="0"/>
              <w:rPr>
                <w:sz w:val="20"/>
                <w:szCs w:val="20"/>
                <w:color w:val="auto"/>
              </w:rPr>
            </w:pPr>
            <w:r>
              <w:rPr>
                <w:rFonts w:ascii="Courier New" w:cs="Courier New" w:eastAsia="Courier New" w:hAnsi="Courier New"/>
                <w:sz w:val="17"/>
                <w:szCs w:val="17"/>
                <w:color w:val="auto"/>
              </w:rPr>
              <w:t>Service......................</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668,270</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603,228</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65,042</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10.8</w:t>
            </w:r>
          </w:p>
        </w:tc>
      </w:tr>
      <w:tr>
        <w:trPr>
          <w:trHeight w:val="196"/>
        </w:trPr>
        <w:tc>
          <w:tcPr>
            <w:tcW w:w="34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spacing w:after="0"/>
              <w:rPr>
                <w:sz w:val="17"/>
                <w:szCs w:val="17"/>
                <w:color w:val="auto"/>
              </w:rPr>
            </w:pPr>
          </w:p>
        </w:tc>
      </w:tr>
      <w:tr>
        <w:trPr>
          <w:trHeight w:val="196"/>
        </w:trPr>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712,091</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626,448</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85,643</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13.7</w:t>
            </w:r>
          </w:p>
        </w:tc>
      </w:tr>
      <w:tr>
        <w:trPr>
          <w:trHeight w:val="196"/>
        </w:trPr>
        <w:tc>
          <w:tcPr>
            <w:tcW w:w="34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spacing w:after="0"/>
              <w:rPr>
                <w:sz w:val="17"/>
                <w:szCs w:val="17"/>
                <w:color w:val="auto"/>
              </w:rPr>
            </w:pP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348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960</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995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196"/>
        </w:trPr>
        <w:tc>
          <w:tcPr>
            <w:tcW w:w="348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448,795</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402,626</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46,169</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11.5</w:t>
            </w:r>
          </w:p>
        </w:tc>
      </w:tr>
      <w:tr>
        <w:trPr>
          <w:trHeight w:val="196"/>
        </w:trPr>
        <w:tc>
          <w:tcPr>
            <w:tcW w:w="3480" w:type="dxa"/>
            <w:vAlign w:val="bottom"/>
          </w:tcPr>
          <w:p>
            <w:pPr>
              <w:ind w:left="320"/>
              <w:spacing w:after="0"/>
              <w:rPr>
                <w:sz w:val="20"/>
                <w:szCs w:val="20"/>
                <w:color w:val="auto"/>
              </w:rPr>
            </w:pPr>
            <w:r>
              <w:rPr>
                <w:rFonts w:ascii="Courier New" w:cs="Courier New" w:eastAsia="Courier New" w:hAnsi="Courier New"/>
                <w:sz w:val="17"/>
                <w:szCs w:val="17"/>
                <w:color w:val="auto"/>
              </w:rPr>
              <w:t>Research and development.....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56,727</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46,455</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10,272</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22.1</w:t>
            </w:r>
          </w:p>
        </w:tc>
      </w:tr>
      <w:tr>
        <w:trPr>
          <w:trHeight w:val="196"/>
        </w:trPr>
        <w:tc>
          <w:tcPr>
            <w:tcW w:w="348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34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administrative............</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94,445</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74,940</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19,505</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26.0</w:t>
            </w:r>
          </w:p>
        </w:tc>
      </w:tr>
      <w:tr>
        <w:trPr>
          <w:trHeight w:val="196"/>
        </w:trPr>
        <w:tc>
          <w:tcPr>
            <w:tcW w:w="348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purchased</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34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intangible assets.........</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19,175</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8,547</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10,628</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124.3</w:t>
            </w:r>
          </w:p>
        </w:tc>
      </w:tr>
      <w:tr>
        <w:trPr>
          <w:trHeight w:val="196"/>
        </w:trPr>
        <w:tc>
          <w:tcPr>
            <w:tcW w:w="3480" w:type="dxa"/>
            <w:vAlign w:val="bottom"/>
          </w:tcPr>
          <w:p>
            <w:pPr>
              <w:ind w:left="320"/>
              <w:spacing w:after="0"/>
              <w:rPr>
                <w:sz w:val="20"/>
                <w:szCs w:val="20"/>
                <w:color w:val="auto"/>
              </w:rPr>
            </w:pPr>
            <w:r>
              <w:rPr>
                <w:rFonts w:ascii="Courier New" w:cs="Courier New" w:eastAsia="Courier New" w:hAnsi="Courier New"/>
                <w:sz w:val="17"/>
                <w:szCs w:val="17"/>
                <w:color w:val="auto"/>
              </w:rPr>
              <w:t>Restructuring charges,</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3480" w:type="dxa"/>
            <w:vAlign w:val="bottom"/>
          </w:tcPr>
          <w:p>
            <w:pPr>
              <w:ind w:left="620"/>
              <w:spacing w:after="0"/>
              <w:rPr>
                <w:sz w:val="20"/>
                <w:szCs w:val="20"/>
                <w:color w:val="auto"/>
              </w:rPr>
            </w:pPr>
            <w:r>
              <w:rPr>
                <w:rFonts w:ascii="Courier New" w:cs="Courier New" w:eastAsia="Courier New" w:hAnsi="Courier New"/>
                <w:sz w:val="17"/>
                <w:szCs w:val="17"/>
                <w:color w:val="auto"/>
              </w:rPr>
              <w:t>in-process research and</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34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development and other.....</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8,415</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(8,415) (100.0)</w:t>
            </w:r>
          </w:p>
        </w:tc>
      </w:tr>
      <w:tr>
        <w:trPr>
          <w:trHeight w:val="196"/>
        </w:trPr>
        <w:tc>
          <w:tcPr>
            <w:tcW w:w="34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spacing w:after="0"/>
              <w:rPr>
                <w:sz w:val="17"/>
                <w:szCs w:val="17"/>
                <w:color w:val="auto"/>
              </w:rPr>
            </w:pPr>
          </w:p>
        </w:tc>
      </w:tr>
      <w:tr>
        <w:trPr>
          <w:trHeight w:val="196"/>
        </w:trPr>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620,102</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541,978</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78,124</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14.4</w:t>
            </w:r>
          </w:p>
        </w:tc>
      </w:tr>
      <w:tr>
        <w:trPr>
          <w:trHeight w:val="196"/>
        </w:trPr>
        <w:tc>
          <w:tcPr>
            <w:tcW w:w="34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spacing w:after="0"/>
              <w:rPr>
                <w:sz w:val="17"/>
                <w:szCs w:val="17"/>
                <w:color w:val="auto"/>
              </w:rPr>
            </w:pPr>
          </w:p>
        </w:tc>
      </w:tr>
      <w:tr>
        <w:trPr>
          <w:trHeight w:val="196"/>
        </w:trPr>
        <w:tc>
          <w:tcPr>
            <w:tcW w:w="348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9"/>
              </w:rPr>
              <w:t>Operating income................</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91,989</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84,470</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7,519</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8.9</w:t>
            </w:r>
          </w:p>
        </w:tc>
      </w:tr>
      <w:tr>
        <w:trPr>
          <w:trHeight w:val="196"/>
        </w:trPr>
        <w:tc>
          <w:tcPr>
            <w:tcW w:w="348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9"/>
              </w:rPr>
              <w:t>Interest income and other, net..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14,290</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14,938</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(648)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r>
        <w:trPr>
          <w:trHeight w:val="196"/>
        </w:trPr>
        <w:tc>
          <w:tcPr>
            <w:tcW w:w="34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spacing w:after="0"/>
              <w:rPr>
                <w:sz w:val="17"/>
                <w:szCs w:val="17"/>
                <w:color w:val="auto"/>
              </w:rPr>
            </w:pPr>
          </w:p>
        </w:tc>
      </w:tr>
      <w:tr>
        <w:trPr>
          <w:trHeight w:val="196"/>
        </w:trPr>
        <w:tc>
          <w:tcPr>
            <w:tcW w:w="348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9"/>
              </w:rPr>
              <w:t>Income before income taxes......</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106,279</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99,408</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6,871</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6.9</w:t>
            </w:r>
          </w:p>
        </w:tc>
      </w:tr>
      <w:tr>
        <w:trPr>
          <w:trHeight w:val="196"/>
        </w:trPr>
        <w:tc>
          <w:tcPr>
            <w:tcW w:w="348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9"/>
              </w:rPr>
              <w:t>Income taxes....................</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18,098</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13,823</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4,275</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30.9</w:t>
            </w:r>
          </w:p>
        </w:tc>
      </w:tr>
      <w:tr>
        <w:trPr>
          <w:trHeight w:val="196"/>
        </w:trPr>
        <w:tc>
          <w:tcPr>
            <w:tcW w:w="34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spacing w:after="0"/>
              <w:rPr>
                <w:sz w:val="17"/>
                <w:szCs w:val="17"/>
                <w:color w:val="auto"/>
              </w:rPr>
            </w:pPr>
          </w:p>
        </w:tc>
      </w:tr>
      <w:tr>
        <w:trPr>
          <w:trHeight w:val="196"/>
        </w:trPr>
        <w:tc>
          <w:tcPr>
            <w:tcW w:w="348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9"/>
              </w:rPr>
              <w:t>Net income......................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88,181</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$ 85,585</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$ 2,596</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196"/>
        </w:trPr>
        <w:tc>
          <w:tcPr>
            <w:tcW w:w="34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spacing w:after="0"/>
              <w:rPr>
                <w:sz w:val="17"/>
                <w:szCs w:val="17"/>
                <w:color w:val="auto"/>
              </w:rPr>
            </w:pPr>
          </w:p>
        </w:tc>
      </w:tr>
    </w:tbl>
    <w:p>
      <w:pPr>
        <w:spacing w:after="0" w:line="39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REVENUE. Total revenue increased by $85.6 million, or 13.7%, in the three months ended June 30, 2007 to $712.1 million from $626.4 million in the three months ended June 30, 2006. Approximately 57% of the increase was attributable to revenue contributed by acquisitions made during fiscal 2006 and 2007, and the remainder was primarily attributable to additional revenue from consolidation and transformation projects for tier one customers.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License revenue was $43.8 million in the three months ended June 30, 2007, an increase of $20.6 million, or 88.7%, over the three months ended June 30, 2006. The increase in license revenue was attributable primarily to license revenue contributed by acquisitions made during fiscal 2006, and to subscriber growth at our customers.</w:t>
      </w:r>
    </w:p>
    <w:p>
      <w:pPr>
        <w:spacing w:after="0" w:line="198" w:lineRule="exact"/>
        <w:rPr>
          <w:sz w:val="20"/>
          <w:szCs w:val="20"/>
          <w:color w:val="auto"/>
        </w:rPr>
      </w:pPr>
    </w:p>
    <w:p>
      <w:pPr>
        <w:jc w:val="both"/>
        <w:ind w:right="2059" w:firstLine="510"/>
        <w:spacing w:after="0" w:line="259" w:lineRule="auto"/>
        <w:rPr>
          <w:sz w:val="20"/>
          <w:szCs w:val="20"/>
          <w:color w:val="auto"/>
        </w:rPr>
      </w:pPr>
      <w:r>
        <w:rPr>
          <w:rFonts w:ascii="Courier New" w:cs="Courier New" w:eastAsia="Courier New" w:hAnsi="Courier New"/>
          <w:sz w:val="16"/>
          <w:szCs w:val="16"/>
          <w:color w:val="auto"/>
        </w:rPr>
        <w:t>License and service revenue attributable to the sale of Customer Experience Systems was $639.9 million in the three months ended June 30, 2007, an increase of $83.4 million, or 15.0%, over the three months ended June 30, 2006.</w:t>
      </w:r>
    </w:p>
    <w:p>
      <w:pPr>
        <w:spacing w:after="0" w:line="2"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Approximately 58% of the increase was attributable to revenue contributed by acquisitions made during fiscal 2006 and 2007, and the remainder was primarily attributable to additional revenue from consolidation and transformation projects for tier one customers. License and service revenue resulted from the sale of Customer Experience Systems represented 89.9% and 88.8% of our total revenue in the three months ended June 30, 2007 and 2006, respectively. We believe the demand for our Customer Experience</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03" w:right="1440" w:bottom="1440" w:gutter="0" w:footer="0" w:header="0"/>
        </w:sectPr>
      </w:pPr>
    </w:p>
    <w:bookmarkStart w:id="27" w:name="page28"/>
    <w:bookmarkEnd w:id="27"/>
    <w:p>
      <w:pPr>
        <w:ind w:right="2059"/>
        <w:spacing w:after="0" w:line="244" w:lineRule="auto"/>
        <w:rPr>
          <w:sz w:val="20"/>
          <w:szCs w:val="20"/>
          <w:color w:val="auto"/>
        </w:rPr>
      </w:pPr>
      <w:r>
        <w:rPr>
          <w:rFonts w:ascii="Courier New" w:cs="Courier New" w:eastAsia="Courier New" w:hAnsi="Courier New"/>
          <w:sz w:val="17"/>
          <w:szCs w:val="17"/>
          <w:color w:val="auto"/>
        </w:rPr>
        <w:t>Systems is primarily driven by the need of communications service providers to achieve integrated customer management. Although the pace at which service providers were embarking on transformation projects at the beginning of the year was not as we expected, we continue to regard these projects as a long term industry trend that will continue to drive the demand for our Customer Experience Systems.</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License and service revenue attributable to the sale of Directory Systems was $72.2 million in the three months ended June 30, 2007, compared to $69.9 million in the three months ended June 30, 2006, an increase of $2.3 million, or 3.3%, over the three months ended June 30, 2006. License and service revenue from the sale of Directory Systems represented 10.1% and 11.2% of our total revenue in the three months ended June 30, 2007 and 2006, respectively. We believe that we are a leading provider of Directory Systems in most of the markets we serve.</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the three months ended June 30, 2007, revenue from customers in North America, Europe and the rest of the world accounted for 64.1%, 22.7% and 13.2%, respectively, of total revenue compared to 68.1%, 24.0% and 7.9%, respectively, in the three months ended June 30, 2006. Revenue from customers in North America increased in absolute amounts, but the increase was less than the 13.7% increase in our total revenue which resulted in a decrease in revenue from customers in North America as a percentage of total revenue. The increase in revenue from customers in the rest of the world in the three months ended June 30, 2007 was attributable primarily to revenue contributed in Asia Pacific.</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June 30, 2007 and 2006, cost of license as a percentage of license revenue was 2.2% and 4.3%, respectively.</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COST OF SERVICE. Cost of service consists primarily of costs associated with providing services to customers, including compensation expense and costs of third-party products. The increase in cost of service in the three months ended June 30, 2007 was 11.5%, which is less than the increase in our total revenue in the three months ended June 30, 2007. As a percentage of revenue, cost of service was 63.0% in the three months ended June 30, 2007, compared to 64.3% in the three months ended June 30, 2006. The decrease in cost of service in the three months ended June 30, 2007 as a percentage of revenue was attributable to a decrease in cost of service expense related to our core business, partially offset by cost of service expense related to our fiscal 2006 and 2007 acquisitions. Our cost of service and gross margin may vary depending on the types and geographic locations of projects that we undertake.</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RESEARCH AND DEVELOPMENT. Research and development expense is primarily comprised of compensation expense. Research and development expense increased by $10.3 million, or 22.1%, in the three months ended June 30, 2007 to $56.7 million from $46.5 million in the three months ended June 30, 2006. Research and development expense increased as a percentage of revenue from 7.4% in the three months ended June 30, 2006 to 8.0% in the three months ended June 30, 2007. The increase in research and development expense as a percentage of revenue was attributable to research and development activities related to our fiscal 2006 and 2007 acquisitions partially offset by a decrease in research and development expense, as a percentage of revenue, related to our core activities following the release of Amdocs 7 (as some of the resources were moved to production support).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203"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SELLING, GENERAL AND ADMINISTRATIVE. Selling, general and administrative expense increased by $19.5 million, or 26.0%, in the three months ended June 30, 2007 to $94.4 million, from $74.9 million in the three months ended June 30, 2006. Selling, general and administrative expense is primarily comprised of compensation expense. The increase in selling, general and administrative expense as a percentage of revenue is attributable to selling, general and administrative expense related to our fiscal 2006 and 2007 acquisitions.</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704" w:right="1440" w:bottom="1055" w:gutter="0" w:footer="0" w:header="0"/>
        </w:sectPr>
      </w:pPr>
    </w:p>
    <w:bookmarkStart w:id="28" w:name="page29"/>
    <w:bookmarkEnd w:id="28"/>
    <w:p>
      <w:pPr>
        <w:ind w:right="2259" w:firstLine="510"/>
        <w:spacing w:after="0" w:line="244" w:lineRule="auto"/>
        <w:rPr>
          <w:sz w:val="20"/>
          <w:szCs w:val="20"/>
          <w:color w:val="auto"/>
        </w:rPr>
      </w:pPr>
      <w:r>
        <w:rPr>
          <w:rFonts w:ascii="Courier New" w:cs="Courier New" w:eastAsia="Courier New" w:hAnsi="Courier New"/>
          <w:sz w:val="17"/>
          <w:szCs w:val="17"/>
          <w:color w:val="auto"/>
        </w:rPr>
        <w:t>AMORTIZATION OF PURCHASED INTANGIBLE ASSETS. Amortization of purchased intangible assets in the three months ended June 30, 2007 was $19.2 million, compared to $8.5 million in the three months ended June 30, 2006. The increase in amortization of purchased intangible assets was due to purchased intangible assets acquired in our fiscal 2006 and 2007 acquisitions.</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OPERATING INCOME. Operating income increased by $7.5 million, or 8.9%, in the three months ended June 30, 2007, to $92.0 million, or 12.9% of revenue, from $84.5 million, or 13.5% of revenue, in the three months ended June 30, 2006. The decrease in operating income as a percentage of revenue was attributable to a 14.4% increase in operating expense which grew at a greater rate than the 13.7% increase in revenue during the three months ended June 30, 2007. The increase in operating expense as a percentage of revenue is primarily attributable to the increase in amortization of purchased intangible assets and to operating expense related to our fiscal 2006 and 2007 acquisitions, partially offset by a decrease in our core operating expenses as a percentage of revenue as well as to a decrease in restructuring charges, in-process research and development and other.</w:t>
      </w:r>
    </w:p>
    <w:p>
      <w:pPr>
        <w:spacing w:after="0" w:line="201"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INTEREST INCOME AND OTHER, NET. Interest income and other, net decreased by $0.6 million in the three months ended June 30, 2007 to $14.3 million from $14.9 million in the three months ended June 30, 2006.</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INCOME TAXES. Income taxes for the three months ended June 30, 2007 were $18.1 million on pretax income of $106.3 million, resulting in an effective tax rate of 17.0% compared to 13.9% in the three months ended June 30, 2006. Of the increase in our effective tax rate, 8.5% was attributable to the adjustments to deferred tax liabilities related to two fiscal 2006 acquisitions, 1.3% was attributable to the net change in valuation allowances and tax reserves, partially offset by 1.2% net effect of acquisition-related costs (which include amortization of purchased intangible assets), and equity-based compensation expense, and the remaining difference was primarily attributable to the geographical distribution of earnings from global operations. Our effective tax rate for fiscal year 2007 is expected to be between 10% and 13% on an annualized basis compared to 14.8% in fiscal year 2006. Our effective tax rate may fluctuate between quarters as a result of discrete items that may affect a specific quarter as well as changes in the Company's tax reserves in the ordinary course of business.</w:t>
      </w:r>
    </w:p>
    <w:p>
      <w:pPr>
        <w:spacing w:after="0" w:line="202"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NET INCOME. Net income was $88.2 million in the three months ended June 30, 2007, compared to net income of $85.6 million in the three months ended June 30, 2006. The increase in net income is attributable to the increase in our operating income partially offset by the increase in our effective tax rate in the three months ended June 30, 2007.</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DILUTED EARNINGS PER SHARE. Diluted earnings per share increased by $0.01, or 2.6%, in the three months ended June 30, 2007 to $0.40 from $0.39 in the three months ended June 30, 2006. The increase in diluted earnings per share resulted from the increase in net income.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Cash, cash equivalents and short-term interest-bearing investments totaled $1,151.6 million as of June 30, 2007, compared to $979.4 million as of September 30, 2006. The increase is mainly attributable to positive cash flows from operations of $316.8 million, proceeds from employee stock options exercised of $58.3 million, partially offset by $126.3 million of capital expenditures and $81.8 million in net cash paid for acquisitions. Net cash provided by operating activities amounted to $316.8 million and $301.4 million for the nine months ended June 30, 2007 and 2006, respectively.</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Our policy is to retain substantial cash balances in order to support our growth. We believe that our current cash balances, cash generated from operations and our current lines of credit will provide sufficient resources to meet our operational needs for at least the next fiscal year. We may seek to establish a credit facility in order to have the flexibility to increase our capital resources, if needed for general corporate purposes as well as for future possible strategic opportunities, including acquisitions.</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704" w:right="1440" w:bottom="1440" w:gutter="0" w:footer="0" w:header="0"/>
        </w:sectPr>
      </w:pPr>
    </w:p>
    <w:bookmarkStart w:id="29" w:name="page30"/>
    <w:bookmarkEnd w:id="29"/>
    <w:p>
      <w:pPr>
        <w:ind w:right="2059" w:firstLine="510"/>
        <w:spacing w:after="0" w:line="244" w:lineRule="auto"/>
        <w:rPr>
          <w:sz w:val="20"/>
          <w:szCs w:val="20"/>
          <w:color w:val="auto"/>
        </w:rPr>
      </w:pPr>
      <w:r>
        <w:rPr>
          <w:rFonts w:ascii="Courier New" w:cs="Courier New" w:eastAsia="Courier New" w:hAnsi="Courier New"/>
          <w:sz w:val="17"/>
          <w:szCs w:val="17"/>
          <w:color w:val="auto"/>
        </w:rPr>
        <w:t>As of June 30, 2007, $450.0 million and $0.2 million aggregate principal amount of our 0.50% Convertible Senior Notes due 2024 and 2% Convertible Notes due 2008 were outstanding, respectively. As of June 30, 2007, we had available short-term general revolving lines of credit totaling $31.0 million, none of which was outstanding, and outstanding letters of credit and bank guarantees from various banks totaling $7.2 million. As of June 30, 2007, we had outstanding short term loans totalling $1.8 million secured by specified pledges and guaranties.</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We have contractual obligations for our convertible notes, financing arrangements and non-cancelable operating leases that were summarized in a table of contractual obligations in our Annual Report on Form 20-F for fiscal 2006. Since September 30, 2006, there have been no material changes in contractual obligations outside the ordinary course of our business.</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Our capital expenditures were approximately $126.3 million in the nine months ended June 30, 2007. Approximately 67% of these expenditures consisted of purchases of computer equipment, and the remainder primarily to leasehold improvements. The capital expenditures in the nine months ended June 30, 2007 were mainly attributable to invetsments in our operating facilities and our development centers around the world. We funded our capital expenditures principally from operating cash flows. We do not anticipate any changes to this policy in the foreseeable future.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CURRENCY FLUCTUATIONS</w:t>
      </w:r>
    </w:p>
    <w:p>
      <w:pPr>
        <w:spacing w:after="0" w:line="201" w:lineRule="exact"/>
        <w:rPr>
          <w:sz w:val="20"/>
          <w:szCs w:val="20"/>
          <w:color w:val="auto"/>
        </w:rPr>
      </w:pPr>
    </w:p>
    <w:p>
      <w:pPr>
        <w:ind w:right="2059" w:firstLine="510"/>
        <w:spacing w:after="0" w:line="262" w:lineRule="auto"/>
        <w:rPr>
          <w:sz w:val="20"/>
          <w:szCs w:val="20"/>
          <w:color w:val="auto"/>
        </w:rPr>
      </w:pPr>
      <w:r>
        <w:rPr>
          <w:rFonts w:ascii="Courier New" w:cs="Courier New" w:eastAsia="Courier New" w:hAnsi="Courier New"/>
          <w:sz w:val="16"/>
          <w:szCs w:val="16"/>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predominately denominated in the U.S. dollar. The operations of our foreign subsidiaries provide the same type of services with the same type of expenditure throughout the Amdocs group.</w:t>
      </w:r>
    </w:p>
    <w:p>
      <w:pPr>
        <w:spacing w:after="0" w:line="185" w:lineRule="exact"/>
        <w:rPr>
          <w:sz w:val="20"/>
          <w:szCs w:val="20"/>
          <w:color w:val="auto"/>
        </w:rPr>
      </w:pPr>
    </w:p>
    <w:p>
      <w:pPr>
        <w:ind w:right="2059" w:firstLine="510"/>
        <w:spacing w:after="0" w:line="260" w:lineRule="auto"/>
        <w:rPr>
          <w:sz w:val="20"/>
          <w:szCs w:val="20"/>
          <w:color w:val="auto"/>
        </w:rPr>
      </w:pPr>
      <w:r>
        <w:rPr>
          <w:rFonts w:ascii="Courier New" w:cs="Courier New" w:eastAsia="Courier New" w:hAnsi="Courier New"/>
          <w:sz w:val="16"/>
          <w:szCs w:val="16"/>
          <w:color w:val="auto"/>
        </w:rPr>
        <w:t>During the three and nine months ended June 30, 2007 and 2006, approximately 70% of our revenue and approximately 50% to 60% of our operating expenses were in U.S. dollars or linked to the U.S. dollar. As a result of long-term contracts in currencies other than the U.S. dollar and more customers seeking contracts that are denominated in currencies such as the Euro, the percentage of our revenue and operating expenses in U.S. dollar or linked to the U.S. dollar may decrease slightly over time. Historically, the effect of fluctuations in currency exchange rates on our consolidated operations was not material.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and options.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38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704"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7"/>
          <w:szCs w:val="17"/>
          <w:color w:val="auto"/>
        </w:rPr>
        <w:t>PART II OTHER INFORMATION</w:t>
      </w:r>
    </w:p>
    <w:p>
      <w:pPr>
        <w:spacing w:after="0" w:line="201" w:lineRule="exact"/>
        <w:rPr>
          <w:sz w:val="20"/>
          <w:szCs w:val="20"/>
          <w:color w:val="auto"/>
        </w:rPr>
      </w:pPr>
    </w:p>
    <w:p>
      <w:pPr>
        <w:ind w:left="520" w:right="2359" w:hanging="509"/>
        <w:spacing w:after="0" w:line="243" w:lineRule="auto"/>
        <w:rPr>
          <w:sz w:val="20"/>
          <w:szCs w:val="20"/>
          <w:color w:val="auto"/>
        </w:rPr>
      </w:pPr>
      <w:r>
        <w:rPr>
          <w:rFonts w:ascii="Courier New" w:cs="Courier New" w:eastAsia="Courier New" w:hAnsi="Courier New"/>
          <w:sz w:val="17"/>
          <w:szCs w:val="17"/>
          <w:color w:val="auto"/>
        </w:rPr>
        <w:t>ITEM 1. CHANGES IN SECURITIES, USE OF PROCEEDS AND ISSUER PURCHASES OF EQUITY SECURITIES.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703"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7"/>
          <w:szCs w:val="17"/>
          <w:color w:val="auto"/>
        </w:rPr>
        <w:t>ITEM 2. REPORTS ON FORM 6-K</w:t>
      </w:r>
    </w:p>
    <w:p>
      <w:pPr>
        <w:spacing w:after="0" w:line="200" w:lineRule="exact"/>
        <w:rPr>
          <w:sz w:val="20"/>
          <w:szCs w:val="20"/>
          <w:color w:val="auto"/>
        </w:rPr>
      </w:pPr>
    </w:p>
    <w:p>
      <w:pPr>
        <w:ind w:left="520" w:hanging="515"/>
        <w:spacing w:after="0"/>
        <w:tabs>
          <w:tab w:leader="none" w:pos="5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6-K</w:t>
      </w:r>
    </w:p>
    <w:p>
      <w:pPr>
        <w:spacing w:after="0" w:line="200" w:lineRule="exact"/>
        <w:rPr>
          <w:rFonts w:ascii="Courier New" w:cs="Courier New" w:eastAsia="Courier New" w:hAnsi="Courier New"/>
          <w:sz w:val="17"/>
          <w:szCs w:val="17"/>
          <w:color w:val="auto"/>
        </w:rPr>
      </w:pPr>
    </w:p>
    <w:p>
      <w:pPr>
        <w:ind w:left="520" w:right="20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furnished or filed the following reports on Form 6-K during the three months ended June 30, 2007:</w:t>
      </w:r>
    </w:p>
    <w:p>
      <w:pPr>
        <w:spacing w:after="0" w:line="197" w:lineRule="exact"/>
        <w:rPr>
          <w:rFonts w:ascii="Courier New" w:cs="Courier New" w:eastAsia="Courier New" w:hAnsi="Courier New"/>
          <w:sz w:val="17"/>
          <w:szCs w:val="17"/>
          <w:color w:val="auto"/>
        </w:rPr>
      </w:pPr>
    </w:p>
    <w:p>
      <w:pPr>
        <w:ind w:left="1020" w:hanging="505"/>
        <w:spacing w:after="0"/>
        <w:tabs>
          <w:tab w:leader="none" w:pos="102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6-K dated May 11, 2007.</w:t>
      </w:r>
    </w:p>
    <w:p>
      <w:pPr>
        <w:spacing w:after="0" w:line="199" w:lineRule="exact"/>
        <w:rPr>
          <w:rFonts w:ascii="Courier New" w:cs="Courier New" w:eastAsia="Courier New" w:hAnsi="Courier New"/>
          <w:sz w:val="17"/>
          <w:szCs w:val="17"/>
          <w:color w:val="auto"/>
        </w:rPr>
      </w:pPr>
    </w:p>
    <w:p>
      <w:pPr>
        <w:ind w:left="1020" w:hanging="505"/>
        <w:spacing w:after="0"/>
        <w:tabs>
          <w:tab w:leader="none" w:pos="102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6-K dated April 27, 2007.</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703" w:right="1440" w:bottom="1440" w:gutter="0" w:footer="0" w:header="0"/>
        </w:sectPr>
      </w:pPr>
    </w:p>
    <w:bookmarkStart w:id="32" w:name="page33"/>
    <w:bookmarkEnd w:id="32"/>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jc w:val="both"/>
        <w:ind w:right="2859"/>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/s/ Thomas G. O'Brien</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Thomas G. O'Brien</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Treasurer and Secretary</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Authorized U.S. Representative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August 6, 2007</w:t>
      </w:r>
    </w:p>
    <w:sectPr>
      <w:pgSz w:w="11900" w:h="16838" w:orient="portrait"/>
      <w:cols w:equalWidth="0" w:num="1">
        <w:col w:w="10219"/>
      </w:cols>
      <w:pgMar w:left="240" w:top="7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8"/>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9"/>
    </w:lvl>
  </w:abstractNum>
  <w:abstractNum w:abstractNumId="10">
    <w:nsid w:val="109CF92E"/>
    <w:multiLevelType w:val="hybridMultilevel"/>
    <w:lvl w:ilvl="0">
      <w:lvlJc w:val="left"/>
      <w:lvlText w:val="%1."/>
      <w:numFmt w:val="decimal"/>
      <w:start w:val="10"/>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lvl w:ilvl="1">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2019-12-14T20:54:13Z</dcterms:created>
  <dcterms:modified xsi:type="dcterms:W3CDTF">2019-12-14T20:54:13Z</dcterms:modified>
</cp:coreProperties>
</file>