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8220d6k.htm"/>
      <w:bookmarkStart w:id="1" w:name="ksd28220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February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1-14840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AMDOCS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Hirzel House, Smith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St. Peter Port, Island of Guernsey, GY1 2NG </w:t>
      </w:r>
    </w:p>
    <w:p>
      <w:pPr>
        <w:pStyle w:val="TextBody"/>
        <w:bidi w:val="0"/>
        <w:spacing w:before="0" w:after="0"/>
        <w:jc w:val="center"/>
        <w:rPr>
          <w:rFonts w:ascii="Times New Roman" w:hAnsi="Times New Roman"/>
          <w:b/>
          <w:sz w:val="20"/>
        </w:rPr>
      </w:pPr>
      <w:r>
        <w:rPr>
          <w:rFonts w:ascii="Times New Roman" w:hAnsi="Times New Roman"/>
          <w:b/>
          <w:sz w:val="20"/>
        </w:rPr>
        <w:t xml:space="preserve">Amdocs, Inc. </w:t>
      </w:r>
    </w:p>
    <w:p>
      <w:pPr>
        <w:pStyle w:val="TextBody"/>
        <w:bidi w:val="0"/>
        <w:spacing w:before="0" w:after="0"/>
        <w:jc w:val="center"/>
        <w:rPr>
          <w:rFonts w:ascii="Times New Roman" w:hAnsi="Times New Roman"/>
          <w:b/>
          <w:sz w:val="20"/>
        </w:rPr>
      </w:pPr>
      <w:r>
        <w:rPr>
          <w:rFonts w:ascii="Times New Roman" w:hAnsi="Times New Roman"/>
          <w:b/>
          <w:sz w:val="20"/>
        </w:rPr>
        <w:t xml:space="preserve">625 Maryville Centre Drive, Suite 200, Saint Louis, Missouri 63141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February 3, 2026, Amdocs Limited (“Amdocs”) issued a press release announcing that Shuky Sheffer, President and Chief Executive Officer of Amdocs Management Limited, has decided to retire and will be replaced by Shimie Hortig, currently Group President of the Americas Business Group, effective March 31, 2026. </w:t>
      </w:r>
    </w:p>
    <w:p>
      <w:pPr>
        <w:pStyle w:val="TextBody"/>
        <w:bidi w:val="0"/>
        <w:spacing w:before="48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pPr>
      <w:r>
        <w:rPr>
          <w:rFonts w:ascii="Times New Roman" w:hAnsi="Times New Roman"/>
          <w:sz w:val="20"/>
        </w:rPr>
        <w:t xml:space="preserve">This Report on Form 6-K (other than the information contained in the press release furnished as Exhibit 99.1 to this Report on Form 6-K) shall be deemed to be incorporated by reference into the registration statements on Form S-8 (File Nos. </w:t>
      </w:r>
      <w:hyperlink r:id="rId2">
        <w:r>
          <w:rPr>
            <w:rStyle w:val="InternetLink"/>
            <w:rFonts w:ascii="Times New Roman" w:hAnsi="Times New Roman"/>
            <w:sz w:val="20"/>
          </w:rPr>
          <w:t>333-91847</w:t>
        </w:r>
      </w:hyperlink>
      <w:r>
        <w:rPr>
          <w:rFonts w:ascii="Times New Roman" w:hAnsi="Times New Roman"/>
          <w:sz w:val="20"/>
        </w:rPr>
        <w:t xml:space="preserve">, </w:t>
      </w:r>
      <w:hyperlink r:id="rId3">
        <w:r>
          <w:rPr>
            <w:rStyle w:val="InternetLink"/>
            <w:rFonts w:ascii="Times New Roman" w:hAnsi="Times New Roman"/>
            <w:sz w:val="20"/>
          </w:rPr>
          <w:t>333-92705</w:t>
        </w:r>
      </w:hyperlink>
      <w:r>
        <w:rPr>
          <w:rFonts w:ascii="Times New Roman" w:hAnsi="Times New Roman"/>
          <w:sz w:val="20"/>
        </w:rPr>
        <w:t xml:space="preserve">, </w:t>
      </w:r>
      <w:hyperlink r:id="rId4">
        <w:r>
          <w:rPr>
            <w:rStyle w:val="InternetLink"/>
            <w:rFonts w:ascii="Times New Roman" w:hAnsi="Times New Roman"/>
            <w:sz w:val="20"/>
          </w:rPr>
          <w:t>333-31506</w:t>
        </w:r>
      </w:hyperlink>
      <w:r>
        <w:rPr>
          <w:rFonts w:ascii="Times New Roman" w:hAnsi="Times New Roman"/>
          <w:sz w:val="20"/>
        </w:rPr>
        <w:t xml:space="preserve">, </w:t>
      </w:r>
      <w:hyperlink r:id="rId5">
        <w:r>
          <w:rPr>
            <w:rStyle w:val="InternetLink"/>
            <w:rFonts w:ascii="Times New Roman" w:hAnsi="Times New Roman"/>
            <w:sz w:val="20"/>
          </w:rPr>
          <w:t>333-34104</w:t>
        </w:r>
      </w:hyperlink>
      <w:r>
        <w:rPr>
          <w:rFonts w:ascii="Times New Roman" w:hAnsi="Times New Roman"/>
          <w:sz w:val="20"/>
        </w:rPr>
        <w:t xml:space="preserve">, </w:t>
      </w:r>
      <w:hyperlink r:id="rId6">
        <w:r>
          <w:rPr>
            <w:rStyle w:val="InternetLink"/>
            <w:rFonts w:ascii="Times New Roman" w:hAnsi="Times New Roman"/>
            <w:sz w:val="20"/>
          </w:rPr>
          <w:t>333-58454</w:t>
        </w:r>
      </w:hyperlink>
      <w:r>
        <w:rPr>
          <w:rFonts w:ascii="Times New Roman" w:hAnsi="Times New Roman"/>
          <w:sz w:val="20"/>
        </w:rPr>
        <w:t xml:space="preserve">, </w:t>
      </w:r>
      <w:hyperlink r:id="rId7">
        <w:r>
          <w:rPr>
            <w:rStyle w:val="InternetLink"/>
            <w:rFonts w:ascii="Times New Roman" w:hAnsi="Times New Roman"/>
            <w:sz w:val="20"/>
          </w:rPr>
          <w:t>333-114077</w:t>
        </w:r>
      </w:hyperlink>
      <w:r>
        <w:rPr>
          <w:rFonts w:ascii="Times New Roman" w:hAnsi="Times New Roman"/>
          <w:sz w:val="20"/>
        </w:rPr>
        <w:t xml:space="preserve">, </w:t>
      </w:r>
      <w:hyperlink r:id="rId8">
        <w:r>
          <w:rPr>
            <w:rStyle w:val="InternetLink"/>
            <w:rFonts w:ascii="Times New Roman" w:hAnsi="Times New Roman"/>
            <w:sz w:val="20"/>
          </w:rPr>
          <w:t>333-132968</w:t>
        </w:r>
      </w:hyperlink>
      <w:r>
        <w:rPr>
          <w:rFonts w:ascii="Times New Roman" w:hAnsi="Times New Roman"/>
          <w:sz w:val="20"/>
        </w:rPr>
        <w:t xml:space="preserve">, </w:t>
      </w:r>
      <w:hyperlink r:id="rId9">
        <w:r>
          <w:rPr>
            <w:rStyle w:val="InternetLink"/>
            <w:rFonts w:ascii="Times New Roman" w:hAnsi="Times New Roman"/>
            <w:sz w:val="20"/>
          </w:rPr>
          <w:t>333-135320</w:t>
        </w:r>
      </w:hyperlink>
      <w:r>
        <w:rPr>
          <w:rFonts w:ascii="Times New Roman" w:hAnsi="Times New Roman"/>
          <w:sz w:val="20"/>
        </w:rPr>
        <w:t xml:space="preserve">, </w:t>
      </w:r>
      <w:hyperlink r:id="rId10">
        <w:r>
          <w:rPr>
            <w:rStyle w:val="InternetLink"/>
            <w:rFonts w:ascii="Times New Roman" w:hAnsi="Times New Roman"/>
            <w:sz w:val="20"/>
          </w:rPr>
          <w:t>333-137617</w:t>
        </w:r>
      </w:hyperlink>
      <w:r>
        <w:rPr>
          <w:rFonts w:ascii="Times New Roman" w:hAnsi="Times New Roman"/>
          <w:sz w:val="20"/>
        </w:rPr>
        <w:t xml:space="preserve">, </w:t>
      </w:r>
      <w:hyperlink r:id="rId11">
        <w:r>
          <w:rPr>
            <w:rStyle w:val="InternetLink"/>
            <w:rFonts w:ascii="Times New Roman" w:hAnsi="Times New Roman"/>
            <w:sz w:val="20"/>
          </w:rPr>
          <w:t>333-139310</w:t>
        </w:r>
      </w:hyperlink>
      <w:r>
        <w:rPr>
          <w:rFonts w:ascii="Times New Roman" w:hAnsi="Times New Roman"/>
          <w:sz w:val="20"/>
        </w:rPr>
        <w:t xml:space="preserve">, </w:t>
      </w:r>
      <w:hyperlink r:id="rId12">
        <w:r>
          <w:rPr>
            <w:rStyle w:val="InternetLink"/>
            <w:rFonts w:ascii="Times New Roman" w:hAnsi="Times New Roman"/>
            <w:sz w:val="20"/>
          </w:rPr>
          <w:t>333-140728</w:t>
        </w:r>
      </w:hyperlink>
      <w:r>
        <w:rPr>
          <w:rFonts w:ascii="Times New Roman" w:hAnsi="Times New Roman"/>
          <w:sz w:val="20"/>
        </w:rPr>
        <w:t xml:space="preserve">, </w:t>
      </w:r>
      <w:hyperlink r:id="rId13">
        <w:r>
          <w:rPr>
            <w:rStyle w:val="InternetLink"/>
            <w:rFonts w:ascii="Times New Roman" w:hAnsi="Times New Roman"/>
            <w:sz w:val="20"/>
          </w:rPr>
          <w:t>333-159163</w:t>
        </w:r>
      </w:hyperlink>
      <w:r>
        <w:rPr>
          <w:rFonts w:ascii="Times New Roman" w:hAnsi="Times New Roman"/>
          <w:sz w:val="20"/>
        </w:rPr>
        <w:t xml:space="preserve">, </w:t>
      </w:r>
      <w:hyperlink r:id="rId14">
        <w:r>
          <w:rPr>
            <w:rStyle w:val="InternetLink"/>
            <w:rFonts w:ascii="Times New Roman" w:hAnsi="Times New Roman"/>
            <w:sz w:val="20"/>
          </w:rPr>
          <w:t>333-193659</w:t>
        </w:r>
      </w:hyperlink>
      <w:r>
        <w:rPr>
          <w:rFonts w:ascii="Times New Roman" w:hAnsi="Times New Roman"/>
          <w:sz w:val="20"/>
        </w:rPr>
        <w:t xml:space="preserve">, </w:t>
      </w:r>
      <w:hyperlink r:id="rId15">
        <w:r>
          <w:rPr>
            <w:rStyle w:val="InternetLink"/>
            <w:rFonts w:ascii="Times New Roman" w:hAnsi="Times New Roman"/>
            <w:sz w:val="20"/>
          </w:rPr>
          <w:t>333-222992</w:t>
        </w:r>
      </w:hyperlink>
      <w:r>
        <w:rPr>
          <w:rFonts w:ascii="Times New Roman" w:hAnsi="Times New Roman"/>
          <w:sz w:val="20"/>
        </w:rPr>
        <w:t xml:space="preserve">, </w:t>
      </w:r>
      <w:hyperlink r:id="rId16">
        <w:r>
          <w:rPr>
            <w:rStyle w:val="InternetLink"/>
            <w:rFonts w:ascii="Times New Roman" w:hAnsi="Times New Roman"/>
            <w:sz w:val="20"/>
          </w:rPr>
          <w:t>333-248075</w:t>
        </w:r>
      </w:hyperlink>
      <w:r>
        <w:rPr>
          <w:rFonts w:ascii="Times New Roman" w:hAnsi="Times New Roman"/>
          <w:sz w:val="20"/>
        </w:rPr>
        <w:t xml:space="preserve">, </w:t>
      </w:r>
      <w:hyperlink r:id="rId17">
        <w:r>
          <w:rPr>
            <w:rStyle w:val="InternetLink"/>
            <w:rFonts w:ascii="Times New Roman" w:hAnsi="Times New Roman"/>
            <w:sz w:val="20"/>
          </w:rPr>
          <w:t>333-269728</w:t>
        </w:r>
      </w:hyperlink>
      <w:r>
        <w:rPr>
          <w:rFonts w:ascii="Times New Roman" w:hAnsi="Times New Roman"/>
          <w:sz w:val="20"/>
        </w:rPr>
        <w:t xml:space="preserve"> and </w:t>
      </w:r>
      <w:hyperlink r:id="rId18">
        <w:r>
          <w:rPr>
            <w:rStyle w:val="InternetLink"/>
            <w:rFonts w:ascii="Times New Roman" w:hAnsi="Times New Roman"/>
            <w:sz w:val="20"/>
          </w:rPr>
          <w:t>333-277197</w:t>
        </w:r>
      </w:hyperlink>
      <w:r>
        <w:rPr>
          <w:rFonts w:ascii="Times New Roman" w:hAnsi="Times New Roman"/>
          <w:sz w:val="20"/>
        </w:rPr>
        <w:t xml:space="preserve">) of Amdocs and to be a part thereof from the date on which this report is filed to the extent not superseded by documents or reports subsequently filed or furnished.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the press release furnished as Exhibit 99.1 to the Report on Form 6-K shall not be deemed “filed” for the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whether made before or after the date hereof, except as shall be expressly set forth by specific reference to any such filing.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1"/>
        <w:gridCol w:w="612"/>
        <w:gridCol w:w="8872"/>
      </w:tblGrid>
      <w:tr>
        <w:trPr/>
        <w:tc>
          <w:tcPr>
            <w:tcW w:w="721" w:type="dxa"/>
            <w:tcBorders/>
            <w:vAlign w:val="center"/>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8872" w:type="dxa"/>
            <w:tcBorders/>
            <w:vAlign w:val="center"/>
          </w:tcPr>
          <w:p>
            <w:pPr>
              <w:pStyle w:val="TableContents"/>
              <w:bidi w:val="0"/>
              <w:spacing w:before="0" w:after="283"/>
              <w:jc w:val="left"/>
              <w:rPr>
                <w:sz w:val="4"/>
                <w:szCs w:val="4"/>
              </w:rPr>
            </w:pPr>
            <w:r>
              <w:rPr>
                <w:sz w:val="4"/>
                <w:szCs w:val="4"/>
              </w:rPr>
            </w:r>
          </w:p>
        </w:tc>
      </w:tr>
      <w:tr>
        <w:trPr/>
        <w:tc>
          <w:tcPr>
            <w:tcW w:w="72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NO.</w:t>
            </w:r>
          </w:p>
        </w:tc>
        <w:tc>
          <w:tcPr>
            <w:tcW w:w="612" w:type="dxa"/>
            <w:tcBorders/>
            <w:vAlign w:val="bottom"/>
          </w:tcPr>
          <w:p>
            <w:pPr>
              <w:pStyle w:val="TableContents"/>
              <w:bidi w:val="0"/>
              <w:spacing w:before="0" w:after="283"/>
              <w:jc w:val="left"/>
              <w:rPr/>
            </w:pPr>
            <w:r>
              <w:rPr/>
              <w:t>  </w:t>
            </w:r>
          </w:p>
        </w:tc>
        <w:tc>
          <w:tcPr>
            <w:tcW w:w="887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721" w:type="dxa"/>
            <w:tcBorders/>
            <w:vAlign w:val="center"/>
          </w:tcPr>
          <w:p>
            <w:pPr>
              <w:pStyle w:val="TableContents"/>
              <w:bidi w:val="0"/>
              <w:spacing w:before="0" w:after="283"/>
              <w:jc w:val="left"/>
              <w:rPr>
                <w:sz w:val="4"/>
                <w:szCs w:val="4"/>
              </w:rPr>
            </w:pPr>
            <w:r>
              <w:rPr>
                <w:sz w:val="4"/>
                <w:szCs w:val="4"/>
              </w:rPr>
            </w:r>
          </w:p>
        </w:tc>
        <w:tc>
          <w:tcPr>
            <w:tcW w:w="9484" w:type="dxa"/>
            <w:gridSpan w:val="2"/>
            <w:tcBorders/>
            <w:vAlign w:val="center"/>
          </w:tcPr>
          <w:p>
            <w:pPr>
              <w:pStyle w:val="TableContents"/>
              <w:bidi w:val="0"/>
              <w:spacing w:before="0" w:after="283"/>
              <w:jc w:val="left"/>
              <w:rPr>
                <w:sz w:val="4"/>
                <w:szCs w:val="4"/>
              </w:rPr>
            </w:pPr>
            <w:r>
              <w:rPr>
                <w:sz w:val="4"/>
                <w:szCs w:val="4"/>
              </w:rPr>
            </w:r>
          </w:p>
        </w:tc>
      </w:tr>
      <w:tr>
        <w:trPr/>
        <w:tc>
          <w:tcPr>
            <w:tcW w:w="721" w:type="dxa"/>
            <w:tcBorders/>
          </w:tcPr>
          <w:p>
            <w:pPr>
              <w:pStyle w:val="TableContents"/>
              <w:bidi w:val="0"/>
              <w:spacing w:before="0" w:after="283"/>
              <w:jc w:val="left"/>
              <w:rPr/>
            </w:pPr>
            <w:r>
              <w:rPr/>
              <w:t>99.1</w:t>
            </w:r>
          </w:p>
        </w:tc>
        <w:tc>
          <w:tcPr>
            <w:tcW w:w="612" w:type="dxa"/>
            <w:tcBorders/>
            <w:vAlign w:val="bottom"/>
          </w:tcPr>
          <w:p>
            <w:pPr>
              <w:pStyle w:val="TableContents"/>
              <w:bidi w:val="0"/>
              <w:spacing w:before="0" w:after="283"/>
              <w:jc w:val="left"/>
              <w:rPr/>
            </w:pPr>
            <w:r>
              <w:rPr/>
              <w:t>  </w:t>
            </w:r>
          </w:p>
        </w:tc>
        <w:tc>
          <w:tcPr>
            <w:tcW w:w="8872" w:type="dxa"/>
            <w:tcBorders/>
          </w:tcPr>
          <w:p>
            <w:pPr>
              <w:pStyle w:val="TableContents"/>
              <w:bidi w:val="0"/>
              <w:spacing w:before="0" w:after="283"/>
              <w:jc w:val="left"/>
              <w:rPr/>
            </w:pPr>
            <w:hyperlink w:anchor="d28220dex991.htm">
              <w:r>
                <w:rPr>
                  <w:rStyle w:val="InternetLink"/>
                </w:rPr>
                <w:t xml:space="preserve">Amdocs Limited Press Release, dated February 3,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AMDOCS LIMITED</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Matthew E. Smith</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Matthew E. Smith</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i/>
              </w:rPr>
            </w:pPr>
            <w:r>
              <w:rPr>
                <w:i/>
              </w:rPr>
              <w:t>Secretary and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February 3, 2026 </w:t>
      </w:r>
    </w:p>
    <w:p>
      <w:pPr>
        <w:pStyle w:val="TextBody"/>
        <w:bidi w:val="0"/>
        <w:spacing w:before="0" w:after="0"/>
        <w:jc w:val="right"/>
        <w:rPr>
          <w:rFonts w:ascii="Times New Roman" w:hAnsi="Times New Roman"/>
          <w:b/>
          <w:sz w:val="20"/>
        </w:rPr>
      </w:pPr>
      <w:bookmarkStart w:id="2" w:name="d28220dex991.htm"/>
      <w:bookmarkStart w:id="3" w:name="ksd28220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26"/>
        <w:gridCol w:w="120"/>
        <w:gridCol w:w="2319"/>
        <w:gridCol w:w="120"/>
        <w:gridCol w:w="3620"/>
      </w:tblGrid>
      <w:tr>
        <w:trPr/>
        <w:tc>
          <w:tcPr>
            <w:tcW w:w="40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26" w:type="dxa"/>
            <w:tcBorders/>
          </w:tcPr>
          <w:p>
            <w:pPr>
              <w:pStyle w:val="TableContents"/>
              <w:bidi w:val="0"/>
              <w:spacing w:before="0" w:after="283"/>
              <w:jc w:val="left"/>
              <w:rPr/>
            </w:pPr>
            <w:r>
              <w:rPr/>
              <w:drawing>
                <wp:inline distT="0" distB="0" distL="0" distR="0">
                  <wp:extent cx="23812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9"/>
                          <a:stretch>
                            <a:fillRect/>
                          </a:stretch>
                        </pic:blipFill>
                        <pic:spPr bwMode="auto">
                          <a:xfrm>
                            <a:off x="0" y="0"/>
                            <a:ext cx="2381250" cy="3714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31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right"/>
              <w:rPr/>
            </w:pPr>
            <w:r>
              <w:rPr/>
              <w:drawing>
                <wp:inline distT="0" distB="0" distL="0" distR="0">
                  <wp:extent cx="2190750"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0"/>
                          <a:stretch>
                            <a:fillRect/>
                          </a:stretch>
                        </pic:blipFill>
                        <pic:spPr bwMode="auto">
                          <a:xfrm>
                            <a:off x="0" y="0"/>
                            <a:ext cx="2190750" cy="476250"/>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Amdocs Announces Shimie Hortig to Succeed Shuky Sheffer as President and CEO, effective March 31, 2026 </w:t>
      </w:r>
    </w:p>
    <w:p>
      <w:pPr>
        <w:pStyle w:val="TextBody"/>
        <w:bidi w:val="0"/>
        <w:spacing w:before="240" w:after="0"/>
        <w:jc w:val="left"/>
        <w:rPr>
          <w:rFonts w:ascii="Times New Roman" w:hAnsi="Times New Roman"/>
          <w:sz w:val="20"/>
        </w:rPr>
      </w:pPr>
      <w:r>
        <w:rPr>
          <w:rFonts w:ascii="Times New Roman" w:hAnsi="Times New Roman"/>
          <w:b/>
          <w:sz w:val="20"/>
        </w:rPr>
        <w:t>Jersey City, NJ – February</w:t>
      </w:r>
      <w:r>
        <w:rPr>
          <w:rFonts w:ascii="Times New Roman" w:hAnsi="Times New Roman"/>
          <w:sz w:val="20"/>
        </w:rPr>
        <w:t> </w:t>
      </w:r>
      <w:r>
        <w:rPr>
          <w:rFonts w:ascii="Times New Roman" w:hAnsi="Times New Roman"/>
          <w:b/>
          <w:sz w:val="20"/>
        </w:rPr>
        <w:t>3, 2026</w:t>
      </w:r>
      <w:r>
        <w:rPr>
          <w:rFonts w:ascii="Times New Roman" w:hAnsi="Times New Roman"/>
          <w:sz w:val="20"/>
        </w:rPr>
        <w:t xml:space="preserve"> – Amdocs (NASDAQ: DOX), a leading provider of software and services to communications and media companies, today announced that Shuky Sheffer, President and Chief Executive Officer of Amdocs Management Limited, has decided to retire and will be replaced by Shimie Hortig, currently Group President of the Americas Business Group. </w:t>
      </w:r>
    </w:p>
    <w:p>
      <w:pPr>
        <w:pStyle w:val="TextBody"/>
        <w:bidi w:val="0"/>
        <w:spacing w:before="240" w:after="0"/>
        <w:jc w:val="left"/>
        <w:rPr/>
      </w:pPr>
      <w:r>
        <w:rPr/>
        <w:t>“</w:t>
      </w:r>
      <w:r>
        <w:rPr>
          <w:rFonts w:ascii="Times New Roman" w:hAnsi="Times New Roman"/>
          <w:sz w:val="20"/>
        </w:rPr>
        <w:t xml:space="preserve">On behalf of the Amdocs Board, I want to express our profound gratitude to Shuky Sheffer for his exceptional leadership and his unwavering commitment to Amdocs over more than three decades,” said Eli Gelman, Chairman of the company’s board of directors. “Shuky successfully navigated the company through times of significant shifts during the global pandemic and technology disruption. Under his stewardship, Amdocs has transformed into a cloud-native, AI-enabled powerhouse while maintaining its position as the industry’s most trusted partner for digital transformation. His notable achievements include driving innovation, expanding our cloud portfolio, advancing our capabilities in artificial intelligence and generative AI, and delivering consistent shareholder value. </w:t>
      </w:r>
    </w:p>
    <w:p>
      <w:pPr>
        <w:pStyle w:val="TextBody"/>
        <w:bidi w:val="0"/>
        <w:spacing w:before="240" w:after="0"/>
        <w:jc w:val="left"/>
        <w:rPr>
          <w:rFonts w:ascii="Times New Roman" w:hAnsi="Times New Roman"/>
          <w:sz w:val="20"/>
        </w:rPr>
      </w:pPr>
      <w:r>
        <w:rPr>
          <w:rFonts w:ascii="Times New Roman" w:hAnsi="Times New Roman"/>
          <w:sz w:val="20"/>
        </w:rPr>
        <w:t xml:space="preserve">Mr. Gelman continued: “Shimie Hortig is the clear and natural choice to lead Amdocs into its next chapter. A reputable industry leader, he is highly regarded and trusted by Amdocs’ customers and partners. Shimie has been a prominent member of the Amdocs executive management team for many years. His proven ability to drive the company’s strategy, generate growth and adapt to changing market trends while providing meaningful value to our customers, uniquely positions him to lead the company in this exciting new GenAI era. The Board has full confidence in Shimie’s leadership and in the continuity this planned transition provides.” </w:t>
      </w:r>
    </w:p>
    <w:p>
      <w:pPr>
        <w:pStyle w:val="TextBody"/>
        <w:bidi w:val="0"/>
        <w:spacing w:before="240" w:after="0"/>
        <w:jc w:val="left"/>
        <w:rPr/>
      </w:pPr>
      <w:r>
        <w:rPr/>
        <w:t>“</w:t>
      </w:r>
      <w:r>
        <w:rPr>
          <w:rFonts w:ascii="Times New Roman" w:hAnsi="Times New Roman"/>
          <w:sz w:val="20"/>
        </w:rPr>
        <w:t xml:space="preserve">It has been the greatest privilege of my professional life to lead this incredible organization and its talented people for the past seven years. I am immensely proud of what we have accomplished together: we didn’t just navigate the shift to the cloud and the rise of GenAI; we transformed Amdocs into a true catalyst for the digital age.” said Shuky Sheffer. “As Amdocs enters its next chapter of emerging innovation, I am certain there is no better leader than Shimie to take the helm. Having partnered with him for years, I have seen his unique ability to turn complex technological shifts into tangible growth. Shimie brings a unique combination of strategic vision, deep industry knowledge, and strong execution. I am proud to hand over the reins to a leader who will build on our momentum and accelerate our journey in the AI era.” </w:t>
      </w:r>
    </w:p>
    <w:p>
      <w:pPr>
        <w:pStyle w:val="TextBody"/>
        <w:bidi w:val="0"/>
        <w:spacing w:before="240" w:after="0"/>
        <w:jc w:val="left"/>
        <w:rPr>
          <w:rFonts w:ascii="Times New Roman" w:hAnsi="Times New Roman"/>
          <w:sz w:val="20"/>
        </w:rPr>
      </w:pPr>
      <w:r>
        <w:rPr>
          <w:rFonts w:ascii="Times New Roman" w:hAnsi="Times New Roman"/>
          <w:sz w:val="20"/>
        </w:rPr>
        <w:t xml:space="preserve">Mr. Hortig holds a Master of Business Administration (MBA) and Bachelor’s degree in Economics from Tel Aviv University and has more than two decades of experience in the technology and telecommunications industry. During his tenure at Amdocs, he has held a series of senior corporate and finance roles followed by business leadership roles with increasing responsibility across Amdocs’ largest and most strategic customers and growth domains. As President of the Americas Group, he has led Amdocs’ largest region, deepening relationships with major customers, driving growth initiatives, and expanding strategic partnerships. </w:t>
      </w:r>
    </w:p>
    <w:p>
      <w:pPr>
        <w:pStyle w:val="TextBody"/>
        <w:bidi w:val="0"/>
        <w:spacing w:before="240" w:after="0"/>
        <w:jc w:val="left"/>
        <w:rPr/>
      </w:pPr>
      <w:r>
        <w:rPr/>
        <w:t>“</w:t>
      </w:r>
      <w:r>
        <w:rPr>
          <w:rFonts w:ascii="Times New Roman" w:hAnsi="Times New Roman"/>
          <w:sz w:val="20"/>
        </w:rPr>
        <w:t xml:space="preserve">I am honored to step into the role of President and Chief Executive Officer of Amdocs at a defining moment for the industry,” said Shimie Hortig. “Amdocs is uniquely positioned at the intersection of cloud, AI, and mission-critical operations for the world’s leading service providers. Building on the strong foundation created by Shuky and the leadership team, my priority is to be the leading partner of our customers in their digital and GenAI transformation journey. We will remain focused on deep customer partnership, disciplined delivery, and converting technological leadership into durable growth and shareholder value.”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Supporting Resources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Keep up with Amdocs news by visiting the company’s </w:t>
            </w:r>
            <w:r>
              <w:rPr>
                <w:rFonts w:ascii="Times New Roman" w:hAnsi="Times New Roman"/>
                <w:sz w:val="20"/>
                <w:u w:val="single"/>
              </w:rPr>
              <w:t>website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 us on </w:t>
            </w:r>
            <w:r>
              <w:rPr>
                <w:rFonts w:ascii="Times New Roman" w:hAnsi="Times New Roman"/>
                <w:sz w:val="20"/>
                <w:u w:val="single"/>
              </w:rPr>
              <w:t>X</w:t>
            </w:r>
            <w:r>
              <w:rPr>
                <w:rFonts w:ascii="Times New Roman" w:hAnsi="Times New Roman"/>
                <w:sz w:val="20"/>
              </w:rPr>
              <w:t xml:space="preserve">, </w:t>
            </w:r>
            <w:r>
              <w:rPr>
                <w:rFonts w:ascii="Times New Roman" w:hAnsi="Times New Roman"/>
                <w:sz w:val="20"/>
                <w:u w:val="single"/>
              </w:rPr>
              <w:t>Facebook</w:t>
            </w:r>
            <w:r>
              <w:rPr>
                <w:rFonts w:ascii="Times New Roman" w:hAnsi="Times New Roman"/>
                <w:sz w:val="20"/>
              </w:rPr>
              <w:t xml:space="preserve">, </w:t>
            </w:r>
            <w:r>
              <w:rPr>
                <w:rFonts w:ascii="Times New Roman" w:hAnsi="Times New Roman"/>
                <w:sz w:val="20"/>
                <w:u w:val="single"/>
              </w:rPr>
              <w:t>LinkedIn</w:t>
            </w:r>
            <w:r>
              <w:rPr>
                <w:rFonts w:ascii="Times New Roman" w:hAnsi="Times New Roman"/>
                <w:sz w:val="20"/>
              </w:rPr>
              <w:t xml:space="preserve">, and </w:t>
            </w:r>
            <w:r>
              <w:rPr>
                <w:rFonts w:ascii="Times New Roman" w:hAnsi="Times New Roman"/>
                <w:sz w:val="20"/>
                <w:u w:val="single"/>
              </w:rPr>
              <w:t>YouTube</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Amdocs </w:t>
      </w:r>
    </w:p>
    <w:p>
      <w:pPr>
        <w:pStyle w:val="TextBody"/>
        <w:bidi w:val="0"/>
        <w:spacing w:before="120" w:after="0"/>
        <w:jc w:val="left"/>
        <w:rPr>
          <w:rFonts w:ascii="Times New Roman" w:hAnsi="Times New Roman"/>
          <w:sz w:val="20"/>
        </w:rPr>
      </w:pPr>
      <w:r>
        <w:rPr>
          <w:rFonts w:ascii="Times New Roman" w:hAnsi="Times New Roman"/>
          <w:sz w:val="20"/>
        </w:rPr>
        <w:t xml:space="preserve">Amdocs helps the world’s leading communications and media companies deliver exceptional customer experiences through reliable, efficient, and secure operations at scale. We provide software products and services that embed intelligence into how work runs across business, IT, and network domains – delivering measurable outcomes in customer experience, network performance, cloud modernization, and revenue growth. With our talented people, and more than 40 years of experience running mission-critical systems around the globe, Amdocs runs billions of transactions daily. Our technology is relied on every day, connecting people worldwide and advancing a more inclusive, connected world. Together, we help those who shape the future to make it amazing. Amdocs is listed on the NASDAQ Global Select Market (NASDAQ: DOX) and reported revenue of $4.53 billion in fiscal 2025. For more information, visit </w:t>
      </w:r>
      <w:r>
        <w:rPr>
          <w:rFonts w:ascii="Times New Roman" w:hAnsi="Times New Roman"/>
          <w:sz w:val="20"/>
          <w:u w:val="single"/>
        </w:rPr>
        <w:t>www.amdocs.com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Amdocs’ Forward-Looking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regional events or pandemics, changes to trade policies including tariffs and trade restrictions,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security incidents, including breaches and cyberattacks to our systems and networks and those of our partners or customers,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2025, filed on December 15, 2025. </w:t>
      </w:r>
    </w:p>
    <w:p>
      <w:pPr>
        <w:pStyle w:val="TextBody"/>
        <w:bidi w:val="0"/>
        <w:spacing w:before="240" w:after="0"/>
        <w:jc w:val="left"/>
        <w:rPr>
          <w:rFonts w:ascii="Times New Roman" w:hAnsi="Times New Roman"/>
          <w:sz w:val="20"/>
        </w:rPr>
      </w:pPr>
      <w:r>
        <w:rPr>
          <w:rFonts w:ascii="Times New Roman" w:hAnsi="Times New Roman"/>
          <w:b/>
          <w:sz w:val="20"/>
        </w:rPr>
        <w:t>Contact: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Matthew Smith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Amdocs </w:t>
      </w:r>
    </w:p>
    <w:p>
      <w:pPr>
        <w:pStyle w:val="TextBody"/>
        <w:bidi w:val="0"/>
        <w:spacing w:before="0" w:after="0"/>
        <w:jc w:val="left"/>
        <w:rPr>
          <w:rFonts w:ascii="Times New Roman" w:hAnsi="Times New Roman"/>
          <w:sz w:val="20"/>
        </w:rPr>
      </w:pPr>
      <w:r>
        <w:rPr>
          <w:rFonts w:ascii="Times New Roman" w:hAnsi="Times New Roman"/>
          <w:sz w:val="20"/>
        </w:rPr>
        <w:t xml:space="preserve">314-212-8328 </w:t>
      </w:r>
    </w:p>
    <w:p>
      <w:pPr>
        <w:pStyle w:val="TextBody"/>
        <w:bidi w:val="0"/>
        <w:spacing w:before="0" w:after="0"/>
        <w:jc w:val="left"/>
        <w:rPr>
          <w:rFonts w:ascii="Times New Roman" w:hAnsi="Times New Roman"/>
          <w:sz w:val="20"/>
        </w:rPr>
      </w:pPr>
      <w:r>
        <w:rPr>
          <w:rFonts w:ascii="Times New Roman" w:hAnsi="Times New Roman"/>
          <w:sz w:val="20"/>
        </w:rPr>
        <w:t xml:space="preserve">E-mail: dox_info@amdocs.com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62579/000090445499000182/0000904454-99-000182.txt" TargetMode="External"/><Relationship Id="rId3" Type="http://schemas.openxmlformats.org/officeDocument/2006/relationships/hyperlink" Target="http://www.sec.gov/Archives/edgar/data/1062579/000090445499000192/0000904454-99-000192.txt" TargetMode="External"/><Relationship Id="rId4" Type="http://schemas.openxmlformats.org/officeDocument/2006/relationships/hyperlink" Target="http://www.sec.gov/Archives/edgar/data/1062579/000090445400000035/0000904454-00-000035.txt" TargetMode="External"/><Relationship Id="rId5" Type="http://schemas.openxmlformats.org/officeDocument/2006/relationships/hyperlink" Target="http://www.sec.gov/Archives/edgar/data/1062579/000090445400000062/0000904454-00-000062.txt" TargetMode="External"/><Relationship Id="rId6" Type="http://schemas.openxmlformats.org/officeDocument/2006/relationships/hyperlink" Target="http://www.sec.gov/Archives/edgar/data/1062579/000090445401500018/file001.txt" TargetMode="External"/><Relationship Id="rId7" Type="http://schemas.openxmlformats.org/officeDocument/2006/relationships/hyperlink" Target="http://www.sec.gov/Archives/edgar/data/1062579/000095012304004065/y95221sv8.txt" TargetMode="External"/><Relationship Id="rId8" Type="http://schemas.openxmlformats.org/officeDocument/2006/relationships/hyperlink" Target="http://www.sec.gov/Archives/edgar/data/1062579/000095012306004177/y19406sv8.txt" TargetMode="External"/><Relationship Id="rId9" Type="http://schemas.openxmlformats.org/officeDocument/2006/relationships/hyperlink" Target="http://www.sec.gov/Archives/edgar/data/1062579/000095012306008097/y22558sv8.txt" TargetMode="External"/><Relationship Id="rId10" Type="http://schemas.openxmlformats.org/officeDocument/2006/relationships/hyperlink" Target="http://www.sec.gov/Archives/edgar/data/1062579/000095012306012020/y25477sv8.txt" TargetMode="External"/><Relationship Id="rId11" Type="http://schemas.openxmlformats.org/officeDocument/2006/relationships/hyperlink" Target="http://www.sec.gov/Archives/edgar/data/1062579/000095012306015143/y27993sv8.txt" TargetMode="External"/><Relationship Id="rId12" Type="http://schemas.openxmlformats.org/officeDocument/2006/relationships/hyperlink" Target="http://www.sec.gov/Archives/edgar/data/1062579/000095012307002296/y30457sv8.txt" TargetMode="External"/><Relationship Id="rId13" Type="http://schemas.openxmlformats.org/officeDocument/2006/relationships/hyperlink" Target="http://www.sec.gov/Archives/edgar/data/1062579/000095012309008662/y77133sv8.htm" TargetMode="External"/><Relationship Id="rId14" Type="http://schemas.openxmlformats.org/officeDocument/2006/relationships/hyperlink" Target="http://www.sec.gov/Archives/edgar/data/1062579/000119312514028446/d665440ds8.htm" TargetMode="External"/><Relationship Id="rId15" Type="http://schemas.openxmlformats.org/officeDocument/2006/relationships/hyperlink" Target="http://www.sec.gov/Archives/edgar/data/1062579/000119312518040404/d532355ds8.htm" TargetMode="External"/><Relationship Id="rId16" Type="http://schemas.openxmlformats.org/officeDocument/2006/relationships/hyperlink" Target="http://www.sec.gov/Archives/edgar/data/1062579/000095010320015946/dp134364_s8.htm" TargetMode="External"/><Relationship Id="rId17" Type="http://schemas.openxmlformats.org/officeDocument/2006/relationships/hyperlink" Target="http://www.sec.gov/Archives/edgar/data/1062579/000119312523035823/d267508ds8.htm" TargetMode="External"/><Relationship Id="rId18" Type="http://schemas.openxmlformats.org/officeDocument/2006/relationships/hyperlink" Target="http://www.sec.gov/Archives/edgar/data/901832/000110465924025610/tm246444d1_s8.htm" TargetMode="External"/><Relationship Id="rId19" Type="http://schemas.openxmlformats.org/officeDocument/2006/relationships/image" Target="media/image1.jpeg"/><Relationship Id="rId20" Type="http://schemas.openxmlformats.org/officeDocument/2006/relationships/image" Target="media/image2.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1505</Words>
  <Characters>8530</Characters>
  <CharactersWithSpaces>10069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