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June 30, 2010</w:t>
      </w:r>
    </w:p>
    <w:p>
      <w:pPr>
        <w:spacing w:after="0" w:line="22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Suite 5, Tower Hill House Le Bordage</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St. Peter Port, Island of Guernsey, GY1 3QT</w:t>
      </w:r>
    </w:p>
    <w:p>
      <w:pPr>
        <w:spacing w:after="0" w:line="211"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00"/>
        <w:spacing w:after="0" w:line="207" w:lineRule="exact"/>
        <w:tabs>
          <w:tab w:leader="none" w:pos="61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00"/>
        <w:spacing w:after="0" w:line="207" w:lineRule="exact"/>
        <w:tabs>
          <w:tab w:leader="none" w:pos="61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522" w:right="10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8600" w:type="dxa"/>
            <w:vAlign w:val="bottom"/>
          </w:tcPr>
          <w:p>
            <w:pPr>
              <w:jc w:val="center"/>
              <w:ind w:left="1270"/>
              <w:spacing w:after="0"/>
              <w:rPr>
                <w:sz w:val="20"/>
                <w:szCs w:val="20"/>
                <w:color w:val="auto"/>
              </w:rPr>
            </w:pPr>
            <w:r>
              <w:rPr>
                <w:rFonts w:ascii="Arial" w:cs="Arial" w:eastAsia="Arial" w:hAnsi="Arial"/>
                <w:sz w:val="18"/>
                <w:szCs w:val="18"/>
                <w:color w:val="auto"/>
              </w:rPr>
              <w:t>AMDOCS LIMITED</w:t>
            </w:r>
          </w:p>
        </w:tc>
        <w:tc>
          <w:tcPr>
            <w:tcW w:w="2080" w:type="dxa"/>
            <w:vAlign w:val="bottom"/>
          </w:tcPr>
          <w:p>
            <w:pPr>
              <w:spacing w:after="0"/>
              <w:rPr>
                <w:sz w:val="20"/>
                <w:szCs w:val="20"/>
                <w:color w:val="auto"/>
              </w:rPr>
            </w:pPr>
          </w:p>
        </w:tc>
      </w:tr>
      <w:tr>
        <w:trPr>
          <w:trHeight w:val="324"/>
        </w:trPr>
        <w:tc>
          <w:tcPr>
            <w:tcW w:w="740" w:type="dxa"/>
            <w:vAlign w:val="bottom"/>
          </w:tcPr>
          <w:p>
            <w:pPr>
              <w:spacing w:after="0"/>
              <w:rPr>
                <w:sz w:val="24"/>
                <w:szCs w:val="24"/>
                <w:color w:val="auto"/>
              </w:rPr>
            </w:pPr>
          </w:p>
        </w:tc>
        <w:tc>
          <w:tcPr>
            <w:tcW w:w="8600" w:type="dxa"/>
            <w:vAlign w:val="bottom"/>
          </w:tcPr>
          <w:p>
            <w:pPr>
              <w:jc w:val="center"/>
              <w:ind w:left="1270"/>
              <w:spacing w:after="0"/>
              <w:rPr>
                <w:sz w:val="20"/>
                <w:szCs w:val="20"/>
                <w:color w:val="auto"/>
              </w:rPr>
            </w:pPr>
            <w:r>
              <w:rPr>
                <w:rFonts w:ascii="Arial" w:cs="Arial" w:eastAsia="Arial" w:hAnsi="Arial"/>
                <w:sz w:val="18"/>
                <w:szCs w:val="18"/>
                <w:color w:val="auto"/>
                <w:w w:val="97"/>
              </w:rPr>
              <w:t>FORM 6-K</w:t>
            </w:r>
          </w:p>
        </w:tc>
        <w:tc>
          <w:tcPr>
            <w:tcW w:w="208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8600" w:type="dxa"/>
            <w:vAlign w:val="bottom"/>
          </w:tcPr>
          <w:p>
            <w:pPr>
              <w:jc w:val="center"/>
              <w:ind w:left="1270"/>
              <w:spacing w:after="0"/>
              <w:rPr>
                <w:sz w:val="20"/>
                <w:szCs w:val="20"/>
                <w:color w:val="auto"/>
              </w:rPr>
            </w:pPr>
            <w:r>
              <w:rPr>
                <w:rFonts w:ascii="Arial" w:cs="Arial" w:eastAsia="Arial" w:hAnsi="Arial"/>
                <w:sz w:val="18"/>
                <w:szCs w:val="18"/>
                <w:color w:val="auto"/>
                <w:w w:val="92"/>
              </w:rPr>
              <w:t>REPORT OF FOREIGN PRIVATE ISSUER</w:t>
            </w:r>
          </w:p>
        </w:tc>
        <w:tc>
          <w:tcPr>
            <w:tcW w:w="208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8600" w:type="dxa"/>
            <w:vAlign w:val="bottom"/>
          </w:tcPr>
          <w:p>
            <w:pPr>
              <w:jc w:val="center"/>
              <w:ind w:left="1270"/>
              <w:spacing w:after="0"/>
              <w:rPr>
                <w:sz w:val="20"/>
                <w:szCs w:val="20"/>
                <w:color w:val="auto"/>
              </w:rPr>
            </w:pPr>
            <w:r>
              <w:rPr>
                <w:rFonts w:ascii="Arial" w:cs="Arial" w:eastAsia="Arial" w:hAnsi="Arial"/>
                <w:sz w:val="18"/>
                <w:szCs w:val="18"/>
                <w:color w:val="auto"/>
                <w:w w:val="93"/>
              </w:rPr>
              <w:t>FOR THE QUARTER ENDED JUNE 30, 2010</w:t>
            </w:r>
          </w:p>
        </w:tc>
        <w:tc>
          <w:tcPr>
            <w:tcW w:w="208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8600" w:type="dxa"/>
            <w:vAlign w:val="bottom"/>
          </w:tcPr>
          <w:p>
            <w:pPr>
              <w:jc w:val="center"/>
              <w:ind w:left="1270"/>
              <w:spacing w:after="0"/>
              <w:rPr>
                <w:sz w:val="20"/>
                <w:szCs w:val="20"/>
                <w:color w:val="auto"/>
              </w:rPr>
            </w:pPr>
            <w:r>
              <w:rPr>
                <w:rFonts w:ascii="Arial" w:cs="Arial" w:eastAsia="Arial" w:hAnsi="Arial"/>
                <w:sz w:val="18"/>
                <w:szCs w:val="18"/>
                <w:color w:val="auto"/>
              </w:rPr>
              <w:t>INDEX</w:t>
            </w:r>
          </w:p>
        </w:tc>
        <w:tc>
          <w:tcPr>
            <w:tcW w:w="2080" w:type="dxa"/>
            <w:vAlign w:val="bottom"/>
          </w:tcPr>
          <w:p>
            <w:pPr>
              <w:spacing w:after="0"/>
              <w:rPr>
                <w:sz w:val="24"/>
                <w:szCs w:val="24"/>
                <w:color w:val="auto"/>
              </w:rPr>
            </w:pPr>
          </w:p>
        </w:tc>
      </w:tr>
      <w:tr>
        <w:trPr>
          <w:trHeight w:val="418"/>
        </w:trPr>
        <w:tc>
          <w:tcPr>
            <w:tcW w:w="9340" w:type="dxa"/>
            <w:vAlign w:val="bottom"/>
            <w:gridSpan w:val="2"/>
          </w:tcPr>
          <w:p>
            <w:pPr>
              <w:spacing w:after="0"/>
              <w:rPr>
                <w:sz w:val="20"/>
                <w:szCs w:val="20"/>
                <w:color w:val="auto"/>
              </w:rPr>
            </w:pPr>
            <w:r>
              <w:rPr>
                <w:rFonts w:ascii="Arial" w:cs="Arial" w:eastAsia="Arial" w:hAnsi="Arial"/>
                <w:sz w:val="18"/>
                <w:szCs w:val="18"/>
                <w:color w:val="auto"/>
              </w:rPr>
              <w:t>PART I FINANCIAL INFORMATION</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40" w:type="dxa"/>
            <w:vAlign w:val="bottom"/>
          </w:tcPr>
          <w:p>
            <w:pPr>
              <w:ind w:left="220"/>
              <w:spacing w:after="0"/>
              <w:rPr>
                <w:sz w:val="20"/>
                <w:szCs w:val="20"/>
                <w:color w:val="auto"/>
              </w:rPr>
            </w:pPr>
            <w:r>
              <w:rPr>
                <w:rFonts w:ascii="Arial" w:cs="Arial" w:eastAsia="Arial" w:hAnsi="Arial"/>
                <w:sz w:val="18"/>
                <w:szCs w:val="18"/>
                <w:color w:val="auto"/>
                <w:w w:val="90"/>
              </w:rPr>
              <w:t>Item 1.</w:t>
            </w:r>
          </w:p>
        </w:tc>
        <w:tc>
          <w:tcPr>
            <w:tcW w:w="860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340" w:type="dxa"/>
            <w:vAlign w:val="bottom"/>
            <w:gridSpan w:val="2"/>
          </w:tcPr>
          <w:p>
            <w:pPr>
              <w:ind w:left="420"/>
              <w:spacing w:after="0"/>
              <w:rPr>
                <w:sz w:val="20"/>
                <w:szCs w:val="20"/>
                <w:color w:val="auto"/>
              </w:rPr>
            </w:pPr>
            <w:r>
              <w:rPr>
                <w:rFonts w:ascii="Arial" w:cs="Arial" w:eastAsia="Arial" w:hAnsi="Arial"/>
                <w:sz w:val="18"/>
                <w:szCs w:val="18"/>
                <w:color w:val="auto"/>
              </w:rPr>
              <w:t>Unaudited Consolidated Financial Statements</w:t>
            </w:r>
          </w:p>
        </w:tc>
        <w:tc>
          <w:tcPr>
            <w:tcW w:w="2080" w:type="dxa"/>
            <w:vAlign w:val="bottom"/>
          </w:tcPr>
          <w:p>
            <w:pPr>
              <w:spacing w:after="0"/>
              <w:rPr>
                <w:sz w:val="18"/>
                <w:szCs w:val="18"/>
                <w:color w:val="auto"/>
              </w:rPr>
            </w:pPr>
          </w:p>
        </w:tc>
      </w:tr>
      <w:tr>
        <w:trPr>
          <w:trHeight w:val="216"/>
        </w:trPr>
        <w:tc>
          <w:tcPr>
            <w:tcW w:w="9340" w:type="dxa"/>
            <w:vAlign w:val="bottom"/>
            <w:gridSpan w:val="2"/>
          </w:tcPr>
          <w:p>
            <w:pPr>
              <w:ind w:left="620"/>
              <w:spacing w:after="0"/>
              <w:rPr>
                <w:sz w:val="20"/>
                <w:szCs w:val="20"/>
                <w:color w:val="auto"/>
              </w:rPr>
            </w:pPr>
            <w:r>
              <w:rPr>
                <w:rFonts w:ascii="Arial" w:cs="Arial" w:eastAsia="Arial" w:hAnsi="Arial"/>
                <w:sz w:val="18"/>
                <w:szCs w:val="18"/>
                <w:color w:val="auto"/>
              </w:rPr>
              <w:t>Consolidated Balance Sheets</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340" w:type="dxa"/>
            <w:vAlign w:val="bottom"/>
            <w:gridSpan w:val="2"/>
          </w:tcPr>
          <w:p>
            <w:pPr>
              <w:ind w:left="620"/>
              <w:spacing w:after="0"/>
              <w:rPr>
                <w:sz w:val="20"/>
                <w:szCs w:val="20"/>
                <w:color w:val="auto"/>
              </w:rPr>
            </w:pPr>
            <w:r>
              <w:rPr>
                <w:rFonts w:ascii="Arial" w:cs="Arial" w:eastAsia="Arial" w:hAnsi="Arial"/>
                <w:sz w:val="18"/>
                <w:szCs w:val="18"/>
                <w:color w:val="auto"/>
              </w:rPr>
              <w:t>Consolidated Statements of Income</w:t>
            </w:r>
          </w:p>
        </w:tc>
        <w:tc>
          <w:tcPr>
            <w:tcW w:w="2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340" w:type="dxa"/>
            <w:vAlign w:val="bottom"/>
            <w:gridSpan w:val="2"/>
          </w:tcPr>
          <w:p>
            <w:pPr>
              <w:ind w:left="620"/>
              <w:spacing w:after="0"/>
              <w:rPr>
                <w:sz w:val="20"/>
                <w:szCs w:val="20"/>
                <w:color w:val="auto"/>
              </w:rPr>
            </w:pPr>
            <w:r>
              <w:rPr>
                <w:rFonts w:ascii="Arial" w:cs="Arial" w:eastAsia="Arial" w:hAnsi="Arial"/>
                <w:sz w:val="18"/>
                <w:szCs w:val="18"/>
                <w:color w:val="auto"/>
              </w:rPr>
              <w:t>Consolidated Statement of Changes in Shareholders’ Equity</w:t>
            </w:r>
          </w:p>
        </w:tc>
        <w:tc>
          <w:tcPr>
            <w:tcW w:w="2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340" w:type="dxa"/>
            <w:vAlign w:val="bottom"/>
            <w:gridSpan w:val="2"/>
          </w:tcPr>
          <w:p>
            <w:pPr>
              <w:ind w:left="620"/>
              <w:spacing w:after="0"/>
              <w:rPr>
                <w:sz w:val="20"/>
                <w:szCs w:val="20"/>
                <w:color w:val="auto"/>
              </w:rPr>
            </w:pPr>
            <w:r>
              <w:rPr>
                <w:rFonts w:ascii="Arial" w:cs="Arial" w:eastAsia="Arial" w:hAnsi="Arial"/>
                <w:sz w:val="18"/>
                <w:szCs w:val="18"/>
                <w:color w:val="auto"/>
              </w:rPr>
              <w:t>Consolidated Statements of Cash Flows</w:t>
            </w:r>
          </w:p>
        </w:tc>
        <w:tc>
          <w:tcPr>
            <w:tcW w:w="2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340" w:type="dxa"/>
            <w:vAlign w:val="bottom"/>
            <w:gridSpan w:val="2"/>
          </w:tcPr>
          <w:p>
            <w:pPr>
              <w:ind w:left="620"/>
              <w:spacing w:after="0"/>
              <w:rPr>
                <w:sz w:val="20"/>
                <w:szCs w:val="20"/>
                <w:color w:val="auto"/>
              </w:rPr>
            </w:pPr>
            <w:r>
              <w:rPr>
                <w:rFonts w:ascii="Arial" w:cs="Arial" w:eastAsia="Arial" w:hAnsi="Arial"/>
                <w:sz w:val="18"/>
                <w:szCs w:val="18"/>
                <w:color w:val="auto"/>
              </w:rPr>
              <w:t>Notes to Unaudited Consolidated Financial Statements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40" w:type="dxa"/>
            <w:vAlign w:val="bottom"/>
          </w:tcPr>
          <w:p>
            <w:pPr>
              <w:ind w:left="220"/>
              <w:spacing w:after="0"/>
              <w:rPr>
                <w:sz w:val="20"/>
                <w:szCs w:val="20"/>
                <w:color w:val="auto"/>
              </w:rPr>
            </w:pPr>
            <w:r>
              <w:rPr>
                <w:rFonts w:ascii="Arial" w:cs="Arial" w:eastAsia="Arial" w:hAnsi="Arial"/>
                <w:sz w:val="18"/>
                <w:szCs w:val="18"/>
                <w:color w:val="auto"/>
                <w:w w:val="90"/>
              </w:rPr>
              <w:t>Item 2.</w:t>
            </w:r>
          </w:p>
        </w:tc>
        <w:tc>
          <w:tcPr>
            <w:tcW w:w="8600" w:type="dxa"/>
            <w:vAlign w:val="bottom"/>
          </w:tcPr>
          <w:p>
            <w:pPr>
              <w:ind w:left="20"/>
              <w:spacing w:after="0"/>
              <w:rPr>
                <w:sz w:val="20"/>
                <w:szCs w:val="20"/>
                <w:color w:val="auto"/>
              </w:rPr>
            </w:pPr>
            <w:r>
              <w:rPr>
                <w:rFonts w:ascii="Arial" w:cs="Arial" w:eastAsia="Arial" w:hAnsi="Arial"/>
                <w:sz w:val="18"/>
                <w:szCs w:val="18"/>
                <w:color w:val="auto"/>
              </w:rPr>
              <w:t>Operating and Financial Review and Prospects</w:t>
            </w:r>
          </w:p>
        </w:tc>
        <w:tc>
          <w:tcPr>
            <w:tcW w:w="2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PART II OTHER INFORMATION</w:t>
            </w:r>
          </w:p>
        </w:tc>
        <w:tc>
          <w:tcPr>
            <w:tcW w:w="2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40" w:type="dxa"/>
            <w:vAlign w:val="bottom"/>
          </w:tcPr>
          <w:p>
            <w:pPr>
              <w:ind w:left="220"/>
              <w:spacing w:after="0"/>
              <w:rPr>
                <w:sz w:val="20"/>
                <w:szCs w:val="20"/>
                <w:color w:val="auto"/>
              </w:rPr>
            </w:pPr>
            <w:r>
              <w:rPr>
                <w:rFonts w:ascii="Arial" w:cs="Arial" w:eastAsia="Arial" w:hAnsi="Arial"/>
                <w:sz w:val="18"/>
                <w:szCs w:val="18"/>
                <w:color w:val="auto"/>
                <w:w w:val="90"/>
              </w:rPr>
              <w:t>Item 1.</w:t>
            </w:r>
          </w:p>
        </w:tc>
        <w:tc>
          <w:tcPr>
            <w:tcW w:w="8600" w:type="dxa"/>
            <w:vAlign w:val="bottom"/>
          </w:tcPr>
          <w:p>
            <w:pPr>
              <w:ind w:left="20"/>
              <w:spacing w:after="0"/>
              <w:rPr>
                <w:sz w:val="20"/>
                <w:szCs w:val="20"/>
                <w:color w:val="auto"/>
              </w:rPr>
            </w:pPr>
            <w:r>
              <w:rPr>
                <w:rFonts w:ascii="Arial" w:cs="Arial" w:eastAsia="Arial" w:hAnsi="Arial"/>
                <w:sz w:val="18"/>
                <w:szCs w:val="18"/>
                <w:color w:val="auto"/>
              </w:rPr>
              <w:t>Changes in Securities, Use of Proceeds and Issuer Purchases of Equity Securities</w:t>
            </w:r>
          </w:p>
        </w:tc>
        <w:tc>
          <w:tcPr>
            <w:tcW w:w="2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40" w:type="dxa"/>
            <w:vAlign w:val="bottom"/>
          </w:tcPr>
          <w:p>
            <w:pPr>
              <w:ind w:left="220"/>
              <w:spacing w:after="0"/>
              <w:rPr>
                <w:sz w:val="20"/>
                <w:szCs w:val="20"/>
                <w:color w:val="auto"/>
              </w:rPr>
            </w:pPr>
            <w:r>
              <w:rPr>
                <w:rFonts w:ascii="Arial" w:cs="Arial" w:eastAsia="Arial" w:hAnsi="Arial"/>
                <w:sz w:val="18"/>
                <w:szCs w:val="18"/>
                <w:color w:val="auto"/>
                <w:w w:val="90"/>
              </w:rPr>
              <w:t>Item 2.</w:t>
            </w:r>
          </w:p>
        </w:tc>
        <w:tc>
          <w:tcPr>
            <w:tcW w:w="8600" w:type="dxa"/>
            <w:vAlign w:val="bottom"/>
          </w:tcPr>
          <w:p>
            <w:pPr>
              <w:ind w:left="20"/>
              <w:spacing w:after="0"/>
              <w:rPr>
                <w:sz w:val="20"/>
                <w:szCs w:val="20"/>
                <w:color w:val="auto"/>
              </w:rPr>
            </w:pPr>
            <w:r>
              <w:rPr>
                <w:rFonts w:ascii="Arial" w:cs="Arial" w:eastAsia="Arial" w:hAnsi="Arial"/>
                <w:sz w:val="18"/>
                <w:szCs w:val="18"/>
                <w:color w:val="auto"/>
              </w:rPr>
              <w:t>Reports on Form 6-K</w:t>
            </w:r>
          </w:p>
        </w:tc>
        <w:tc>
          <w:tcPr>
            <w:tcW w:w="2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20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8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June 30,</w:t>
            </w:r>
          </w:p>
        </w:tc>
        <w:tc>
          <w:tcPr>
            <w:tcW w:w="54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8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8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671,154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728,762</w:t>
            </w: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Short-term interest-bearing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618,785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444,279</w:t>
            </w: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506,778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454,965</w:t>
            </w: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Deferred income taxes and taxes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111,560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117,848</w:t>
            </w: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84,449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126,704</w:t>
            </w:r>
          </w:p>
        </w:tc>
      </w:tr>
      <w:tr>
        <w:trPr>
          <w:trHeight w:val="223"/>
        </w:trPr>
        <w:tc>
          <w:tcPr>
            <w:tcW w:w="886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1,992,726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1,872,558</w:t>
            </w:r>
          </w:p>
        </w:tc>
        <w:tc>
          <w:tcPr>
            <w:tcW w:w="100" w:type="dxa"/>
            <w:vAlign w:val="bottom"/>
          </w:tcPr>
          <w:p>
            <w:pPr>
              <w:spacing w:after="0"/>
              <w:rPr>
                <w:sz w:val="19"/>
                <w:szCs w:val="19"/>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246,728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279,659</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140,340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137,662</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1,641,081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1,539,424</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236,129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227,337</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313,761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271,777</w:t>
            </w:r>
          </w:p>
        </w:tc>
      </w:tr>
      <w:tr>
        <w:trPr>
          <w:trHeight w:val="223"/>
        </w:trPr>
        <w:tc>
          <w:tcPr>
            <w:tcW w:w="886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4,570,765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4,328,417</w:t>
            </w:r>
          </w:p>
        </w:tc>
        <w:tc>
          <w:tcPr>
            <w:tcW w:w="10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139,401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86,189</w:t>
            </w: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207,154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174,341</w:t>
            </w: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personnel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191,583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154,841</w:t>
            </w: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167,209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186,158</w:t>
            </w: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and 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19,378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9,338</w:t>
            </w:r>
          </w:p>
        </w:tc>
      </w:tr>
      <w:tr>
        <w:trPr>
          <w:trHeight w:val="223"/>
        </w:trPr>
        <w:tc>
          <w:tcPr>
            <w:tcW w:w="886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724,725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610,867</w:t>
            </w:r>
          </w:p>
        </w:tc>
        <w:tc>
          <w:tcPr>
            <w:tcW w:w="100" w:type="dxa"/>
            <w:vAlign w:val="bottom"/>
          </w:tcPr>
          <w:p>
            <w:pPr>
              <w:spacing w:after="0"/>
              <w:rPr>
                <w:sz w:val="19"/>
                <w:szCs w:val="19"/>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289,430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273,110</w:t>
            </w: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260,829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231,387</w:t>
            </w:r>
          </w:p>
        </w:tc>
        <w:tc>
          <w:tcPr>
            <w:tcW w:w="100" w:type="dxa"/>
            <w:vAlign w:val="bottom"/>
          </w:tcPr>
          <w:p>
            <w:pPr>
              <w:spacing w:after="0"/>
              <w:rPr>
                <w:sz w:val="19"/>
                <w:szCs w:val="19"/>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1,274,984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1,115,364</w:t>
            </w: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860" w:type="dxa"/>
            <w:vAlign w:val="bottom"/>
          </w:tcPr>
          <w:p>
            <w:pPr>
              <w:ind w:left="220"/>
              <w:spacing w:after="0" w:line="201" w:lineRule="exact"/>
              <w:rPr>
                <w:sz w:val="20"/>
                <w:szCs w:val="20"/>
                <w:color w:val="auto"/>
              </w:rPr>
            </w:pPr>
            <w:r>
              <w:rPr>
                <w:rFonts w:ascii="Arial" w:cs="Arial" w:eastAsia="Arial" w:hAnsi="Arial"/>
                <w:sz w:val="18"/>
                <w:szCs w:val="18"/>
                <w:color w:val="auto"/>
                <w:w w:val="97"/>
              </w:rPr>
              <w:t>Ordinary Shares — Authorized 700,000 shares; £0.01 par value; 244,046 and 242,466 issued and 199,565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860" w:type="dxa"/>
            <w:vAlign w:val="bottom"/>
          </w:tcPr>
          <w:p>
            <w:pPr>
              <w:ind w:left="420"/>
              <w:spacing w:after="0"/>
              <w:rPr>
                <w:sz w:val="20"/>
                <w:szCs w:val="20"/>
                <w:color w:val="auto"/>
              </w:rPr>
            </w:pPr>
            <w:r>
              <w:rPr>
                <w:rFonts w:ascii="Arial" w:cs="Arial" w:eastAsia="Arial" w:hAnsi="Arial"/>
                <w:sz w:val="18"/>
                <w:szCs w:val="18"/>
                <w:color w:val="auto"/>
              </w:rPr>
              <w:t>205,079 outstanding,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3,930</w:t>
            </w: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2,388,418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2,334,090</w:t>
            </w: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Treasury stock, at cost —44,481 and 37,387 Ordinary Shares,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(1,128,517)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(919,874)</w:t>
            </w: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8,343</w:t>
            </w:r>
          </w:p>
        </w:tc>
      </w:tr>
      <w:tr>
        <w:trPr>
          <w:trHeight w:val="223"/>
        </w:trPr>
        <w:tc>
          <w:tcPr>
            <w:tcW w:w="88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2,035,732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1,786,564</w:t>
            </w:r>
          </w:p>
        </w:tc>
        <w:tc>
          <w:tcPr>
            <w:tcW w:w="100" w:type="dxa"/>
            <w:vAlign w:val="bottom"/>
          </w:tcPr>
          <w:p>
            <w:pPr>
              <w:spacing w:after="0"/>
              <w:rPr>
                <w:sz w:val="19"/>
                <w:szCs w:val="19"/>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3,295,781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3,213,053</w:t>
            </w:r>
          </w:p>
        </w:tc>
      </w:tr>
      <w:tr>
        <w:trPr>
          <w:trHeight w:val="223"/>
        </w:trPr>
        <w:tc>
          <w:tcPr>
            <w:tcW w:w="8860" w:type="dxa"/>
            <w:vAlign w:val="bottom"/>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4,570,765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4,328,417</w:t>
            </w:r>
          </w:p>
        </w:tc>
        <w:tc>
          <w:tcPr>
            <w:tcW w:w="10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License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25,592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26,075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75,691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107,879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727,657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664,190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2,146,338</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2,047,309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753,249</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690,265</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2,222,029</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2,155,188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459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1,646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480,074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441,777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1,417,729</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1,381,825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52,253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51,134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153,549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93,446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81,732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277,054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21,748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21,839</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64,506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647,980</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597,019</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1,914,484</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1,884,714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105,269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93,246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307,545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(3,768)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(27,244)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101,501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95,760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280,301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taxes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9,236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10,212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31,133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29,035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92,265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85,548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249,168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240,425</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 (1)</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(1)</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shares outstanding (1)</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203,786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203,951</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205,078</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 (1)</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205,471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204,252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206,606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40" w:hanging="452"/>
        <w:spacing w:after="0" w:line="297"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basic and diluted weighted average number of shares outstanding for the three and nine months ended June 30, 2009 have been retroactively adjusted to reflect the adoption of new earnings per share authoritative guidance requiring the inclusion of unvested share-based payment awards containing nonforfeitable rights to dividends or dividend equivalents in the calculation of basic weighted average number of shares outstanding. This adjustment reduced basic earnings per share by $0.01 for the nine months ended June 30, 2009 and had no impact on basic and diluted earnings per share for the three months ended June 30, 2009 and on diluted earnings per share for the nine months ended June 30, 2009.</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300" w:type="dxa"/>
            <w:vAlign w:val="bottom"/>
            <w:gridSpan w:val="6"/>
            <w:vMerge w:val="restart"/>
          </w:tcPr>
          <w:p>
            <w:pPr>
              <w:ind w:left="400"/>
              <w:spacing w:after="0"/>
              <w:rPr>
                <w:sz w:val="20"/>
                <w:szCs w:val="20"/>
                <w:color w:val="auto"/>
              </w:rPr>
            </w:pPr>
            <w:r>
              <w:rPr>
                <w:rFonts w:ascii="Arial" w:cs="Arial" w:eastAsia="Arial" w:hAnsi="Arial"/>
                <w:sz w:val="14"/>
                <w:szCs w:val="14"/>
                <w:b w:val="1"/>
                <w:bCs w:val="1"/>
                <w:color w:val="auto"/>
              </w:rPr>
              <w:t>Ordinary Shares</w:t>
            </w: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300" w:type="dxa"/>
            <w:vAlign w:val="bottom"/>
            <w:gridSpan w:val="6"/>
            <w:vMerge w:val="continue"/>
          </w:tcPr>
          <w:p>
            <w:pPr>
              <w:spacing w:after="0"/>
              <w:rPr>
                <w:sz w:val="13"/>
                <w:szCs w:val="13"/>
                <w:color w:val="auto"/>
              </w:rPr>
            </w:pPr>
          </w:p>
        </w:tc>
        <w:tc>
          <w:tcPr>
            <w:tcW w:w="132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3"/>
                <w:szCs w:val="13"/>
                <w:color w:val="auto"/>
              </w:rPr>
            </w:pPr>
          </w:p>
        </w:tc>
        <w:tc>
          <w:tcPr>
            <w:tcW w:w="128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rPr>
              <w:t>Treasury</w:t>
            </w:r>
          </w:p>
        </w:tc>
        <w:tc>
          <w:tcPr>
            <w:tcW w:w="122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3"/>
                <w:szCs w:val="13"/>
                <w:color w:val="auto"/>
              </w:rPr>
            </w:pPr>
          </w:p>
        </w:tc>
        <w:tc>
          <w:tcPr>
            <w:tcW w:w="132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Retained</w:t>
            </w:r>
          </w:p>
        </w:tc>
        <w:tc>
          <w:tcPr>
            <w:tcW w:w="9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12"/>
                <w:szCs w:val="12"/>
                <w:color w:val="auto"/>
              </w:rPr>
            </w:pPr>
          </w:p>
        </w:tc>
        <w:tc>
          <w:tcPr>
            <w:tcW w:w="132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280" w:type="dxa"/>
            <w:vAlign w:val="bottom"/>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Stock</w:t>
            </w:r>
          </w:p>
        </w:tc>
        <w:tc>
          <w:tcPr>
            <w:tcW w:w="122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0"/>
              </w:rPr>
              <w:t>(Loss) Income</w:t>
            </w:r>
          </w:p>
        </w:tc>
        <w:tc>
          <w:tcPr>
            <w:tcW w:w="200" w:type="dxa"/>
            <w:vAlign w:val="bottom"/>
          </w:tcPr>
          <w:p>
            <w:pPr>
              <w:spacing w:after="0"/>
              <w:rPr>
                <w:sz w:val="12"/>
                <w:szCs w:val="12"/>
                <w:color w:val="auto"/>
              </w:rPr>
            </w:pPr>
          </w:p>
        </w:tc>
        <w:tc>
          <w:tcPr>
            <w:tcW w:w="132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Earnings</w:t>
            </w:r>
          </w:p>
        </w:tc>
        <w:tc>
          <w:tcPr>
            <w:tcW w:w="9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as of September 30,</w:t>
            </w:r>
          </w:p>
        </w:tc>
        <w:tc>
          <w:tcPr>
            <w:tcW w:w="7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2009</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205,079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3,930</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$ 2,334,090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(919,874)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8,343</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$ 1,786,564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$ 3,213,053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Comprehensive income:</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249,168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200"/>
              <w:spacing w:after="0" w:line="201" w:lineRule="exact"/>
              <w:rPr>
                <w:sz w:val="20"/>
                <w:szCs w:val="20"/>
                <w:color w:val="auto"/>
              </w:rPr>
            </w:pPr>
            <w:r>
              <w:rPr>
                <w:rFonts w:ascii="Arial" w:cs="Arial" w:eastAsia="Arial" w:hAnsi="Arial"/>
                <w:sz w:val="18"/>
                <w:szCs w:val="18"/>
                <w:color w:val="auto"/>
              </w:rPr>
              <w:t>Unrealized loss on foreign</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400"/>
              <w:spacing w:after="0"/>
              <w:rPr>
                <w:sz w:val="20"/>
                <w:szCs w:val="20"/>
                <w:color w:val="auto"/>
              </w:rPr>
            </w:pPr>
            <w:r>
              <w:rPr>
                <w:rFonts w:ascii="Arial" w:cs="Arial" w:eastAsia="Arial" w:hAnsi="Arial"/>
                <w:sz w:val="18"/>
                <w:szCs w:val="18"/>
                <w:color w:val="auto"/>
              </w:rPr>
              <w:t>currency hedging</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400"/>
              <w:spacing w:after="0"/>
              <w:rPr>
                <w:sz w:val="20"/>
                <w:szCs w:val="20"/>
                <w:color w:val="auto"/>
              </w:rPr>
            </w:pPr>
            <w:r>
              <w:rPr>
                <w:rFonts w:ascii="Arial" w:cs="Arial" w:eastAsia="Arial" w:hAnsi="Arial"/>
                <w:sz w:val="18"/>
                <w:szCs w:val="18"/>
                <w:color w:val="auto"/>
              </w:rPr>
              <w:t>contracts, net of $(2,768)</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400"/>
              <w:spacing w:after="0"/>
              <w:rPr>
                <w:sz w:val="20"/>
                <w:szCs w:val="20"/>
                <w:color w:val="auto"/>
              </w:rPr>
            </w:pPr>
            <w:r>
              <w:rPr>
                <w:rFonts w:ascii="Arial" w:cs="Arial" w:eastAsia="Arial" w:hAnsi="Arial"/>
                <w:sz w:val="18"/>
                <w:szCs w:val="18"/>
                <w:color w:val="auto"/>
              </w:rPr>
              <w:t>tax</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(16,250)</w:t>
            </w:r>
          </w:p>
        </w:tc>
        <w:tc>
          <w:tcPr>
            <w:tcW w:w="20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gain on short-</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 interest-bearing</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investments, net of $100</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4,100</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Employee stock options</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1,016</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Repurchase of shares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(7,094)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(208,643)</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(208,643)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restricted stock, net</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forfeitures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Equity-based compensation</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expense related to employees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32,328</w:t>
            </w:r>
          </w:p>
        </w:tc>
        <w:tc>
          <w:tcPr>
            <w:tcW w:w="10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$ 2,388,418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(1,128,517)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(3,807)</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$ 2,035,732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$ 3,295,781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As of June 30, 2010 and September 30, 2009, accumulated other comprehensive (loss) income is comprised of unrealized (loss) gain on foreign currency hedging contracts, net of tax, of $(3,314) and $12,936, respectively, unrealized loss on short-term interest-bearing investments, net of tax, of $(2,317) and $(6,417), respectively, and unrealized gain on defined benefit plan, net of tax, of $1,824.</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08"/>
              <w:spacing w:after="0"/>
              <w:rPr>
                <w:sz w:val="20"/>
                <w:szCs w:val="20"/>
                <w:color w:val="auto"/>
              </w:rPr>
            </w:pPr>
            <w:r>
              <w:rPr>
                <w:rFonts w:ascii="Arial" w:cs="Arial" w:eastAsia="Arial" w:hAnsi="Arial"/>
                <w:sz w:val="18"/>
                <w:szCs w:val="18"/>
                <w:color w:val="auto"/>
              </w:rPr>
              <w:t>249,168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240,425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380" w:type="dxa"/>
            <w:vAlign w:val="bottom"/>
            <w:gridSpan w:val="2"/>
          </w:tcPr>
          <w:p>
            <w:pPr>
              <w:jc w:val="right"/>
              <w:ind w:right="508"/>
              <w:spacing w:after="0"/>
              <w:rPr>
                <w:sz w:val="20"/>
                <w:szCs w:val="20"/>
                <w:color w:val="auto"/>
              </w:rPr>
            </w:pPr>
            <w:r>
              <w:rPr>
                <w:rFonts w:ascii="Arial" w:cs="Arial" w:eastAsia="Arial" w:hAnsi="Arial"/>
                <w:sz w:val="18"/>
                <w:szCs w:val="18"/>
                <w:color w:val="auto"/>
              </w:rPr>
              <w:t>146,046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147,869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divestiture of a subsidiary</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23,399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In-process research and development expenses</w:t>
            </w:r>
          </w:p>
        </w:tc>
        <w:tc>
          <w:tcPr>
            <w:tcW w:w="100" w:type="dxa"/>
            <w:vAlign w:val="bottom"/>
          </w:tcPr>
          <w:p>
            <w:pPr>
              <w:spacing w:after="0"/>
              <w:rPr>
                <w:sz w:val="18"/>
                <w:szCs w:val="18"/>
                <w:color w:val="auto"/>
              </w:rPr>
            </w:pPr>
          </w:p>
        </w:tc>
        <w:tc>
          <w:tcPr>
            <w:tcW w:w="138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sale of equipment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tcPr>
          <w:p>
            <w:pPr>
              <w:spacing w:after="0"/>
              <w:rPr>
                <w:sz w:val="18"/>
                <w:szCs w:val="18"/>
                <w:color w:val="auto"/>
              </w:rPr>
            </w:pPr>
          </w:p>
        </w:tc>
        <w:tc>
          <w:tcPr>
            <w:tcW w:w="1380" w:type="dxa"/>
            <w:vAlign w:val="bottom"/>
            <w:gridSpan w:val="2"/>
          </w:tcPr>
          <w:p>
            <w:pPr>
              <w:jc w:val="right"/>
              <w:ind w:right="508"/>
              <w:spacing w:after="0"/>
              <w:rPr>
                <w:sz w:val="20"/>
                <w:szCs w:val="20"/>
                <w:color w:val="auto"/>
              </w:rPr>
            </w:pPr>
            <w:r>
              <w:rPr>
                <w:rFonts w:ascii="Arial" w:cs="Arial" w:eastAsia="Arial" w:hAnsi="Arial"/>
                <w:sz w:val="18"/>
                <w:szCs w:val="18"/>
                <w:color w:val="auto"/>
              </w:rPr>
              <w:t>32,328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(14,431)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Gain on repurchase of convertible notes</w:t>
            </w:r>
          </w:p>
        </w:tc>
        <w:tc>
          <w:tcPr>
            <w:tcW w:w="100" w:type="dxa"/>
            <w:vAlign w:val="bottom"/>
          </w:tcPr>
          <w:p>
            <w:pPr>
              <w:spacing w:after="0"/>
              <w:rPr>
                <w:sz w:val="18"/>
                <w:szCs w:val="18"/>
                <w:color w:val="auto"/>
              </w:rPr>
            </w:pPr>
          </w:p>
        </w:tc>
        <w:tc>
          <w:tcPr>
            <w:tcW w:w="138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(Gain) loss from short-term interest-bearing investments</w:t>
            </w:r>
          </w:p>
        </w:tc>
        <w:tc>
          <w:tcPr>
            <w:tcW w:w="100" w:type="dxa"/>
            <w:vAlign w:val="bottom"/>
          </w:tcPr>
          <w:p>
            <w:pPr>
              <w:spacing w:after="0"/>
              <w:rPr>
                <w:sz w:val="18"/>
                <w:szCs w:val="18"/>
                <w:color w:val="auto"/>
              </w:rPr>
            </w:pPr>
          </w:p>
        </w:tc>
        <w:tc>
          <w:tcPr>
            <w:tcW w:w="1380" w:type="dxa"/>
            <w:vAlign w:val="bottom"/>
            <w:gridSpan w:val="2"/>
          </w:tcPr>
          <w:p>
            <w:pPr>
              <w:jc w:val="right"/>
              <w:ind w:right="448"/>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380" w:type="dxa"/>
            <w:vAlign w:val="bottom"/>
            <w:gridSpan w:val="2"/>
          </w:tcPr>
          <w:p>
            <w:pPr>
              <w:jc w:val="right"/>
              <w:ind w:right="448"/>
              <w:spacing w:after="0"/>
              <w:rPr>
                <w:sz w:val="20"/>
                <w:szCs w:val="20"/>
                <w:color w:val="auto"/>
              </w:rPr>
            </w:pPr>
            <w:r>
              <w:rPr>
                <w:rFonts w:ascii="Arial" w:cs="Arial" w:eastAsia="Arial" w:hAnsi="Arial"/>
                <w:sz w:val="18"/>
                <w:szCs w:val="18"/>
                <w:color w:val="auto"/>
              </w:rPr>
              <w:t>(60,923)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33,181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380" w:type="dxa"/>
            <w:vAlign w:val="bottom"/>
            <w:gridSpan w:val="2"/>
          </w:tcPr>
          <w:p>
            <w:pPr>
              <w:jc w:val="right"/>
              <w:ind w:right="448"/>
              <w:spacing w:after="0"/>
              <w:rPr>
                <w:sz w:val="20"/>
                <w:szCs w:val="20"/>
                <w:color w:val="auto"/>
              </w:rPr>
            </w:pPr>
            <w:r>
              <w:rPr>
                <w:rFonts w:ascii="Arial" w:cs="Arial" w:eastAsia="Arial" w:hAnsi="Arial"/>
                <w:sz w:val="18"/>
                <w:szCs w:val="18"/>
                <w:color w:val="auto"/>
              </w:rPr>
              <w:t>(23,960)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112,705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(139,466)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380" w:type="dxa"/>
            <w:vAlign w:val="bottom"/>
            <w:gridSpan w:val="2"/>
          </w:tcPr>
          <w:p>
            <w:pPr>
              <w:jc w:val="right"/>
              <w:ind w:right="508"/>
              <w:spacing w:after="0"/>
              <w:rPr>
                <w:sz w:val="20"/>
                <w:szCs w:val="20"/>
                <w:color w:val="auto"/>
              </w:rPr>
            </w:pPr>
            <w:r>
              <w:rPr>
                <w:rFonts w:ascii="Arial" w:cs="Arial" w:eastAsia="Arial" w:hAnsi="Arial"/>
                <w:sz w:val="18"/>
                <w:szCs w:val="18"/>
                <w:color w:val="auto"/>
              </w:rPr>
              <w:t>22,532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16,463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1,513</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537,560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335,479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(59,504)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1,070,065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601,844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w w:val="91"/>
              </w:rPr>
              <w:t>(1,239,792)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(676,472)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00" w:type="dxa"/>
            <w:vAlign w:val="bottom"/>
          </w:tcPr>
          <w:p>
            <w:pPr>
              <w:spacing w:after="0"/>
              <w:rPr>
                <w:sz w:val="18"/>
                <w:szCs w:val="18"/>
                <w:color w:val="auto"/>
              </w:rPr>
            </w:pPr>
          </w:p>
        </w:tc>
        <w:tc>
          <w:tcPr>
            <w:tcW w:w="1380" w:type="dxa"/>
            <w:vAlign w:val="bottom"/>
            <w:gridSpan w:val="2"/>
          </w:tcPr>
          <w:p>
            <w:pPr>
              <w:jc w:val="right"/>
              <w:ind w:right="448"/>
              <w:spacing w:after="0"/>
              <w:rPr>
                <w:sz w:val="20"/>
                <w:szCs w:val="20"/>
                <w:color w:val="auto"/>
              </w:rPr>
            </w:pPr>
            <w:r>
              <w:rPr>
                <w:rFonts w:ascii="Arial" w:cs="Arial" w:eastAsia="Arial" w:hAnsi="Arial"/>
                <w:sz w:val="18"/>
                <w:szCs w:val="18"/>
                <w:color w:val="auto"/>
              </w:rPr>
              <w:t>(199,496)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divestiture of a subsidiary</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20,336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(408,391)</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(201,563)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Borrowing under long-term financing arrangements</w:t>
            </w:r>
          </w:p>
        </w:tc>
        <w:tc>
          <w:tcPr>
            <w:tcW w:w="100" w:type="dxa"/>
            <w:vAlign w:val="bottom"/>
          </w:tcPr>
          <w:p>
            <w:pPr>
              <w:spacing w:after="0"/>
              <w:rPr>
                <w:sz w:val="18"/>
                <w:szCs w:val="18"/>
                <w:color w:val="auto"/>
              </w:rPr>
            </w:pPr>
          </w:p>
        </w:tc>
        <w:tc>
          <w:tcPr>
            <w:tcW w:w="138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long-term financing arrangements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Redemption of convertible notes</w:t>
            </w:r>
          </w:p>
        </w:tc>
        <w:tc>
          <w:tcPr>
            <w:tcW w:w="100" w:type="dxa"/>
            <w:vAlign w:val="bottom"/>
          </w:tcPr>
          <w:p>
            <w:pPr>
              <w:spacing w:after="0"/>
              <w:rPr>
                <w:sz w:val="18"/>
                <w:szCs w:val="18"/>
                <w:color w:val="auto"/>
              </w:rPr>
            </w:pPr>
          </w:p>
        </w:tc>
        <w:tc>
          <w:tcPr>
            <w:tcW w:w="138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(330,780)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convertible notes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tcPr>
          <w:p>
            <w:pPr>
              <w:spacing w:after="0"/>
              <w:rPr>
                <w:sz w:val="18"/>
                <w:szCs w:val="18"/>
                <w:color w:val="auto"/>
              </w:rPr>
            </w:pPr>
          </w:p>
        </w:tc>
        <w:tc>
          <w:tcPr>
            <w:tcW w:w="1380" w:type="dxa"/>
            <w:vAlign w:val="bottom"/>
            <w:gridSpan w:val="2"/>
          </w:tcPr>
          <w:p>
            <w:pPr>
              <w:jc w:val="right"/>
              <w:ind w:right="448"/>
              <w:spacing w:after="0"/>
              <w:rPr>
                <w:sz w:val="20"/>
                <w:szCs w:val="20"/>
                <w:color w:val="auto"/>
              </w:rPr>
            </w:pPr>
            <w:r>
              <w:rPr>
                <w:rFonts w:ascii="Arial" w:cs="Arial" w:eastAsia="Arial" w:hAnsi="Arial"/>
                <w:sz w:val="18"/>
                <w:szCs w:val="18"/>
                <w:color w:val="auto"/>
              </w:rPr>
              <w:t>(208,643)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 and short-term financing arrangements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100" w:type="dxa"/>
            <w:vAlign w:val="bottom"/>
          </w:tcPr>
          <w:p>
            <w:pPr>
              <w:spacing w:after="0"/>
              <w:rPr>
                <w:sz w:val="18"/>
                <w:szCs w:val="18"/>
                <w:color w:val="auto"/>
              </w:rPr>
            </w:pPr>
          </w:p>
        </w:tc>
        <w:tc>
          <w:tcPr>
            <w:tcW w:w="1380" w:type="dxa"/>
            <w:vAlign w:val="bottom"/>
            <w:gridSpan w:val="2"/>
          </w:tcPr>
          <w:p>
            <w:pPr>
              <w:jc w:val="right"/>
              <w:ind w:right="508"/>
              <w:spacing w:after="0"/>
              <w:rPr>
                <w:sz w:val="20"/>
                <w:szCs w:val="20"/>
                <w:color w:val="auto"/>
              </w:rPr>
            </w:pPr>
            <w:r>
              <w:rPr>
                <w:rFonts w:ascii="Arial" w:cs="Arial" w:eastAsia="Arial" w:hAnsi="Arial"/>
                <w:sz w:val="18"/>
                <w:szCs w:val="18"/>
                <w:color w:val="auto"/>
              </w:rPr>
              <w:t>22,025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(186,777)</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(167,865)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(57,608)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728,762</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718,850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671,154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684,901</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Income taxes, net of refunds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08"/>
              <w:spacing w:after="0"/>
              <w:rPr>
                <w:sz w:val="20"/>
                <w:szCs w:val="20"/>
                <w:color w:val="auto"/>
              </w:rPr>
            </w:pPr>
            <w:r>
              <w:rPr>
                <w:rFonts w:ascii="Arial" w:cs="Arial" w:eastAsia="Arial" w:hAnsi="Arial"/>
                <w:sz w:val="18"/>
                <w:szCs w:val="18"/>
                <w:color w:val="auto"/>
              </w:rPr>
              <w:t>33,181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2,358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180" w:firstLine="215"/>
        <w:spacing w:after="0" w:line="255" w:lineRule="auto"/>
        <w:rPr>
          <w:sz w:val="20"/>
          <w:szCs w:val="20"/>
          <w:color w:val="auto"/>
        </w:rPr>
      </w:pPr>
      <w:r>
        <w:rPr>
          <w:rFonts w:ascii="Arial" w:cs="Arial" w:eastAsia="Arial" w:hAnsi="Arial"/>
          <w:sz w:val="18"/>
          <w:szCs w:val="18"/>
          <w:color w:val="auto"/>
        </w:rPr>
        <w:t>Amdocs Limited (“Amdocs” or the “Company”) is a leading provider of software and services for communications, media and entertainment industry service providers. The Company and its subsidiaries operate in one segment, providing integrated products and services primarily to leading wireless, wireline, cable and satellite service providers throughout the world. The Company designs, develops, markets, supports, implements and operates customer experience systems, including revenue management, customer management, service and resource management (OSS), personalized portal and value-added services and portfolio management, as well as consulting and managed services for its customers. Amdocs also offers a full range of directory sales and publishing systems.</w:t>
      </w:r>
    </w:p>
    <w:p>
      <w:pPr>
        <w:spacing w:after="0" w:line="85"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Company is a Guernsey company, which directly or indirectly holds numerous wholly-owned subsidiaries around the world. The majority of the Company’s customers are in North America, Europe, Latin America and the Asia-Pacific region. The Company’s main production and operating facilities are located in Canada, Cyprus, India, Ireland, Israel, and the United States.</w:t>
      </w:r>
    </w:p>
    <w:p>
      <w:pPr>
        <w:spacing w:after="0" w:line="73"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U.S. GAAP. In the opinion of the Company’s management, all adjustments considered necessary for a fair presentation of the unaudited interim consolidated financial statements have been included herein and are of a normal recurring nature.</w:t>
      </w:r>
    </w:p>
    <w:p>
      <w:pPr>
        <w:spacing w:after="0" w:line="73"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73"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2009, set forth in the Company’s Annual Report on Form 20-F filed on December 7, 2009 with the U.S. Securities and Exchange Commission, or the SEC. Subsequent events were evaluated through the date these financial statements were issued.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immaterial amounts in prior year financial statements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June 2009, the Financial Accounting Standards Board, or FASB, issued authoritative guidance on the consolidation of variable interest entities, which is effective for the Company beginning October 1, 2010. The new guidance requires revised evaluations of whether entities represent variable interest entities, ongoing assessments of control over such entities, and additional disclosures for variable interests. Based on its current operations, the Company believes that the adoption of this new guidance will not have a material impact on its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In January 2010, the FASB issued guidance to amend the disclosure requirements of fair value measurements. The guidance requires new disclosures on the transfers of assets and liabilities between Level 1 and Level 2 of the fair value measurement hierarchy, including the reasons for the transfers, the reasons for any transfer in or out of Level 3 of the fair value measurement hierarchy and a roll forward of activities on purchases, sales, issuances, and settlements of recurring assets and liabilities measured at Level 3 of the fair value measurement hierarchy. In addition to these new disclosure requirements the new guidance also clarifies certain existing disclosure requirements. The guidance became effective for the Company beginning January 1, 2010, except for the disclosure on the roll forward activities for Level 3 fair value measurements, which will become effective for the Company beginning October 1, 2011. The adoption of this new guidance did not have a material impact on the Company’s financial statements.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7" w:name="page8"/>
    <w:bookmarkEnd w:id="7"/>
    <w:p>
      <w:pPr>
        <w:ind w:firstLine="225"/>
        <w:spacing w:after="0" w:line="285" w:lineRule="auto"/>
        <w:rPr>
          <w:sz w:val="20"/>
          <w:szCs w:val="20"/>
          <w:color w:val="auto"/>
        </w:rPr>
      </w:pPr>
      <w:r>
        <w:rPr>
          <w:rFonts w:ascii="Arial" w:cs="Arial" w:eastAsia="Arial" w:hAnsi="Arial"/>
          <w:sz w:val="16"/>
          <w:szCs w:val="16"/>
          <w:color w:val="auto"/>
        </w:rPr>
        <w:t>In October 2009, the FASB issued authoritative guidance for revenue recognition relating to arrangements containing both hardware and software elements. Under the new guidance, tangible products that have software components that are essential to the functionality of the tangible product will no longer be within the scope of software revenue recognition guidance, and will now be subject to other relevant revenue recognition guidance. Additionally, the FASB updated its authoritative guidance for revenue arrangements with multiple deliverables that are outside the scope of the software revenue recognition guidance. The revised guidance eliminates the requirement that “objective and reliable” evidence of fair value exist for an undelivered item in order for a delivered item to be treated as a specific unit of accounting. In addition, the guidance modifies the methodology to allocate transaction consideration to each identified unit of accounting by allowing the use of estimated selling price, or ESP, for individual elements of an arrangement when vendor specific objective evidence, or VSOE, of fair value or third-party evidence of selling price is unavailable. This results in the elimination of the residual method of allocating revenue consideration. The Company elected to early adopt the pronouncements at the beginning of its first quarter of fiscal 2010 on a prospective basis for applicable transactions originating or materially modified after October 1, 2009. If VSOE of fair value or third-party evidence of selling price is unavailable, the Company determines ESP for the purposes of allocating the consideration to individual elements of an arrangement by considering several external and internal factors including, but not limited to, pricing practices, margin objectives, geographies in which the Company offers its services and internal costs. The determination of ESP is made through consultation with and approval by management. This guidance does not generally change the units of accounting in the Company’s revenue arrangements or the methodology by which transaction consideration is allocated to the various units of accounting due to the fact that, for the majority of the Company’s existing multiple deliverables arrangements, the Company allocated transaction consideration for purposes of revenue recognition to each identified unit of accounting based upon its relative fair value, determined using VSOE. The new accounting standards for revenue recognition if applied to the year ended September 30, 2009 would not have had a material impact on the Company’s results of operations or financial position for that fiscal year. In addition, the adoption of the new guidance did not have a material impact on the Company’s results of operations or financial position in the three and nine months ended June 30, 2010.</w:t>
      </w:r>
    </w:p>
    <w:p>
      <w:pPr>
        <w:spacing w:after="0" w:line="281"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Effective October 1, 2009, the Company adopted the new earnings per share authoritative guidance that provides that unvested share-based payment awards that contain nonforfeitable rights to dividends or dividend equivalents are considered participating securities. As such, they should be included in the computation of basic earnings per share, or EPS, using the two-class method. Prior-period EPS data presented have been adjusted retroactively. This adjustment reduced basic EPS by $0.01 for the nine months ended June 30, 2009 and had no impact on basic and diluted earnings per share for the three months ended June 30, 2009 and on diluted earnings per share for the nine months ended June 30, 2009.</w:t>
      </w:r>
    </w:p>
    <w:p>
      <w:pPr>
        <w:spacing w:after="0" w:line="64"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Effective October 1, 2009, the Company adopted the fair value measurements guidance for non-financial assets and non-financial liabilities, except those that are recognized or disclosed in the financial statements at fair value on a recurring basis (at least annually). The adoption of this guidance did not have a material impact on the Company’s results of operations or financial position.</w:t>
      </w:r>
    </w:p>
    <w:p>
      <w:pPr>
        <w:spacing w:after="0" w:line="73"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Effective October 1, 2009, the Company adopted the revised accounting guidance for business combinations. This guidance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Among the more significant changes, acquired in-process research and development will be capitalized and upon completion amortized over its useful life; acquisition costs will be expensed as incurred; restructuring costs will generally be expensed in periods after the acquisition date; contingent consideration will be recognized at fair value at the acquisition date with subsequent changes recognized in earnings, and reductions in deferred tax valuation allowance relating to a business acquisition will be recognized in earnings. In April 2009, the FASB issued an amendment to the revised business combination guidance regarding the accounting for assets acquired and liabilities assumed in a business combination that arise from contingencies. The impact of this accounting guidance on the Company’s results of operations or financial position will vary depending on each specific business combination. This guidance did not have a material impact on the Company’s results of operations or financial position in the three and nine months ended June 30, 2010.</w:t>
      </w:r>
    </w:p>
    <w:p>
      <w:pPr>
        <w:spacing w:after="0" w:line="75"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Effective October 1, 2009, the Company adopted the guidance that changes the accounting and reporting for noncontrolling (minority) interests in consolidated financial statements, including the requirement to classify noncontrolling interests as a component of consolidated stockholders’ equity, the elimination of “minority interest” accounting in results of operations and changes in the accounting for both increases and decreases in a parent’s controlling ownership interest. The adoption of this guidance had no impact on the Company’s consolidated results of operations or financial position.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jc w:val="both"/>
        <w:ind w:right="180" w:firstLine="222"/>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63" w:lineRule="exact"/>
        <w:rPr>
          <w:sz w:val="20"/>
          <w:szCs w:val="20"/>
          <w:color w:val="auto"/>
        </w:rPr>
      </w:pPr>
    </w:p>
    <w:p>
      <w:pPr>
        <w:ind w:right="440" w:firstLine="222"/>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June 30, 2010 and September 30,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As of June 30, 2010</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7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3980" w:type="dxa"/>
            <w:vAlign w:val="bottom"/>
            <w:gridSpan w:val="3"/>
          </w:tcPr>
          <w:p>
            <w:pPr>
              <w:jc w:val="right"/>
              <w:ind w:right="160"/>
              <w:spacing w:after="0"/>
              <w:rPr>
                <w:sz w:val="20"/>
                <w:szCs w:val="20"/>
                <w:color w:val="auto"/>
              </w:rPr>
            </w:pPr>
            <w:r>
              <w:rPr>
                <w:rFonts w:ascii="Arial" w:cs="Arial" w:eastAsia="Arial" w:hAnsi="Arial"/>
                <w:sz w:val="18"/>
                <w:szCs w:val="18"/>
                <w:color w:val="auto"/>
              </w:rPr>
              <w:t>$ 420,601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420,601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3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322,818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U.S. agencies</w:t>
            </w:r>
          </w:p>
        </w:tc>
        <w:tc>
          <w:tcPr>
            <w:tcW w:w="3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115,499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115,499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guaranteed debt</w:t>
            </w:r>
          </w:p>
        </w:tc>
        <w:tc>
          <w:tcPr>
            <w:tcW w:w="3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146,710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3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32,791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3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60,016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3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8,574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3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20,566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10,022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15,043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3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753,441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389,177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1,142,618</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3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$ 753,441</w:t>
            </w:r>
          </w:p>
        </w:tc>
        <w:tc>
          <w:tcPr>
            <w:tcW w:w="19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$ 384,773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1,138,214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As of September 30, 2009</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7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3980" w:type="dxa"/>
            <w:vAlign w:val="bottom"/>
            <w:gridSpan w:val="3"/>
          </w:tcPr>
          <w:p>
            <w:pPr>
              <w:jc w:val="right"/>
              <w:ind w:right="160"/>
              <w:spacing w:after="0"/>
              <w:rPr>
                <w:sz w:val="20"/>
                <w:szCs w:val="20"/>
                <w:color w:val="auto"/>
              </w:rPr>
            </w:pPr>
            <w:r>
              <w:rPr>
                <w:rFonts w:ascii="Arial" w:cs="Arial" w:eastAsia="Arial" w:hAnsi="Arial"/>
                <w:sz w:val="18"/>
                <w:szCs w:val="18"/>
                <w:color w:val="auto"/>
              </w:rPr>
              <w:t>$ 465,249</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465,249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3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272,405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U.S. agencies</w:t>
            </w:r>
          </w:p>
        </w:tc>
        <w:tc>
          <w:tcPr>
            <w:tcW w:w="3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93,211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guaranteed debt</w:t>
            </w:r>
          </w:p>
        </w:tc>
        <w:tc>
          <w:tcPr>
            <w:tcW w:w="3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83,949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3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15,751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3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32,130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3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16,645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3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32,392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3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745,654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274,092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1,019,746</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3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13,882</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$ 745,654</w:t>
            </w:r>
          </w:p>
        </w:tc>
        <w:tc>
          <w:tcPr>
            <w:tcW w:w="19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$ 287,974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1,033,628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120" w:type="dxa"/>
            <w:vAlign w:val="bottom"/>
            <w:vMerge w:val="restart"/>
          </w:tcPr>
          <w:p>
            <w:pPr>
              <w:jc w:val="right"/>
              <w:ind w:right="1870"/>
              <w:spacing w:after="0"/>
              <w:rPr>
                <w:sz w:val="20"/>
                <w:szCs w:val="20"/>
                <w:color w:val="auto"/>
              </w:rPr>
            </w:pPr>
            <w:r>
              <w:rPr>
                <w:rFonts w:ascii="Arial" w:cs="Arial" w:eastAsia="Arial" w:hAnsi="Arial"/>
                <w:sz w:val="18"/>
                <w:szCs w:val="18"/>
                <w:color w:val="auto"/>
              </w:rPr>
              <w:t>9</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ind w:right="120" w:firstLine="215"/>
        <w:spacing w:after="0" w:line="279" w:lineRule="auto"/>
        <w:rPr>
          <w:sz w:val="20"/>
          <w:szCs w:val="20"/>
          <w:color w:val="auto"/>
        </w:rPr>
      </w:pPr>
      <w:r>
        <w:rPr>
          <w:rFonts w:ascii="Arial" w:cs="Arial" w:eastAsia="Arial" w:hAnsi="Arial"/>
          <w:sz w:val="17"/>
          <w:szCs w:val="17"/>
          <w:color w:val="auto"/>
        </w:rPr>
        <w:t>Available for 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exchange and option contracts valued primarily based on observable inputs including forward rates and yield curves.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500" w:firstLine="222"/>
        <w:spacing w:after="0" w:line="264" w:lineRule="auto"/>
        <w:rPr>
          <w:sz w:val="20"/>
          <w:szCs w:val="20"/>
          <w:color w:val="auto"/>
        </w:rPr>
      </w:pPr>
      <w:r>
        <w:rPr>
          <w:rFonts w:ascii="Arial" w:cs="Arial" w:eastAsia="Arial" w:hAnsi="Arial"/>
          <w:sz w:val="18"/>
          <w:szCs w:val="18"/>
          <w:color w:val="auto"/>
        </w:rPr>
        <w:t>The financial instruments of the Company consist mainly of cash and cash equivalents, short-term interest-bearing investments, accounts receivable, accounts payable, foreign currency forward exchange contracts and options. The fair value of the financial instruments included in the accounts of the Company does not significantly vary from their carrying amount.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3"/>
              </w:rPr>
              <w:t>As of June 30, 2010</w:t>
            </w:r>
          </w:p>
        </w:tc>
        <w:tc>
          <w:tcPr>
            <w:tcW w:w="7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6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8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14"/>
                <w:szCs w:val="14"/>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1"/>
              </w:rPr>
              <w:t>Losses</w:t>
            </w: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420,601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420,601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321,973</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845</w:t>
            </w:r>
          </w:p>
        </w:tc>
        <w:tc>
          <w:tcPr>
            <w:tcW w:w="28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322,818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 agencies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114,507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992</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115,499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Government guaranteed debt</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145,461</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1,334</w:t>
            </w:r>
          </w:p>
        </w:tc>
        <w:tc>
          <w:tcPr>
            <w:tcW w:w="28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146,710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32,755</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32,791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61,381</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60,016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9,888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1,348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Mortgages (including agencies and corporate)</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23,296</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3,099</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20,566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15,156</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15,043</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Total(1)</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1,145,018</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4,040</w:t>
            </w:r>
          </w:p>
        </w:tc>
        <w:tc>
          <w:tcPr>
            <w:tcW w:w="5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1,142,618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are classified as short-term interest-bearing investments on the Company’s balance sheet, except for $523,833 of securities with original maturities of 90 days or less which are included in cash and cash equivalents as of June 30,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jc w:val="right"/>
              <w:ind w:right="1240"/>
              <w:spacing w:after="0"/>
              <w:rPr>
                <w:sz w:val="20"/>
                <w:szCs w:val="20"/>
                <w:color w:val="auto"/>
              </w:rPr>
            </w:pPr>
            <w:r>
              <w:rPr>
                <w:rFonts w:ascii="Arial" w:cs="Arial" w:eastAsia="Arial" w:hAnsi="Arial"/>
                <w:sz w:val="14"/>
                <w:szCs w:val="14"/>
                <w:b w:val="1"/>
                <w:bCs w:val="1"/>
                <w:color w:val="auto"/>
              </w:rPr>
              <w:t>As of September 30, 2009</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6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8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465,249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465,249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271,483</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922</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272,405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 agencies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91,772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1,439</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93,211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Government guaranteed debt</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83,212</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83,949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15,610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32,924</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730</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1,524</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32,130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19,630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3,164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Mortgages (including agencies and corporate)</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38,339</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6,499</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32,392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8,127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Total(1)</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1,026,346</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11,327</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1,019,746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80" w:hanging="452"/>
        <w:spacing w:after="0" w:line="30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Available-for-sale securities are classified as short-term interest-bearing investments on the Company’s balance sheet, except for $575,467 of securities with original maturities of 90 days or less which are included in cash and cash equivalents as of September 30, 2009.</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100" w:firstLine="215"/>
        <w:spacing w:after="0" w:line="257" w:lineRule="auto"/>
        <w:rPr>
          <w:sz w:val="20"/>
          <w:szCs w:val="20"/>
          <w:color w:val="auto"/>
        </w:rPr>
      </w:pPr>
      <w:r>
        <w:rPr>
          <w:rFonts w:ascii="Arial" w:cs="Arial" w:eastAsia="Arial" w:hAnsi="Arial"/>
          <w:sz w:val="18"/>
          <w:szCs w:val="18"/>
          <w:color w:val="auto"/>
        </w:rPr>
        <w:t>As of June 30, 2010, the unrealized losses were primarily due to credit market conditions and interest rate movements. A significant portion of the unrealized losses has been in a continuous loss position for 12 months or greater. The Company assessed whether such unrealized losses for the investments in its portfolio were other-than-temporary. Based on this assessment, the Company recognized through earnings a credit loss of $150 and $641 in the three and nine months ended June 30, 2010, respectively. As of June 30, 2010, unrealized losses of $1,872 related to other-than-temporarily impaired securities are included in accumulated other comprehensive (loss) income.</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 cumulative roll forward of credit losses recognized in earnings as of June 30, 2010: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Credit loss on debt securities for which an other-than-temporary impairment was not previously recognized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Additional credit loss on debt securities for which an other-than-temporary impairment was previously recognized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Reductions for securities realized during the period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vMerge w:val="restart"/>
          </w:tcPr>
          <w:p>
            <w:pPr>
              <w:ind w:left="200"/>
              <w:spacing w:after="0"/>
              <w:rPr>
                <w:sz w:val="20"/>
                <w:szCs w:val="20"/>
                <w:color w:val="auto"/>
              </w:rPr>
            </w:pPr>
            <w:r>
              <w:rPr>
                <w:rFonts w:ascii="Arial" w:cs="Arial" w:eastAsia="Arial" w:hAnsi="Arial"/>
                <w:sz w:val="18"/>
                <w:szCs w:val="18"/>
                <w:color w:val="auto"/>
              </w:rPr>
              <w:t>As of June 30, 2010, the Company’s available-for-sale securities had the following maturity dates:</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20" w:type="dxa"/>
            <w:vAlign w:val="bottom"/>
          </w:tcPr>
          <w:p>
            <w:pPr>
              <w:spacing w:after="0"/>
              <w:rPr>
                <w:sz w:val="24"/>
                <w:szCs w:val="24"/>
                <w:color w:val="auto"/>
              </w:rPr>
            </w:pPr>
          </w:p>
        </w:tc>
        <w:tc>
          <w:tcPr>
            <w:tcW w:w="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Market Value</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817,991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Due within two years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202,487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Due within three years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Due within four years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8,235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$ 1,142,618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21" w:lineRule="exact"/>
        <w:rPr>
          <w:sz w:val="20"/>
          <w:szCs w:val="20"/>
          <w:color w:val="auto"/>
        </w:rPr>
      </w:pPr>
    </w:p>
    <w:p>
      <w:pPr>
        <w:jc w:val="both"/>
        <w:ind w:right="20" w:firstLine="222"/>
        <w:spacing w:after="0" w:line="308" w:lineRule="auto"/>
        <w:rPr>
          <w:sz w:val="20"/>
          <w:szCs w:val="20"/>
          <w:color w:val="auto"/>
        </w:rPr>
      </w:pPr>
      <w:r>
        <w:rPr>
          <w:rFonts w:ascii="Arial" w:cs="Arial" w:eastAsia="Arial" w:hAnsi="Arial"/>
          <w:sz w:val="17"/>
          <w:szCs w:val="17"/>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38"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Company’s derivatives expose it to credit risks from possible non-performance by counterparties. The maximum amount of loss due to credit risk that the Company would incur if counterparties to the derivative financial instruments failed completely to perform according to the terms of the contracts, based on the gross fair value of the Company’s derivative contracts that are favorable to the Company, was approximately $7,136 as of June 30, 2010. The Company has limited its credit risk by entering into derivative transactions exclusively with investment-grade rated financial institutions and monitors the creditworthiness of these financial institutions on an ongoing basis.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table below presents the total volume or notional amounts of the Company’s derivative instruments as of June 30, 2010. Notional values are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dollar translated and calculated based on forward rates as of June 30, 2010 for forward contracts, and based on spot rates as of June 30, 2010 for options.</w:t>
      </w:r>
    </w:p>
    <w:p>
      <w:pPr>
        <w:spacing w:after="0" w:line="225" w:lineRule="exact"/>
        <w:rPr>
          <w:sz w:val="20"/>
          <w:szCs w:val="20"/>
          <w:color w:val="auto"/>
        </w:rPr>
      </w:pPr>
    </w:p>
    <w:p>
      <w:pPr>
        <w:ind w:left="10340"/>
        <w:spacing w:after="0"/>
        <w:rPr>
          <w:sz w:val="20"/>
          <w:szCs w:val="20"/>
          <w:color w:val="auto"/>
        </w:rPr>
      </w:pPr>
      <w:r>
        <w:rPr>
          <w:rFonts w:ascii="Arial" w:cs="Arial" w:eastAsia="Arial" w:hAnsi="Arial"/>
          <w:sz w:val="14"/>
          <w:szCs w:val="14"/>
          <w:b w:val="1"/>
          <w:bCs w:val="1"/>
          <w:u w:val="single" w:color="auto"/>
          <w:color w:val="auto"/>
        </w:rPr>
        <w:t>Notional Value*</w:t>
      </w:r>
    </w:p>
    <w:p>
      <w:pPr>
        <w:spacing w:after="0" w:line="25" w:lineRule="exact"/>
        <w:rPr>
          <w:sz w:val="20"/>
          <w:szCs w:val="20"/>
          <w:color w:val="auto"/>
        </w:rPr>
      </w:pPr>
    </w:p>
    <w:p>
      <w:pPr>
        <w:spacing w:after="0"/>
        <w:tabs>
          <w:tab w:leader="none" w:pos="10320" w:val="left"/>
          <w:tab w:leader="none" w:pos="1070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707,340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1" w:lineRule="exact"/>
        <w:rPr>
          <w:sz w:val="20"/>
          <w:szCs w:val="20"/>
          <w:color w:val="auto"/>
        </w:rPr>
      </w:pPr>
    </w:p>
    <w:p>
      <w:pPr>
        <w:ind w:left="460" w:right="3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right="300" w:firstLine="222"/>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Please see Note 4 to the consolidated financial statements. The fair value of the open foreign currency exchange contracts recorded by the Company on its consolidated balance sheets as of June 30, 2010 and September 30, 2009, as an asset or a liability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4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5,007</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19,023</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(7,315)</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(3,709)</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(2,307)</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1,325</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(3,422)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(2,007)</w:t>
            </w: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(2,097)</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(4,404)</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13,882</w:t>
            </w: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Hedges</w:t>
      </w:r>
    </w:p>
    <w:p>
      <w:pPr>
        <w:spacing w:after="0" w:line="117"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contracts and options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contracts and options outstanding as of June 30, 2010 are expected to mature within the next 12 months).</w:t>
      </w:r>
    </w:p>
    <w:p>
      <w:pPr>
        <w:spacing w:after="0" w:line="50" w:lineRule="exact"/>
        <w:rPr>
          <w:sz w:val="20"/>
          <w:szCs w:val="20"/>
          <w:color w:val="auto"/>
        </w:rPr>
      </w:pPr>
    </w:p>
    <w:p>
      <w:pPr>
        <w:ind w:right="160" w:firstLine="222"/>
        <w:spacing w:after="0" w:line="291"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a separate component of shareholders’ equity, and subsequently reclassified into earnings to the same line item as the related forecasted transaction and in the same period or periods during which the hedged exposure affects earnings. The cash flow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receipts from customers, are recognized immediately in interest and other (expense) income, net.</w:t>
      </w:r>
    </w:p>
    <w:p>
      <w:pPr>
        <w:spacing w:after="0" w:line="59"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effect of the Company’s cash flow hedging instruments in the consolidated statement of income for the three months ended June 30, 2010 and 2009, respectively, which partially offset the foreign currency impact from the underlying exposures, is summarized as follows:</w:t>
      </w:r>
    </w:p>
    <w:p>
      <w:pPr>
        <w:spacing w:after="0" w:line="162"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GAINS (LOSSES) RECLASSIFIED FROM</w:t>
      </w:r>
    </w:p>
    <w:p>
      <w:pPr>
        <w:jc w:val="center"/>
        <w:ind w:left="7080"/>
        <w:spacing w:after="0" w:line="226" w:lineRule="auto"/>
        <w:rPr>
          <w:sz w:val="20"/>
          <w:szCs w:val="20"/>
          <w:color w:val="auto"/>
        </w:rPr>
      </w:pPr>
      <w:r>
        <w:rPr>
          <w:rFonts w:ascii="Arial" w:cs="Arial" w:eastAsia="Arial" w:hAnsi="Arial"/>
          <w:sz w:val="14"/>
          <w:szCs w:val="14"/>
          <w:b w:val="1"/>
          <w:bCs w:val="1"/>
          <w:color w:val="auto"/>
        </w:rPr>
        <w:t>OTHER COMPREHENSIVE INCOME (EFFECTIVE PORTION)</w:t>
      </w:r>
    </w:p>
    <w:p>
      <w:pPr>
        <w:jc w:val="center"/>
        <w:ind w:left="7080"/>
        <w:spacing w:after="0" w:line="232" w:lineRule="auto"/>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42"/>
        </w:trPr>
        <w:tc>
          <w:tcPr>
            <w:tcW w:w="41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2"/>
          </w:tcPr>
          <w:p>
            <w:pPr>
              <w:jc w:val="right"/>
              <w:ind w:right="1660"/>
              <w:spacing w:after="0" w:line="142" w:lineRule="exact"/>
              <w:rPr>
                <w:sz w:val="20"/>
                <w:szCs w:val="20"/>
                <w:color w:val="auto"/>
              </w:rPr>
            </w:pPr>
            <w:r>
              <w:rPr>
                <w:rFonts w:ascii="Arial" w:cs="Arial" w:eastAsia="Arial" w:hAnsi="Arial"/>
                <w:sz w:val="14"/>
                <w:szCs w:val="14"/>
                <w:b w:val="1"/>
                <w:bCs w:val="1"/>
                <w:color w:val="auto"/>
                <w:w w:val="98"/>
              </w:rPr>
              <w:t>June 30, 2010</w:t>
            </w: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98"/>
              </w:rPr>
              <w:t>June 30,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30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Revenue</w:t>
            </w:r>
          </w:p>
        </w:tc>
        <w:tc>
          <w:tcPr>
            <w:tcW w:w="32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1320"/>
              <w:spacing w:after="0"/>
              <w:rPr>
                <w:sz w:val="20"/>
                <w:szCs w:val="20"/>
                <w:color w:val="auto"/>
              </w:rPr>
            </w:pPr>
            <w:r>
              <w:rPr>
                <w:rFonts w:ascii="Arial" w:cs="Arial" w:eastAsia="Arial" w:hAnsi="Arial"/>
                <w:sz w:val="18"/>
                <w:szCs w:val="18"/>
                <w:color w:val="auto"/>
              </w:rPr>
              <w:t>(571)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1,814</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2"/>
          </w:tcPr>
          <w:p>
            <w:pPr>
              <w:jc w:val="right"/>
              <w:ind w:right="1380"/>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w:t>
            </w:r>
          </w:p>
        </w:tc>
        <w:tc>
          <w:tcPr>
            <w:tcW w:w="30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040" w:type="dxa"/>
            <w:vAlign w:val="bottom"/>
            <w:vMerge w:val="restart"/>
          </w:tcPr>
          <w:p>
            <w:pPr>
              <w:jc w:val="right"/>
              <w:ind w:right="129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4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480" w:firstLine="222"/>
        <w:spacing w:after="0" w:line="277" w:lineRule="auto"/>
        <w:rPr>
          <w:sz w:val="20"/>
          <w:szCs w:val="20"/>
          <w:color w:val="auto"/>
        </w:rPr>
      </w:pPr>
      <w:r>
        <w:rPr>
          <w:rFonts w:ascii="Arial" w:cs="Arial" w:eastAsia="Arial" w:hAnsi="Arial"/>
          <w:sz w:val="18"/>
          <w:szCs w:val="18"/>
          <w:color w:val="auto"/>
        </w:rPr>
        <w:t>The effect of the Company’s cash flow hedging instruments in the consolidated statement of income for the nine months ended June 30, 2010, which partially offset the foreign currency impact from the underlying exposures, is summarized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8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GAINS (LOSSES) RECLASSIFIED FROM</w:t>
            </w:r>
          </w:p>
        </w:tc>
      </w:tr>
      <w:tr>
        <w:trPr>
          <w:trHeight w:val="149"/>
        </w:trPr>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rPr>
              <w:t>OTHER COMPREHENSIVE INCOME</w:t>
            </w:r>
          </w:p>
        </w:tc>
      </w:tr>
      <w:tr>
        <w:trPr>
          <w:trHeight w:val="149"/>
        </w:trPr>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(EFFECTIVE PORTION)</w:t>
            </w:r>
          </w:p>
        </w:tc>
      </w:tr>
      <w:tr>
        <w:trPr>
          <w:trHeight w:val="149"/>
        </w:trPr>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Nine months ended</w:t>
            </w:r>
          </w:p>
        </w:tc>
      </w:tr>
      <w:tr>
        <w:trPr>
          <w:trHeight w:val="17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June 30, 2010</w:t>
            </w: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Revenue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720" w:type="dxa"/>
            <w:vAlign w:val="bottom"/>
            <w:gridSpan w:val="3"/>
          </w:tcPr>
          <w:p>
            <w:pPr>
              <w:jc w:val="right"/>
              <w:ind w:right="40"/>
              <w:spacing w:after="0"/>
              <w:rPr>
                <w:sz w:val="20"/>
                <w:szCs w:val="20"/>
                <w:color w:val="auto"/>
              </w:rPr>
            </w:pPr>
            <w:r>
              <w:rPr>
                <w:rFonts w:ascii="Arial" w:cs="Arial" w:eastAsia="Arial" w:hAnsi="Arial"/>
                <w:sz w:val="18"/>
                <w:szCs w:val="18"/>
                <w:color w:val="auto"/>
              </w:rPr>
              <w:t>(3,570)</w:t>
            </w: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7,372</w:t>
            </w:r>
          </w:p>
        </w:tc>
        <w:tc>
          <w:tcPr>
            <w:tcW w:w="80" w:type="dxa"/>
            <w:vAlign w:val="bottom"/>
            <w:shd w:val="clear" w:color="auto" w:fill="CCEEFF"/>
          </w:tcPr>
          <w:p>
            <w:pPr>
              <w:spacing w:after="0"/>
              <w:rPr>
                <w:sz w:val="18"/>
                <w:szCs w:val="18"/>
                <w:color w:val="auto"/>
              </w:rPr>
            </w:pP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1,960</w:t>
            </w:r>
          </w:p>
        </w:tc>
        <w:tc>
          <w:tcPr>
            <w:tcW w:w="80" w:type="dxa"/>
            <w:vAlign w:val="bottom"/>
          </w:tcPr>
          <w:p>
            <w:pPr>
              <w:spacing w:after="0"/>
              <w:rPr>
                <w:sz w:val="18"/>
                <w:szCs w:val="18"/>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CEEFF"/>
          </w:tcPr>
          <w:p>
            <w:pPr>
              <w:spacing w:after="0"/>
              <w:rPr>
                <w:sz w:val="18"/>
                <w:szCs w:val="18"/>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The effect of the Company’s cash flow hedging instruments in the consolidated statement of income for the six months ended June 30, 2009, which partially offset the foreign currency impact from the underlying exposures, is summarized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GAINS (LOSSES) RECLASSIFIED FROM</w:t>
            </w:r>
          </w:p>
        </w:tc>
      </w:tr>
      <w:tr>
        <w:trPr>
          <w:trHeight w:val="149"/>
        </w:trPr>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 COMPREHENSIVE INCOME</w:t>
            </w:r>
          </w:p>
        </w:tc>
      </w:tr>
      <w:tr>
        <w:trPr>
          <w:trHeight w:val="149"/>
        </w:trPr>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(EFFECTIVE PORTION)</w:t>
            </w:r>
          </w:p>
        </w:tc>
      </w:tr>
      <w:tr>
        <w:trPr>
          <w:trHeight w:val="149"/>
        </w:trPr>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June 30, 2009 *</w:t>
            </w: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Revenue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720" w:type="dxa"/>
            <w:vAlign w:val="bottom"/>
            <w:gridSpan w:val="2"/>
          </w:tcPr>
          <w:p>
            <w:pPr>
              <w:jc w:val="right"/>
              <w:ind w:right="100"/>
              <w:spacing w:after="0"/>
              <w:rPr>
                <w:sz w:val="20"/>
                <w:szCs w:val="20"/>
                <w:color w:val="auto"/>
              </w:rPr>
            </w:pPr>
            <w:r>
              <w:rPr>
                <w:rFonts w:ascii="Arial" w:cs="Arial" w:eastAsia="Arial" w:hAnsi="Arial"/>
                <w:sz w:val="18"/>
                <w:szCs w:val="18"/>
                <w:color w:val="auto"/>
              </w:rPr>
              <w:t>3,589</w:t>
            </w: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(15,358)</w:t>
            </w: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20" w:type="dxa"/>
            <w:vAlign w:val="bottom"/>
            <w:gridSpan w:val="2"/>
          </w:tcPr>
          <w:p>
            <w:pPr>
              <w:jc w:val="right"/>
              <w:ind w:right="40"/>
              <w:spacing w:after="0"/>
              <w:rPr>
                <w:sz w:val="20"/>
                <w:szCs w:val="20"/>
                <w:color w:val="auto"/>
              </w:rPr>
            </w:pPr>
            <w:r>
              <w:rPr>
                <w:rFonts w:ascii="Arial" w:cs="Arial" w:eastAsia="Arial" w:hAnsi="Arial"/>
                <w:sz w:val="18"/>
                <w:szCs w:val="18"/>
                <w:color w:val="auto"/>
              </w:rPr>
              <w:t>(2,933)</w:t>
            </w: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(2,652)</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(17,354)</w:t>
            </w:r>
          </w:p>
        </w:tc>
        <w:tc>
          <w:tcPr>
            <w:tcW w:w="10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Since the adoption date of the amended guidance on disclosure about derivative instruments and hedging activities.</w:t>
      </w:r>
    </w:p>
    <w:p>
      <w:pPr>
        <w:spacing w:after="0" w:line="117" w:lineRule="exact"/>
        <w:rPr>
          <w:sz w:val="20"/>
          <w:szCs w:val="20"/>
          <w:color w:val="auto"/>
        </w:rPr>
      </w:pPr>
    </w:p>
    <w:p>
      <w:pPr>
        <w:ind w:right="40" w:firstLine="215"/>
        <w:spacing w:after="0" w:line="276" w:lineRule="auto"/>
        <w:rPr>
          <w:sz w:val="20"/>
          <w:szCs w:val="20"/>
          <w:color w:val="auto"/>
        </w:rPr>
      </w:pPr>
      <w:r>
        <w:rPr>
          <w:rFonts w:ascii="Arial" w:cs="Arial" w:eastAsia="Arial" w:hAnsi="Arial"/>
          <w:sz w:val="17"/>
          <w:szCs w:val="17"/>
          <w:color w:val="auto"/>
        </w:rPr>
        <w:t>An aggregate gain of $1,692 and loss of $6,710, net of taxes, was reclassified from other comprehensive income in the three months ended June 30, 2010 and 2009, respectively. An aggregate gain of $5,826, net of taxes, was reclassified from other comprehensive income in the nine months ended June 30, 2010. An aggregate loss of $16,678, net of taxes, was reclassified from other comprehensive income in the six months ended June 30, 2009. The ineffective portion of the change in fair value of a cash flow hedge, including the time value portion excluded from effectiveness testing for the three and nine months ended June 30, 2010 and for the three and six months ended June 30, 2009, was not material.</w:t>
      </w:r>
    </w:p>
    <w:p>
      <w:pPr>
        <w:spacing w:after="0" w:line="64" w:lineRule="exact"/>
        <w:rPr>
          <w:sz w:val="20"/>
          <w:szCs w:val="20"/>
          <w:color w:val="auto"/>
        </w:rPr>
      </w:pPr>
    </w:p>
    <w:p>
      <w:pPr>
        <w:ind w:right="140" w:firstLine="215"/>
        <w:spacing w:after="0" w:line="279" w:lineRule="auto"/>
        <w:rPr>
          <w:sz w:val="20"/>
          <w:szCs w:val="20"/>
          <w:color w:val="auto"/>
        </w:rPr>
      </w:pPr>
      <w:r>
        <w:rPr>
          <w:rFonts w:ascii="Arial" w:cs="Arial" w:eastAsia="Arial" w:hAnsi="Arial"/>
          <w:sz w:val="17"/>
          <w:szCs w:val="17"/>
          <w:color w:val="auto"/>
        </w:rPr>
        <w:t>As of June 30, 2010, amounts related to derivatives designated as cash flow hedges and recorded in accumulated other comprehensive loss totaled $3,314 which will be reclassified into earnings within the next 12 months and will partially offset the foreign currency impact from the underlying exposures. The amount ultimately realized in earnings will likely differ due to future changes in foreign exchange rates. Losses from cash flow hedges recognized in other comprehensive income during the nine months ended June 30, 2010 were $12,288, or $10,424, net of taxes.</w:t>
      </w:r>
    </w:p>
    <w:p>
      <w:pPr>
        <w:spacing w:after="0" w:line="63"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activity related to the changes in net unrealized (losses) gains on cash flow hedges, net of tax,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1"/>
              </w:rPr>
              <w:t>Net unrealized gains on cash flow hedges, net of tax, as of October 1, 2009</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12,936</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Changes associated with hedging transactions, net of tax $(1,864)</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(10,424)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into earnings, net of tax $(904)</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w w:val="92"/>
              </w:rPr>
              <w:t>Net unrealized losses on cash flow hedges, net of tax, as of June 30, 2010</w:t>
            </w:r>
          </w:p>
        </w:tc>
        <w:tc>
          <w:tcPr>
            <w:tcW w:w="5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5120" w:type="dxa"/>
            <w:vAlign w:val="bottom"/>
            <w:vMerge w:val="restart"/>
          </w:tcPr>
          <w:p>
            <w:pPr>
              <w:jc w:val="right"/>
              <w:ind w:right="47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2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20" w:type="dxa"/>
            <w:vAlign w:val="bottom"/>
            <w:tcBorders>
              <w:bottom w:val="single" w:sz="8" w:color="808080"/>
            </w:tcBorders>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left="240"/>
        <w:spacing w:after="0"/>
        <w:rPr>
          <w:sz w:val="20"/>
          <w:szCs w:val="20"/>
          <w:color w:val="auto"/>
        </w:rPr>
      </w:pPr>
      <w:r>
        <w:rPr>
          <w:rFonts w:ascii="Arial" w:cs="Arial" w:eastAsia="Arial" w:hAnsi="Arial"/>
          <w:sz w:val="18"/>
          <w:szCs w:val="18"/>
          <w:i w:val="1"/>
          <w:iCs w:val="1"/>
          <w:color w:val="auto"/>
        </w:rPr>
        <w:t>Other Risk Management Derivatives</w:t>
      </w:r>
    </w:p>
    <w:p>
      <w:pPr>
        <w:spacing w:after="0" w:line="11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Company also enters into foreign currency exchange forward contracts that are not designated as hedging instruments under hedge accounting and are used to reduce the impact of foreign currency on certain balance sheet exposures and certain revenue and expense.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These instruments are generally short-term in nature, with typical maturities of less than one year, and are subject to fluctuations in foreign exchange rates.</w:t>
      </w:r>
    </w:p>
    <w:p>
      <w:pPr>
        <w:spacing w:after="0" w:line="140" w:lineRule="exact"/>
        <w:rPr>
          <w:sz w:val="20"/>
          <w:szCs w:val="20"/>
          <w:color w:val="auto"/>
        </w:rPr>
      </w:pPr>
    </w:p>
    <w:p>
      <w:pPr>
        <w:ind w:right="40" w:firstLine="222"/>
        <w:spacing w:after="0" w:line="308" w:lineRule="auto"/>
        <w:rPr>
          <w:sz w:val="20"/>
          <w:szCs w:val="20"/>
          <w:color w:val="auto"/>
        </w:rPr>
      </w:pPr>
      <w:r>
        <w:rPr>
          <w:rFonts w:ascii="Arial" w:cs="Arial" w:eastAsia="Arial" w:hAnsi="Arial"/>
          <w:sz w:val="17"/>
          <w:szCs w:val="17"/>
          <w:color w:val="auto"/>
        </w:rPr>
        <w:t>The effect of the Company’s non-designated as hedging instruments in the consolidated statement of income for the three months ended June 30, 2010 and 2009, respectively, which partially offset the foreign currency impact from the underlying exposures, is summarized as follows:</w:t>
      </w:r>
    </w:p>
    <w:p>
      <w:pPr>
        <w:spacing w:after="0" w:line="138"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GAINS (LOSSES) RECOGNIZED IN INCOME</w:t>
      </w:r>
    </w:p>
    <w:p>
      <w:pPr>
        <w:jc w:val="center"/>
        <w:ind w:left="8240"/>
        <w:spacing w:after="0" w:line="236" w:lineRule="auto"/>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Borders>
              <w:top w:val="single" w:sz="8" w:color="auto"/>
            </w:tcBorders>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w w:val="94"/>
              </w:rPr>
              <w:t>June 30, 2010</w:t>
            </w:r>
          </w:p>
        </w:tc>
        <w:tc>
          <w:tcPr>
            <w:tcW w:w="4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June 30, 2009</w:t>
            </w:r>
          </w:p>
        </w:tc>
        <w:tc>
          <w:tcPr>
            <w:tcW w:w="10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Revenue</w:t>
            </w:r>
          </w:p>
        </w:tc>
        <w:tc>
          <w:tcPr>
            <w:tcW w:w="300" w:type="dxa"/>
            <w:vAlign w:val="bottom"/>
            <w:gridSpan w:val="2"/>
          </w:tcPr>
          <w:p>
            <w:pPr>
              <w:jc w:val="right"/>
              <w:ind w:right="159"/>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1,501</w:t>
            </w:r>
          </w:p>
        </w:tc>
        <w:tc>
          <w:tcPr>
            <w:tcW w:w="500" w:type="dxa"/>
            <w:vAlign w:val="bottom"/>
          </w:tcPr>
          <w:p>
            <w:pPr>
              <w:spacing w:after="0"/>
              <w:rPr>
                <w:sz w:val="18"/>
                <w:szCs w:val="18"/>
                <w:color w:val="auto"/>
              </w:rPr>
            </w:pPr>
          </w:p>
        </w:tc>
        <w:tc>
          <w:tcPr>
            <w:tcW w:w="78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(2,334)</w:t>
            </w: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(2,341)</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4,501</w:t>
            </w: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(500)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(145)</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Interest expense and other, net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7,464</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(8,432)</w:t>
            </w: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6,445</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(6,282)</w:t>
            </w:r>
          </w:p>
        </w:tc>
        <w:tc>
          <w:tcPr>
            <w:tcW w:w="10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effect of the Company’s non-designated as hedging instruments in the consolidated statement of income for the nine months ended June 30, 2010, which partially offset the foreign currency impact from the underlying exposure, is summarized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100" w:type="dxa"/>
            <w:vAlign w:val="bottom"/>
            <w:gridSpan w:val="4"/>
          </w:tcPr>
          <w:p>
            <w:pPr>
              <w:spacing w:after="0"/>
              <w:rPr>
                <w:sz w:val="20"/>
                <w:szCs w:val="20"/>
                <w:color w:val="auto"/>
              </w:rPr>
            </w:pPr>
            <w:r>
              <w:rPr>
                <w:rFonts w:ascii="Arial" w:cs="Arial" w:eastAsia="Arial" w:hAnsi="Arial"/>
                <w:sz w:val="14"/>
                <w:szCs w:val="14"/>
                <w:b w:val="1"/>
                <w:bCs w:val="1"/>
                <w:color w:val="auto"/>
              </w:rPr>
              <w:t>GAINS (LOSSES) RECOGNIZED IN INCOME</w:t>
            </w:r>
          </w:p>
        </w:tc>
      </w:tr>
      <w:tr>
        <w:trPr>
          <w:trHeight w:val="149"/>
        </w:trPr>
        <w:tc>
          <w:tcPr>
            <w:tcW w:w="8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0" w:type="dxa"/>
            <w:vAlign w:val="bottom"/>
            <w:gridSpan w:val="3"/>
          </w:tcPr>
          <w:p>
            <w:pPr>
              <w:jc w:val="right"/>
              <w:ind w:right="1020"/>
              <w:spacing w:after="0" w:line="149" w:lineRule="exact"/>
              <w:rPr>
                <w:sz w:val="20"/>
                <w:szCs w:val="20"/>
                <w:color w:val="auto"/>
              </w:rPr>
            </w:pPr>
            <w:r>
              <w:rPr>
                <w:rFonts w:ascii="Arial" w:cs="Arial" w:eastAsia="Arial" w:hAnsi="Arial"/>
                <w:sz w:val="14"/>
                <w:szCs w:val="14"/>
                <w:b w:val="1"/>
                <w:bCs w:val="1"/>
                <w:color w:val="auto"/>
              </w:rPr>
              <w:t>Nine months ended</w:t>
            </w:r>
          </w:p>
        </w:tc>
      </w:tr>
      <w:tr>
        <w:trPr>
          <w:trHeight w:val="171"/>
        </w:trPr>
        <w:tc>
          <w:tcPr>
            <w:tcW w:w="8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rPr>
              <w:t>June 30, 2010</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50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Revenue</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50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(1,652)</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8"/>
                <w:szCs w:val="18"/>
                <w:color w:val="auto"/>
              </w:rPr>
            </w:pPr>
          </w:p>
        </w:tc>
        <w:tc>
          <w:tcPr>
            <w:tcW w:w="2600" w:type="dxa"/>
            <w:vAlign w:val="bottom"/>
            <w:gridSpan w:val="3"/>
          </w:tcPr>
          <w:p>
            <w:pPr>
              <w:jc w:val="right"/>
              <w:ind w:right="40"/>
              <w:spacing w:after="0"/>
              <w:rPr>
                <w:sz w:val="20"/>
                <w:szCs w:val="20"/>
                <w:color w:val="auto"/>
              </w:rPr>
            </w:pPr>
            <w:r>
              <w:rPr>
                <w:rFonts w:ascii="Arial" w:cs="Arial" w:eastAsia="Arial" w:hAnsi="Arial"/>
                <w:sz w:val="18"/>
                <w:szCs w:val="18"/>
                <w:color w:val="auto"/>
              </w:rPr>
              <w:t>(350)</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Interest expense and other, net</w:t>
            </w:r>
          </w:p>
        </w:tc>
        <w:tc>
          <w:tcPr>
            <w:tcW w:w="500" w:type="dxa"/>
            <w:vAlign w:val="bottom"/>
          </w:tcPr>
          <w:p>
            <w:pPr>
              <w:spacing w:after="0"/>
              <w:rPr>
                <w:sz w:val="18"/>
                <w:szCs w:val="18"/>
                <w:color w:val="auto"/>
              </w:rPr>
            </w:pP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8,977</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50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effect of the Company’s non-designated as hedging instruments in the consolidated statement of income for the six months ended June 30, 2009, which partially offset the foreign currency impact from the underlying exposure, is summarized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GAINS (LOSSES) RECOGNIZED IN INCOME</w:t>
            </w:r>
          </w:p>
        </w:tc>
      </w:tr>
      <w:tr>
        <w:trPr>
          <w:trHeight w:val="149"/>
        </w:trPr>
        <w:tc>
          <w:tcPr>
            <w:tcW w:w="8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8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Six months ended</w:t>
            </w:r>
          </w:p>
        </w:tc>
      </w:tr>
      <w:tr>
        <w:trPr>
          <w:trHeight w:val="171"/>
        </w:trPr>
        <w:tc>
          <w:tcPr>
            <w:tcW w:w="8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June 30, 2009*</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520" w:type="dxa"/>
            <w:vAlign w:val="bottom"/>
            <w:tcBorders>
              <w:top w:val="single" w:sz="8" w:color="auto"/>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Revenue</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40"/>
              <w:spacing w:after="0"/>
              <w:rPr>
                <w:sz w:val="20"/>
                <w:szCs w:val="20"/>
                <w:color w:val="auto"/>
              </w:rPr>
            </w:pPr>
            <w:r>
              <w:rPr>
                <w:rFonts w:ascii="Arial" w:cs="Arial" w:eastAsia="Arial" w:hAnsi="Arial"/>
                <w:sz w:val="18"/>
                <w:szCs w:val="18"/>
                <w:color w:val="auto"/>
              </w:rPr>
              <w:t>(2,334)</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5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2580" w:type="dxa"/>
            <w:vAlign w:val="bottom"/>
            <w:gridSpan w:val="2"/>
          </w:tcPr>
          <w:p>
            <w:pPr>
              <w:jc w:val="right"/>
              <w:ind w:right="40"/>
              <w:spacing w:after="0"/>
              <w:rPr>
                <w:sz w:val="20"/>
                <w:szCs w:val="20"/>
                <w:color w:val="auto"/>
              </w:rPr>
            </w:pPr>
            <w:r>
              <w:rPr>
                <w:rFonts w:ascii="Arial" w:cs="Arial" w:eastAsia="Arial" w:hAnsi="Arial"/>
                <w:sz w:val="18"/>
                <w:szCs w:val="18"/>
                <w:color w:val="auto"/>
              </w:rPr>
              <w:t>(1,204)</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Interest expense and other, net</w:t>
            </w:r>
          </w:p>
        </w:tc>
        <w:tc>
          <w:tcPr>
            <w:tcW w:w="520" w:type="dxa"/>
            <w:vAlign w:val="bottom"/>
          </w:tcPr>
          <w:p>
            <w:pPr>
              <w:spacing w:after="0"/>
              <w:rPr>
                <w:sz w:val="18"/>
                <w:szCs w:val="18"/>
                <w:color w:val="auto"/>
              </w:rPr>
            </w:pPr>
          </w:p>
        </w:tc>
        <w:tc>
          <w:tcPr>
            <w:tcW w:w="2580" w:type="dxa"/>
            <w:vAlign w:val="bottom"/>
            <w:gridSpan w:val="2"/>
          </w:tcPr>
          <w:p>
            <w:pPr>
              <w:jc w:val="right"/>
              <w:ind w:right="40"/>
              <w:spacing w:after="0"/>
              <w:rPr>
                <w:sz w:val="20"/>
                <w:szCs w:val="20"/>
                <w:color w:val="auto"/>
              </w:rPr>
            </w:pPr>
            <w:r>
              <w:rPr>
                <w:rFonts w:ascii="Arial" w:cs="Arial" w:eastAsia="Arial" w:hAnsi="Arial"/>
                <w:sz w:val="18"/>
                <w:szCs w:val="18"/>
                <w:color w:val="auto"/>
              </w:rPr>
              <w:t>(5,699)</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5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(10,101)</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20" w:right="2660" w:hanging="5612"/>
        <w:spacing w:after="0" w:line="481" w:lineRule="auto"/>
        <w:tabs>
          <w:tab w:leader="none" w:pos="45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Since the adoption date of the amended guidance on disclosure about derivative instruments and hedging activities.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9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$ 451,088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443,094</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Accounts receivable — unbilled (1)</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65,543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21,749</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(9,853)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(9,878)</w:t>
            </w: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$ 506,778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454,965</w:t>
            </w:r>
          </w:p>
        </w:tc>
        <w:tc>
          <w:tcPr>
            <w:tcW w:w="10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increase in accounts receivable unbilled in the nine months ended June 30, 2010, was primarily attributable to timing differences between delivery and invoicing milestones in managed services arrangements as well as in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121" w:lineRule="exact"/>
        <w:rPr>
          <w:sz w:val="20"/>
          <w:szCs w:val="20"/>
          <w:color w:val="auto"/>
        </w:rPr>
      </w:pPr>
    </w:p>
    <w:p>
      <w:pPr>
        <w:ind w:right="760" w:firstLine="225"/>
        <w:spacing w:after="0" w:line="342" w:lineRule="auto"/>
        <w:rPr>
          <w:sz w:val="20"/>
          <w:szCs w:val="20"/>
          <w:color w:val="auto"/>
        </w:rPr>
      </w:pPr>
      <w:r>
        <w:rPr>
          <w:rFonts w:ascii="Arial" w:cs="Arial" w:eastAsia="Arial" w:hAnsi="Arial"/>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reconciliation from net income to comprehensive income for the following periods: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9"/>
          </w:tcPr>
          <w:p>
            <w:pPr>
              <w:jc w:val="center"/>
              <w:ind w:right="880"/>
              <w:spacing w:after="0"/>
              <w:rPr>
                <w:sz w:val="20"/>
                <w:szCs w:val="20"/>
                <w:color w:val="auto"/>
              </w:rPr>
            </w:pPr>
            <w:r>
              <w:rPr>
                <w:rFonts w:ascii="Arial" w:cs="Arial" w:eastAsia="Arial" w:hAnsi="Arial"/>
                <w:sz w:val="14"/>
                <w:szCs w:val="14"/>
                <w:b w:val="1"/>
                <w:bCs w:val="1"/>
                <w:color w:val="auto"/>
                <w:w w:val="91"/>
              </w:rPr>
              <w:t>Three months ended</w:t>
            </w:r>
          </w:p>
        </w:tc>
        <w:tc>
          <w:tcPr>
            <w:tcW w:w="21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June 30,</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0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2009</w:t>
            </w:r>
          </w:p>
        </w:tc>
        <w:tc>
          <w:tcPr>
            <w:tcW w:w="1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92,265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85,548</w:t>
            </w:r>
          </w:p>
        </w:tc>
        <w:tc>
          <w:tcPr>
            <w:tcW w:w="6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$ 249,168</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240,425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foreign currency hedging contracts, net of tax</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w w:val="98"/>
              </w:rPr>
              <w:t>(8,294)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19,464</w:t>
            </w:r>
          </w:p>
        </w:tc>
        <w:tc>
          <w:tcPr>
            <w:tcW w:w="660" w:type="dxa"/>
            <w:vAlign w:val="bottom"/>
            <w:tcBorders>
              <w:right w:val="single" w:sz="8" w:color="CCEEFF"/>
            </w:tcBorders>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(16,250)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Unrealized gain on short-term interest-bearing investments, net of tax</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1,601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2,320</w:t>
            </w:r>
          </w:p>
        </w:tc>
        <w:tc>
          <w:tcPr>
            <w:tcW w:w="6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4,100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defined benefit plan, net of tax</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3"/>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85,572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w w:val="84"/>
              </w:rPr>
              <w:t>$ 107,332</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$ 237,018</w:t>
            </w: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248,682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Income Taxes</w:t>
            </w: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The provision for income taxes for the following periods consisted of:</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9"/>
          </w:tcPr>
          <w:p>
            <w:pPr>
              <w:jc w:val="center"/>
              <w:ind w:right="800"/>
              <w:spacing w:after="0"/>
              <w:rPr>
                <w:sz w:val="20"/>
                <w:szCs w:val="20"/>
                <w:color w:val="auto"/>
              </w:rPr>
            </w:pPr>
            <w:r>
              <w:rPr>
                <w:rFonts w:ascii="Arial" w:cs="Arial" w:eastAsia="Arial" w:hAnsi="Arial"/>
                <w:sz w:val="14"/>
                <w:szCs w:val="14"/>
                <w:b w:val="1"/>
                <w:bCs w:val="1"/>
                <w:color w:val="auto"/>
                <w:w w:val="91"/>
              </w:rPr>
              <w:t>Three months ended</w:t>
            </w:r>
          </w:p>
        </w:tc>
        <w:tc>
          <w:tcPr>
            <w:tcW w:w="21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18,889</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8,399</w:t>
            </w:r>
          </w:p>
        </w:tc>
        <w:tc>
          <w:tcPr>
            <w:tcW w:w="1360" w:type="dxa"/>
            <w:vAlign w:val="bottom"/>
            <w:tcBorders>
              <w:right w:val="single" w:sz="8" w:color="CCEEFF"/>
            </w:tcBorders>
            <w:gridSpan w:val="3"/>
            <w:shd w:val="clear" w:color="auto" w:fill="CCEEFF"/>
          </w:tcPr>
          <w:p>
            <w:pPr>
              <w:jc w:val="right"/>
              <w:ind w:right="608"/>
              <w:spacing w:after="0"/>
              <w:rPr>
                <w:sz w:val="20"/>
                <w:szCs w:val="20"/>
                <w:color w:val="auto"/>
              </w:rPr>
            </w:pPr>
            <w:r>
              <w:rPr>
                <w:rFonts w:ascii="Arial" w:cs="Arial" w:eastAsia="Arial" w:hAnsi="Arial"/>
                <w:sz w:val="18"/>
                <w:szCs w:val="18"/>
                <w:color w:val="auto"/>
                <w:w w:val="94"/>
              </w:rPr>
              <w:t>$ 45,671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408"/>
              <w:spacing w:after="0"/>
              <w:rPr>
                <w:sz w:val="20"/>
                <w:szCs w:val="20"/>
                <w:color w:val="auto"/>
              </w:rPr>
            </w:pPr>
            <w:r>
              <w:rPr>
                <w:rFonts w:ascii="Arial" w:cs="Arial" w:eastAsia="Arial" w:hAnsi="Arial"/>
                <w:sz w:val="18"/>
                <w:szCs w:val="18"/>
                <w:color w:val="auto"/>
              </w:rPr>
              <w:t>(9,653)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660"/>
              <w:spacing w:after="0"/>
              <w:rPr>
                <w:sz w:val="20"/>
                <w:szCs w:val="20"/>
                <w:color w:val="auto"/>
              </w:rPr>
            </w:pPr>
            <w:r>
              <w:rPr>
                <w:rFonts w:ascii="Arial" w:cs="Arial" w:eastAsia="Arial" w:hAnsi="Arial"/>
                <w:sz w:val="18"/>
                <w:szCs w:val="18"/>
                <w:color w:val="auto"/>
              </w:rPr>
              <w:t>1,813</w:t>
            </w:r>
          </w:p>
        </w:tc>
        <w:tc>
          <w:tcPr>
            <w:tcW w:w="1360" w:type="dxa"/>
            <w:vAlign w:val="bottom"/>
            <w:gridSpan w:val="3"/>
          </w:tcPr>
          <w:p>
            <w:pPr>
              <w:jc w:val="right"/>
              <w:ind w:right="548"/>
              <w:spacing w:after="0"/>
              <w:rPr>
                <w:sz w:val="20"/>
                <w:szCs w:val="20"/>
                <w:color w:val="auto"/>
              </w:rPr>
            </w:pPr>
            <w:r>
              <w:rPr>
                <w:rFonts w:ascii="Arial" w:cs="Arial" w:eastAsia="Arial" w:hAnsi="Arial"/>
                <w:sz w:val="18"/>
                <w:szCs w:val="18"/>
                <w:color w:val="auto"/>
              </w:rPr>
              <w:t>(14,538)</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15,433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9,236</w:t>
            </w:r>
          </w:p>
        </w:tc>
        <w:tc>
          <w:tcPr>
            <w:tcW w:w="8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$ 10,212</w:t>
            </w:r>
          </w:p>
        </w:tc>
        <w:tc>
          <w:tcPr>
            <w:tcW w:w="1360" w:type="dxa"/>
            <w:vAlign w:val="bottom"/>
            <w:tcBorders>
              <w:right w:val="single" w:sz="8" w:color="CCEEFF"/>
            </w:tcBorders>
            <w:gridSpan w:val="3"/>
            <w:shd w:val="clear" w:color="auto" w:fill="CCEEFF"/>
          </w:tcPr>
          <w:p>
            <w:pPr>
              <w:jc w:val="right"/>
              <w:ind w:right="608"/>
              <w:spacing w:after="0"/>
              <w:rPr>
                <w:sz w:val="20"/>
                <w:szCs w:val="20"/>
                <w:color w:val="auto"/>
              </w:rPr>
            </w:pPr>
            <w:r>
              <w:rPr>
                <w:rFonts w:ascii="Arial" w:cs="Arial" w:eastAsia="Arial" w:hAnsi="Arial"/>
                <w:sz w:val="18"/>
                <w:szCs w:val="18"/>
                <w:color w:val="auto"/>
                <w:w w:val="94"/>
              </w:rPr>
              <w:t>$ 31,133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260" w:type="dxa"/>
            <w:vAlign w:val="bottom"/>
            <w:gridSpan w:val="13"/>
          </w:tcPr>
          <w:p>
            <w:pPr>
              <w:ind w:left="200"/>
              <w:spacing w:after="0"/>
              <w:rPr>
                <w:sz w:val="20"/>
                <w:szCs w:val="20"/>
                <w:color w:val="auto"/>
              </w:rPr>
            </w:pPr>
            <w:r>
              <w:rPr>
                <w:rFonts w:ascii="Arial" w:cs="Arial" w:eastAsia="Arial" w:hAnsi="Arial"/>
                <w:sz w:val="18"/>
                <w:szCs w:val="18"/>
                <w:color w:val="auto"/>
                <w:w w:val="94"/>
              </w:rPr>
              <w:t>The Company’s effective income tax rate varied from the statutory Guernsey tax rate as follows for the following periods: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6"/>
          </w:tcPr>
          <w:p>
            <w:pPr>
              <w:jc w:val="center"/>
              <w:ind w:left="16"/>
              <w:spacing w:after="0"/>
              <w:rPr>
                <w:sz w:val="20"/>
                <w:szCs w:val="20"/>
                <w:color w:val="auto"/>
              </w:rPr>
            </w:pPr>
            <w:r>
              <w:rPr>
                <w:rFonts w:ascii="Arial" w:cs="Arial" w:eastAsia="Arial" w:hAnsi="Arial"/>
                <w:sz w:val="14"/>
                <w:szCs w:val="14"/>
                <w:b w:val="1"/>
                <w:bCs w:val="1"/>
                <w:color w:val="auto"/>
                <w:w w:val="91"/>
              </w:rPr>
              <w:t>Three months ended</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680" w:type="dxa"/>
            <w:vAlign w:val="bottom"/>
            <w:tcBorders>
              <w:bottom w:val="single" w:sz="8" w:color="auto"/>
            </w:tcBorders>
            <w:gridSpan w:val="4"/>
          </w:tcPr>
          <w:p>
            <w:pPr>
              <w:jc w:val="right"/>
              <w:ind w:right="9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w w:val="92"/>
              </w:rPr>
              <w:t>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60" w:type="dxa"/>
            <w:vAlign w:val="bottom"/>
            <w:tcBorders>
              <w:right w:val="single" w:sz="8" w:color="CCEEFF"/>
            </w:tcBorders>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Foreign taxes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w w:val="92"/>
              </w:rPr>
              <w:t>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660" w:type="dxa"/>
            <w:vAlign w:val="bottom"/>
            <w:tcBorders>
              <w:right w:val="single" w:sz="8" w:color="CCEEFF"/>
            </w:tcBorders>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20" w:right="920" w:hanging="5400"/>
        <w:spacing w:after="0" w:line="481" w:lineRule="auto"/>
        <w:rPr>
          <w:sz w:val="20"/>
          <w:szCs w:val="20"/>
          <w:color w:val="auto"/>
        </w:rPr>
      </w:pPr>
      <w:r>
        <w:rPr>
          <w:rFonts w:ascii="Arial" w:cs="Arial" w:eastAsia="Arial" w:hAnsi="Arial"/>
          <w:sz w:val="18"/>
          <w:szCs w:val="18"/>
          <w:color w:val="auto"/>
        </w:rPr>
        <w:t>As a Guernsey company subject to a corporate tax rate of zero percent, the Company’s overall effective tax rate is attributable to foreign taxes.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ind w:right="60" w:firstLine="215"/>
        <w:spacing w:after="0" w:line="264" w:lineRule="auto"/>
        <w:rPr>
          <w:sz w:val="20"/>
          <w:szCs w:val="20"/>
          <w:color w:val="auto"/>
        </w:rPr>
      </w:pPr>
      <w:r>
        <w:rPr>
          <w:rFonts w:ascii="Arial" w:cs="Arial" w:eastAsia="Arial" w:hAnsi="Arial"/>
          <w:sz w:val="18"/>
          <w:szCs w:val="18"/>
          <w:color w:val="auto"/>
        </w:rPr>
        <w:t>As of June 30, 2010, deferred tax assets of $95,838, derived primarily from net capital and operating loss carry forwards related to some of the Company’s subsidiaries, were offset by valuation allowances related to the uncertainty of realizing tax benefit for such losses. Releases of the valuation allowances will be recognized through earnings.</w:t>
      </w:r>
    </w:p>
    <w:p>
      <w:pPr>
        <w:spacing w:after="0" w:line="73"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$111,231 as of June 30, 2010, all of which would affect the effective tax rate if realized.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June 30, 2010, the Company has accrued $14,304 in income taxes payable for interest and penalties relating to unrecognized tax benefits.</w:t>
      </w:r>
    </w:p>
    <w:p>
      <w:pPr>
        <w:spacing w:after="0" w:line="129" w:lineRule="exact"/>
        <w:rPr>
          <w:sz w:val="20"/>
          <w:szCs w:val="20"/>
          <w:color w:val="auto"/>
        </w:rPr>
      </w:pPr>
    </w:p>
    <w:p>
      <w:pPr>
        <w:ind w:right="300" w:firstLine="222"/>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2001 and onwards. Timing of the resolution of audits is highly uncertain and therefore the Company cannot estimate the change in unrecognized tax benefits resulting from these audits within the next 12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6"/>
              </w:rPr>
              <w:t>June 30,</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5"/>
              </w:rPr>
              <w:t>2009(1)</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1"/>
              </w:rPr>
              <w:t>2009(1)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Numerator for basic earnings per share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92,265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85,548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249,168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240,425</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assumed conversion of 0.50% convertible notes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3"/>
        </w:trPr>
        <w:tc>
          <w:tcPr>
            <w:tcW w:w="6000" w:type="dxa"/>
            <w:vAlign w:val="bottom"/>
          </w:tcPr>
          <w:p>
            <w:pPr>
              <w:ind w:left="220"/>
              <w:spacing w:after="0"/>
              <w:rPr>
                <w:sz w:val="20"/>
                <w:szCs w:val="20"/>
                <w:color w:val="auto"/>
              </w:rPr>
            </w:pPr>
            <w:r>
              <w:rPr>
                <w:rFonts w:ascii="Arial" w:cs="Arial" w:eastAsia="Arial" w:hAnsi="Arial"/>
                <w:sz w:val="18"/>
                <w:szCs w:val="18"/>
                <w:color w:val="auto"/>
              </w:rPr>
              <w:t>Numerator for diluted earnings per share</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92,265</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85,548</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249,168</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241,911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0" w:type="dxa"/>
            <w:vAlign w:val="bottom"/>
          </w:tcPr>
          <w:p>
            <w:pPr>
              <w:ind w:left="220"/>
              <w:spacing w:after="0" w:line="201" w:lineRule="exact"/>
              <w:rPr>
                <w:sz w:val="20"/>
                <w:szCs w:val="20"/>
                <w:color w:val="auto"/>
              </w:rPr>
            </w:pPr>
            <w:r>
              <w:rPr>
                <w:rFonts w:ascii="Arial" w:cs="Arial" w:eastAsia="Arial" w:hAnsi="Arial"/>
                <w:sz w:val="18"/>
                <w:szCs w:val="18"/>
                <w:color w:val="auto"/>
                <w:w w:val="98"/>
              </w:rPr>
              <w:t>Denominator for basic earnings per share — weighted average number of</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420"/>
              <w:spacing w:after="0"/>
              <w:rPr>
                <w:sz w:val="20"/>
                <w:szCs w:val="20"/>
                <w:color w:val="auto"/>
              </w:rPr>
            </w:pPr>
            <w:r>
              <w:rPr>
                <w:rFonts w:ascii="Arial" w:cs="Arial" w:eastAsia="Arial" w:hAnsi="Arial"/>
                <w:sz w:val="18"/>
                <w:szCs w:val="18"/>
                <w:color w:val="auto"/>
              </w:rPr>
              <w:t>shares outstanding</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203,786</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203,951</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205,078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203,784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assumed conversion of 0.50% convertible notes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23"/>
        </w:trPr>
        <w:tc>
          <w:tcPr>
            <w:tcW w:w="6000" w:type="dxa"/>
            <w:vAlign w:val="bottom"/>
          </w:tcPr>
          <w:p>
            <w:pPr>
              <w:ind w:left="220"/>
              <w:spacing w:after="0"/>
              <w:rPr>
                <w:sz w:val="20"/>
                <w:szCs w:val="20"/>
                <w:color w:val="auto"/>
              </w:rPr>
            </w:pPr>
            <w:r>
              <w:rPr>
                <w:rFonts w:ascii="Arial" w:cs="Arial" w:eastAsia="Arial" w:hAnsi="Arial"/>
                <w:sz w:val="18"/>
                <w:szCs w:val="18"/>
                <w:color w:val="auto"/>
              </w:rPr>
              <w:t>Effect of dilutive stock options granted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1,661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1,504</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2"/>
        </w:trPr>
        <w:tc>
          <w:tcPr>
            <w:tcW w:w="60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Denominator for diluted earnings per share — adjusted weighted average</w:t>
            </w: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and assumed conversions</w:t>
            </w:r>
          </w:p>
        </w:tc>
        <w:tc>
          <w:tcPr>
            <w:tcW w:w="4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205,471</w:t>
            </w: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204,252</w:t>
            </w:r>
          </w:p>
        </w:tc>
        <w:tc>
          <w:tcPr>
            <w:tcW w:w="6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206,606</w:t>
            </w: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209,322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220"/>
              <w:spacing w:after="0"/>
              <w:rPr>
                <w:sz w:val="20"/>
                <w:szCs w:val="20"/>
                <w:color w:val="auto"/>
              </w:rPr>
            </w:pPr>
            <w:r>
              <w:rPr>
                <w:rFonts w:ascii="Arial" w:cs="Arial" w:eastAsia="Arial" w:hAnsi="Arial"/>
                <w:sz w:val="18"/>
                <w:szCs w:val="18"/>
                <w:color w:val="auto"/>
              </w:rPr>
              <w:t>Basic earnings per share</w:t>
            </w:r>
          </w:p>
        </w:tc>
        <w:tc>
          <w:tcPr>
            <w:tcW w:w="5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per share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4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basic and diluted weighted average number of shares outstanding for the three and nine months ended June 30, 2009 have been retroactively adjusted to reflect the adoption of new earnings per share authoritative guidance requiring the inclusion of unvested share-based payment awards containing nonforfeitable rights to dividends or dividend equivalents in the calculation of basic weighted average number of shares outstanding. This adjustment reduced basic earnings per share by $0.01 for the nine months ended June 30, 2009 and had no impact on basic and diluted earnings per share for the three months ended June 30, 2009 and on diluted earnings per share for the nine months ended June 30, 2009. See note 3 to the consolidated financial statements.</w:t>
      </w:r>
    </w:p>
    <w:p>
      <w:pPr>
        <w:spacing w:after="0" w:line="85"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For the three and nine months ended June 30, 2010, 15,064 and 16,108 shares, respectively, were attributable to antidilutive outstanding stock options. For the three and nine months ended June 30, 2009, 21,657 and 22,024 shares, respectively, were attributable to antidilutive outstanding stock options. Shares attributable to antidilutive outstanding stock options were not included in the calculation of diluted earnings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11. Repurchase of Securities</w:t>
      </w:r>
    </w:p>
    <w:p>
      <w:pPr>
        <w:spacing w:after="0" w:line="121"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In April 2010, the Company’s board of directors authorized a share repurchase plan allowing the repurchase of up to $700,000 of its outstanding ordinary shares over the following 12 months. The authorization permits the Company to purchase its ordinary shares in open market or privately negotiated transactions at times and prices that it considers appropriate. In the third quarter of fiscal 2010, the Company repurchased 7,094 ordinary shares at an average price of $29.39 per share (excluding broker and transaction fees). As of June 30, 2010, the Company had remaining authority to repurchase up to $491,495 of its outstanding ordinary shares. In the fourth quarter of fiscal 2010 (through August 6, 2010), the Company repurchased approximately 4,153 ordinary shares at an average price of $27.78 per share (excluding broker and transaction fees).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In November 2007, the Company entered into an unsecured $500,000 five-year revolving credit facility with a syndicate of banks, which is available for general corporate purposes, including acquisitions and repurchases of the Company’s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As of June 30, 2010, the Company was in compliance with financial covenants under the revolving credit facility and had no outstanding borrowings under this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2008, the maximum number of ordinary shares authorized to be granted under the Plan was increased from 46,300 to 55,300. Awards granted under the Plan generally vest over a period of four years and stock options have a term of ten years.</w:t>
      </w:r>
    </w:p>
    <w:p>
      <w:pPr>
        <w:spacing w:after="0" w:line="81" w:lineRule="exact"/>
        <w:rPr>
          <w:sz w:val="20"/>
          <w:szCs w:val="20"/>
          <w:color w:val="auto"/>
        </w:rPr>
      </w:pPr>
    </w:p>
    <w:p>
      <w:pPr>
        <w:ind w:right="220" w:firstLine="222"/>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nine-month period ended June 30, 2010: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Options</w:t>
            </w:r>
          </w:p>
        </w:tc>
        <w:tc>
          <w:tcPr>
            <w:tcW w:w="38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October 1, 2009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21,321</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30.93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4,632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27.74</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(1,016)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21.66</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(2,174)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39.24</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29.90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June 30, 2010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13,217</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w:t>
            </w:r>
          </w:p>
        </w:tc>
        <w:tc>
          <w:tcPr>
            <w:tcW w:w="6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to such awards during the nine-month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Date 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October 1, 2009</w:t>
            </w:r>
          </w:p>
        </w:tc>
        <w:tc>
          <w:tcPr>
            <w:tcW w:w="57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5700" w:type="dxa"/>
            <w:vAlign w:val="bottom"/>
            <w:gridSpan w:val="3"/>
          </w:tcPr>
          <w:p>
            <w:pPr>
              <w:jc w:val="right"/>
              <w:ind w:right="660"/>
              <w:spacing w:after="0"/>
              <w:rPr>
                <w:sz w:val="20"/>
                <w:szCs w:val="20"/>
                <w:color w:val="auto"/>
              </w:rPr>
            </w:pPr>
            <w:r>
              <w:rPr>
                <w:rFonts w:ascii="Arial" w:cs="Arial" w:eastAsia="Arial" w:hAnsi="Arial"/>
                <w:sz w:val="18"/>
                <w:szCs w:val="18"/>
                <w:color w:val="auto"/>
              </w:rPr>
              <w:t>633</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7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Forfeited</w:t>
            </w:r>
          </w:p>
        </w:tc>
        <w:tc>
          <w:tcPr>
            <w:tcW w:w="436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June 30, 2010</w:t>
            </w:r>
          </w:p>
        </w:tc>
        <w:tc>
          <w:tcPr>
            <w:tcW w:w="43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360" w:type="dxa"/>
            <w:vAlign w:val="bottom"/>
            <w:vMerge w:val="restart"/>
          </w:tcPr>
          <w:p>
            <w:pPr>
              <w:jc w:val="right"/>
              <w:ind w:right="3110"/>
              <w:spacing w:after="0"/>
              <w:rPr>
                <w:sz w:val="20"/>
                <w:szCs w:val="20"/>
                <w:color w:val="auto"/>
              </w:rPr>
            </w:pPr>
            <w:r>
              <w:rPr>
                <w:rFonts w:ascii="Arial" w:cs="Arial" w:eastAsia="Arial" w:hAnsi="Arial"/>
                <w:sz w:val="18"/>
                <w:szCs w:val="18"/>
                <w:color w:val="auto"/>
              </w:rPr>
              <w:t>17</w:t>
            </w: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ind w:firstLine="215"/>
        <w:spacing w:after="0" w:line="264" w:lineRule="auto"/>
        <w:rPr>
          <w:sz w:val="20"/>
          <w:szCs w:val="20"/>
          <w:color w:val="auto"/>
        </w:rPr>
      </w:pPr>
      <w:r>
        <w:rPr>
          <w:rFonts w:ascii="Arial" w:cs="Arial" w:eastAsia="Arial" w:hAnsi="Arial"/>
          <w:sz w:val="18"/>
          <w:szCs w:val="18"/>
          <w:color w:val="auto"/>
        </w:rPr>
        <w:t>As of June 30, 2010, there was $49,420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Employee equity-based compensation pre-tax expense for the three and nine months ended June 30, 2010 and 2009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02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14,623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16,776</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1,017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3,154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3,277</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2,044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14,551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13,278</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9,397</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32,328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33,331</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00" w:firstLine="222"/>
        <w:spacing w:after="0" w:line="342" w:lineRule="auto"/>
        <w:rPr>
          <w:sz w:val="20"/>
          <w:szCs w:val="20"/>
          <w:color w:val="auto"/>
        </w:rPr>
      </w:pPr>
      <w:r>
        <w:rPr>
          <w:rFonts w:ascii="Arial" w:cs="Arial" w:eastAsia="Arial" w:hAnsi="Arial"/>
          <w:sz w:val="16"/>
          <w:szCs w:val="16"/>
          <w:color w:val="auto"/>
        </w:rPr>
        <w:t>The total income tax benefit recognized in the income statement for stock-based compensation (including restricted shares) for the three months ended June 30, 2010 and 2009 was $1,321 and $1,274, respectively, and for the nine months ended June 30, 2010 and 2009 was $2,772 and $4,324, respectively.</w:t>
      </w:r>
    </w:p>
    <w:p>
      <w:pPr>
        <w:spacing w:after="0" w:line="16"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Company selected the Black-Scholes option pricing model as the most appropriate fair value method for its equity-based awards and recognizes compensation costs using the graded vesting attribution method. The Black-Scholes option pricing model assumptions used are noted in the following table (all in weighted averages for options granted during the period):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5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8"/>
              </w:rPr>
              <w:t>Three months ended June 30,</w:t>
            </w:r>
          </w:p>
        </w:tc>
        <w:tc>
          <w:tcPr>
            <w:tcW w:w="300" w:type="dxa"/>
            <w:vAlign w:val="bottom"/>
          </w:tcPr>
          <w:p>
            <w:pPr>
              <w:spacing w:after="0"/>
              <w:rPr>
                <w:sz w:val="14"/>
                <w:szCs w:val="14"/>
                <w:color w:val="auto"/>
              </w:rPr>
            </w:pPr>
          </w:p>
        </w:tc>
        <w:tc>
          <w:tcPr>
            <w:tcW w:w="22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9"/>
              </w:rPr>
              <w:t>Nine months ended June 30,</w:t>
            </w:r>
          </w:p>
        </w:tc>
      </w:tr>
      <w:tr>
        <w:trPr>
          <w:trHeight w:val="142"/>
        </w:trPr>
        <w:tc>
          <w:tcPr>
            <w:tcW w:w="4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(1)</w:t>
            </w:r>
          </w:p>
        </w:tc>
        <w:tc>
          <w:tcPr>
            <w:tcW w:w="3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3380" w:type="dxa"/>
            <w:vAlign w:val="bottom"/>
            <w:gridSpan w:val="3"/>
          </w:tcPr>
          <w:p>
            <w:pPr>
              <w:jc w:val="right"/>
              <w:ind w:right="740"/>
              <w:spacing w:after="0"/>
              <w:rPr>
                <w:sz w:val="20"/>
                <w:szCs w:val="20"/>
                <w:color w:val="auto"/>
              </w:rPr>
            </w:pPr>
            <w:r>
              <w:rPr>
                <w:rFonts w:ascii="Arial" w:cs="Arial" w:eastAsia="Arial" w:hAnsi="Arial"/>
                <w:sz w:val="18"/>
                <w:szCs w:val="18"/>
                <w:color w:val="auto"/>
              </w:rPr>
              <w:t>4.50</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4.50</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4.32</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4.46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33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0.314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0.351</w:t>
            </w:r>
          </w:p>
        </w:tc>
        <w:tc>
          <w:tcPr>
            <w:tcW w:w="4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0.315</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0.488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196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None</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33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   8.60</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6.81</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7.66</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7.57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Company’s employee stock options.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76"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Divestiture of a Subsidiary</w:t>
      </w:r>
    </w:p>
    <w:p>
      <w:pPr>
        <w:spacing w:after="0" w:line="121" w:lineRule="exact"/>
        <w:rPr>
          <w:sz w:val="20"/>
          <w:szCs w:val="20"/>
          <w:color w:val="auto"/>
        </w:rPr>
      </w:pPr>
    </w:p>
    <w:p>
      <w:pPr>
        <w:ind w:right="200" w:firstLine="225"/>
        <w:spacing w:after="0" w:line="255" w:lineRule="auto"/>
        <w:rPr>
          <w:sz w:val="20"/>
          <w:szCs w:val="20"/>
          <w:color w:val="auto"/>
        </w:rPr>
      </w:pPr>
      <w:r>
        <w:rPr>
          <w:rFonts w:ascii="Arial" w:cs="Arial" w:eastAsia="Arial" w:hAnsi="Arial"/>
          <w:sz w:val="18"/>
          <w:szCs w:val="18"/>
          <w:color w:val="auto"/>
        </w:rPr>
        <w:t>In April 2010, the Company divested an 81% majority stake in Longshine, its Chinese subsidiary acquired in 2005, to a newly formed and locally-managed entity, Longshine Technology Holding, Ltd. for approximately $26,730. The Company believes the divestiture will enable it to better focus its efforts on service provider opportunities in China with the Company’s CES 8 portfolio. The Company retains a minority interest in Longshine which is recorded under other noncurrent assets using the cost method. In connection with the divestiture, during the three and nine months ended June 30, 2010, the Company recorded a loss of $1,599 and $23,399, respectively. The loss has been reflected in interest and other (expense) income, net, in the three and nine months ended June 30, 2010.</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15.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73"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Company generally sells its products with a limited warranty for a period of 90 days. The Company’s policy is to account for warranty costs, if needed, based on historical trends in product failure. Based on the Company’s experience, only minimal warranty charges have been required and, as a result, the Company did not accrue any amounts for product warranty liability during the nine months ended June 30, 2010 and 2009.</w:t>
      </w:r>
    </w:p>
    <w:p>
      <w:pPr>
        <w:spacing w:after="0" w:line="57"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The Company generally indemnifies its customers against claims of intellectual property infringement made by third parties arising from the use of the Company’s software. To date, the Company has incurred and recorded in its consolidated financial statements only minimal costs as a result of such obligations.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58"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2009 that we filed on December 7, 2009 with the U.S.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jc w:val="both"/>
        <w:ind w:right="120" w:firstLine="215"/>
        <w:spacing w:after="0" w:line="312" w:lineRule="auto"/>
        <w:rPr>
          <w:sz w:val="20"/>
          <w:szCs w:val="20"/>
          <w:color w:val="auto"/>
        </w:rPr>
      </w:pPr>
      <w:r>
        <w:rPr>
          <w:rFonts w:ascii="Arial" w:cs="Arial" w:eastAsia="Arial" w:hAnsi="Arial"/>
          <w:sz w:val="16"/>
          <w:szCs w:val="16"/>
          <w:color w:val="auto"/>
        </w:rPr>
        <w:t>Amdocs is a leading provider of software and services for communications, media and entertainment industry service providers that impact the customer experience. Although our market focus has traditionally been primarily on Tier 1 and Tier 2 service providers in developed markets, we have also focused in the last several years on Tier 3 and Tier 4 providers in developed markets, and on all providers in emerging markets throughout the world.</w:t>
      </w:r>
    </w:p>
    <w:p>
      <w:pPr>
        <w:spacing w:after="0" w:line="39"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develop, implement and manage software and services associated with business support systems, or BSS, operational support systems, or OSS, and service delivery platforms that enable service providers to personalize customer interactions, process orders more efficiently, optimize network capacity, support new business models and manage the evolution of service providers’ networks. We refer to these systems collectively as customer experience systems because of the impact they have on the service providers’ end-user experience.</w:t>
      </w:r>
    </w:p>
    <w:p>
      <w:pPr>
        <w:spacing w:after="0" w:line="79"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We believe the demand for our customer experience systems is driven by the need of service providers to anticipate and respond to consumer demands. In a global communications industry impacted by the move toward convergence of services and devices and increasing network capacity, consumers expect immediate and constant connectivity to personalized services, information and applications. We refer to these developments as the evolution to the “Connected World.”</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March 2010, we expanded our capabilities in the mobile payments domain through the acquisition of MX Telecom, a leading mobile payments and messaging aggregator with operations in Europe, the United States, and Australia. Mobile payments are important for our customers as they seek to maximize profits from content, value added services and applications. We intend to leverage this platform to expand our OpenMarket offering which enables our customers to monetize their assets in the digital world.</w:t>
      </w:r>
    </w:p>
    <w:p>
      <w:pPr>
        <w:spacing w:after="0" w:line="79"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In established markets, service providers continue to transform their businesses as they attempt to derive revenue and profit from IP-based content services, while confronting increased competition from non-traditional competitors, including major Internet companies and handset manufacturers. In emerging markets, many startup operations are introducing communications services to markets for the first time, coping with massive scale and rapid growth; other companies are undergoing consolidations as providers with global brands seek to do business in these new geographies. Regardless of whether providers are bringing their first offerings to market, scaling for growth, consolidating systems, or transforming the way they do business, we believe they will succeed in differentiating their offerings by delivering a customer experience that is simple, personal and valuable at every point of service. We refer to this type of customer experience as the “intentional customer experience.” We seek to address these market forces through a strategy of forward-looking product development and holistic, vertical integration encompassing all systems from the customer to the network.</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0" w:name="page21"/>
    <w:bookmarkEnd w:id="20"/>
    <w:p>
      <w:pPr>
        <w:ind w:right="80"/>
        <w:spacing w:after="0" w:line="277" w:lineRule="auto"/>
        <w:rPr>
          <w:sz w:val="20"/>
          <w:szCs w:val="20"/>
          <w:color w:val="auto"/>
        </w:rPr>
      </w:pPr>
      <w:r>
        <w:rPr>
          <w:rFonts w:ascii="Arial" w:cs="Arial" w:eastAsia="Arial" w:hAnsi="Arial"/>
          <w:sz w:val="18"/>
          <w:szCs w:val="18"/>
          <w:color w:val="auto"/>
        </w:rPr>
        <w:t>Our goal is to supply cost-effective, scalable software products and services that provide functionality and flexibility to service providers as they — and their markets — grow and change.</w:t>
      </w:r>
    </w:p>
    <w:p>
      <w:pPr>
        <w:spacing w:after="0" w:line="62"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We also offer a full range of directory systems and related services for publishers of both traditional printed Yellow Page and white page directories and electronic Internet directories, which we refer to as directory systems.</w:t>
      </w:r>
    </w:p>
    <w:p>
      <w:pPr>
        <w:spacing w:after="0" w:line="62" w:lineRule="exact"/>
        <w:rPr>
          <w:sz w:val="20"/>
          <w:szCs w:val="20"/>
          <w:color w:val="auto"/>
        </w:rPr>
      </w:pPr>
    </w:p>
    <w:p>
      <w:pPr>
        <w:ind w:firstLine="215"/>
        <w:spacing w:after="0" w:line="273" w:lineRule="auto"/>
        <w:rPr>
          <w:sz w:val="20"/>
          <w:szCs w:val="20"/>
          <w:color w:val="auto"/>
        </w:rPr>
      </w:pPr>
      <w:r>
        <w:rPr>
          <w:rFonts w:ascii="Arial" w:cs="Arial" w:eastAsia="Arial" w:hAnsi="Arial"/>
          <w:sz w:val="17"/>
          <w:szCs w:val="17"/>
          <w:color w:val="auto"/>
        </w:rPr>
        <w:t>As we emerge from the recent economic crisis, we are confident in our strong competitive position and continue to experience increased demand. We have improved our operating efficiencies and cost competitiveness, yet we have continued investing in innovation, exemplified by the launch of our latest major release of our comprehensive portfolio, Amdocs CES 8, in January 2010. Amdocs CES 8 was developed to enable our customers to run leaner operations and, at the same time, prepare for the changes and opportunities that the Connected World offers, such as enabling their unique network, product and customer assets to expand into new business models. Additionally, in Amdocs CES 8 we have focused on reducing the costs associated with installation, implementation and maintenance of our systems which we believe will serve to further differentiate us in the market.</w:t>
      </w:r>
    </w:p>
    <w:p>
      <w:pPr>
        <w:spacing w:after="0" w:line="70" w:lineRule="exact"/>
        <w:rPr>
          <w:sz w:val="20"/>
          <w:szCs w:val="20"/>
          <w:color w:val="auto"/>
        </w:rPr>
      </w:pPr>
    </w:p>
    <w:p>
      <w:pPr>
        <w:ind w:right="260" w:firstLine="222"/>
        <w:spacing w:after="0" w:line="259"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media and entertainment industry. In the nine months ended June 30, 2010, customers in North America accounted for 76.2% of our revenue, while customers in Europe and the rest of the world accounted for 11.8% and 12.0%, respectively. We maintain development facilities in Cyprus, India, Ireland, Israel and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derive our revenue principally from:</w:t>
      </w:r>
    </w:p>
    <w:p>
      <w:pPr>
        <w:spacing w:after="0" w:line="117"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53" w:lineRule="exact"/>
        <w:rPr>
          <w:rFonts w:ascii="Arial" w:cs="Arial" w:eastAsia="Arial" w:hAnsi="Arial"/>
          <w:sz w:val="16"/>
          <w:szCs w:val="16"/>
          <w:b w:val="1"/>
          <w:bCs w:val="1"/>
          <w:color w:val="auto"/>
        </w:rPr>
      </w:pPr>
    </w:p>
    <w:p>
      <w:pPr>
        <w:ind w:left="540" w:hanging="316"/>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managed services in our domain expertise and other related services, and</w:t>
      </w:r>
    </w:p>
    <w:p>
      <w:pPr>
        <w:spacing w:after="0" w:line="130" w:lineRule="exact"/>
        <w:rPr>
          <w:rFonts w:ascii="Arial" w:cs="Arial" w:eastAsia="Arial" w:hAnsi="Arial"/>
          <w:sz w:val="18"/>
          <w:szCs w:val="18"/>
          <w:b w:val="1"/>
          <w:bCs w:val="1"/>
          <w:color w:val="auto"/>
        </w:rPr>
      </w:pPr>
    </w:p>
    <w:p>
      <w:pPr>
        <w:ind w:left="540" w:right="80" w:hanging="316"/>
        <w:spacing w:after="0" w:line="277" w:lineRule="auto"/>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62"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or volume of data processed,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72"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62" w:lineRule="exact"/>
        <w:rPr>
          <w:sz w:val="20"/>
          <w:szCs w:val="20"/>
          <w:color w:val="auto"/>
        </w:rPr>
      </w:pPr>
    </w:p>
    <w:p>
      <w:pPr>
        <w:jc w:val="both"/>
        <w:ind w:right="300" w:firstLine="215"/>
        <w:spacing w:after="0" w:line="312" w:lineRule="auto"/>
        <w:rPr>
          <w:sz w:val="20"/>
          <w:szCs w:val="20"/>
          <w:color w:val="auto"/>
        </w:rPr>
      </w:pPr>
      <w:r>
        <w:rPr>
          <w:rFonts w:ascii="Arial" w:cs="Arial" w:eastAsia="Arial" w:hAnsi="Arial"/>
          <w:sz w:val="16"/>
          <w:szCs w:val="16"/>
          <w:color w:val="auto"/>
        </w:rPr>
        <w:t>A significant portion of our revenue is recognized over the course of long-term projects under the percentage of completion method of accounting. The percentage of completion method requires the exercise of judgment, such as with respect to estimations of progress-to-completion, contract revenue, loss contracts and contract costs. Progress in completing such projects may significantly affect our annual and quarterly operating results.</w:t>
      </w:r>
    </w:p>
    <w:p>
      <w:pPr>
        <w:spacing w:after="0" w:line="3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Revenue from managed services arrangements is included in both license and service revenue and includes IT and infrastructure management, application management and ongoing support, systems modernization and consolidation, business process operations support and end-to-end transformational business process outsourcing. Revenue generated in connection with managed services arrangements is a significant part of our business, accounting for more than 45% and approximately 40% of our total revenue in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jc w:val="both"/>
        <w:ind w:right="20"/>
        <w:spacing w:after="0" w:line="279" w:lineRule="auto"/>
        <w:rPr>
          <w:sz w:val="20"/>
          <w:szCs w:val="20"/>
          <w:color w:val="auto"/>
        </w:rPr>
      </w:pPr>
      <w:r>
        <w:rPr>
          <w:rFonts w:ascii="Arial" w:cs="Arial" w:eastAsia="Arial" w:hAnsi="Arial"/>
          <w:sz w:val="17"/>
          <w:szCs w:val="17"/>
          <w:color w:val="auto"/>
        </w:rPr>
        <w:t>nine months ended June 30, 2010 and 2009, respectively and generating substantial, long-term revenue streams, cash flow and operating income. In the initial period of our managed services projects, we generally invest in modernization and consolidation of the customer’s systems. Invoices are usually structured on a periodic fixed or unit charge basis. Managed services projects can be less profitable in the initial period, however, margins tend to improve over time as we derive benefit from the operational efficiencies and from changes in the geographical mix of our resources.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June 2009, the Financial Accounting Standards Board, or FASB, issued authoritative guidance on the consolidation of variable interest entities, which is effective for us beginning October 1, 2010. The new guidance requires revised evaluations of whether entities represent variable interest entities, ongoing assessments of control over such entities, and additional disclosures for variable interests. Based on our current operations we believe that the adoption of this new guidance will not have a material impact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January 2010, the FASB issued guidance to amend the disclosure requirements of fair value measurements. The guidance requires new disclosures on the transfers of assets and liabilities between Level 1 and Level 2 of the fair value measurement hierarchy, including the reasons for the transfers, the reasons for any transfer in or out of Level 3 of the fair value measurement hierarchy and a roll forward of activities on purchases, sales, issuance, and settlements of recurring assets and liabilities measured at Level 3 of the fair value measurement hierarchy. In addition to these new disclosure requirements the new guidance also clarifies certain existing disclosure requirements. The guidance became effective for us beginning January 1, 2010, except for the disclosure on the roll forward activities for Level 3 fair value measurements, which will become effective for us beginning October 1, 2011. The adoption of this new guidance did not have a material impact on our financial statements.</w:t>
      </w:r>
    </w:p>
    <w:p>
      <w:pPr>
        <w:spacing w:after="0" w:line="70"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In October 2009, the FASB issued authoritative guidance for revenue recognition relating to arrangements containing both hardware and software elements. Under the new guidance, tangible products that have software components that are essential to the functionality of the tangible product will no longer be within the scope of the software revenue recognition guidance, and will now be subject to other relevant revenue recognition guidance. Additionally, the FASB updated its authoritative guidance for revenue arrangements with multiple deliverables that are outside the scope of the software revenue recognition guidance. The revised guidance eliminates the requirement that “objective and reliable” evidence of fair value exist for an undelivered item in order for a delivered item to be treated as a specific unit of accounting. In addition, the guidance modifies the methodology to allocate transaction consideration to each identified unit of accounting by allowing the use of estimated selling price, or ESP, for individual elements of an arrangement when vendor specific objective evidence, or VSOE, of fair value or third-party evidence of selling price is unavailable. This results in the elimination of the residual method of allocating revenue consideration. We elected to early adopt the pronouncements at the beginning of our first quarter of fiscal 2010 on a prospective basis for applicable transactions originating or materially modified after October 1, 2009. If VSOE of fair value or third-party evidence of selling price is unavailable, we determine ESP for the purposes of allocating the consideration to individual elements of an arrangement by considering several external and internal factors including, but not limited to, pricing practices, margin objectives, geographies in which we offer our services and internal costs. The determination of ESP is made through consultation with and approval by our management. This guidance does not generally change the units of accounting in our revenue arrangements or the methodology by which transaction consideration is allocated to the various units of accounting due to the fact that for the majority of our existing multiple deliverables arrangements, we allocated transaction consideration for purposes of revenue recognition to each identified unit of accounting based upon its relative fair value, determined using VSOE. The new accounting standards for revenue recognition if applied to the year ended September 30, 2009 would not have had a material impact on our results of operations or financial position for that fiscal year. In addition, the adoption of the new guidance did not have a material impact on our results of operations or financial position in the three and nine months ended June 30, 2010.</w:t>
      </w:r>
    </w:p>
    <w:p>
      <w:pPr>
        <w:spacing w:after="0" w:line="65"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Effective October 1, 2009, we adopted the new earnings per share authoritative guidance that provides that unvested share-based payment awards that contain nonforfeitable rights to dividends or dividend equivalents are considered participating securities. As such, they should be included in the computation of basic earnings per share, or EPS, using the two-class method. Prior-period EPS data presented have been adjusted retroactively, and this adjustment reduced basic EPS by $0.01 for the nine months ended June 30, 2009 and had no impact on basic and diluted earnings per share for the three months ended June 30, 2009 and on diluted earnings per share for the nine months ended June 30, 2009.</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ind w:right="80" w:firstLine="225"/>
        <w:spacing w:after="0" w:line="264" w:lineRule="auto"/>
        <w:rPr>
          <w:sz w:val="20"/>
          <w:szCs w:val="20"/>
          <w:color w:val="auto"/>
        </w:rPr>
      </w:pPr>
      <w:r>
        <w:rPr>
          <w:rFonts w:ascii="Arial" w:cs="Arial" w:eastAsia="Arial" w:hAnsi="Arial"/>
          <w:sz w:val="18"/>
          <w:szCs w:val="18"/>
          <w:color w:val="auto"/>
        </w:rPr>
        <w:t>Effective October 1, 2009, we adopted the fair value measurements guidance for non-financial assets and non-financial liabilities, except those that are recognized or disclosed in the financial statements at fair value on a recurring basis (at least annually). The adoption of this accounting guidance did not have a material impact on our results of operations or financial position.</w:t>
      </w:r>
    </w:p>
    <w:p>
      <w:pPr>
        <w:spacing w:after="0" w:line="73"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Effective October 1, 2009, we adopted the revised accounting guidance for business combinations. This guidance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Among the more significant changes, acquired in-process research and development will be capitalized and upon completion amortized over its useful life; acquisition costs will be expensed as incurred; restructuring costs will generally be expensed in periods after the acquisition date; contingent consideration will be recognized at fair value at the acquisition date with subsequent changes recognized in earnings, and reductions in deferred tax valuation allowance relating to a business acquisition will be recognized in earnings. In April 2009, the FASB issued an amendment to the revised business combination guidance regarding the accounting for assets acquired and liabilities assumed in a business combination that arise from contingencies. The impact of this accounting guidance on our results of operations or financial position will vary depending on each specific business combination. This guidance did not have a material impact on our results of operations or financial position in the three and nine months ended June 30, 2010.</w:t>
      </w:r>
    </w:p>
    <w:p>
      <w:pPr>
        <w:spacing w:after="0" w:line="61" w:lineRule="exact"/>
        <w:rPr>
          <w:sz w:val="20"/>
          <w:szCs w:val="20"/>
          <w:color w:val="auto"/>
        </w:rPr>
      </w:pPr>
    </w:p>
    <w:p>
      <w:pPr>
        <w:ind w:right="320" w:firstLine="225"/>
        <w:spacing w:after="0" w:line="302" w:lineRule="auto"/>
        <w:rPr>
          <w:sz w:val="20"/>
          <w:szCs w:val="20"/>
          <w:color w:val="auto"/>
        </w:rPr>
      </w:pPr>
      <w:r>
        <w:rPr>
          <w:rFonts w:ascii="Arial" w:cs="Arial" w:eastAsia="Arial" w:hAnsi="Arial"/>
          <w:sz w:val="16"/>
          <w:szCs w:val="16"/>
          <w:color w:val="auto"/>
        </w:rPr>
        <w:t>Effective October 1, 2009, we adopted the guidance that changes the accounting and reporting for noncontrolling (minority) interests in consolidated financial statements, including the requirement to classify noncontrolling interests as a component of consolidated stockholders’ equity, the elimination of “minority interest” accounting in results of operations and changes in the accounting for both increases and decreases in a parent’s controlling ownership interest. The adoption of this accounting guidance had no impact on our consolidated results of operations and financial position.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following table sets forth for the three and nine months ended June 30, 2010 and 2009 certain items in our consolidated statements of income reflected as a percentage of total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92"/>
              </w:rPr>
              <w:t>Three months</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1"/>
              </w:rPr>
              <w:t>Nine months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ended</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ended</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2"/>
                <w:szCs w:val="12"/>
                <w:color w:val="auto"/>
              </w:rPr>
            </w:pP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License</w:t>
            </w:r>
          </w:p>
        </w:tc>
        <w:tc>
          <w:tcPr>
            <w:tcW w:w="2340" w:type="dxa"/>
            <w:vAlign w:val="bottom"/>
            <w:gridSpan w:val="3"/>
          </w:tcPr>
          <w:p>
            <w:pPr>
              <w:jc w:val="right"/>
              <w:ind w:right="508"/>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3.8%</w:t>
            </w: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234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96.2</w:t>
            </w: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7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340" w:type="dxa"/>
            <w:vAlign w:val="bottom"/>
            <w:gridSpan w:val="3"/>
          </w:tcPr>
          <w:p>
            <w:pPr>
              <w:jc w:val="right"/>
              <w:ind w:right="668"/>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740" w:type="dxa"/>
            <w:vAlign w:val="bottom"/>
          </w:tcPr>
          <w:p>
            <w:pPr>
              <w:spacing w:after="0"/>
              <w:rPr>
                <w:sz w:val="18"/>
                <w:szCs w:val="18"/>
                <w:color w:val="auto"/>
              </w:rPr>
            </w:pPr>
          </w:p>
        </w:tc>
        <w:tc>
          <w:tcPr>
            <w:tcW w:w="1400" w:type="dxa"/>
            <w:vAlign w:val="bottom"/>
            <w:gridSpan w:val="2"/>
          </w:tcPr>
          <w:p>
            <w:pPr>
              <w:jc w:val="right"/>
              <w:ind w:right="648"/>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34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64.0</w:t>
            </w: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340" w:type="dxa"/>
            <w:vAlign w:val="bottom"/>
            <w:gridSpan w:val="3"/>
          </w:tcPr>
          <w:p>
            <w:pPr>
              <w:jc w:val="right"/>
              <w:ind w:right="668"/>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740" w:type="dxa"/>
            <w:vAlign w:val="bottom"/>
          </w:tcPr>
          <w:p>
            <w:pPr>
              <w:spacing w:after="0"/>
              <w:rPr>
                <w:sz w:val="18"/>
                <w:szCs w:val="18"/>
                <w:color w:val="auto"/>
              </w:rPr>
            </w:pPr>
          </w:p>
        </w:tc>
        <w:tc>
          <w:tcPr>
            <w:tcW w:w="1400" w:type="dxa"/>
            <w:vAlign w:val="bottom"/>
            <w:gridSpan w:val="2"/>
          </w:tcPr>
          <w:p>
            <w:pPr>
              <w:jc w:val="right"/>
              <w:ind w:right="648"/>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34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2340" w:type="dxa"/>
            <w:vAlign w:val="bottom"/>
            <w:gridSpan w:val="3"/>
          </w:tcPr>
          <w:p>
            <w:pPr>
              <w:jc w:val="right"/>
              <w:ind w:right="668"/>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18"/>
                <w:szCs w:val="18"/>
                <w:color w:val="auto"/>
              </w:rPr>
            </w:pPr>
          </w:p>
        </w:tc>
        <w:tc>
          <w:tcPr>
            <w:tcW w:w="1400" w:type="dxa"/>
            <w:vAlign w:val="bottom"/>
            <w:gridSpan w:val="2"/>
          </w:tcPr>
          <w:p>
            <w:pPr>
              <w:jc w:val="right"/>
              <w:ind w:right="648"/>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Restructuring charges, in-process research and development and other</w:t>
            </w:r>
          </w:p>
        </w:tc>
        <w:tc>
          <w:tcPr>
            <w:tcW w:w="9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7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7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234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13.5</w:t>
            </w: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Interest and other (expense) income, net</w:t>
            </w:r>
          </w:p>
        </w:tc>
        <w:tc>
          <w:tcPr>
            <w:tcW w:w="920" w:type="dxa"/>
            <w:vAlign w:val="bottom"/>
          </w:tcPr>
          <w:p>
            <w:pPr>
              <w:spacing w:after="0"/>
              <w:rPr>
                <w:sz w:val="18"/>
                <w:szCs w:val="18"/>
                <w:color w:val="auto"/>
              </w:rPr>
            </w:pPr>
          </w:p>
        </w:tc>
        <w:tc>
          <w:tcPr>
            <w:tcW w:w="1420" w:type="dxa"/>
            <w:vAlign w:val="bottom"/>
            <w:gridSpan w:val="2"/>
          </w:tcPr>
          <w:p>
            <w:pPr>
              <w:jc w:val="right"/>
              <w:ind w:right="608"/>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74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9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13.9</w:t>
            </w: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920" w:type="dxa"/>
            <w:vAlign w:val="bottom"/>
          </w:tcPr>
          <w:p>
            <w:pPr>
              <w:spacing w:after="0"/>
              <w:rPr>
                <w:sz w:val="18"/>
                <w:szCs w:val="18"/>
                <w:color w:val="auto"/>
              </w:rPr>
            </w:pPr>
          </w:p>
        </w:tc>
        <w:tc>
          <w:tcPr>
            <w:tcW w:w="1420" w:type="dxa"/>
            <w:vAlign w:val="bottom"/>
            <w:gridSpan w:val="2"/>
          </w:tcPr>
          <w:p>
            <w:pPr>
              <w:jc w:val="right"/>
              <w:ind w:right="668"/>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740" w:type="dxa"/>
            <w:vAlign w:val="bottom"/>
          </w:tcPr>
          <w:p>
            <w:pPr>
              <w:spacing w:after="0"/>
              <w:rPr>
                <w:sz w:val="18"/>
                <w:szCs w:val="18"/>
                <w:color w:val="auto"/>
              </w:rPr>
            </w:pPr>
          </w:p>
        </w:tc>
        <w:tc>
          <w:tcPr>
            <w:tcW w:w="1400" w:type="dxa"/>
            <w:vAlign w:val="bottom"/>
            <w:gridSpan w:val="2"/>
          </w:tcPr>
          <w:p>
            <w:pPr>
              <w:jc w:val="right"/>
              <w:ind w:right="648"/>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12.4%</w:t>
            </w: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20" w:type="dxa"/>
            <w:vAlign w:val="bottom"/>
            <w:vMerge w:val="restart"/>
          </w:tcPr>
          <w:p>
            <w:pPr>
              <w:jc w:val="right"/>
              <w:ind w:right="470"/>
              <w:spacing w:after="0"/>
              <w:rPr>
                <w:sz w:val="20"/>
                <w:szCs w:val="20"/>
                <w:color w:val="auto"/>
              </w:rPr>
            </w:pPr>
            <w:r>
              <w:rPr>
                <w:rFonts w:ascii="Arial" w:cs="Arial" w:eastAsia="Arial" w:hAnsi="Arial"/>
                <w:sz w:val="18"/>
                <w:szCs w:val="18"/>
                <w:color w:val="auto"/>
              </w:rPr>
              <w:t>23</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Nine Months Ended June 30, 2010 and 2009</w:t>
      </w:r>
    </w:p>
    <w:p>
      <w:pPr>
        <w:spacing w:after="0" w:line="121"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nine months ended June 30, 2010 compared to the nine months ended June 30, 2009. Following the table is a discussion and analysis of our business and results of operations for such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212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License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75,691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107,879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(32,188)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2,146,338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2,047,309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99,029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2,222,029</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2,155,188</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66,841</w:t>
            </w:r>
          </w:p>
        </w:tc>
        <w:tc>
          <w:tcPr>
            <w:tcW w:w="6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1,646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(451)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1,417,729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1,381,825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35,904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153,549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160,113</w:t>
            </w: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(6,564)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277,054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256,305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20,749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64,506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63,594</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912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20,780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(20,780)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1,914,484</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1,884,714</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29,770</w:t>
            </w:r>
          </w:p>
        </w:tc>
        <w:tc>
          <w:tcPr>
            <w:tcW w:w="6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307,545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270,474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37,071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27,244</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26,230</w:t>
            </w:r>
          </w:p>
        </w:tc>
        <w:tc>
          <w:tcPr>
            <w:tcW w:w="680" w:type="dxa"/>
            <w:vAlign w:val="bottom"/>
          </w:tcPr>
          <w:p>
            <w:pPr>
              <w:jc w:val="right"/>
              <w:spacing w:after="0"/>
              <w:rPr>
                <w:sz w:val="20"/>
                <w:szCs w:val="20"/>
                <w:color w:val="auto"/>
              </w:rPr>
            </w:pPr>
            <w:r>
              <w:rPr>
                <w:rFonts w:ascii="Arial" w:cs="Arial" w:eastAsia="Arial" w:hAnsi="Arial"/>
                <w:sz w:val="18"/>
                <w:szCs w:val="18"/>
                <w:color w:val="auto"/>
              </w:rPr>
              <w:t>2,586.8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280,301</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269,460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10,841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Income taxes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31,133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29,035</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2,098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249,168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240,425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8,743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80" w:firstLine="225"/>
        <w:spacing w:after="0" w:line="26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increased by $66.8 million, or 3.1%, to $2,222.0 million in the nine months ended June 30, 2010, from $2,155.2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June 30, 2009.The increase in revenue was primarily attributable to revenue from managed services customers and to foreign exchange impacts. The increase was partially offset by decreases in revenue related to projects.</w:t>
      </w:r>
    </w:p>
    <w:p>
      <w:pPr>
        <w:spacing w:after="0" w:line="73"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License revenue in the nine months ended June 30, 2010 decreased by $32.2 million, or 29.8%, to $75.7 million, from $107.9 million in the nine months ended June 30, 2009. License revenue declined primarily due to the completion of some projects and the impact of fewer project signings in 2009.</w:t>
      </w:r>
    </w:p>
    <w:p>
      <w:pPr>
        <w:spacing w:after="0" w:line="16"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License and service revenue attributable to the sale of customer experience systems increased by $43.5 million, or 2.2%, to $2,060.4 million in the nine months ended June 30, 2010, from $2,016.9 million, in the nine months ended June 30, 2009. License and service revenue resulting from the sale of customer experience systems represented 92.7% and 93.6% of our total revenue in the nine months ended June 30, 2010 and 2009, respectively.</w:t>
      </w:r>
    </w:p>
    <w:p>
      <w:pPr>
        <w:spacing w:after="0" w:line="5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License and service revenue attributable to the sale of directory systems increased by $23.3 million, or 16.9%, to $161.6 million in the nine months ended June 30, 2010, from $138.3 million in the nine months ended June 30, 2009. The increase was primarily attributable to completion of major project milestones. License and service revenue from the sale of directory systems represented 7.3% and 6.4% of our total revenue in the nine months ended June 30, 2010 and 2009, respectively.</w:t>
      </w:r>
    </w:p>
    <w:p>
      <w:pPr>
        <w:spacing w:after="0" w:line="79"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the nine months ended June 30, 2010, revenue from customers in North America, Europe and the rest of the world accounted for 76.2%, 11.8% and 12.0%, respectively, of total revenue compared to 75.6%, 14.0% and 10.4%, respectively, in the nine months ended June 30, 2009. The increase in revenue from customers in North America was primarily attributable to an increase in revenue from managed services customers, partially offset by decrease in projects related revenue. The decrease in revenue from customers in Europe was primarily attributable to a decline in projects related revenue. Revenue from customers in the rest of the world increased primarily due to completion of major project milestones as well as revenue contributed by customers in emerging markets.</w:t>
      </w:r>
    </w:p>
    <w:p>
      <w:pPr>
        <w:spacing w:after="0" w:line="8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b w:val="1"/>
          <w:bCs w:val="1"/>
          <w:i w:val="1"/>
          <w:iCs w:val="1"/>
          <w:color w:val="auto"/>
        </w:rPr>
        <w:t xml:space="preserve">Cost of License and Service. </w:t>
      </w:r>
      <w:r>
        <w:rPr>
          <w:rFonts w:ascii="Arial" w:cs="Arial" w:eastAsia="Arial" w:hAnsi="Arial"/>
          <w:sz w:val="18"/>
          <w:szCs w:val="18"/>
          <w:color w:val="auto"/>
        </w:rPr>
        <w:t>Cost of license includes fee and royalty payments to software suppliers. Cost of service consists primarily of costs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providing services to customers, including compensation expense and costs of third-party products. The increase in cost of license and service in the nine months ended June 30, 2010 was $35.5 million, or 2.6%. As a percentage of revenue, cost of license and service was 63.9% in the nine months ended June 30, 2010, compared to 64.2% in the nine months ended June 30, 2009.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4" w:name="page25"/>
    <w:bookmarkEnd w:id="24"/>
    <w:p>
      <w:pPr>
        <w:ind w:right="160"/>
        <w:spacing w:after="0" w:line="279" w:lineRule="auto"/>
        <w:rPr>
          <w:sz w:val="20"/>
          <w:szCs w:val="20"/>
          <w:color w:val="auto"/>
        </w:rPr>
      </w:pPr>
      <w:r>
        <w:rPr>
          <w:rFonts w:ascii="Arial" w:cs="Arial" w:eastAsia="Arial" w:hAnsi="Arial"/>
          <w:sz w:val="17"/>
          <w:szCs w:val="17"/>
          <w:color w:val="auto"/>
        </w:rPr>
        <w:t>The increase in our cost of license and service was primarily attributable to project related costs as well as foreign exchange impacts partially offset by costs savings resulting from our continued efforts to improve efficiencies including expansion into lower cost jurisdictions. Our cost of service, as a percentage of revenue, in the nine months ended June 30, 2010 was positively impacted by higher margins from existing managed services arrangements. Margins from existing managed services tend to improve over time as we create cost efficiencies and improve business processes.</w:t>
      </w:r>
    </w:p>
    <w:p>
      <w:pPr>
        <w:spacing w:after="0" w:line="63"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$6.6 million, or 4.1%, to $153.5 million in the nine months ended June 30, 2010, from $160.1 million in the nine months ended June 30, 2009. Research and development expense decreased as a percentage of revenue from 7.4% in the nine months ended June 30, 2009 to 6.9% in the nine months ended June 30, 2010. The decrease was primarily a result of changes in the geographical mix of our research and development resources as well as foreign exchange impacts.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5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 increased by $20.7 million, or 8.1%, to $277.1 million in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2010, from $256.3 million in the nine months ended June 30, 2009. Selling, general and administrative expense is primarily comprised of compensation expense. The increase in selling, general and administrative expense in the nine months ended June 30, 2010, was primarily attributable to selling and marketing efforts, a significant portion of which was in emerging markets.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Restructuring Charges and In-Process 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Restructuring charges and in-process research and development in the nine months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ended June 30, 2009 consisted of a $15.1 million restructuring charge related primarily to our restructuring plan in the first quarter of fiscal 2009 and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$5.7 million charge for the write-off of purchased in-process research and development related to a small acquisition during the first quarter of fiscal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October 1, 2009, we adopted the revised accounting guidance for business combinations and as a result will capitalize in-process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in future acquisitions.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$37.1 million, or 13.7%, to $307.5 million in the nine months ended June 30, 2010, from</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$270.5 million in the nine months ended June 30, 2009. Operating income increased as a percentage of revenue from 12.5% in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June 30, 2009 to 13.8% in the nine months ended June 30, 2010. The increase in operating income was primarily attributable to our continued efforts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improve efficiencies including expansion into lower cost jurisdictions, to the effect of the restructuring charges and in-process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charges in the nine months ended June 30, 2009, as well as to foreign exchange impacts, partially offset by project related costs and the increase in selling,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 in the nine months ended June 30, 2010.</w:t>
      </w:r>
    </w:p>
    <w:p>
      <w:pPr>
        <w:spacing w:after="0" w:line="103"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b w:val="1"/>
          <w:bCs w:val="1"/>
          <w:i w:val="1"/>
          <w:iCs w:val="1"/>
          <w:color w:val="auto"/>
        </w:rPr>
        <w:t xml:space="preserve">Interest and Other Expense, Net. </w:t>
      </w:r>
      <w:r>
        <w:rPr>
          <w:rFonts w:ascii="Arial" w:cs="Arial" w:eastAsia="Arial" w:hAnsi="Arial"/>
          <w:sz w:val="17"/>
          <w:szCs w:val="17"/>
          <w:color w:val="auto"/>
        </w:rPr>
        <w:t>Interest and other expense, net increased by $26.2 million to $27.2 million in the nine months ended June 30, 2010,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$1.0 million in the nine months ended June 30, 2009. The increase in interest and other expense, net, was primarily attributable to a loss from divestiture of a Chinese subsidiary in which a majority interest was sold in April 2010. We retain a minority interest in this Chinese company.</w:t>
      </w:r>
    </w:p>
    <w:p>
      <w:pPr>
        <w:spacing w:after="0" w:line="57"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nine months ended June 30, 2010 were $31.1 million on pretax income of $280.3 million, resulting in an effective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of 11.1%, compared to 10.8% in the nine months ended June 30, 2009. Our effective tax rate may fluctuate between quarters as a result of discrete items that may affect a specific quarter.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color w:val="auto"/>
        </w:rPr>
        <w:t>. Net income was $249.2 million in the nine months ended June 30, 2010, compared to $240.4 million in the nine months ended June 30, 2009.</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net income was attributable mainly to the increase in operating income, partially offset by increase in interest and other expense, net.</w:t>
      </w:r>
    </w:p>
    <w:p>
      <w:pPr>
        <w:spacing w:after="0" w:line="114" w:lineRule="exact"/>
        <w:rPr>
          <w:sz w:val="20"/>
          <w:szCs w:val="20"/>
          <w:color w:val="auto"/>
        </w:rPr>
      </w:pPr>
    </w:p>
    <w:p>
      <w:pPr>
        <w:ind w:right="140" w:firstLine="225"/>
        <w:spacing w:after="0" w:line="308" w:lineRule="auto"/>
        <w:rPr>
          <w:sz w:val="20"/>
          <w:szCs w:val="20"/>
          <w:color w:val="auto"/>
        </w:rPr>
      </w:pPr>
      <w:r>
        <w:rPr>
          <w:rFonts w:ascii="Arial" w:cs="Arial" w:eastAsia="Arial" w:hAnsi="Arial"/>
          <w:sz w:val="17"/>
          <w:szCs w:val="17"/>
          <w:b w:val="1"/>
          <w:bCs w:val="1"/>
          <w:i w:val="1"/>
          <w:iCs w:val="1"/>
          <w:color w:val="auto"/>
        </w:rPr>
        <w:t xml:space="preserve">Diluted Earnings Per Share. </w:t>
      </w:r>
      <w:r>
        <w:rPr>
          <w:rFonts w:ascii="Arial" w:cs="Arial" w:eastAsia="Arial" w:hAnsi="Arial"/>
          <w:sz w:val="17"/>
          <w:szCs w:val="17"/>
          <w:color w:val="auto"/>
        </w:rPr>
        <w:t>Diluted earnings per share increased by $0.05, or 4.3%, to $1.21 in the nine months ended June 30, 2010, from $1.16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nine months ended June 30, 2009. The increase in diluted earnings per share primarily resulted from the increase in net income.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Three Months Ended June 30, 2010 and 2009</w:t>
      </w:r>
    </w:p>
    <w:p>
      <w:pPr>
        <w:spacing w:after="0" w:line="12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June 30, 2010 compared to the three months ended June 30, 2009. Following the table is a discussion and analysis of our business and results of operations for such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License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25,592</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26,075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(483)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727,657</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664,190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63,467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753,249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690,265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62,984</w:t>
            </w:r>
          </w:p>
        </w:tc>
        <w:tc>
          <w:tcPr>
            <w:tcW w:w="6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537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(78)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480,074</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441,777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38,297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52,253</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51,134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1,119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93,446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81,732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11,714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21,839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(91)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647,980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597,019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50,961</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105,269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93,246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12,023</w:t>
            </w:r>
          </w:p>
        </w:tc>
        <w:tc>
          <w:tcPr>
            <w:tcW w:w="6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(3,768)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(6,282)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101,501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95,760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5,741</w:t>
            </w:r>
          </w:p>
        </w:tc>
        <w:tc>
          <w:tcPr>
            <w:tcW w:w="6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9,236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10,212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92,265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85,548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6,717</w:t>
            </w:r>
          </w:p>
        </w:tc>
        <w:tc>
          <w:tcPr>
            <w:tcW w:w="6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5"/>
        <w:spacing w:after="0" w:line="308"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Total revenue increased by $63.0 million, or 9.1%, to $753.2 million in the three months ended June 30, 2010, from $690.3 million in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2009. The increase in revenue was primarily attributable to revenue from managed services customers.</w:t>
      </w:r>
    </w:p>
    <w:p>
      <w:pPr>
        <w:spacing w:after="0" w:line="38" w:lineRule="exact"/>
        <w:rPr>
          <w:sz w:val="20"/>
          <w:szCs w:val="20"/>
          <w:color w:val="auto"/>
        </w:rPr>
      </w:pPr>
    </w:p>
    <w:p>
      <w:pPr>
        <w:ind w:right="260" w:firstLine="225"/>
        <w:spacing w:after="0" w:line="286" w:lineRule="auto"/>
        <w:rPr>
          <w:sz w:val="20"/>
          <w:szCs w:val="20"/>
          <w:color w:val="auto"/>
        </w:rPr>
      </w:pPr>
      <w:r>
        <w:rPr>
          <w:rFonts w:ascii="Arial" w:cs="Arial" w:eastAsia="Arial" w:hAnsi="Arial"/>
          <w:sz w:val="17"/>
          <w:szCs w:val="17"/>
          <w:color w:val="auto"/>
        </w:rPr>
        <w:t>License and service revenue attributable to the sale of customer experience systems was $693.0 million in the three months ended June 30, 2010, an increase of $45.1 million, or 7.0%, over the three months ended June 30, 2009. License and service revenue resulting from the sale of customer experience systems represented 92.0% and 93.9% of our total revenue in the three months ended June 30, 2010 and 2009, respectively.</w:t>
      </w:r>
    </w:p>
    <w:p>
      <w:pPr>
        <w:spacing w:after="0" w:line="57"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License and service revenue from the sale of directory systems was $60.2 million in the three months ended June 30, 2010, an increase of $17.9 million, or 42.2%, as compared to the three months ended June 30, 2009. The increase was primarily attributable to completion of a major project milestone. License and service revenue from the sale of directory systems represented 8.0% and 6.1% of our total revenue in the three months ended June 30, 2010 and 2009, respectively.</w:t>
      </w:r>
    </w:p>
    <w:p>
      <w:pPr>
        <w:spacing w:after="0" w:line="79" w:lineRule="exact"/>
        <w:rPr>
          <w:sz w:val="20"/>
          <w:szCs w:val="20"/>
          <w:color w:val="auto"/>
        </w:rPr>
      </w:pPr>
    </w:p>
    <w:p>
      <w:pPr>
        <w:ind w:right="180" w:firstLine="225"/>
        <w:spacing w:after="0" w:line="291" w:lineRule="auto"/>
        <w:rPr>
          <w:sz w:val="20"/>
          <w:szCs w:val="20"/>
          <w:color w:val="auto"/>
        </w:rPr>
      </w:pPr>
      <w:r>
        <w:rPr>
          <w:rFonts w:ascii="Arial" w:cs="Arial" w:eastAsia="Arial" w:hAnsi="Arial"/>
          <w:sz w:val="16"/>
          <w:szCs w:val="16"/>
          <w:color w:val="auto"/>
        </w:rPr>
        <w:t>In the three months ended June 30, 2010, revenue from customers in North America, Europe and the rest of the world accounted for 76.0%, 10.7% and 13.3%, respectively, of total revenue compared to 76.5%, 12.2% and 11.3%, respectively, in the three months ended June 30, 2009. Although, in absolute amount, revenue from customers in North America increased in the three months ended June 30, 2010, the increase was lower than the increase in total revenue, which resulted in a slight decrease in revenue from customers in North America as a percentage of revenue. Revenue from customers in Europe, in absolute amount, was relatively stable in the three months ended June 30, 2010 compared to the three months ended June 30 2009, which, because of the increase in total revenue, resulted in a decrease in revenue from customers in Europe as a percentage of revenue. Revenue from customers in the rest of the world increased primarily due to completion of a major project milestone as well as revenue contributed by customers in emerging markets.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6" w:name="page27"/>
    <w:bookmarkEnd w:id="26"/>
    <w:p>
      <w:pPr>
        <w:ind w:firstLine="225"/>
        <w:spacing w:after="0" w:line="271" w:lineRule="auto"/>
        <w:rPr>
          <w:sz w:val="20"/>
          <w:szCs w:val="20"/>
          <w:color w:val="auto"/>
        </w:rPr>
      </w:pPr>
      <w:r>
        <w:rPr>
          <w:rFonts w:ascii="Arial" w:cs="Arial" w:eastAsia="Arial" w:hAnsi="Arial"/>
          <w:sz w:val="17"/>
          <w:szCs w:val="17"/>
          <w:b w:val="1"/>
          <w:bCs w:val="1"/>
          <w:i w:val="1"/>
          <w:iCs w:val="1"/>
          <w:color w:val="auto"/>
        </w:rPr>
        <w:t>Cost of License and Service</w:t>
      </w:r>
      <w:r>
        <w:rPr>
          <w:rFonts w:ascii="Arial" w:cs="Arial" w:eastAsia="Arial" w:hAnsi="Arial"/>
          <w:sz w:val="17"/>
          <w:szCs w:val="17"/>
          <w:color w:val="auto"/>
        </w:rPr>
        <w:t>. Cost of license includes fee and royalty payments to software suppliers. Cost of service consists primarily of costs associated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providing services to customers, including compensation expense and costs of third-party products. The increase in cost of license and service in the three months ended June 30, 2010 was $38.2 million, or 8.6%. As a percentage of revenue, cost of license and service was 63.8% in the three months ended June 30, 2010, compared to 64.1% in the three months ended June 30, 2009. The increase in our cost of license and service in the three months ended June 30, 2010 was primarily attributable to project related costs partially offset by costs savings resulting from our continued efforts to improve efficiencies including expansion into lower cost jurisdictions. Our cost of service, as a percentage of revenue, in the three months ended June 30, 2010 was positively impacted by higher margins from existing managed services arrangements. Margins from existing managed services tend to improve over time as we create cost efficiencies and improve business processes.</w:t>
      </w:r>
    </w:p>
    <w:p>
      <w:pPr>
        <w:spacing w:after="0" w:line="71" w:lineRule="exact"/>
        <w:rPr>
          <w:sz w:val="20"/>
          <w:szCs w:val="20"/>
          <w:color w:val="auto"/>
        </w:rPr>
      </w:pPr>
    </w:p>
    <w:p>
      <w:pPr>
        <w:jc w:val="both"/>
        <w:ind w:right="320" w:firstLine="225"/>
        <w:spacing w:after="0" w:line="259"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color w:val="auto"/>
        </w:rPr>
        <w:t>. Research and development expense is primarily comprised of compensation expense. Research and development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$1.1 million, or 2.2%, in the three months ended June 30, 2010 to $52.3 million from $51.1 million in the three months ended June 30, 2009. Research and development expense decreased as a percentage of revenue from 7.4% in the three months ended June 30, 2009 to 6.9% in the three months ended June 30, 2010.</w:t>
      </w:r>
    </w:p>
    <w:p>
      <w:pPr>
        <w:spacing w:after="0" w:line="79"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color w:val="auto"/>
        </w:rPr>
        <w:t>. Selling, general and administrative expense increased by $11.7 million, or 14.3%, to $93.4 million in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2010, from $81.7 million in the three months ended June 30, 2009. Selling, general and administrative expense is primarily comprised of compensation expense. The increase in selling, general and administrative expense in the three months ended June 30, 2010 was primarily attributable to an increase in selling and marketing efforts, a significant portion of which was in emerging markets.</w:t>
      </w:r>
    </w:p>
    <w:p>
      <w:pPr>
        <w:spacing w:after="0" w:line="63"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b w:val="1"/>
          <w:bCs w:val="1"/>
          <w:i w:val="1"/>
          <w:iCs w:val="1"/>
          <w:color w:val="auto"/>
        </w:rPr>
        <w:t xml:space="preserve">Operating Income. </w:t>
      </w:r>
      <w:r>
        <w:rPr>
          <w:rFonts w:ascii="Arial" w:cs="Arial" w:eastAsia="Arial" w:hAnsi="Arial"/>
          <w:sz w:val="16"/>
          <w:szCs w:val="16"/>
          <w:color w:val="auto"/>
        </w:rPr>
        <w:t>Operating income increased by $12.0 million, or 12.9%, in the three months ended June 30, 2010, to $105.3 million, or 14.0%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from $93.2 million, or 13.5% of revenue, in the three months ended June 30, 2009. Operating income increased as a percentage of revenue from 13.5% in the three months ended June 30, 2009 to 14.0% in the three months ended June 30, 2010. The increase in operating income was primarily attributable to our continued efforts to improve efficiencies including expansion into lower cost jurisdictions, as well as to foreign exchange impacts, partially offset by project related costs and increase in selling, general and administrative expense in the three months ended June 30, 2010.</w:t>
      </w:r>
    </w:p>
    <w:p>
      <w:pPr>
        <w:spacing w:after="0" w:line="5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b w:val="1"/>
          <w:bCs w:val="1"/>
          <w:i w:val="1"/>
          <w:iCs w:val="1"/>
          <w:color w:val="auto"/>
        </w:rPr>
        <w:t xml:space="preserve">Interest and Other (Expense) Income, Net. </w:t>
      </w:r>
      <w:r>
        <w:rPr>
          <w:rFonts w:ascii="Arial" w:cs="Arial" w:eastAsia="Arial" w:hAnsi="Arial"/>
          <w:sz w:val="18"/>
          <w:szCs w:val="18"/>
          <w:color w:val="auto"/>
        </w:rPr>
        <w:t>Interest and other (expense) income, net decreased by $6.3 million in the three months ended June 30, 2010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expense of $3.8 million from income of $2.5 million in the three months ended June 30, 2009. The decrease in interest and other (expense) income, net, is primarily attributable to foreign exchange impacts as well as to a loss from divestiture of a Chinese subsidiary in which a majority interest was sold in April 2010.</w:t>
      </w:r>
    </w:p>
    <w:p>
      <w:pPr>
        <w:spacing w:after="0" w:line="79"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three months ended June 30, 2010 were $9.2 million on pretax income of $101.5 million, resulting in an effective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of 9.1%, compared to 10.7% in the three months ended June 30, 2009. Our effective tax rate may fluctuate between quarters as a result of discrete items that may affect a specific quarter.</w:t>
      </w:r>
    </w:p>
    <w:p>
      <w:pPr>
        <w:spacing w:after="0" w:line="73"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$92.3 million in the three months ended June 30, 2010, compared to net income of $85.5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2009. The increase in net income was mainly attributable to the increase in our operating income partially offset by decrease in interest and other (expense) income, net.</w:t>
      </w:r>
    </w:p>
    <w:p>
      <w:pPr>
        <w:spacing w:after="0" w:line="7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$0.03, or 7.1% to $0.45 in the three months ended June 30, 2010, from $0.42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2009. The increase in diluted earnings per share resulted from the increase in net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Cash, cash equivalents and short-term interest-bearing investments totaled $1,289.9 million as of June 30, 2010, compared to $1,173.0 million as of September 30, 2009. The increase was primarily attributable to $537.6 million in positive cash flow from operations, $22.0 million proceeds from employee stock options exercised and $20.3 million net cash received from divestiture of a Chinese subsidiary, partially offset by $208.6 million used to repurchase our ordinary shares pursuant to our share repurchase program, $199.5 million in net cash paid for acquisitions and $59.5 million for capital expenditures. Net cash provided by operating activities amounted to $537.6 million and $335.5 million for the nine months ended June 30, 2010 and 2009,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ind w:right="120" w:firstLine="225"/>
        <w:spacing w:after="0" w:line="277" w:lineRule="auto"/>
        <w:rPr>
          <w:sz w:val="20"/>
          <w:szCs w:val="20"/>
          <w:color w:val="auto"/>
        </w:rPr>
      </w:pPr>
      <w:r>
        <w:rPr>
          <w:rFonts w:ascii="Arial" w:cs="Arial" w:eastAsia="Arial" w:hAnsi="Arial"/>
          <w:sz w:val="18"/>
          <w:szCs w:val="18"/>
          <w:color w:val="auto"/>
        </w:rPr>
        <w:t>Our policy is to retain substantial cash balances in order to support our growth. We believe that our current cash balances, cash generated from operations and our current lines of credit will provide sufficient resources to meet our operational needs for at least the next fiscal year.</w:t>
      </w:r>
    </w:p>
    <w:p>
      <w:pPr>
        <w:spacing w:after="0" w:line="62"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Our interest-bearing investments are classified as available-for-sale securities. Unrealized gains or losses are reported as a separate component of accumulated other comprehensive income, net of tax. Such interest-bearing investments consist primarily of money market funds, U.S. government treasuries, U.S. agency securities, government guaranteed debt and corporate bonds. We believe we have conservative investment policy guidelines. Our interest-bearing investments are stated at fair value. Our interest-bearing investments are priced by pricing vendors and are classified as Level 1 or Level 2 investments, since these vendors either provide a quoted market price in an active market or use observable inputs. During the three and nine months ended June 30, 2010, we recognized immaterial credit loss. As of June 30, 2010, unrealized losses of $1.9 million related to other-than-temporarily impaired securities were included in accumulated other comprehensive (loss) income. Please see Notes 4 and 5 to the consolidated financial statements.</w:t>
      </w:r>
    </w:p>
    <w:p>
      <w:pPr>
        <w:spacing w:after="0" w:line="59"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In November 2007, we entered into an unsecured $500 million five-year revolving credit facility with a syndicate of banks, which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 As of June 30, 2010, we were in compliance with the financial covenants under the revolving credit facility and had no outstanding borrowings under this facility.</w:t>
      </w:r>
    </w:p>
    <w:p>
      <w:pPr>
        <w:spacing w:after="0" w:line="80" w:lineRule="exact"/>
        <w:rPr>
          <w:sz w:val="20"/>
          <w:szCs w:val="20"/>
          <w:color w:val="auto"/>
        </w:rPr>
      </w:pPr>
    </w:p>
    <w:p>
      <w:pPr>
        <w:ind w:right="420" w:firstLine="215"/>
        <w:spacing w:after="0" w:line="277" w:lineRule="auto"/>
        <w:rPr>
          <w:sz w:val="20"/>
          <w:szCs w:val="20"/>
          <w:color w:val="auto"/>
        </w:rPr>
      </w:pPr>
      <w:r>
        <w:rPr>
          <w:rFonts w:ascii="Arial" w:cs="Arial" w:eastAsia="Arial" w:hAnsi="Arial"/>
          <w:sz w:val="18"/>
          <w:szCs w:val="18"/>
          <w:color w:val="auto"/>
        </w:rPr>
        <w:t>As of June 30, 2010, we had outstanding letters of credit and bank guarantees from various banks totaling $76.5 million. As of June 30, 2010, we had outstanding obligations of $0.9 million in connection with leasing arrangements.</w:t>
      </w:r>
    </w:p>
    <w:p>
      <w:pPr>
        <w:spacing w:after="0" w:line="62" w:lineRule="exact"/>
        <w:rPr>
          <w:sz w:val="20"/>
          <w:szCs w:val="20"/>
          <w:color w:val="auto"/>
        </w:rPr>
      </w:pPr>
    </w:p>
    <w:p>
      <w:pPr>
        <w:jc w:val="both"/>
        <w:ind w:right="220" w:firstLine="222"/>
        <w:spacing w:after="0" w:line="286" w:lineRule="auto"/>
        <w:rPr>
          <w:sz w:val="20"/>
          <w:szCs w:val="20"/>
          <w:color w:val="auto"/>
        </w:rPr>
      </w:pPr>
      <w:r>
        <w:rPr>
          <w:rFonts w:ascii="Arial" w:cs="Arial" w:eastAsia="Arial" w:hAnsi="Arial"/>
          <w:sz w:val="17"/>
          <w:szCs w:val="17"/>
          <w:color w:val="auto"/>
        </w:rPr>
        <w:t>We have contractual obligations for our non-cancelable operating leases, purchase obligations, pension funding and convertible notes summarized in the tabular disclosure of contractual obligations in our Annual Report on Form 20-F for our fiscal year ended September 30, 2009. Since September 30, 2009, there have been no material changes in our contractual obligations other than in the ordinary course of our business.</w:t>
      </w:r>
    </w:p>
    <w:p>
      <w:pPr>
        <w:spacing w:after="0" w:line="57"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Our capital expenditures were approximately $59.5 million in the nine months ended June 30, 2010. Approximately 80% of these expenditures consisted of purchases of computer equipment, and the remainder attributable mainly to leasehold improvements. The capital expenditures in the nine months ended June 30, 2010 were mainly attributable to investments in our operating facilities and our development centers around the world. Our policy is to fund our capital expenditures principally from operating cash flows and we do not anticipate any changes to this policy in the foreseeable future.</w:t>
      </w:r>
    </w:p>
    <w:p>
      <w:pPr>
        <w:spacing w:after="0" w:line="46"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In April 2010, our board of directors authorized a share repurchase plan allowing the repurchase of up to $700 million of our outstanding ordinary shares over the following 12 months. The authorization permits us to purchase our ordinary shares in open market or privately negotiated transactions at times and prices that we consider appropriate. In the third quarter of fiscal 2010, we repurchased approximately 7.1 million ordinary shares at an average price of $29.39 per share (excluding broker and transaction fees). As of June 30, 2010, we had remaining authority to repurchase up to $491 million of our outstanding ordinary shares under this plan. In the fourth quarter of fiscal 2010 (through August 6, 2010), we repurchased approximately 4.2 million ordinary shares at an average price of $27.78 per share (excluding broker and transaction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73"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During the nine months ended June 30, 2010 and 2009,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Changes in Securities, Use of Proceeds and Issuer Purchases of Equity Securities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quarter ended June 30, 2010 of equity securities that are registered by us pursuant to Section 12 of the Exchange Act: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340" w:type="dxa"/>
            <w:vAlign w:val="bottom"/>
          </w:tcPr>
          <w:p>
            <w:pPr>
              <w:spacing w:after="0"/>
              <w:rPr>
                <w:sz w:val="14"/>
                <w:szCs w:val="14"/>
                <w:color w:val="auto"/>
              </w:rPr>
            </w:pP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w:t>
            </w:r>
          </w:p>
        </w:tc>
        <w:tc>
          <w:tcPr>
            <w:tcW w:w="3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34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Publicly</w:t>
            </w:r>
          </w:p>
        </w:tc>
        <w:tc>
          <w:tcPr>
            <w:tcW w:w="34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Average Price</w:t>
            </w:r>
          </w:p>
        </w:tc>
        <w:tc>
          <w:tcPr>
            <w:tcW w:w="3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4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3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34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the Plans or Programs(1)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04/1/10-04/30/10</w:t>
            </w:r>
          </w:p>
        </w:tc>
        <w:tc>
          <w:tcPr>
            <w:tcW w:w="32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8"/>
                <w:szCs w:val="18"/>
                <w:color w:val="auto"/>
              </w:rPr>
              <w:t>840,000</w:t>
            </w:r>
          </w:p>
        </w:tc>
        <w:tc>
          <w:tcPr>
            <w:tcW w:w="3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8"/>
                <w:szCs w:val="18"/>
                <w:color w:val="auto"/>
              </w:rPr>
              <w:t>$31.66</w:t>
            </w:r>
          </w:p>
        </w:tc>
        <w:tc>
          <w:tcPr>
            <w:tcW w:w="32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386"/>
              <w:spacing w:after="0"/>
              <w:rPr>
                <w:sz w:val="20"/>
                <w:szCs w:val="20"/>
                <w:color w:val="auto"/>
              </w:rPr>
            </w:pPr>
            <w:r>
              <w:rPr>
                <w:rFonts w:ascii="Arial" w:cs="Arial" w:eastAsia="Arial" w:hAnsi="Arial"/>
                <w:sz w:val="18"/>
                <w:szCs w:val="18"/>
                <w:color w:val="auto"/>
              </w:rPr>
              <w:t>840,000</w:t>
            </w:r>
          </w:p>
        </w:tc>
        <w:tc>
          <w:tcPr>
            <w:tcW w:w="340" w:type="dxa"/>
            <w:vAlign w:val="bottom"/>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585"/>
              <w:spacing w:after="0"/>
              <w:rPr>
                <w:sz w:val="20"/>
                <w:szCs w:val="20"/>
                <w:color w:val="auto"/>
              </w:rPr>
            </w:pPr>
            <w:r>
              <w:rPr>
                <w:rFonts w:ascii="Arial" w:cs="Arial" w:eastAsia="Arial" w:hAnsi="Arial"/>
                <w:sz w:val="18"/>
                <w:szCs w:val="18"/>
                <w:color w:val="auto"/>
              </w:rPr>
              <w:t>$673,405,135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05/1/10-05/31/10</w:t>
            </w:r>
          </w:p>
        </w:tc>
        <w:tc>
          <w:tcPr>
            <w:tcW w:w="1920" w:type="dxa"/>
            <w:vAlign w:val="bottom"/>
            <w:gridSpan w:val="2"/>
          </w:tcPr>
          <w:p>
            <w:pPr>
              <w:jc w:val="right"/>
              <w:ind w:right="344"/>
              <w:spacing w:after="0"/>
              <w:rPr>
                <w:sz w:val="20"/>
                <w:szCs w:val="20"/>
                <w:color w:val="auto"/>
              </w:rPr>
            </w:pPr>
            <w:r>
              <w:rPr>
                <w:rFonts w:ascii="Arial" w:cs="Arial" w:eastAsia="Arial" w:hAnsi="Arial"/>
                <w:sz w:val="18"/>
                <w:szCs w:val="18"/>
                <w:color w:val="auto"/>
              </w:rPr>
              <w:t>3,138,236</w:t>
            </w:r>
          </w:p>
        </w:tc>
        <w:tc>
          <w:tcPr>
            <w:tcW w:w="1520" w:type="dxa"/>
            <w:vAlign w:val="bottom"/>
            <w:gridSpan w:val="2"/>
          </w:tcPr>
          <w:p>
            <w:pPr>
              <w:jc w:val="right"/>
              <w:ind w:right="324"/>
              <w:spacing w:after="0"/>
              <w:rPr>
                <w:sz w:val="20"/>
                <w:szCs w:val="20"/>
                <w:color w:val="auto"/>
              </w:rPr>
            </w:pPr>
            <w:r>
              <w:rPr>
                <w:rFonts w:ascii="Arial" w:cs="Arial" w:eastAsia="Arial" w:hAnsi="Arial"/>
                <w:sz w:val="18"/>
                <w:szCs w:val="18"/>
                <w:color w:val="auto"/>
              </w:rPr>
              <w:t>30.42</w:t>
            </w:r>
          </w:p>
        </w:tc>
        <w:tc>
          <w:tcPr>
            <w:tcW w:w="1960" w:type="dxa"/>
            <w:vAlign w:val="bottom"/>
            <w:gridSpan w:val="2"/>
          </w:tcPr>
          <w:p>
            <w:pPr>
              <w:jc w:val="right"/>
              <w:ind w:right="386"/>
              <w:spacing w:after="0"/>
              <w:rPr>
                <w:sz w:val="20"/>
                <w:szCs w:val="20"/>
                <w:color w:val="auto"/>
              </w:rPr>
            </w:pPr>
            <w:r>
              <w:rPr>
                <w:rFonts w:ascii="Arial" w:cs="Arial" w:eastAsia="Arial" w:hAnsi="Arial"/>
                <w:sz w:val="18"/>
                <w:szCs w:val="18"/>
                <w:color w:val="auto"/>
              </w:rPr>
              <w:t>3,138,236</w:t>
            </w:r>
          </w:p>
        </w:tc>
        <w:tc>
          <w:tcPr>
            <w:tcW w:w="2560" w:type="dxa"/>
            <w:vAlign w:val="bottom"/>
            <w:gridSpan w:val="2"/>
          </w:tcPr>
          <w:p>
            <w:pPr>
              <w:jc w:val="right"/>
              <w:ind w:right="585"/>
              <w:spacing w:after="0"/>
              <w:rPr>
                <w:sz w:val="20"/>
                <w:szCs w:val="20"/>
                <w:color w:val="auto"/>
              </w:rPr>
            </w:pPr>
            <w:r>
              <w:rPr>
                <w:rFonts w:ascii="Arial" w:cs="Arial" w:eastAsia="Arial" w:hAnsi="Arial"/>
                <w:sz w:val="18"/>
                <w:szCs w:val="18"/>
                <w:color w:val="auto"/>
              </w:rPr>
              <w:t>577,951,922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06/1/10-06/30/10</w:t>
            </w:r>
          </w:p>
        </w:tc>
        <w:tc>
          <w:tcPr>
            <w:tcW w:w="192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rPr>
              <w:t>3,115,511</w:t>
            </w:r>
          </w:p>
        </w:tc>
        <w:tc>
          <w:tcPr>
            <w:tcW w:w="152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27.75</w:t>
            </w:r>
          </w:p>
        </w:tc>
        <w:tc>
          <w:tcPr>
            <w:tcW w:w="1960" w:type="dxa"/>
            <w:vAlign w:val="bottom"/>
            <w:gridSpan w:val="2"/>
            <w:shd w:val="clear" w:color="auto" w:fill="CCEEFF"/>
          </w:tcPr>
          <w:p>
            <w:pPr>
              <w:jc w:val="right"/>
              <w:ind w:right="386"/>
              <w:spacing w:after="0"/>
              <w:rPr>
                <w:sz w:val="20"/>
                <w:szCs w:val="20"/>
                <w:color w:val="auto"/>
              </w:rPr>
            </w:pPr>
            <w:r>
              <w:rPr>
                <w:rFonts w:ascii="Arial" w:cs="Arial" w:eastAsia="Arial" w:hAnsi="Arial"/>
                <w:sz w:val="18"/>
                <w:szCs w:val="18"/>
                <w:color w:val="auto"/>
              </w:rPr>
              <w:t>3,115,511</w:t>
            </w:r>
          </w:p>
        </w:tc>
        <w:tc>
          <w:tcPr>
            <w:tcW w:w="256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491,495,395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gridSpan w:val="2"/>
          </w:tcPr>
          <w:p>
            <w:pPr>
              <w:jc w:val="right"/>
              <w:ind w:right="344"/>
              <w:spacing w:after="0"/>
              <w:rPr>
                <w:sz w:val="20"/>
                <w:szCs w:val="20"/>
                <w:color w:val="auto"/>
              </w:rPr>
            </w:pPr>
            <w:r>
              <w:rPr>
                <w:rFonts w:ascii="Arial" w:cs="Arial" w:eastAsia="Arial" w:hAnsi="Arial"/>
                <w:sz w:val="18"/>
                <w:szCs w:val="18"/>
                <w:color w:val="auto"/>
              </w:rPr>
              <w:t>7,093,747</w:t>
            </w:r>
          </w:p>
        </w:tc>
        <w:tc>
          <w:tcPr>
            <w:tcW w:w="1520" w:type="dxa"/>
            <w:vAlign w:val="bottom"/>
            <w:gridSpan w:val="2"/>
          </w:tcPr>
          <w:p>
            <w:pPr>
              <w:jc w:val="right"/>
              <w:ind w:right="324"/>
              <w:spacing w:after="0"/>
              <w:rPr>
                <w:sz w:val="20"/>
                <w:szCs w:val="20"/>
                <w:color w:val="auto"/>
              </w:rPr>
            </w:pPr>
            <w:r>
              <w:rPr>
                <w:rFonts w:ascii="Arial" w:cs="Arial" w:eastAsia="Arial" w:hAnsi="Arial"/>
                <w:sz w:val="18"/>
                <w:szCs w:val="18"/>
                <w:color w:val="auto"/>
              </w:rPr>
              <w:t>$29.39</w:t>
            </w:r>
          </w:p>
        </w:tc>
        <w:tc>
          <w:tcPr>
            <w:tcW w:w="1960" w:type="dxa"/>
            <w:vAlign w:val="bottom"/>
            <w:gridSpan w:val="2"/>
          </w:tcPr>
          <w:p>
            <w:pPr>
              <w:jc w:val="right"/>
              <w:ind w:right="386"/>
              <w:spacing w:after="0"/>
              <w:rPr>
                <w:sz w:val="20"/>
                <w:szCs w:val="20"/>
                <w:color w:val="auto"/>
              </w:rPr>
            </w:pPr>
            <w:r>
              <w:rPr>
                <w:rFonts w:ascii="Arial" w:cs="Arial" w:eastAsia="Arial" w:hAnsi="Arial"/>
                <w:sz w:val="18"/>
                <w:szCs w:val="18"/>
                <w:color w:val="auto"/>
              </w:rPr>
              <w:t>7,093,747</w:t>
            </w:r>
          </w:p>
        </w:tc>
        <w:tc>
          <w:tcPr>
            <w:tcW w:w="2560" w:type="dxa"/>
            <w:vAlign w:val="bottom"/>
            <w:gridSpan w:val="2"/>
          </w:tcPr>
          <w:p>
            <w:pPr>
              <w:jc w:val="right"/>
              <w:ind w:right="585"/>
              <w:spacing w:after="0"/>
              <w:rPr>
                <w:sz w:val="20"/>
                <w:szCs w:val="20"/>
                <w:color w:val="auto"/>
              </w:rPr>
            </w:pPr>
            <w:r>
              <w:rPr>
                <w:rFonts w:ascii="Arial" w:cs="Arial" w:eastAsia="Arial" w:hAnsi="Arial"/>
                <w:sz w:val="18"/>
                <w:szCs w:val="18"/>
                <w:color w:val="auto"/>
              </w:rPr>
              <w:t>$491,495,395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line="286"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April 2010, our board of directors authorized a share repurchase plan allowing the repurchase of up to $700 million of our outstanding ordinary shares over the following 12 months. The authorization permits us to purchase our ordinary shares in open market or privately negotiated transactions at times and prices that we consider appropriate. In the third quarter of fiscal 2010, we repurchased approximately 7.1 million ordinary shares at an average price of $29.39 per share (excluding broker and transaction fees). As of June 30, 2010, we had remaining authority to repurchase up to</w:t>
      </w:r>
    </w:p>
    <w:p>
      <w:pPr>
        <w:spacing w:after="0" w:line="1" w:lineRule="exact"/>
        <w:rPr>
          <w:rFonts w:ascii="Arial" w:cs="Arial" w:eastAsia="Arial" w:hAnsi="Arial"/>
          <w:sz w:val="16"/>
          <w:szCs w:val="16"/>
          <w:color w:val="auto"/>
        </w:rPr>
      </w:pPr>
    </w:p>
    <w:p>
      <w:pPr>
        <w:ind w:left="460" w:right="740"/>
        <w:spacing w:after="0" w:line="290" w:lineRule="auto"/>
        <w:rPr>
          <w:rFonts w:ascii="Arial" w:cs="Arial" w:eastAsia="Arial" w:hAnsi="Arial"/>
          <w:sz w:val="16"/>
          <w:szCs w:val="16"/>
          <w:color w:val="auto"/>
        </w:rPr>
      </w:pPr>
      <w:r>
        <w:rPr>
          <w:rFonts w:ascii="Arial" w:cs="Arial" w:eastAsia="Arial" w:hAnsi="Arial"/>
          <w:sz w:val="17"/>
          <w:szCs w:val="17"/>
          <w:color w:val="auto"/>
        </w:rPr>
        <w:t>$491 million of our outstanding ordinary shares under this plan. In the fourth quarter of fiscal 2010 (through August 6, 2010), we repurchased approximately 4.2 million ordinary shares at an average price of $27.78 per share (excluding broker and transaction fees).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Item 2. Reports on Form 6-K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Reports on Form 6-K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furnished or filed the following reports on Form 6-K during the three months ended June 30, 2010:</w:t>
      </w:r>
    </w:p>
    <w:p>
      <w:pPr>
        <w:spacing w:after="0" w:line="140"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6-K dated April 23, 2010</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6-K dated May 13, 2010</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30" w:name="page31"/>
    <w:bookmarkEnd w:id="30"/>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2010</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sectPr>
      <w:pgSz w:w="11900" w:h="16838" w:orient="portrait"/>
      <w:cols w:equalWidth="0" w:num="1">
        <w:col w:w="10520"/>
      </w:cols>
      <w:pgMar w:left="240" w:top="958"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2019-12-10T17:07:28Z</dcterms:created>
  <dcterms:modified xsi:type="dcterms:W3CDTF">2019-12-10T17:07:28Z</dcterms:modified>
</cp:coreProperties>
</file>