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20"/>
        <w:spacing w:after="0"/>
        <w:rPr>
          <w:sz w:val="20"/>
          <w:szCs w:val="20"/>
          <w:color w:val="auto"/>
        </w:rPr>
      </w:pPr>
      <w:r>
        <w:rPr>
          <w:rFonts w:ascii="Arial" w:cs="Arial" w:eastAsia="Arial" w:hAnsi="Arial"/>
          <w:sz w:val="18"/>
          <w:szCs w:val="18"/>
          <w:b w:val="1"/>
          <w:bCs w:val="1"/>
          <w:color w:val="auto"/>
        </w:rPr>
        <w:t>As filed with the Securities and Exchange Commission on January 30, 2014</w:t>
      </w:r>
    </w:p>
    <w:p>
      <w:pPr>
        <w:spacing w:after="0" w:line="27" w:lineRule="exact"/>
        <w:rPr>
          <w:sz w:val="24"/>
          <w:szCs w:val="24"/>
          <w:color w:val="auto"/>
        </w:rPr>
      </w:pPr>
    </w:p>
    <w:p>
      <w:pPr>
        <w:ind w:left="8420"/>
        <w:spacing w:after="0"/>
        <w:rPr>
          <w:sz w:val="20"/>
          <w:szCs w:val="20"/>
          <w:color w:val="auto"/>
        </w:rPr>
      </w:pPr>
      <w:r>
        <w:rPr>
          <w:rFonts w:ascii="Arial" w:cs="Arial" w:eastAsia="Arial" w:hAnsi="Arial"/>
          <w:sz w:val="16"/>
          <w:szCs w:val="16"/>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UNDER</w:t>
      </w:r>
    </w:p>
    <w:p>
      <w:pPr>
        <w:jc w:val="center"/>
        <w:spacing w:after="0"/>
        <w:rPr>
          <w:sz w:val="20"/>
          <w:szCs w:val="20"/>
          <w:color w:val="auto"/>
        </w:rPr>
      </w:pPr>
      <w:r>
        <w:rPr>
          <w:rFonts w:ascii="Arial" w:cs="Arial" w:eastAsia="Arial" w:hAnsi="Arial"/>
          <w:sz w:val="32"/>
          <w:szCs w:val="3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224155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9"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160"/>
        <w:spacing w:after="0"/>
        <w:rPr>
          <w:sz w:val="20"/>
          <w:szCs w:val="20"/>
          <w:color w:val="auto"/>
        </w:rPr>
      </w:pPr>
      <w:r>
        <w:rPr>
          <w:rFonts w:ascii="Arial" w:cs="Arial" w:eastAsia="Arial" w:hAnsi="Arial"/>
          <w:sz w:val="16"/>
          <w:szCs w:val="16"/>
          <w:b w:val="1"/>
          <w:bCs w:val="1"/>
          <w:color w:val="auto"/>
        </w:rPr>
        <w:t>Island of Guernsey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Not Applicable</w:t>
      </w:r>
    </w:p>
    <w:p>
      <w:pPr>
        <w:spacing w:after="0" w:line="31" w:lineRule="exact"/>
        <w:rPr>
          <w:sz w:val="24"/>
          <w:szCs w:val="24"/>
          <w:color w:val="auto"/>
        </w:rPr>
      </w:pPr>
    </w:p>
    <w:p>
      <w:pPr>
        <w:sectPr>
          <w:pgSz w:w="11900" w:h="16838" w:orient="portrait"/>
          <w:cols w:equalWidth="0" w:num="2">
            <w:col w:w="7360" w:space="720"/>
            <w:col w:w="3340"/>
          </w:cols>
          <w:pgMar w:left="240" w:top="229" w:right="239" w:bottom="0" w:gutter="0" w:footer="0" w:header="0"/>
          <w:type w:val="continuous"/>
        </w:sectPr>
      </w:pPr>
    </w:p>
    <w:p>
      <w:pPr>
        <w:spacing w:after="0" w:line="12"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360" w:space="720"/>
            <w:col w:w="3340"/>
          </w:cols>
          <w:pgMar w:left="240" w:top="229" w:right="239" w:bottom="0" w:gutter="0" w:footer="0" w:header="0"/>
          <w:type w:val="continuous"/>
        </w:sectPr>
      </w:pP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St. Peter Port, Island of Guernsey, GY1 2NG</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ectPr>
          <w:pgSz w:w="11900" w:h="16838" w:orient="portrait"/>
          <w:cols w:equalWidth="0" w:num="1">
            <w:col w:w="11420"/>
          </w:cols>
          <w:pgMar w:left="240" w:top="229" w:right="239" w:bottom="0" w:gutter="0" w:footer="0" w:header="0"/>
          <w:type w:val="continuous"/>
        </w:sectPr>
      </w:pP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1998 STOCK OPTION AND INCENTIVE PLAN, AS AMENDED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Attention: Elizabeth W. McDermon, Secretary</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(314) 212-8328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commission is requested to send copies of all communications 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Robert A. Schwed,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Wilmer Cutler Pickering Hale and Dorr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 World Trade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 Greenwich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937-7200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920" w:type="dxa"/>
            <w:vAlign w:val="bottom"/>
            <w:gridSpan w:val="2"/>
          </w:tcPr>
          <w:p>
            <w:pPr>
              <w:spacing w:after="0"/>
              <w:rPr>
                <w:sz w:val="20"/>
                <w:szCs w:val="20"/>
                <w:color w:val="auto"/>
              </w:rPr>
            </w:pPr>
            <w:r>
              <w:rPr>
                <w:rFonts w:ascii="Arial" w:cs="Arial" w:eastAsia="Arial" w:hAnsi="Arial"/>
                <w:sz w:val="18"/>
                <w:szCs w:val="18"/>
                <w:color w:val="auto"/>
              </w:rPr>
              <w:t>Large accelerated filer</w:t>
            </w:r>
          </w:p>
        </w:tc>
        <w:tc>
          <w:tcPr>
            <w:tcW w:w="16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60" w:type="dxa"/>
            <w:vAlign w:val="bottom"/>
            <w:gridSpan w:val="2"/>
          </w:tcPr>
          <w:p>
            <w:pPr>
              <w:ind w:left="600"/>
              <w:spacing w:after="0"/>
              <w:rPr>
                <w:sz w:val="20"/>
                <w:szCs w:val="20"/>
                <w:color w:val="auto"/>
              </w:rPr>
            </w:pPr>
            <w:r>
              <w:rPr>
                <w:rFonts w:ascii="Arial" w:cs="Arial" w:eastAsia="Arial" w:hAnsi="Arial"/>
                <w:sz w:val="18"/>
                <w:szCs w:val="18"/>
                <w:color w:val="auto"/>
                <w:w w:val="96"/>
              </w:rPr>
              <w:t>Accelerated filer</w:t>
            </w:r>
          </w:p>
        </w:tc>
        <w:tc>
          <w:tcPr>
            <w:tcW w:w="1100" w:type="dxa"/>
            <w:vAlign w:val="bottom"/>
          </w:tcPr>
          <w:p>
            <w:pPr>
              <w:spacing w:after="0"/>
              <w:rPr>
                <w:sz w:val="24"/>
                <w:szCs w:val="24"/>
                <w:color w:val="auto"/>
              </w:rPr>
            </w:pP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192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4980" w:type="dxa"/>
            <w:vAlign w:val="bottom"/>
            <w:gridSpan w:val="5"/>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360" w:type="dxa"/>
            <w:vAlign w:val="bottom"/>
          </w:tcPr>
          <w:p>
            <w:pPr>
              <w:spacing w:after="0"/>
              <w:rPr>
                <w:sz w:val="24"/>
                <w:szCs w:val="24"/>
                <w:color w:val="auto"/>
              </w:rPr>
            </w:pPr>
          </w:p>
        </w:tc>
        <w:tc>
          <w:tcPr>
            <w:tcW w:w="296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9"/>
                <w:szCs w:val="9"/>
                <w:color w:val="auto"/>
              </w:rPr>
            </w:pPr>
          </w:p>
        </w:tc>
        <w:tc>
          <w:tcPr>
            <w:tcW w:w="1360" w:type="dxa"/>
            <w:vAlign w:val="bottom"/>
            <w:tcBorders>
              <w:right w:val="single" w:sz="8" w:color="auto"/>
            </w:tcBorders>
          </w:tcPr>
          <w:p>
            <w:pPr>
              <w:jc w:val="center"/>
              <w:ind w:right="70"/>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4"/>
              <w:spacing w:after="0" w:line="106" w:lineRule="exact"/>
              <w:rPr>
                <w:sz w:val="20"/>
                <w:szCs w:val="20"/>
                <w:color w:val="auto"/>
              </w:rPr>
            </w:pPr>
            <w:r>
              <w:rPr>
                <w:rFonts w:ascii="Arial" w:cs="Arial" w:eastAsia="Arial" w:hAnsi="Arial"/>
                <w:sz w:val="12"/>
                <w:szCs w:val="12"/>
                <w:b w:val="1"/>
                <w:bCs w:val="1"/>
                <w:color w:val="auto"/>
              </w:rPr>
              <w:t>Proposed</w:t>
            </w: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00" w:type="dxa"/>
            <w:vAlign w:val="bottom"/>
            <w:vMerge w:val="restart"/>
          </w:tcPr>
          <w:p>
            <w:pPr>
              <w:jc w:val="center"/>
              <w:ind w:right="319"/>
              <w:spacing w:after="0"/>
              <w:rPr>
                <w:sz w:val="20"/>
                <w:szCs w:val="20"/>
                <w:color w:val="auto"/>
              </w:rPr>
            </w:pPr>
            <w:r>
              <w:rPr>
                <w:rFonts w:ascii="Arial" w:cs="Arial" w:eastAsia="Arial" w:hAnsi="Arial"/>
                <w:sz w:val="14"/>
                <w:szCs w:val="14"/>
                <w:b w:val="1"/>
                <w:bCs w:val="1"/>
                <w:color w:val="auto"/>
                <w:w w:val="92"/>
              </w:rPr>
              <w:t>Title of Securities</w:t>
            </w:r>
          </w:p>
        </w:tc>
        <w:tc>
          <w:tcPr>
            <w:tcW w:w="10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90"/>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99"/>
              </w:rPr>
              <w:t>Maximum</w:t>
            </w:r>
          </w:p>
        </w:tc>
        <w:tc>
          <w:tcPr>
            <w:tcW w:w="26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90"/>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92"/>
              </w:rPr>
              <w:t>Aggregate</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319"/>
              <w:spacing w:after="0"/>
              <w:rPr>
                <w:sz w:val="20"/>
                <w:szCs w:val="20"/>
                <w:color w:val="auto"/>
              </w:rPr>
            </w:pPr>
            <w:r>
              <w:rPr>
                <w:rFonts w:ascii="Arial" w:cs="Arial" w:eastAsia="Arial" w:hAnsi="Arial"/>
                <w:sz w:val="14"/>
                <w:szCs w:val="14"/>
                <w:b w:val="1"/>
                <w:bCs w:val="1"/>
                <w:color w:val="auto"/>
                <w:w w:val="91"/>
              </w:rPr>
              <w:t>to be Registered</w:t>
            </w: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91"/>
              </w:rPr>
              <w:t>Per Share</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4"/>
              </w:rPr>
              <w:t>Offering Price</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w w:val="91"/>
              </w:rPr>
              <w:t>Ordinary Shares, £0.01 par value</w:t>
            </w:r>
          </w:p>
        </w:tc>
        <w:tc>
          <w:tcPr>
            <w:tcW w:w="1600" w:type="dxa"/>
            <w:vAlign w:val="bottom"/>
            <w:tcBorders>
              <w:bottom w:val="single" w:sz="8" w:color="auto"/>
            </w:tcBorders>
          </w:tcPr>
          <w:p>
            <w:pPr>
              <w:spacing w:after="0"/>
              <w:rPr>
                <w:sz w:val="12"/>
                <w:szCs w:val="12"/>
                <w:color w:val="auto"/>
              </w:rPr>
            </w:pPr>
          </w:p>
        </w:tc>
        <w:tc>
          <w:tcPr>
            <w:tcW w:w="1540" w:type="dxa"/>
            <w:vAlign w:val="bottom"/>
            <w:tcBorders>
              <w:bottom w:val="single" w:sz="8" w:color="auto"/>
              <w:right w:val="single" w:sz="8" w:color="auto"/>
            </w:tcBorders>
            <w:gridSpan w:val="2"/>
          </w:tcPr>
          <w:p>
            <w:pPr>
              <w:spacing w:after="0"/>
              <w:rPr>
                <w:sz w:val="12"/>
                <w:szCs w:val="12"/>
                <w:color w:val="auto"/>
              </w:rPr>
            </w:pPr>
          </w:p>
        </w:tc>
        <w:tc>
          <w:tcPr>
            <w:tcW w:w="16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7,000,000</w:t>
            </w:r>
          </w:p>
        </w:tc>
        <w:tc>
          <w:tcPr>
            <w:tcW w:w="240" w:type="dxa"/>
            <w:vAlign w:val="bottom"/>
            <w:tcBorders>
              <w:bottom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jc w:val="center"/>
              <w:ind w:right="90"/>
              <w:spacing w:after="0" w:line="142" w:lineRule="exact"/>
              <w:rPr>
                <w:sz w:val="20"/>
                <w:szCs w:val="20"/>
                <w:color w:val="auto"/>
              </w:rPr>
            </w:pPr>
            <w:r>
              <w:rPr>
                <w:rFonts w:ascii="Arial" w:cs="Arial" w:eastAsia="Arial" w:hAnsi="Arial"/>
                <w:sz w:val="14"/>
                <w:szCs w:val="14"/>
                <w:color w:val="auto"/>
                <w:w w:val="93"/>
              </w:rPr>
              <w:t>$42.28 (2)</w:t>
            </w:r>
          </w:p>
        </w:tc>
        <w:tc>
          <w:tcPr>
            <w:tcW w:w="1600" w:type="dxa"/>
            <w:vAlign w:val="bottom"/>
            <w:tcBorders>
              <w:bottom w:val="single" w:sz="8" w:color="auto"/>
              <w:right w:val="single" w:sz="8" w:color="auto"/>
            </w:tcBorders>
          </w:tcPr>
          <w:p>
            <w:pPr>
              <w:jc w:val="center"/>
              <w:ind w:left="4"/>
              <w:spacing w:after="0" w:line="142" w:lineRule="exact"/>
              <w:rPr>
                <w:sz w:val="20"/>
                <w:szCs w:val="20"/>
                <w:color w:val="auto"/>
              </w:rPr>
            </w:pPr>
            <w:r>
              <w:rPr>
                <w:rFonts w:ascii="Arial" w:cs="Arial" w:eastAsia="Arial" w:hAnsi="Arial"/>
                <w:sz w:val="14"/>
                <w:szCs w:val="14"/>
                <w:color w:val="auto"/>
                <w:w w:val="93"/>
              </w:rPr>
              <w:t>$295,960,000 (1)</w:t>
            </w: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0"/>
              </w:rPr>
              <w:t>$38,120</w:t>
            </w: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180" w:hanging="452"/>
        <w:spacing w:after="0" w:line="287"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of the Securities Act, this Registration Statement shall also cover any additional Ordinary Shares that become issuable under the Plan being registered pursuant to this Registration Statement by reason of any stock dividend, stock split, recapitalization or any other similar transaction effected without the receipt of consideration that results in an increase in the number of the Registrant’s outstanding Ordinary Shares.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Rules 457(c) and 457(h) of the Securities Act of 1933, as amended, and</w:t>
      </w:r>
    </w:p>
    <w:p>
      <w:pPr>
        <w:sectPr>
          <w:pgSz w:w="11900" w:h="16838" w:orient="portrait"/>
          <w:cols w:equalWidth="0" w:num="1">
            <w:col w:w="11420"/>
          </w:cols>
          <w:pgMar w:left="240" w:top="229" w:right="239" w:bottom="0" w:gutter="0" w:footer="0" w:header="0"/>
          <w:type w:val="continuous"/>
        </w:sectPr>
      </w:pPr>
    </w:p>
    <w:bookmarkStart w:id="1" w:name="page2"/>
    <w:bookmarkEnd w:id="1"/>
    <w:p>
      <w:pPr>
        <w:ind w:left="460" w:right="120"/>
        <w:spacing w:after="0" w:line="277" w:lineRule="auto"/>
        <w:rPr>
          <w:sz w:val="20"/>
          <w:szCs w:val="20"/>
          <w:color w:val="auto"/>
        </w:rPr>
      </w:pPr>
      <w:r>
        <w:rPr>
          <w:rFonts w:ascii="Arial" w:cs="Arial" w:eastAsia="Arial" w:hAnsi="Arial"/>
          <w:sz w:val="18"/>
          <w:szCs w:val="18"/>
          <w:color w:val="auto"/>
        </w:rPr>
        <w:t>based upon the average of the high and low prices of the Registrant’s Ordinary Shares as reported on the Nasdaq Global Select Market on January 27, 2014.</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prospectus included in this Registration Statement is a combined prospectus which also relates to an aggregate of 55,300,000 Ordinary Shares previously registered under the Company’s registration statements on Form S-8 filed on May 12, 2009 (File No. 333-159163), April 4, 2006 (File No. 333-132968), March 31, 2004 (File No. 333-114077), April 6, 2001 (File No. 333-58454), March 2, 2000 (File No. 333-31506) and December 14, 1999 (File No. 333-92705).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Registration Statement on Form S-8 is being filed for the purpose of registering 7,000,000 ordinary shares, par value £0.01 per share (“Ordinary Shares”) of Amdocs Limited (the “Company”) authorized for issuance pursuant to the Company’s 1998 Stock Option and Incentive Plan, as amended (the “Plan”). These additional shares were authorized for issuance as a result of the adoption of amendments to the Plan approved by the Company’s Board of Directors in November 2011 and shareholders in February 2012.</w:t>
      </w: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Pursuant to General Instruction E to Form S-8, the contents of six registration statements on Form S-8 (File Nos. 333-159163, 333-132968, 333-114077, 333-58454, 333-31506 and 333-92705) previously filed by the Company with respect to Ordinary Shares offered pursuant to the Plan are hereby incorporated by reference herein, and the opinions and consents listed below are filed herewith.</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Exhibits</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1040" w:type="dxa"/>
            <w:vAlign w:val="bottom"/>
            <w:gridSpan w:val="2"/>
          </w:tcPr>
          <w:p>
            <w:pPr>
              <w:jc w:val="center"/>
              <w:ind w:right="540"/>
              <w:spacing w:after="0"/>
              <w:rPr>
                <w:sz w:val="20"/>
                <w:szCs w:val="20"/>
                <w:color w:val="auto"/>
              </w:rPr>
            </w:pPr>
            <w:r>
              <w:rPr>
                <w:rFonts w:ascii="Arial" w:cs="Arial" w:eastAsia="Arial" w:hAnsi="Arial"/>
                <w:sz w:val="14"/>
                <w:szCs w:val="14"/>
                <w:color w:val="auto"/>
                <w:w w:val="99"/>
              </w:rPr>
              <w:t>Exhibit</w:t>
            </w:r>
          </w:p>
        </w:tc>
        <w:tc>
          <w:tcPr>
            <w:tcW w:w="5940" w:type="dxa"/>
            <w:vAlign w:val="bottom"/>
            <w:gridSpan w:val="4"/>
            <w:vMerge w:val="restart"/>
          </w:tcPr>
          <w:p>
            <w:pPr>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61"/>
        </w:trPr>
        <w:tc>
          <w:tcPr>
            <w:tcW w:w="1040" w:type="dxa"/>
            <w:vAlign w:val="bottom"/>
            <w:gridSpan w:val="2"/>
          </w:tcPr>
          <w:p>
            <w:pPr>
              <w:jc w:val="center"/>
              <w:ind w:right="560"/>
              <w:spacing w:after="0" w:line="154" w:lineRule="exact"/>
              <w:rPr>
                <w:sz w:val="20"/>
                <w:szCs w:val="20"/>
                <w:color w:val="auto"/>
              </w:rPr>
            </w:pPr>
            <w:r>
              <w:rPr>
                <w:rFonts w:ascii="Arial" w:cs="Arial" w:eastAsia="Arial" w:hAnsi="Arial"/>
                <w:sz w:val="14"/>
                <w:szCs w:val="14"/>
                <w:color w:val="auto"/>
                <w:w w:val="96"/>
              </w:rPr>
              <w:t>Number</w:t>
            </w:r>
          </w:p>
        </w:tc>
        <w:tc>
          <w:tcPr>
            <w:tcW w:w="59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4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Opinion of Carey Olsen.</w:t>
            </w:r>
          </w:p>
        </w:tc>
        <w:tc>
          <w:tcPr>
            <w:tcW w:w="15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5940" w:type="dxa"/>
            <w:vAlign w:val="bottom"/>
            <w:gridSpan w:val="4"/>
          </w:tcPr>
          <w:p>
            <w:pPr>
              <w:spacing w:after="0"/>
              <w:rPr>
                <w:sz w:val="20"/>
                <w:szCs w:val="20"/>
                <w:color w:val="auto"/>
              </w:rPr>
            </w:pPr>
            <w:r>
              <w:rPr>
                <w:rFonts w:ascii="Arial" w:cs="Arial" w:eastAsia="Arial" w:hAnsi="Arial"/>
                <w:sz w:val="18"/>
                <w:szCs w:val="18"/>
                <w:color w:val="auto"/>
              </w:rPr>
              <w:t>Consent of Carey Olsen (included in Exhibit 5.1).</w:t>
            </w:r>
          </w:p>
        </w:tc>
        <w:tc>
          <w:tcPr>
            <w:tcW w:w="0" w:type="dxa"/>
            <w:vAlign w:val="bottom"/>
          </w:tcPr>
          <w:p>
            <w:pPr>
              <w:spacing w:after="0"/>
              <w:rPr>
                <w:sz w:val="1"/>
                <w:szCs w:val="1"/>
                <w:color w:val="auto"/>
              </w:rPr>
            </w:pP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23.2</w:t>
            </w:r>
          </w:p>
        </w:tc>
        <w:tc>
          <w:tcPr>
            <w:tcW w:w="560" w:type="dxa"/>
            <w:vAlign w:val="bottom"/>
          </w:tcPr>
          <w:p>
            <w:pPr>
              <w:spacing w:after="0"/>
              <w:rPr>
                <w:sz w:val="24"/>
                <w:szCs w:val="24"/>
                <w:color w:val="auto"/>
              </w:rPr>
            </w:pPr>
          </w:p>
        </w:tc>
        <w:tc>
          <w:tcPr>
            <w:tcW w:w="5940" w:type="dxa"/>
            <w:vAlign w:val="bottom"/>
            <w:gridSpan w:val="4"/>
          </w:tcPr>
          <w:p>
            <w:pPr>
              <w:spacing w:after="0"/>
              <w:rPr>
                <w:sz w:val="20"/>
                <w:szCs w:val="20"/>
                <w:color w:val="auto"/>
              </w:rPr>
            </w:pPr>
            <w:r>
              <w:rPr>
                <w:rFonts w:ascii="Arial" w:cs="Arial" w:eastAsia="Arial" w:hAnsi="Arial"/>
                <w:sz w:val="18"/>
                <w:szCs w:val="18"/>
                <w:color w:val="auto"/>
              </w:rPr>
              <w:t>Consent of Ernst &amp; Young LLP.</w:t>
            </w:r>
          </w:p>
        </w:tc>
        <w:tc>
          <w:tcPr>
            <w:tcW w:w="0" w:type="dxa"/>
            <w:vAlign w:val="bottom"/>
          </w:tcPr>
          <w:p>
            <w:pPr>
              <w:spacing w:after="0"/>
              <w:rPr>
                <w:sz w:val="1"/>
                <w:szCs w:val="1"/>
                <w:color w:val="auto"/>
              </w:rPr>
            </w:pP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24.1</w:t>
            </w:r>
          </w:p>
        </w:tc>
        <w:tc>
          <w:tcPr>
            <w:tcW w:w="560" w:type="dxa"/>
            <w:vAlign w:val="bottom"/>
          </w:tcPr>
          <w:p>
            <w:pPr>
              <w:spacing w:after="0"/>
              <w:rPr>
                <w:sz w:val="24"/>
                <w:szCs w:val="24"/>
                <w:color w:val="auto"/>
              </w:rPr>
            </w:pPr>
          </w:p>
        </w:tc>
        <w:tc>
          <w:tcPr>
            <w:tcW w:w="5940" w:type="dxa"/>
            <w:vAlign w:val="bottom"/>
            <w:gridSpan w:val="4"/>
          </w:tcPr>
          <w:p>
            <w:pPr>
              <w:spacing w:after="0"/>
              <w:rPr>
                <w:sz w:val="20"/>
                <w:szCs w:val="20"/>
                <w:color w:val="auto"/>
              </w:rPr>
            </w:pPr>
            <w:r>
              <w:rPr>
                <w:rFonts w:ascii="Arial" w:cs="Arial" w:eastAsia="Arial" w:hAnsi="Arial"/>
                <w:sz w:val="18"/>
                <w:szCs w:val="18"/>
                <w:color w:val="auto"/>
                <w:w w:val="90"/>
              </w:rPr>
              <w:t>Power of Attorney (included on the signature page of this Registration Statement).</w:t>
            </w:r>
          </w:p>
        </w:tc>
        <w:tc>
          <w:tcPr>
            <w:tcW w:w="0" w:type="dxa"/>
            <w:vAlign w:val="bottom"/>
          </w:tcPr>
          <w:p>
            <w:pPr>
              <w:spacing w:after="0"/>
              <w:rPr>
                <w:sz w:val="1"/>
                <w:szCs w:val="1"/>
                <w:color w:val="auto"/>
              </w:rPr>
            </w:pP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5940" w:type="dxa"/>
            <w:vAlign w:val="bottom"/>
            <w:gridSpan w:val="4"/>
          </w:tcPr>
          <w:p>
            <w:pPr>
              <w:spacing w:after="0"/>
              <w:rPr>
                <w:sz w:val="20"/>
                <w:szCs w:val="20"/>
                <w:color w:val="auto"/>
              </w:rPr>
            </w:pPr>
            <w:r>
              <w:rPr>
                <w:rFonts w:ascii="Arial" w:cs="Arial" w:eastAsia="Arial" w:hAnsi="Arial"/>
                <w:sz w:val="18"/>
                <w:szCs w:val="18"/>
                <w:color w:val="auto"/>
              </w:rPr>
              <w:t>1998 Stock Option and Incentive Plan of Amdocs Limited.</w:t>
            </w:r>
          </w:p>
        </w:tc>
        <w:tc>
          <w:tcPr>
            <w:tcW w:w="0" w:type="dxa"/>
            <w:vAlign w:val="bottom"/>
          </w:tcPr>
          <w:p>
            <w:pPr>
              <w:spacing w:after="0"/>
              <w:rPr>
                <w:sz w:val="1"/>
                <w:szCs w:val="1"/>
                <w:color w:val="auto"/>
              </w:rPr>
            </w:pPr>
          </w:p>
        </w:tc>
      </w:tr>
    </w:tbl>
    <w:p>
      <w:pPr>
        <w:sectPr>
          <w:pgSz w:w="11900" w:h="16838" w:orient="portrait"/>
          <w:cols w:equalWidth="0" w:num="1">
            <w:col w:w="11220"/>
          </w:cols>
          <w:pgMar w:left="240" w:top="270" w:right="43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30th day of January 2014.</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Elizabeth W. McDermon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Elizabeth W. McDermon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Secretary and Authorized Signatory</w:t>
      </w:r>
    </w:p>
    <w:p>
      <w:pPr>
        <w:sectPr>
          <w:pgSz w:w="11900" w:h="16838" w:orient="portrait"/>
          <w:cols w:equalWidth="0" w:num="1">
            <w:col w:w="11320"/>
          </w:cols>
          <w:pgMar w:left="240" w:top="274"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 AND SIGNATURES</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the undersigned officers and directors of Amdocs Limited, hereby severally constitute Robert A. Minicucci and Elizabeth W. McDermon,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behalf in our capacities as officers and directors to enable Amdocs Limited to comply with all requirements of the Securities and Exchange Commission, hereby ratifying and confirming our signatures as they may be signed by said attorneys, or any of them, to said Registration Statement and any and all amendments thereto.</w:t>
      </w:r>
    </w:p>
    <w:p>
      <w:pPr>
        <w:spacing w:after="0" w:line="19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60" w:type="dxa"/>
            <w:vAlign w:val="bottom"/>
            <w:gridSpan w:val="3"/>
          </w:tcPr>
          <w:p>
            <w:pPr>
              <w:ind w:left="1840"/>
              <w:spacing w:after="0"/>
              <w:rPr>
                <w:sz w:val="20"/>
                <w:szCs w:val="20"/>
                <w:color w:val="auto"/>
              </w:rPr>
            </w:pPr>
            <w:r>
              <w:rPr>
                <w:rFonts w:ascii="Arial" w:cs="Arial" w:eastAsia="Arial" w:hAnsi="Arial"/>
                <w:sz w:val="14"/>
                <w:szCs w:val="14"/>
                <w:color w:val="auto"/>
              </w:rPr>
              <w:t>Signature</w:t>
            </w:r>
          </w:p>
        </w:tc>
        <w:tc>
          <w:tcPr>
            <w:tcW w:w="2500" w:type="dxa"/>
            <w:vAlign w:val="bottom"/>
          </w:tcPr>
          <w:p>
            <w:pPr>
              <w:spacing w:after="0"/>
              <w:rPr>
                <w:sz w:val="14"/>
                <w:szCs w:val="14"/>
                <w:color w:val="auto"/>
              </w:rPr>
            </w:pPr>
          </w:p>
        </w:tc>
        <w:tc>
          <w:tcPr>
            <w:tcW w:w="1940" w:type="dxa"/>
            <w:vAlign w:val="bottom"/>
            <w:gridSpan w:val="2"/>
          </w:tcPr>
          <w:p>
            <w:pPr>
              <w:spacing w:after="0"/>
              <w:rPr>
                <w:sz w:val="20"/>
                <w:szCs w:val="20"/>
                <w:color w:val="auto"/>
              </w:rPr>
            </w:pPr>
            <w:r>
              <w:rPr>
                <w:rFonts w:ascii="Arial" w:cs="Arial" w:eastAsia="Arial" w:hAnsi="Arial"/>
                <w:sz w:val="14"/>
                <w:szCs w:val="14"/>
                <w:color w:val="auto"/>
              </w:rPr>
              <w:t>Title</w:t>
            </w:r>
          </w:p>
        </w:tc>
        <w:tc>
          <w:tcPr>
            <w:tcW w:w="1680" w:type="dxa"/>
            <w:vAlign w:val="bottom"/>
          </w:tcPr>
          <w:p>
            <w:pPr>
              <w:spacing w:after="0"/>
              <w:rPr>
                <w:sz w:val="14"/>
                <w:szCs w:val="14"/>
                <w:color w:val="auto"/>
              </w:rPr>
            </w:pPr>
          </w:p>
        </w:tc>
        <w:tc>
          <w:tcPr>
            <w:tcW w:w="760" w:type="dxa"/>
            <w:vAlign w:val="bottom"/>
            <w:gridSpan w:val="2"/>
          </w:tcPr>
          <w:p>
            <w:pPr>
              <w:jc w:val="center"/>
              <w:ind w:right="460"/>
              <w:spacing w:after="0"/>
              <w:rPr>
                <w:sz w:val="20"/>
                <w:szCs w:val="20"/>
                <w:color w:val="auto"/>
              </w:rPr>
            </w:pPr>
            <w:r>
              <w:rPr>
                <w:rFonts w:ascii="Arial" w:cs="Arial" w:eastAsia="Arial" w:hAnsi="Arial"/>
                <w:sz w:val="14"/>
                <w:szCs w:val="14"/>
                <w:color w:val="auto"/>
                <w:w w:val="87"/>
              </w:rPr>
              <w:t>Date</w:t>
            </w: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26"/>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 Gelman</w:t>
            </w:r>
          </w:p>
        </w:tc>
        <w:tc>
          <w:tcPr>
            <w:tcW w:w="5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rPr>
              <w:t>Director and Principal Executive Officer</w:t>
            </w:r>
          </w:p>
        </w:tc>
        <w:tc>
          <w:tcPr>
            <w:tcW w:w="2440" w:type="dxa"/>
            <w:vAlign w:val="bottom"/>
            <w:gridSpan w:val="3"/>
          </w:tcPr>
          <w:p>
            <w:pPr>
              <w:jc w:val="center"/>
              <w:ind w:left="1130"/>
              <w:spacing w:after="0"/>
              <w:rPr>
                <w:sz w:val="20"/>
                <w:szCs w:val="20"/>
                <w:color w:val="auto"/>
              </w:rPr>
            </w:pPr>
            <w:r>
              <w:rPr>
                <w:rFonts w:ascii="Arial" w:cs="Arial" w:eastAsia="Arial" w:hAnsi="Arial"/>
                <w:sz w:val="18"/>
                <w:szCs w:val="18"/>
                <w:color w:val="auto"/>
                <w:w w:val="87"/>
              </w:rPr>
              <w:t>January 30, 2014</w:t>
            </w:r>
          </w:p>
        </w:tc>
      </w:tr>
      <w:tr>
        <w:trPr>
          <w:trHeight w:val="224"/>
        </w:trPr>
        <w:tc>
          <w:tcPr>
            <w:tcW w:w="4280" w:type="dxa"/>
            <w:vAlign w:val="bottom"/>
            <w:gridSpan w:val="4"/>
          </w:tcPr>
          <w:p>
            <w:pPr>
              <w:spacing w:after="0"/>
              <w:rPr>
                <w:sz w:val="20"/>
                <w:szCs w:val="20"/>
                <w:color w:val="auto"/>
              </w:rPr>
            </w:pPr>
            <w:r>
              <w:rPr>
                <w:rFonts w:ascii="Arial" w:cs="Arial" w:eastAsia="Arial" w:hAnsi="Arial"/>
                <w:sz w:val="18"/>
                <w:szCs w:val="18"/>
                <w:color w:val="auto"/>
              </w:rPr>
              <w:t>Eli Gelman</w:t>
            </w: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Tamar Rapaport-Dagim</w:t>
            </w: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rPr>
              <w:t>Principal Financial and Accounting Officer</w:t>
            </w:r>
          </w:p>
        </w:tc>
        <w:tc>
          <w:tcPr>
            <w:tcW w:w="2440" w:type="dxa"/>
            <w:vAlign w:val="bottom"/>
            <w:gridSpan w:val="3"/>
          </w:tcPr>
          <w:p>
            <w:pPr>
              <w:jc w:val="center"/>
              <w:ind w:left="1130"/>
              <w:spacing w:after="0"/>
              <w:rPr>
                <w:sz w:val="20"/>
                <w:szCs w:val="20"/>
                <w:color w:val="auto"/>
              </w:rPr>
            </w:pPr>
            <w:r>
              <w:rPr>
                <w:rFonts w:ascii="Arial" w:cs="Arial" w:eastAsia="Arial" w:hAnsi="Arial"/>
                <w:sz w:val="18"/>
                <w:szCs w:val="18"/>
                <w:color w:val="auto"/>
                <w:w w:val="87"/>
              </w:rPr>
              <w:t>January 30, 2014</w:t>
            </w:r>
          </w:p>
        </w:tc>
      </w:tr>
      <w:tr>
        <w:trPr>
          <w:trHeight w:val="224"/>
        </w:trPr>
        <w:tc>
          <w:tcPr>
            <w:tcW w:w="4280" w:type="dxa"/>
            <w:vAlign w:val="bottom"/>
            <w:gridSpan w:val="4"/>
          </w:tcPr>
          <w:p>
            <w:pPr>
              <w:spacing w:after="0"/>
              <w:rPr>
                <w:sz w:val="20"/>
                <w:szCs w:val="20"/>
                <w:color w:val="auto"/>
              </w:rPr>
            </w:pPr>
            <w:r>
              <w:rPr>
                <w:rFonts w:ascii="Arial" w:cs="Arial" w:eastAsia="Arial" w:hAnsi="Arial"/>
                <w:sz w:val="18"/>
                <w:szCs w:val="18"/>
                <w:color w:val="auto"/>
              </w:rPr>
              <w:t>Tamar Rapaport-Dagim</w:t>
            </w: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Robert A. Minicucci</w:t>
            </w: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rPr>
              <w:t>Chairman of the Board</w:t>
            </w:r>
          </w:p>
        </w:tc>
        <w:tc>
          <w:tcPr>
            <w:tcW w:w="2440" w:type="dxa"/>
            <w:vAlign w:val="bottom"/>
            <w:gridSpan w:val="3"/>
          </w:tcPr>
          <w:p>
            <w:pPr>
              <w:jc w:val="center"/>
              <w:ind w:left="1130"/>
              <w:spacing w:after="0"/>
              <w:rPr>
                <w:sz w:val="20"/>
                <w:szCs w:val="20"/>
                <w:color w:val="auto"/>
              </w:rPr>
            </w:pPr>
            <w:r>
              <w:rPr>
                <w:rFonts w:ascii="Arial" w:cs="Arial" w:eastAsia="Arial" w:hAnsi="Arial"/>
                <w:sz w:val="18"/>
                <w:szCs w:val="18"/>
                <w:color w:val="auto"/>
                <w:w w:val="87"/>
              </w:rPr>
              <w:t>January 30, 2014</w:t>
            </w:r>
          </w:p>
        </w:tc>
      </w:tr>
      <w:tr>
        <w:trPr>
          <w:trHeight w:val="224"/>
        </w:trPr>
        <w:tc>
          <w:tcPr>
            <w:tcW w:w="4280" w:type="dxa"/>
            <w:vAlign w:val="bottom"/>
            <w:gridSpan w:val="4"/>
          </w:tcPr>
          <w:p>
            <w:pPr>
              <w:spacing w:after="0"/>
              <w:rPr>
                <w:sz w:val="20"/>
                <w:szCs w:val="20"/>
                <w:color w:val="auto"/>
              </w:rPr>
            </w:pPr>
            <w:r>
              <w:rPr>
                <w:rFonts w:ascii="Arial" w:cs="Arial" w:eastAsia="Arial" w:hAnsi="Arial"/>
                <w:sz w:val="18"/>
                <w:szCs w:val="18"/>
                <w:color w:val="auto"/>
              </w:rPr>
              <w:t>Robert A. Minicucci</w:t>
            </w: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Julian A. Brodsky</w:t>
            </w: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jc w:val="center"/>
              <w:ind w:left="1130"/>
              <w:spacing w:after="0"/>
              <w:rPr>
                <w:sz w:val="20"/>
                <w:szCs w:val="20"/>
                <w:color w:val="auto"/>
              </w:rPr>
            </w:pPr>
            <w:r>
              <w:rPr>
                <w:rFonts w:ascii="Arial" w:cs="Arial" w:eastAsia="Arial" w:hAnsi="Arial"/>
                <w:sz w:val="18"/>
                <w:szCs w:val="18"/>
                <w:color w:val="auto"/>
                <w:w w:val="87"/>
              </w:rPr>
              <w:t>January 30, 2014</w:t>
            </w:r>
          </w:p>
        </w:tc>
      </w:tr>
      <w:tr>
        <w:trPr>
          <w:trHeight w:val="224"/>
        </w:trPr>
        <w:tc>
          <w:tcPr>
            <w:tcW w:w="4280" w:type="dxa"/>
            <w:vAlign w:val="bottom"/>
            <w:gridSpan w:val="4"/>
          </w:tcPr>
          <w:p>
            <w:pPr>
              <w:spacing w:after="0"/>
              <w:rPr>
                <w:sz w:val="20"/>
                <w:szCs w:val="20"/>
                <w:color w:val="auto"/>
              </w:rPr>
            </w:pPr>
            <w:r>
              <w:rPr>
                <w:rFonts w:ascii="Arial" w:cs="Arial" w:eastAsia="Arial" w:hAnsi="Arial"/>
                <w:sz w:val="18"/>
                <w:szCs w:val="18"/>
                <w:color w:val="auto"/>
              </w:rPr>
              <w:t>Julian A. Brodsky</w:t>
            </w: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jc w:val="center"/>
              <w:ind w:left="1130"/>
              <w:spacing w:after="0"/>
              <w:rPr>
                <w:sz w:val="20"/>
                <w:szCs w:val="20"/>
                <w:color w:val="auto"/>
              </w:rPr>
            </w:pPr>
            <w:r>
              <w:rPr>
                <w:rFonts w:ascii="Arial" w:cs="Arial" w:eastAsia="Arial" w:hAnsi="Arial"/>
                <w:sz w:val="18"/>
                <w:szCs w:val="18"/>
                <w:color w:val="auto"/>
                <w:w w:val="87"/>
              </w:rPr>
              <w:t>January 30, 2014</w:t>
            </w:r>
          </w:p>
        </w:tc>
      </w:tr>
      <w:tr>
        <w:trPr>
          <w:trHeight w:val="224"/>
        </w:trPr>
        <w:tc>
          <w:tcPr>
            <w:tcW w:w="20" w:type="dxa"/>
            <w:vAlign w:val="bottom"/>
          </w:tcPr>
          <w:p>
            <w:pPr>
              <w:spacing w:after="0"/>
              <w:rPr>
                <w:sz w:val="19"/>
                <w:szCs w:val="19"/>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Adrian Gardner</w:t>
            </w: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jc w:val="center"/>
              <w:ind w:left="1130"/>
              <w:spacing w:after="0"/>
              <w:rPr>
                <w:sz w:val="20"/>
                <w:szCs w:val="20"/>
                <w:color w:val="auto"/>
              </w:rPr>
            </w:pPr>
            <w:r>
              <w:rPr>
                <w:rFonts w:ascii="Arial" w:cs="Arial" w:eastAsia="Arial" w:hAnsi="Arial"/>
                <w:sz w:val="18"/>
                <w:szCs w:val="18"/>
                <w:color w:val="auto"/>
                <w:w w:val="87"/>
              </w:rPr>
              <w:t>January 30, 2014</w:t>
            </w:r>
          </w:p>
        </w:tc>
      </w:tr>
      <w:tr>
        <w:trPr>
          <w:trHeight w:val="224"/>
        </w:trPr>
        <w:tc>
          <w:tcPr>
            <w:tcW w:w="20" w:type="dxa"/>
            <w:vAlign w:val="bottom"/>
          </w:tcPr>
          <w:p>
            <w:pPr>
              <w:spacing w:after="0"/>
              <w:rPr>
                <w:sz w:val="19"/>
                <w:szCs w:val="19"/>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James S. Kahan</w:t>
            </w: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Richard T.C. LeFave</w:t>
            </w: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jc w:val="center"/>
              <w:ind w:left="1130"/>
              <w:spacing w:after="0"/>
              <w:rPr>
                <w:sz w:val="20"/>
                <w:szCs w:val="20"/>
                <w:color w:val="auto"/>
              </w:rPr>
            </w:pPr>
            <w:r>
              <w:rPr>
                <w:rFonts w:ascii="Arial" w:cs="Arial" w:eastAsia="Arial" w:hAnsi="Arial"/>
                <w:sz w:val="18"/>
                <w:szCs w:val="18"/>
                <w:color w:val="auto"/>
                <w:w w:val="87"/>
              </w:rPr>
              <w:t>January 30, 2014</w:t>
            </w:r>
          </w:p>
        </w:tc>
      </w:tr>
      <w:tr>
        <w:trPr>
          <w:trHeight w:val="224"/>
        </w:trPr>
        <w:tc>
          <w:tcPr>
            <w:tcW w:w="4280" w:type="dxa"/>
            <w:vAlign w:val="bottom"/>
            <w:gridSpan w:val="4"/>
          </w:tcPr>
          <w:p>
            <w:pPr>
              <w:spacing w:after="0"/>
              <w:rPr>
                <w:sz w:val="20"/>
                <w:szCs w:val="20"/>
                <w:color w:val="auto"/>
              </w:rPr>
            </w:pPr>
            <w:r>
              <w:rPr>
                <w:rFonts w:ascii="Arial" w:cs="Arial" w:eastAsia="Arial" w:hAnsi="Arial"/>
                <w:sz w:val="18"/>
                <w:szCs w:val="18"/>
                <w:color w:val="auto"/>
              </w:rPr>
              <w:t>Richard T.C. LeFave</w:t>
            </w: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John T. McLennan</w:t>
            </w: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jc w:val="center"/>
              <w:ind w:left="1130"/>
              <w:spacing w:after="0"/>
              <w:rPr>
                <w:sz w:val="20"/>
                <w:szCs w:val="20"/>
                <w:color w:val="auto"/>
              </w:rPr>
            </w:pPr>
            <w:r>
              <w:rPr>
                <w:rFonts w:ascii="Arial" w:cs="Arial" w:eastAsia="Arial" w:hAnsi="Arial"/>
                <w:sz w:val="18"/>
                <w:szCs w:val="18"/>
                <w:color w:val="auto"/>
                <w:w w:val="87"/>
              </w:rPr>
              <w:t>January 30, 2014</w:t>
            </w:r>
          </w:p>
        </w:tc>
      </w:tr>
      <w:tr>
        <w:trPr>
          <w:trHeight w:val="224"/>
        </w:trPr>
        <w:tc>
          <w:tcPr>
            <w:tcW w:w="4280" w:type="dxa"/>
            <w:vAlign w:val="bottom"/>
            <w:gridSpan w:val="4"/>
          </w:tcPr>
          <w:p>
            <w:pPr>
              <w:spacing w:after="0"/>
              <w:rPr>
                <w:sz w:val="20"/>
                <w:szCs w:val="20"/>
                <w:color w:val="auto"/>
              </w:rPr>
            </w:pPr>
            <w:r>
              <w:rPr>
                <w:rFonts w:ascii="Arial" w:cs="Arial" w:eastAsia="Arial" w:hAnsi="Arial"/>
                <w:sz w:val="18"/>
                <w:szCs w:val="18"/>
                <w:color w:val="auto"/>
              </w:rPr>
              <w:t>John T. McLennan</w:t>
            </w: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bl>
    <w:p>
      <w:pPr>
        <w:sectPr>
          <w:pgSz w:w="11900" w:h="16838" w:orient="portrait"/>
          <w:cols w:equalWidth="0" w:num="1">
            <w:col w:w="11420"/>
          </w:cols>
          <w:pgMar w:left="240" w:top="274" w:right="2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Simon Olswang</w:t>
            </w:r>
          </w:p>
        </w:tc>
        <w:tc>
          <w:tcPr>
            <w:tcW w:w="3060" w:type="dxa"/>
            <w:vAlign w:val="bottom"/>
          </w:tcPr>
          <w:p>
            <w:pPr>
              <w:ind w:left="100"/>
              <w:spacing w:after="0"/>
              <w:rPr>
                <w:sz w:val="20"/>
                <w:szCs w:val="20"/>
                <w:color w:val="auto"/>
              </w:rPr>
            </w:pPr>
            <w:r>
              <w:rPr>
                <w:rFonts w:ascii="Arial" w:cs="Arial" w:eastAsia="Arial" w:hAnsi="Arial"/>
                <w:sz w:val="18"/>
                <w:szCs w:val="18"/>
                <w:color w:val="auto"/>
              </w:rPr>
              <w:t>Director</w:t>
            </w:r>
          </w:p>
        </w:tc>
        <w:tc>
          <w:tcPr>
            <w:tcW w:w="3580" w:type="dxa"/>
            <w:vAlign w:val="bottom"/>
          </w:tcPr>
          <w:p>
            <w:pPr>
              <w:ind w:left="2340"/>
              <w:spacing w:after="0"/>
              <w:rPr>
                <w:sz w:val="20"/>
                <w:szCs w:val="20"/>
                <w:color w:val="auto"/>
              </w:rPr>
            </w:pPr>
            <w:r>
              <w:rPr>
                <w:rFonts w:ascii="Arial" w:cs="Arial" w:eastAsia="Arial" w:hAnsi="Arial"/>
                <w:sz w:val="18"/>
                <w:szCs w:val="18"/>
                <w:color w:val="auto"/>
                <w:w w:val="87"/>
              </w:rPr>
              <w:t>January 30, 2014</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Simon Olswang</w:t>
            </w:r>
          </w:p>
        </w:tc>
        <w:tc>
          <w:tcPr>
            <w:tcW w:w="306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Giora Yaron</w:t>
            </w:r>
          </w:p>
        </w:tc>
        <w:tc>
          <w:tcPr>
            <w:tcW w:w="3060" w:type="dxa"/>
            <w:vAlign w:val="bottom"/>
          </w:tcPr>
          <w:p>
            <w:pPr>
              <w:ind w:left="100"/>
              <w:spacing w:after="0"/>
              <w:rPr>
                <w:sz w:val="20"/>
                <w:szCs w:val="20"/>
                <w:color w:val="auto"/>
              </w:rPr>
            </w:pPr>
            <w:r>
              <w:rPr>
                <w:rFonts w:ascii="Arial" w:cs="Arial" w:eastAsia="Arial" w:hAnsi="Arial"/>
                <w:sz w:val="18"/>
                <w:szCs w:val="18"/>
                <w:color w:val="auto"/>
              </w:rPr>
              <w:t>Director</w:t>
            </w:r>
          </w:p>
        </w:tc>
        <w:tc>
          <w:tcPr>
            <w:tcW w:w="3580" w:type="dxa"/>
            <w:vAlign w:val="bottom"/>
          </w:tcPr>
          <w:p>
            <w:pPr>
              <w:ind w:left="2340"/>
              <w:spacing w:after="0"/>
              <w:rPr>
                <w:sz w:val="20"/>
                <w:szCs w:val="20"/>
                <w:color w:val="auto"/>
              </w:rPr>
            </w:pPr>
            <w:r>
              <w:rPr>
                <w:rFonts w:ascii="Arial" w:cs="Arial" w:eastAsia="Arial" w:hAnsi="Arial"/>
                <w:sz w:val="18"/>
                <w:szCs w:val="18"/>
                <w:color w:val="auto"/>
                <w:w w:val="87"/>
              </w:rPr>
              <w:t>January 30, 2014</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Giora Yaron</w:t>
            </w:r>
          </w:p>
        </w:tc>
        <w:tc>
          <w:tcPr>
            <w:tcW w:w="306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Zohar Zisapel</w:t>
            </w:r>
          </w:p>
        </w:tc>
        <w:tc>
          <w:tcPr>
            <w:tcW w:w="3060" w:type="dxa"/>
            <w:vAlign w:val="bottom"/>
          </w:tcPr>
          <w:p>
            <w:pPr>
              <w:ind w:left="100"/>
              <w:spacing w:after="0"/>
              <w:rPr>
                <w:sz w:val="20"/>
                <w:szCs w:val="20"/>
                <w:color w:val="auto"/>
              </w:rPr>
            </w:pPr>
            <w:r>
              <w:rPr>
                <w:rFonts w:ascii="Arial" w:cs="Arial" w:eastAsia="Arial" w:hAnsi="Arial"/>
                <w:sz w:val="18"/>
                <w:szCs w:val="18"/>
                <w:color w:val="auto"/>
              </w:rPr>
              <w:t>Director</w:t>
            </w:r>
          </w:p>
        </w:tc>
        <w:tc>
          <w:tcPr>
            <w:tcW w:w="3580" w:type="dxa"/>
            <w:vAlign w:val="bottom"/>
          </w:tcPr>
          <w:p>
            <w:pPr>
              <w:ind w:left="2340"/>
              <w:spacing w:after="0"/>
              <w:rPr>
                <w:sz w:val="20"/>
                <w:szCs w:val="20"/>
                <w:color w:val="auto"/>
              </w:rPr>
            </w:pPr>
            <w:r>
              <w:rPr>
                <w:rFonts w:ascii="Arial" w:cs="Arial" w:eastAsia="Arial" w:hAnsi="Arial"/>
                <w:sz w:val="18"/>
                <w:szCs w:val="18"/>
                <w:color w:val="auto"/>
                <w:w w:val="87"/>
              </w:rPr>
              <w:t>January 30, 2014</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Zohar Zisapel</w:t>
            </w:r>
          </w:p>
        </w:tc>
        <w:tc>
          <w:tcPr>
            <w:tcW w:w="3060" w:type="dxa"/>
            <w:vAlign w:val="bottom"/>
          </w:tcPr>
          <w:p>
            <w:pPr>
              <w:spacing w:after="0"/>
              <w:rPr>
                <w:sz w:val="19"/>
                <w:szCs w:val="19"/>
                <w:color w:val="auto"/>
              </w:rPr>
            </w:pPr>
          </w:p>
        </w:tc>
        <w:tc>
          <w:tcPr>
            <w:tcW w:w="3580" w:type="dxa"/>
            <w:vAlign w:val="bottom"/>
          </w:tcPr>
          <w:p>
            <w:pPr>
              <w:spacing w:after="0"/>
              <w:rPr>
                <w:sz w:val="19"/>
                <w:szCs w:val="19"/>
                <w:color w:val="auto"/>
              </w:rPr>
            </w:pPr>
          </w:p>
        </w:tc>
      </w:tr>
    </w:tbl>
    <w:p>
      <w:pPr>
        <w:sectPr>
          <w:pgSz w:w="11900" w:h="16838" w:orient="portrait"/>
          <w:cols w:equalWidth="0" w:num="1">
            <w:col w:w="10920"/>
          </w:cols>
          <w:pgMar w:left="240" w:top="490" w:right="7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80" w:type="dxa"/>
            <w:vAlign w:val="bottom"/>
            <w:gridSpan w:val="3"/>
          </w:tcPr>
          <w:p>
            <w:pPr>
              <w:ind w:left="3520"/>
              <w:spacing w:after="0"/>
              <w:rPr>
                <w:sz w:val="20"/>
                <w:szCs w:val="20"/>
                <w:color w:val="auto"/>
              </w:rPr>
            </w:pPr>
            <w:r>
              <w:rPr>
                <w:rFonts w:ascii="Arial" w:cs="Arial" w:eastAsia="Arial" w:hAnsi="Arial"/>
                <w:sz w:val="18"/>
                <w:szCs w:val="18"/>
                <w:color w:val="auto"/>
              </w:rPr>
              <w:t>Exhibit Index</w:t>
            </w:r>
          </w:p>
        </w:tc>
      </w:tr>
      <w:tr>
        <w:trPr>
          <w:trHeight w:val="393"/>
        </w:trPr>
        <w:tc>
          <w:tcPr>
            <w:tcW w:w="480" w:type="dxa"/>
            <w:vAlign w:val="bottom"/>
          </w:tcPr>
          <w:p>
            <w:pPr>
              <w:jc w:val="right"/>
              <w:spacing w:after="0"/>
              <w:rPr>
                <w:sz w:val="20"/>
                <w:szCs w:val="20"/>
                <w:color w:val="auto"/>
              </w:rPr>
            </w:pPr>
            <w:r>
              <w:rPr>
                <w:rFonts w:ascii="Arial" w:cs="Arial" w:eastAsia="Arial" w:hAnsi="Arial"/>
                <w:sz w:val="14"/>
                <w:szCs w:val="14"/>
                <w:color w:val="auto"/>
              </w:rPr>
              <w:t>Exhibit</w:t>
            </w: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480" w:type="dxa"/>
            <w:vAlign w:val="bottom"/>
          </w:tcPr>
          <w:p>
            <w:pPr>
              <w:jc w:val="right"/>
              <w:spacing w:after="0"/>
              <w:rPr>
                <w:sz w:val="20"/>
                <w:szCs w:val="20"/>
                <w:color w:val="auto"/>
              </w:rPr>
            </w:pPr>
            <w:r>
              <w:rPr>
                <w:rFonts w:ascii="Arial" w:cs="Arial" w:eastAsia="Arial" w:hAnsi="Arial"/>
                <w:sz w:val="14"/>
                <w:szCs w:val="14"/>
                <w:color w:val="auto"/>
                <w:w w:val="92"/>
              </w:rPr>
              <w:t>Number</w:t>
            </w:r>
          </w:p>
        </w:tc>
        <w:tc>
          <w:tcPr>
            <w:tcW w:w="6500" w:type="dxa"/>
            <w:vAlign w:val="bottom"/>
            <w:gridSpan w:val="5"/>
          </w:tcPr>
          <w:p>
            <w:pPr>
              <w:ind w:left="560"/>
              <w:spacing w:after="0"/>
              <w:rPr>
                <w:sz w:val="20"/>
                <w:szCs w:val="20"/>
                <w:color w:val="auto"/>
              </w:rPr>
            </w:pPr>
            <w:r>
              <w:rPr>
                <w:rFonts w:ascii="Arial" w:cs="Arial" w:eastAsia="Arial" w:hAnsi="Arial"/>
                <w:sz w:val="14"/>
                <w:szCs w:val="14"/>
                <w:color w:val="auto"/>
              </w:rPr>
              <w:t>Description</w:t>
            </w:r>
          </w:p>
        </w:tc>
      </w:tr>
      <w:tr>
        <w:trPr>
          <w:trHeight w:val="20"/>
        </w:trPr>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480" w:type="dxa"/>
            <w:vAlign w:val="bottom"/>
          </w:tcPr>
          <w:p>
            <w:pPr>
              <w:jc w:val="right"/>
              <w:spacing w:after="0"/>
              <w:rPr>
                <w:sz w:val="20"/>
                <w:szCs w:val="20"/>
                <w:color w:val="auto"/>
              </w:rPr>
            </w:pPr>
            <w:r>
              <w:rPr>
                <w:rFonts w:ascii="Arial" w:cs="Arial" w:eastAsia="Arial" w:hAnsi="Arial"/>
                <w:sz w:val="18"/>
                <w:szCs w:val="18"/>
                <w:color w:val="auto"/>
              </w:rPr>
              <w:t>5.1</w:t>
            </w:r>
          </w:p>
        </w:tc>
        <w:tc>
          <w:tcPr>
            <w:tcW w:w="6500" w:type="dxa"/>
            <w:vAlign w:val="bottom"/>
            <w:gridSpan w:val="5"/>
          </w:tcPr>
          <w:p>
            <w:pPr>
              <w:ind w:left="560"/>
              <w:spacing w:after="0"/>
              <w:rPr>
                <w:sz w:val="20"/>
                <w:szCs w:val="20"/>
                <w:color w:val="auto"/>
              </w:rPr>
            </w:pPr>
            <w:r>
              <w:rPr>
                <w:rFonts w:ascii="Arial" w:cs="Arial" w:eastAsia="Arial" w:hAnsi="Arial"/>
                <w:sz w:val="18"/>
                <w:szCs w:val="18"/>
                <w:color w:val="auto"/>
              </w:rPr>
              <w:t>Opinion of Carey Olsen.</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23.1</w:t>
            </w:r>
          </w:p>
        </w:tc>
        <w:tc>
          <w:tcPr>
            <w:tcW w:w="6500" w:type="dxa"/>
            <w:vAlign w:val="bottom"/>
            <w:gridSpan w:val="5"/>
          </w:tcPr>
          <w:p>
            <w:pPr>
              <w:ind w:left="560"/>
              <w:spacing w:after="0"/>
              <w:rPr>
                <w:sz w:val="20"/>
                <w:szCs w:val="20"/>
                <w:color w:val="auto"/>
              </w:rPr>
            </w:pPr>
            <w:r>
              <w:rPr>
                <w:rFonts w:ascii="Arial" w:cs="Arial" w:eastAsia="Arial" w:hAnsi="Arial"/>
                <w:sz w:val="18"/>
                <w:szCs w:val="18"/>
                <w:color w:val="auto"/>
              </w:rPr>
              <w:t>Consent of Carey Olsen (included in Exhibit 5.1).</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23.2</w:t>
            </w:r>
          </w:p>
        </w:tc>
        <w:tc>
          <w:tcPr>
            <w:tcW w:w="6500" w:type="dxa"/>
            <w:vAlign w:val="bottom"/>
            <w:gridSpan w:val="5"/>
          </w:tcPr>
          <w:p>
            <w:pPr>
              <w:ind w:left="560"/>
              <w:spacing w:after="0"/>
              <w:rPr>
                <w:sz w:val="20"/>
                <w:szCs w:val="20"/>
                <w:color w:val="auto"/>
              </w:rPr>
            </w:pPr>
            <w:r>
              <w:rPr>
                <w:rFonts w:ascii="Arial" w:cs="Arial" w:eastAsia="Arial" w:hAnsi="Arial"/>
                <w:sz w:val="18"/>
                <w:szCs w:val="18"/>
                <w:color w:val="auto"/>
              </w:rPr>
              <w:t>Consent of Ernst &amp; Young LLP.</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24.1</w:t>
            </w:r>
          </w:p>
        </w:tc>
        <w:tc>
          <w:tcPr>
            <w:tcW w:w="6500" w:type="dxa"/>
            <w:vAlign w:val="bottom"/>
            <w:gridSpan w:val="5"/>
          </w:tcPr>
          <w:p>
            <w:pPr>
              <w:ind w:left="560"/>
              <w:spacing w:after="0"/>
              <w:rPr>
                <w:sz w:val="20"/>
                <w:szCs w:val="20"/>
                <w:color w:val="auto"/>
              </w:rPr>
            </w:pPr>
            <w:r>
              <w:rPr>
                <w:rFonts w:ascii="Arial" w:cs="Arial" w:eastAsia="Arial" w:hAnsi="Arial"/>
                <w:sz w:val="18"/>
                <w:szCs w:val="18"/>
                <w:color w:val="auto"/>
                <w:w w:val="90"/>
              </w:rPr>
              <w:t>Power of Attorney (included on the signature page of this Registration Statement).</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99.1</w:t>
            </w:r>
          </w:p>
        </w:tc>
        <w:tc>
          <w:tcPr>
            <w:tcW w:w="6500" w:type="dxa"/>
            <w:vAlign w:val="bottom"/>
            <w:gridSpan w:val="5"/>
          </w:tcPr>
          <w:p>
            <w:pPr>
              <w:ind w:left="560"/>
              <w:spacing w:after="0"/>
              <w:rPr>
                <w:sz w:val="20"/>
                <w:szCs w:val="20"/>
                <w:color w:val="auto"/>
              </w:rPr>
            </w:pPr>
            <w:r>
              <w:rPr>
                <w:rFonts w:ascii="Arial" w:cs="Arial" w:eastAsia="Arial" w:hAnsi="Arial"/>
                <w:sz w:val="18"/>
                <w:szCs w:val="18"/>
                <w:color w:val="auto"/>
              </w:rPr>
              <w:t>1998 Stock Option and Incentive Plan of Amdocs Limited.</w:t>
            </w:r>
          </w:p>
        </w:tc>
      </w:tr>
    </w:tbl>
    <w:p>
      <w:pPr>
        <w:sectPr>
          <w:pgSz w:w="11900" w:h="16838" w:orient="portrait"/>
          <w:cols w:equalWidth="0" w:num="1">
            <w:col w:w="10219"/>
          </w:cols>
          <w:pgMar w:left="240" w:top="257" w:right="1440"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48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240" w:type="dxa"/>
            <w:vAlign w:val="bottom"/>
            <w:gridSpan w:val="2"/>
          </w:tcPr>
          <w:p>
            <w:pPr>
              <w:ind w:left="1280"/>
              <w:spacing w:after="0"/>
              <w:rPr>
                <w:sz w:val="20"/>
                <w:szCs w:val="20"/>
                <w:color w:val="auto"/>
              </w:rPr>
            </w:pPr>
            <w:r>
              <w:rPr>
                <w:rFonts w:ascii="Arial" w:cs="Arial" w:eastAsia="Arial" w:hAnsi="Arial"/>
                <w:sz w:val="18"/>
                <w:szCs w:val="18"/>
                <w:color w:val="auto"/>
                <w:w w:val="93"/>
              </w:rPr>
              <w:t>EXHIBIT 5.1</w:t>
            </w:r>
          </w:p>
        </w:tc>
      </w:tr>
      <w:tr>
        <w:trPr>
          <w:trHeight w:val="412"/>
        </w:trPr>
        <w:tc>
          <w:tcPr>
            <w:tcW w:w="14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720" w:type="dxa"/>
            <w:vAlign w:val="bottom"/>
            <w:gridSpan w:val="3"/>
          </w:tcPr>
          <w:p>
            <w:pPr>
              <w:ind w:left="2320"/>
              <w:spacing w:after="0"/>
              <w:rPr>
                <w:sz w:val="20"/>
                <w:szCs w:val="20"/>
                <w:color w:val="auto"/>
              </w:rPr>
            </w:pPr>
            <w:r>
              <w:rPr>
                <w:rFonts w:ascii="Arial" w:cs="Arial" w:eastAsia="Arial" w:hAnsi="Arial"/>
                <w:sz w:val="18"/>
                <w:szCs w:val="18"/>
                <w:color w:val="auto"/>
              </w:rPr>
              <w:t>PO Box 98</w:t>
            </w:r>
          </w:p>
        </w:tc>
      </w:tr>
      <w:tr>
        <w:trPr>
          <w:trHeight w:val="216"/>
        </w:trPr>
        <w:tc>
          <w:tcPr>
            <w:tcW w:w="14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4720" w:type="dxa"/>
            <w:vAlign w:val="bottom"/>
            <w:gridSpan w:val="3"/>
          </w:tcPr>
          <w:p>
            <w:pPr>
              <w:ind w:left="2320"/>
              <w:spacing w:after="0"/>
              <w:rPr>
                <w:sz w:val="20"/>
                <w:szCs w:val="20"/>
                <w:color w:val="auto"/>
              </w:rPr>
            </w:pPr>
            <w:r>
              <w:rPr>
                <w:rFonts w:ascii="Arial" w:cs="Arial" w:eastAsia="Arial" w:hAnsi="Arial"/>
                <w:sz w:val="18"/>
                <w:szCs w:val="18"/>
                <w:color w:val="auto"/>
              </w:rPr>
              <w:t>Carey House</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Our Ref:</w:t>
            </w:r>
          </w:p>
        </w:tc>
        <w:tc>
          <w:tcPr>
            <w:tcW w:w="5220" w:type="dxa"/>
            <w:vAlign w:val="bottom"/>
          </w:tcPr>
          <w:p>
            <w:pPr>
              <w:ind w:left="140"/>
              <w:spacing w:after="0"/>
              <w:rPr>
                <w:sz w:val="20"/>
                <w:szCs w:val="20"/>
                <w:color w:val="auto"/>
              </w:rPr>
            </w:pPr>
            <w:r>
              <w:rPr>
                <w:rFonts w:ascii="Arial" w:cs="Arial" w:eastAsia="Arial" w:hAnsi="Arial"/>
                <w:sz w:val="18"/>
                <w:szCs w:val="18"/>
                <w:color w:val="auto"/>
              </w:rPr>
              <w:t>TC/LC/CB1000662/0071/G5459782v1</w:t>
            </w:r>
          </w:p>
        </w:tc>
        <w:tc>
          <w:tcPr>
            <w:tcW w:w="4720" w:type="dxa"/>
            <w:vAlign w:val="bottom"/>
            <w:gridSpan w:val="3"/>
          </w:tcPr>
          <w:p>
            <w:pPr>
              <w:ind w:left="2320"/>
              <w:spacing w:after="0"/>
              <w:rPr>
                <w:sz w:val="20"/>
                <w:szCs w:val="20"/>
                <w:color w:val="auto"/>
              </w:rPr>
            </w:pPr>
            <w:r>
              <w:rPr>
                <w:rFonts w:ascii="Arial" w:cs="Arial" w:eastAsia="Arial" w:hAnsi="Arial"/>
                <w:sz w:val="18"/>
                <w:szCs w:val="18"/>
                <w:color w:val="auto"/>
              </w:rPr>
              <w:t>Les Banques</w:t>
            </w:r>
          </w:p>
        </w:tc>
      </w:tr>
      <w:tr>
        <w:trPr>
          <w:trHeight w:val="216"/>
        </w:trPr>
        <w:tc>
          <w:tcPr>
            <w:tcW w:w="14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4720" w:type="dxa"/>
            <w:vAlign w:val="bottom"/>
            <w:gridSpan w:val="3"/>
          </w:tcPr>
          <w:p>
            <w:pPr>
              <w:ind w:left="2320"/>
              <w:spacing w:after="0"/>
              <w:rPr>
                <w:sz w:val="20"/>
                <w:szCs w:val="20"/>
                <w:color w:val="auto"/>
              </w:rPr>
            </w:pPr>
            <w:r>
              <w:rPr>
                <w:rFonts w:ascii="Arial" w:cs="Arial" w:eastAsia="Arial" w:hAnsi="Arial"/>
                <w:sz w:val="18"/>
                <w:szCs w:val="18"/>
                <w:color w:val="auto"/>
              </w:rPr>
              <w:t>St Peter Port</w:t>
            </w:r>
          </w:p>
        </w:tc>
      </w:tr>
      <w:tr>
        <w:trPr>
          <w:trHeight w:val="222"/>
        </w:trPr>
        <w:tc>
          <w:tcPr>
            <w:tcW w:w="148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4720" w:type="dxa"/>
            <w:vAlign w:val="bottom"/>
            <w:gridSpan w:val="3"/>
          </w:tcPr>
          <w:p>
            <w:pPr>
              <w:ind w:left="2320"/>
              <w:spacing w:after="0"/>
              <w:rPr>
                <w:sz w:val="20"/>
                <w:szCs w:val="20"/>
                <w:color w:val="auto"/>
              </w:rPr>
            </w:pPr>
            <w:r>
              <w:rPr>
                <w:rFonts w:ascii="Arial" w:cs="Arial" w:eastAsia="Arial" w:hAnsi="Arial"/>
                <w:sz w:val="18"/>
                <w:szCs w:val="18"/>
                <w:color w:val="auto"/>
              </w:rPr>
              <w:t>Guernsey</w:t>
            </w:r>
          </w:p>
        </w:tc>
      </w:tr>
      <w:tr>
        <w:trPr>
          <w:trHeight w:val="230"/>
        </w:trPr>
        <w:tc>
          <w:tcPr>
            <w:tcW w:w="148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4720" w:type="dxa"/>
            <w:vAlign w:val="bottom"/>
            <w:gridSpan w:val="3"/>
          </w:tcPr>
          <w:p>
            <w:pPr>
              <w:ind w:left="2320"/>
              <w:spacing w:after="0"/>
              <w:rPr>
                <w:sz w:val="20"/>
                <w:szCs w:val="20"/>
                <w:color w:val="auto"/>
              </w:rPr>
            </w:pPr>
            <w:r>
              <w:rPr>
                <w:rFonts w:ascii="Arial" w:cs="Arial" w:eastAsia="Arial" w:hAnsi="Arial"/>
                <w:sz w:val="18"/>
                <w:szCs w:val="18"/>
                <w:color w:val="auto"/>
              </w:rPr>
              <w:t>GY1 4BZ</w:t>
            </w:r>
          </w:p>
        </w:tc>
      </w:tr>
      <w:tr>
        <w:trPr>
          <w:trHeight w:val="358"/>
        </w:trPr>
        <w:tc>
          <w:tcPr>
            <w:tcW w:w="14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720" w:type="dxa"/>
            <w:vAlign w:val="bottom"/>
            <w:gridSpan w:val="3"/>
          </w:tcPr>
          <w:p>
            <w:pPr>
              <w:ind w:left="2320"/>
              <w:spacing w:after="0"/>
              <w:rPr>
                <w:sz w:val="20"/>
                <w:szCs w:val="20"/>
                <w:color w:val="auto"/>
              </w:rPr>
            </w:pPr>
            <w:r>
              <w:rPr>
                <w:rFonts w:ascii="Arial" w:cs="Arial" w:eastAsia="Arial" w:hAnsi="Arial"/>
                <w:sz w:val="18"/>
                <w:szCs w:val="18"/>
                <w:color w:val="auto"/>
              </w:rPr>
              <w:t>T +44(0) 1481 727272</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Amdocs Limited</w:t>
            </w:r>
          </w:p>
        </w:tc>
        <w:tc>
          <w:tcPr>
            <w:tcW w:w="5220" w:type="dxa"/>
            <w:vAlign w:val="bottom"/>
          </w:tcPr>
          <w:p>
            <w:pPr>
              <w:spacing w:after="0"/>
              <w:rPr>
                <w:sz w:val="18"/>
                <w:szCs w:val="18"/>
                <w:color w:val="auto"/>
              </w:rPr>
            </w:pPr>
          </w:p>
        </w:tc>
        <w:tc>
          <w:tcPr>
            <w:tcW w:w="4720" w:type="dxa"/>
            <w:vAlign w:val="bottom"/>
            <w:gridSpan w:val="3"/>
          </w:tcPr>
          <w:p>
            <w:pPr>
              <w:ind w:left="2320"/>
              <w:spacing w:after="0"/>
              <w:rPr>
                <w:sz w:val="20"/>
                <w:szCs w:val="20"/>
                <w:color w:val="auto"/>
              </w:rPr>
            </w:pPr>
            <w:r>
              <w:rPr>
                <w:rFonts w:ascii="Arial" w:cs="Arial" w:eastAsia="Arial" w:hAnsi="Arial"/>
                <w:sz w:val="18"/>
                <w:szCs w:val="18"/>
                <w:color w:val="auto"/>
              </w:rPr>
              <w:t>F +44(0) 1481 711052</w:t>
            </w:r>
          </w:p>
        </w:tc>
      </w:tr>
      <w:tr>
        <w:trPr>
          <w:trHeight w:val="184"/>
        </w:trPr>
        <w:tc>
          <w:tcPr>
            <w:tcW w:w="6700" w:type="dxa"/>
            <w:vAlign w:val="bottom"/>
            <w:gridSpan w:val="2"/>
          </w:tcPr>
          <w:p>
            <w:pPr>
              <w:spacing w:after="0" w:line="184" w:lineRule="exact"/>
              <w:rPr>
                <w:sz w:val="20"/>
                <w:szCs w:val="20"/>
                <w:color w:val="auto"/>
              </w:rPr>
            </w:pPr>
            <w:r>
              <w:rPr>
                <w:rFonts w:ascii="Arial" w:cs="Arial" w:eastAsia="Arial" w:hAnsi="Arial"/>
                <w:sz w:val="18"/>
                <w:szCs w:val="18"/>
                <w:color w:val="auto"/>
              </w:rPr>
              <w:t>Hirzel House, Smith Street</w:t>
            </w:r>
          </w:p>
        </w:tc>
        <w:tc>
          <w:tcPr>
            <w:tcW w:w="4720" w:type="dxa"/>
            <w:vAlign w:val="bottom"/>
            <w:gridSpan w:val="3"/>
          </w:tcPr>
          <w:p>
            <w:pPr>
              <w:ind w:left="2320"/>
              <w:spacing w:after="0" w:line="184" w:lineRule="exact"/>
              <w:rPr>
                <w:sz w:val="20"/>
                <w:szCs w:val="20"/>
                <w:color w:val="auto"/>
              </w:rPr>
            </w:pPr>
            <w:r>
              <w:rPr>
                <w:rFonts w:ascii="Arial" w:cs="Arial" w:eastAsia="Arial" w:hAnsi="Arial"/>
                <w:sz w:val="18"/>
                <w:szCs w:val="18"/>
                <w:color w:val="auto"/>
              </w:rPr>
              <w:t>E info@careyolsen.com</w:t>
            </w:r>
          </w:p>
        </w:tc>
      </w:tr>
      <w:tr>
        <w:trPr>
          <w:trHeight w:val="228"/>
        </w:trPr>
        <w:tc>
          <w:tcPr>
            <w:tcW w:w="1480" w:type="dxa"/>
            <w:vAlign w:val="bottom"/>
          </w:tcPr>
          <w:p>
            <w:pPr>
              <w:spacing w:after="0"/>
              <w:rPr>
                <w:sz w:val="20"/>
                <w:szCs w:val="20"/>
                <w:color w:val="auto"/>
              </w:rPr>
            </w:pPr>
            <w:r>
              <w:rPr>
                <w:rFonts w:ascii="Arial" w:cs="Arial" w:eastAsia="Arial" w:hAnsi="Arial"/>
                <w:sz w:val="18"/>
                <w:szCs w:val="18"/>
                <w:color w:val="auto"/>
              </w:rPr>
              <w:t>St. Peter Port</w:t>
            </w:r>
          </w:p>
        </w:tc>
        <w:tc>
          <w:tcPr>
            <w:tcW w:w="52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r>
      <w:tr>
        <w:trPr>
          <w:trHeight w:val="222"/>
        </w:trPr>
        <w:tc>
          <w:tcPr>
            <w:tcW w:w="1480" w:type="dxa"/>
            <w:vAlign w:val="bottom"/>
          </w:tcPr>
          <w:p>
            <w:pPr>
              <w:spacing w:after="0"/>
              <w:rPr>
                <w:sz w:val="20"/>
                <w:szCs w:val="20"/>
                <w:color w:val="auto"/>
              </w:rPr>
            </w:pPr>
            <w:r>
              <w:rPr>
                <w:rFonts w:ascii="Arial" w:cs="Arial" w:eastAsia="Arial" w:hAnsi="Arial"/>
                <w:sz w:val="18"/>
                <w:szCs w:val="18"/>
                <w:color w:val="auto"/>
                <w:w w:val="96"/>
              </w:rPr>
              <w:t>Island of Guernsey</w:t>
            </w:r>
          </w:p>
        </w:tc>
        <w:tc>
          <w:tcPr>
            <w:tcW w:w="5220" w:type="dxa"/>
            <w:vAlign w:val="bottom"/>
          </w:tcPr>
          <w:p>
            <w:pPr>
              <w:spacing w:after="0"/>
              <w:rPr>
                <w:sz w:val="19"/>
                <w:szCs w:val="19"/>
                <w:color w:val="auto"/>
              </w:rPr>
            </w:pPr>
          </w:p>
        </w:tc>
        <w:tc>
          <w:tcPr>
            <w:tcW w:w="4720" w:type="dxa"/>
            <w:vAlign w:val="bottom"/>
            <w:gridSpan w:val="3"/>
          </w:tcPr>
          <w:p>
            <w:pPr>
              <w:ind w:left="2320"/>
              <w:spacing w:after="0"/>
              <w:rPr>
                <w:sz w:val="20"/>
                <w:szCs w:val="20"/>
                <w:color w:val="auto"/>
              </w:rPr>
            </w:pPr>
            <w:r>
              <w:rPr>
                <w:rFonts w:ascii="Arial" w:cs="Arial" w:eastAsia="Arial" w:hAnsi="Arial"/>
                <w:sz w:val="18"/>
                <w:szCs w:val="18"/>
                <w:color w:val="auto"/>
              </w:rPr>
              <w:t>30 January 2014</w:t>
            </w:r>
          </w:p>
        </w:tc>
      </w:tr>
    </w:tbl>
    <w:p>
      <w:pPr>
        <w:spacing w:after="0"/>
        <w:rPr>
          <w:sz w:val="20"/>
          <w:szCs w:val="20"/>
          <w:color w:val="auto"/>
        </w:rPr>
      </w:pPr>
      <w:r>
        <w:rPr>
          <w:rFonts w:ascii="Arial" w:cs="Arial" w:eastAsia="Arial" w:hAnsi="Arial"/>
          <w:sz w:val="18"/>
          <w:szCs w:val="18"/>
          <w:color w:val="auto"/>
        </w:rPr>
        <w:t>GY1 2NG</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“Recipient</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Amdocs Limited (Company Number 19528) (the “Company”)</w:t>
      </w:r>
    </w:p>
    <w:p>
      <w:pPr>
        <w:spacing w:after="0" w:line="293"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96" w:lineRule="exact"/>
        <w:rPr>
          <w:sz w:val="20"/>
          <w:szCs w:val="20"/>
          <w:color w:val="auto"/>
        </w:rPr>
      </w:pPr>
    </w:p>
    <w:p>
      <w:pPr>
        <w:ind w:left="680" w:right="20" w:hanging="674"/>
        <w:spacing w:after="0" w:line="291" w:lineRule="auto"/>
        <w:tabs>
          <w:tab w:leader="none" w:pos="6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You have asked for our legal opinion on matters of Guernsey law in connection with the registration with the United States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of 7,000,000 ordinary shares of £0.01 each in the Company (the “</w:t>
      </w:r>
      <w:r>
        <w:rPr>
          <w:rFonts w:ascii="Arial" w:cs="Arial" w:eastAsia="Arial" w:hAnsi="Arial"/>
          <w:sz w:val="16"/>
          <w:szCs w:val="16"/>
          <w:b w:val="1"/>
          <w:bCs w:val="1"/>
          <w:color w:val="auto"/>
        </w:rPr>
        <w:t>Shares</w:t>
      </w:r>
      <w:r>
        <w:rPr>
          <w:rFonts w:ascii="Arial" w:cs="Arial" w:eastAsia="Arial" w:hAnsi="Arial"/>
          <w:sz w:val="16"/>
          <w:szCs w:val="16"/>
          <w:color w:val="auto"/>
        </w:rPr>
        <w:t>”) authorized for issuance pursuant to the Company’s 1998 Stock Option and Incentive Plan as amended on 2 February 2012 (the “</w:t>
      </w:r>
      <w:r>
        <w:rPr>
          <w:rFonts w:ascii="Arial" w:cs="Arial" w:eastAsia="Arial" w:hAnsi="Arial"/>
          <w:sz w:val="16"/>
          <w:szCs w:val="16"/>
          <w:b w:val="1"/>
          <w:bCs w:val="1"/>
          <w:color w:val="auto"/>
        </w:rPr>
        <w:t>Option Plan</w:t>
      </w:r>
      <w:r>
        <w:rPr>
          <w:rFonts w:ascii="Arial" w:cs="Arial" w:eastAsia="Arial" w:hAnsi="Arial"/>
          <w:sz w:val="16"/>
          <w:szCs w:val="16"/>
          <w:color w:val="auto"/>
        </w:rPr>
        <w:t>”) and the Company executing and filing with the SEC a Form S-8 (registration statement) dated 30 January 2014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The Option Plan provides that officers, directors, employees and consultants of the Company (“</w:t>
      </w:r>
      <w:r>
        <w:rPr>
          <w:rFonts w:ascii="Arial" w:cs="Arial" w:eastAsia="Arial" w:hAnsi="Arial"/>
          <w:sz w:val="16"/>
          <w:szCs w:val="16"/>
          <w:b w:val="1"/>
          <w:bCs w:val="1"/>
          <w:color w:val="auto"/>
        </w:rPr>
        <w:t>Optionholders”)</w:t>
      </w:r>
      <w:r>
        <w:rPr>
          <w:rFonts w:ascii="Arial" w:cs="Arial" w:eastAsia="Arial" w:hAnsi="Arial"/>
          <w:sz w:val="16"/>
          <w:szCs w:val="16"/>
          <w:color w:val="auto"/>
        </w:rPr>
        <w:t xml:space="preserve"> may be granted stock options, restricted stock awards and other stock-based awards (the “</w:t>
      </w:r>
      <w:r>
        <w:rPr>
          <w:rFonts w:ascii="Arial" w:cs="Arial" w:eastAsia="Arial" w:hAnsi="Arial"/>
          <w:sz w:val="16"/>
          <w:szCs w:val="16"/>
          <w:b w:val="1"/>
          <w:bCs w:val="1"/>
          <w:color w:val="auto"/>
        </w:rPr>
        <w:t>Awards”)</w:t>
      </w:r>
      <w:r>
        <w:rPr>
          <w:rFonts w:ascii="Arial" w:cs="Arial" w:eastAsia="Arial" w:hAnsi="Arial"/>
          <w:sz w:val="16"/>
          <w:szCs w:val="16"/>
          <w:color w:val="auto"/>
        </w:rPr>
        <w:t xml:space="preserve"> pursuant to the terms of the Option Plan and award agreements governing the terms of such Awards (“</w:t>
      </w:r>
      <w:r>
        <w:rPr>
          <w:rFonts w:ascii="Arial" w:cs="Arial" w:eastAsia="Arial" w:hAnsi="Arial"/>
          <w:sz w:val="16"/>
          <w:szCs w:val="16"/>
          <w:b w:val="1"/>
          <w:bCs w:val="1"/>
          <w:color w:val="auto"/>
        </w:rPr>
        <w:t>Award Grant Agreement</w:t>
      </w:r>
      <w:r>
        <w:rPr>
          <w:rFonts w:ascii="Arial" w:cs="Arial" w:eastAsia="Arial" w:hAnsi="Arial"/>
          <w:sz w:val="16"/>
          <w:szCs w:val="16"/>
          <w:color w:val="auto"/>
        </w:rPr>
        <w:t>”).</w:t>
      </w:r>
    </w:p>
    <w:p>
      <w:pPr>
        <w:spacing w:after="0" w:line="3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The Option Plan and the Form S-8 are in this Opinion together referred to as the “</w:t>
      </w:r>
      <w:r>
        <w:rPr>
          <w:rFonts w:ascii="Arial" w:cs="Arial" w:eastAsia="Arial" w:hAnsi="Arial"/>
          <w:sz w:val="15"/>
          <w:szCs w:val="15"/>
          <w:b w:val="1"/>
          <w:bCs w:val="1"/>
          <w:color w:val="auto"/>
        </w:rPr>
        <w:t>Plan Documents</w:t>
      </w:r>
      <w:r>
        <w:rPr>
          <w:rFonts w:ascii="Arial" w:cs="Arial" w:eastAsia="Arial" w:hAnsi="Arial"/>
          <w:sz w:val="15"/>
          <w:szCs w:val="15"/>
          <w:color w:val="auto"/>
        </w:rPr>
        <w:t>”.</w:t>
      </w:r>
    </w:p>
    <w:p>
      <w:pPr>
        <w:spacing w:after="0" w:line="96" w:lineRule="exact"/>
        <w:rPr>
          <w:sz w:val="20"/>
          <w:szCs w:val="20"/>
          <w:color w:val="auto"/>
        </w:rPr>
      </w:pPr>
    </w:p>
    <w:p>
      <w:pPr>
        <w:ind w:left="680" w:right="100" w:hanging="674"/>
        <w:spacing w:after="0" w:line="268" w:lineRule="auto"/>
        <w:tabs>
          <w:tab w:leader="none" w:pos="6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Except as expressly referred to in this Opinion we have not seen or examined, and give no opinion on, any underlying or other documents referred to in the Plan Documents.</w:t>
      </w:r>
    </w:p>
    <w:p>
      <w:pPr>
        <w:spacing w:after="0" w:line="5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color w:val="auto"/>
        </w:rPr>
        <w:t>We are lawyers qualified to practice law in and to advise on the laws of the Island of Guernsey.</w:t>
      </w: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PARTNERS:</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C Anderson A Boyce T Carey R Clark T Corfield D Crosland M Dunster K Friedlaender</w:t>
      </w:r>
    </w:p>
    <w:p>
      <w:pPr>
        <w:spacing w:after="0" w:line="221" w:lineRule="auto"/>
        <w:rPr>
          <w:sz w:val="20"/>
          <w:szCs w:val="20"/>
          <w:color w:val="auto"/>
        </w:rPr>
      </w:pPr>
      <w:r>
        <w:rPr>
          <w:rFonts w:ascii="Arial" w:cs="Arial" w:eastAsia="Arial" w:hAnsi="Arial"/>
          <w:sz w:val="14"/>
          <w:szCs w:val="14"/>
          <w:color w:val="auto"/>
        </w:rPr>
        <w:t>J Greenfield G Hall K Le Cras D Le Marquand B Morgan J Morgan</w:t>
      </w:r>
    </w:p>
    <w:p>
      <w:pPr>
        <w:spacing w:after="0"/>
        <w:rPr>
          <w:sz w:val="20"/>
          <w:szCs w:val="20"/>
          <w:color w:val="auto"/>
        </w:rPr>
      </w:pPr>
      <w:r>
        <w:rPr>
          <w:rFonts w:ascii="Arial" w:cs="Arial" w:eastAsia="Arial" w:hAnsi="Arial"/>
          <w:sz w:val="14"/>
          <w:szCs w:val="14"/>
          <w:color w:val="auto"/>
        </w:rPr>
        <w:t>CONSULTANTS: N Carey M Eades</w:t>
      </w:r>
    </w:p>
    <w:p>
      <w:pPr>
        <w:sectPr>
          <w:pgSz w:w="11900" w:h="16838" w:orient="portrait"/>
          <w:cols w:equalWidth="0" w:num="1">
            <w:col w:w="11420"/>
          </w:cols>
          <w:pgMar w:left="240" w:top="13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Page 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 January 2014</w:t>
      </w:r>
    </w:p>
    <w:p>
      <w:pPr>
        <w:spacing w:after="0" w:line="200" w:lineRule="exact"/>
        <w:rPr>
          <w:sz w:val="20"/>
          <w:szCs w:val="20"/>
          <w:color w:val="auto"/>
        </w:rPr>
      </w:pPr>
    </w:p>
    <w:p>
      <w:pPr>
        <w:spacing w:after="0" w:line="350" w:lineRule="exact"/>
        <w:rPr>
          <w:sz w:val="20"/>
          <w:szCs w:val="20"/>
          <w:color w:val="auto"/>
        </w:rPr>
      </w:pPr>
    </w:p>
    <w:p>
      <w:pPr>
        <w:ind w:left="680" w:hanging="67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INSPECTION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examining the Plan Documents, for the purpose of giving this opinion we have examined the following documents:</w:t>
      </w:r>
    </w:p>
    <w:p>
      <w:pPr>
        <w:spacing w:after="0" w:line="8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a copy of the certificate of incorporation of the Company as filed at the registry of companies in Guernsey (the “</w:t>
      </w:r>
      <w:r>
        <w:rPr>
          <w:rFonts w:ascii="Arial" w:cs="Arial" w:eastAsia="Arial" w:hAnsi="Arial"/>
          <w:sz w:val="16"/>
          <w:szCs w:val="16"/>
          <w:b w:val="1"/>
          <w:bCs w:val="1"/>
          <w:color w:val="auto"/>
        </w:rPr>
        <w:t>Registry</w:t>
      </w:r>
      <w:r>
        <w:rPr>
          <w:rFonts w:ascii="Arial" w:cs="Arial" w:eastAsia="Arial" w:hAnsi="Arial"/>
          <w:sz w:val="16"/>
          <w:szCs w:val="16"/>
          <w:color w:val="auto"/>
        </w:rPr>
        <w:t>”);</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a copy of the Memorandum and Articles of Incorporation of the Company as filed at the Registry at the date hereof (together the “</w:t>
      </w:r>
      <w:r>
        <w:rPr>
          <w:rFonts w:ascii="Arial" w:cs="Arial" w:eastAsia="Arial" w:hAnsi="Arial"/>
          <w:sz w:val="16"/>
          <w:szCs w:val="16"/>
          <w:b w:val="1"/>
          <w:bCs w:val="1"/>
          <w:color w:val="auto"/>
        </w:rPr>
        <w:t>Articles</w:t>
      </w:r>
      <w:r>
        <w:rPr>
          <w:rFonts w:ascii="Arial" w:cs="Arial" w:eastAsia="Arial" w:hAnsi="Arial"/>
          <w:sz w:val="16"/>
          <w:szCs w:val="16"/>
          <w:color w:val="auto"/>
        </w:rPr>
        <w:t>”);</w:t>
      </w:r>
    </w:p>
    <w:p>
      <w:pPr>
        <w:spacing w:after="0" w:line="96" w:lineRule="exact"/>
        <w:rPr>
          <w:sz w:val="20"/>
          <w:szCs w:val="20"/>
          <w:color w:val="auto"/>
        </w:rPr>
      </w:pPr>
    </w:p>
    <w:p>
      <w:pPr>
        <w:ind w:left="680" w:hanging="674"/>
        <w:spacing w:after="0" w:line="268" w:lineRule="auto"/>
        <w:tabs>
          <w:tab w:leader="none" w:pos="6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a copy of the minutes of the meetings of the board of directors of the Company dated 8 November 2012 signed by the chairman of the meeting at which the director’s authorized the amendments to the Option Plan (the “</w:t>
      </w:r>
      <w:r>
        <w:rPr>
          <w:rFonts w:ascii="Arial" w:cs="Arial" w:eastAsia="Arial" w:hAnsi="Arial"/>
          <w:sz w:val="18"/>
          <w:szCs w:val="18"/>
          <w:b w:val="1"/>
          <w:bCs w:val="1"/>
          <w:color w:val="auto"/>
        </w:rPr>
        <w:t>Minutes</w:t>
      </w:r>
      <w:r>
        <w:rPr>
          <w:rFonts w:ascii="Arial" w:cs="Arial" w:eastAsia="Arial" w:hAnsi="Arial"/>
          <w:sz w:val="18"/>
          <w:szCs w:val="18"/>
          <w:color w:val="auto"/>
        </w:rPr>
        <w:t>”);</w:t>
      </w:r>
    </w:p>
    <w:p>
      <w:pPr>
        <w:spacing w:after="0" w:line="4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a copy of the proxy ballot in respect of the annual general meeting of shareholders held on 2 February 2012 (the “</w:t>
      </w:r>
      <w:r>
        <w:rPr>
          <w:rFonts w:ascii="Arial" w:cs="Arial" w:eastAsia="Arial" w:hAnsi="Arial"/>
          <w:sz w:val="16"/>
          <w:szCs w:val="16"/>
          <w:b w:val="1"/>
          <w:bCs w:val="1"/>
          <w:color w:val="auto"/>
        </w:rPr>
        <w:t>Proxy Ballot</w:t>
      </w:r>
      <w:r>
        <w:rPr>
          <w:rFonts w:ascii="Arial" w:cs="Arial" w:eastAsia="Arial" w:hAnsi="Arial"/>
          <w:sz w:val="16"/>
          <w:szCs w:val="16"/>
          <w:color w:val="auto"/>
        </w:rPr>
        <w:t>”);</w:t>
      </w:r>
    </w:p>
    <w:p>
      <w:pPr>
        <w:spacing w:after="0" w:line="96" w:lineRule="exact"/>
        <w:rPr>
          <w:sz w:val="20"/>
          <w:szCs w:val="20"/>
          <w:color w:val="auto"/>
        </w:rPr>
      </w:pPr>
    </w:p>
    <w:p>
      <w:pPr>
        <w:ind w:left="680" w:right="300" w:hanging="674"/>
        <w:spacing w:after="0" w:line="256" w:lineRule="auto"/>
        <w:tabs>
          <w:tab w:leader="none" w:pos="6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the public records of the Company on file and available for the purposes of public inspection at the Registry on 28 January 2014 and a search of the computerized records of matters raised in the Royal Court of Guernsey (the “</w:t>
      </w:r>
      <w:r>
        <w:rPr>
          <w:rFonts w:ascii="Arial" w:cs="Arial" w:eastAsia="Arial" w:hAnsi="Arial"/>
          <w:sz w:val="18"/>
          <w:szCs w:val="18"/>
          <w:b w:val="1"/>
          <w:bCs w:val="1"/>
          <w:color w:val="auto"/>
        </w:rPr>
        <w:t>Royal Court</w:t>
      </w:r>
      <w:r>
        <w:rPr>
          <w:rFonts w:ascii="Arial" w:cs="Arial" w:eastAsia="Arial" w:hAnsi="Arial"/>
          <w:sz w:val="18"/>
          <w:szCs w:val="18"/>
          <w:color w:val="auto"/>
        </w:rPr>
        <w:t>” which definition shall include any court in the Island of Guernsey where the context so requires) available for inspection at the Greffe (the registry of the Royal Court in Guernsey) on 28 January 2014 (together the “</w:t>
      </w:r>
      <w:r>
        <w:rPr>
          <w:rFonts w:ascii="Arial" w:cs="Arial" w:eastAsia="Arial" w:hAnsi="Arial"/>
          <w:sz w:val="18"/>
          <w:szCs w:val="18"/>
          <w:b w:val="1"/>
          <w:bCs w:val="1"/>
          <w:color w:val="auto"/>
        </w:rPr>
        <w:t>Public Records</w:t>
      </w:r>
      <w:r>
        <w:rPr>
          <w:rFonts w:ascii="Arial" w:cs="Arial" w:eastAsia="Arial" w:hAnsi="Arial"/>
          <w:sz w:val="18"/>
          <w:szCs w:val="18"/>
          <w:color w:val="auto"/>
        </w:rPr>
        <w:t>”);</w:t>
      </w:r>
    </w:p>
    <w:p>
      <w:pPr>
        <w:spacing w:after="0" w:line="6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5"/>
          <w:szCs w:val="15"/>
          <w:color w:val="auto"/>
        </w:rPr>
        <w:t>a copy of the register of directors and secretaries of the Company dated 28 January 2014; and</w:t>
      </w:r>
    </w:p>
    <w:p>
      <w:pPr>
        <w:spacing w:after="0" w:line="8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a certificate provided to us by the director of the Company dated 29 January 2014 (the “</w:t>
      </w:r>
      <w:r>
        <w:rPr>
          <w:rFonts w:ascii="Arial" w:cs="Arial" w:eastAsia="Arial" w:hAnsi="Arial"/>
          <w:sz w:val="16"/>
          <w:szCs w:val="16"/>
          <w:b w:val="1"/>
          <w:bCs w:val="1"/>
          <w:color w:val="auto"/>
        </w:rPr>
        <w:t>Certificate</w:t>
      </w:r>
      <w:r>
        <w:rPr>
          <w:rFonts w:ascii="Arial" w:cs="Arial" w:eastAsia="Arial" w:hAnsi="Arial"/>
          <w:sz w:val="16"/>
          <w:szCs w:val="16"/>
          <w:color w:val="auto"/>
        </w:rPr>
        <w:t>”).</w:t>
      </w:r>
    </w:p>
    <w:p>
      <w:pPr>
        <w:spacing w:after="0" w:line="9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293" w:lineRule="exact"/>
        <w:rPr>
          <w:sz w:val="20"/>
          <w:szCs w:val="20"/>
          <w:color w:val="auto"/>
        </w:rPr>
      </w:pPr>
    </w:p>
    <w:p>
      <w:pPr>
        <w:ind w:left="680" w:hanging="672"/>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ASSUMPTIONS</w:t>
      </w:r>
    </w:p>
    <w:p>
      <w:pPr>
        <w:spacing w:after="0" w:line="9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For the purpose of this opinion, we have made and relied upon the assumptions set out below without making any investigation thereof:</w:t>
      </w:r>
    </w:p>
    <w:p>
      <w:pPr>
        <w:spacing w:after="0" w:line="90" w:lineRule="exact"/>
        <w:rPr>
          <w:sz w:val="20"/>
          <w:szCs w:val="20"/>
          <w:color w:val="auto"/>
        </w:rPr>
      </w:pPr>
    </w:p>
    <w:p>
      <w:pPr>
        <w:ind w:left="1480" w:right="140" w:hanging="796"/>
        <w:spacing w:after="0" w:line="357" w:lineRule="auto"/>
        <w:tabs>
          <w:tab w:leader="none" w:pos="14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5"/>
          <w:szCs w:val="15"/>
          <w:color w:val="auto"/>
        </w:rPr>
        <w:t>that all parties (other than the Company) have the capacity, power and authority to enter into the Plan Documents to which they are a party and that such parties will be duly authorized to execute and deliver those Plan Documents and that the Plan Documents will be dated;</w:t>
      </w:r>
    </w:p>
    <w:p>
      <w:pPr>
        <w:jc w:val="both"/>
        <w:ind w:left="1480" w:right="20" w:hanging="796"/>
        <w:spacing w:after="0" w:line="259" w:lineRule="auto"/>
        <w:tabs>
          <w:tab w:leader="none" w:pos="14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that where we have examined forms or drafts, the Plan Documents as executed do not differ in any material respect from the forms or drafts which we have examined and further that the Plan Documents are executed in the manner prescribed by the resolution of the directors of the Company set out in the Minutes;</w:t>
      </w:r>
    </w:p>
    <w:p>
      <w:pPr>
        <w:sectPr>
          <w:pgSz w:w="11900" w:h="16838" w:orient="portrait"/>
          <w:cols w:equalWidth="0" w:num="1">
            <w:col w:w="11360"/>
          </w:cols>
          <w:pgMar w:left="240" w:top="280"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Page 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 January 2014</w:t>
      </w:r>
    </w:p>
    <w:p>
      <w:pPr>
        <w:spacing w:after="0" w:line="200" w:lineRule="exact"/>
        <w:rPr>
          <w:sz w:val="20"/>
          <w:szCs w:val="20"/>
          <w:color w:val="auto"/>
        </w:rPr>
      </w:pPr>
    </w:p>
    <w:p>
      <w:pPr>
        <w:spacing w:after="0" w:line="356" w:lineRule="exact"/>
        <w:rPr>
          <w:sz w:val="20"/>
          <w:szCs w:val="20"/>
          <w:color w:val="auto"/>
        </w:rPr>
      </w:pPr>
    </w:p>
    <w:p>
      <w:pPr>
        <w:ind w:left="1480" w:hanging="796"/>
        <w:spacing w:after="0" w:line="259" w:lineRule="auto"/>
        <w:tabs>
          <w:tab w:leader="none" w:pos="146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the conformity to the originals of all documents supplied to us as forms, drafts, certified, photocopied, conformed or facsimile copies and the authenticity and completeness of the originals of such documents, and the authenticity and completeness of all documents supplied to us as originals;</w:t>
      </w:r>
    </w:p>
    <w:p>
      <w:pPr>
        <w:spacing w:after="0" w:line="59" w:lineRule="exact"/>
        <w:rPr>
          <w:sz w:val="20"/>
          <w:szCs w:val="20"/>
          <w:color w:val="auto"/>
        </w:rPr>
      </w:pPr>
    </w:p>
    <w:p>
      <w:pPr>
        <w:ind w:left="1480" w:right="40" w:hanging="796"/>
        <w:spacing w:after="0" w:line="259" w:lineRule="auto"/>
        <w:tabs>
          <w:tab w:leader="none" w:pos="146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color w:val="auto"/>
        </w:rPr>
        <w:t>the genuineness of all signatures and seals on the documents and instruments submitted to us for the purposes of this letter and where we have been provided with only signature pages of documents, that the original signed versions of such documents will not differ from the last version of the full documents provided to us;</w:t>
      </w:r>
    </w:p>
    <w:p>
      <w:pPr>
        <w:spacing w:after="0" w:line="59" w:lineRule="exact"/>
        <w:rPr>
          <w:sz w:val="20"/>
          <w:szCs w:val="20"/>
          <w:color w:val="auto"/>
        </w:rPr>
      </w:pPr>
    </w:p>
    <w:p>
      <w:pPr>
        <w:jc w:val="both"/>
        <w:ind w:left="1480" w:right="120" w:hanging="796"/>
        <w:spacing w:after="0" w:line="306" w:lineRule="auto"/>
        <w:tabs>
          <w:tab w:leader="none" w:pos="146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color w:val="auto"/>
        </w:rPr>
        <w:t>that there are no provisions of the laws of any jurisdiction outside Guernsey which would have any implication for the opinions we express and that, insofar as the laws of any jurisdiction outside Guernsey may be relevant, such laws have been or will be complied with (including without limitation, the obtaining of all necessary consents, licenses, registrations, approvals and filings);</w:t>
      </w:r>
    </w:p>
    <w:p>
      <w:pPr>
        <w:spacing w:after="0" w:line="26" w:lineRule="exact"/>
        <w:rPr>
          <w:sz w:val="20"/>
          <w:szCs w:val="20"/>
          <w:color w:val="auto"/>
        </w:rPr>
      </w:pPr>
    </w:p>
    <w:p>
      <w:pPr>
        <w:ind w:left="1480" w:hanging="796"/>
        <w:spacing w:after="0" w:line="259" w:lineRule="auto"/>
        <w:tabs>
          <w:tab w:leader="none" w:pos="146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8"/>
          <w:szCs w:val="18"/>
          <w:color w:val="auto"/>
        </w:rPr>
        <w:t>that the choice of governing law for the Plan Documents was bona fide (for example not made with any intention of avoiding provisions of the law with which the transactions under the Plan Documents have the closest and most real connection) and legal and there is no reason for avoiding that choice of law on grounds of public policy or otherwise;</w:t>
      </w:r>
    </w:p>
    <w:p>
      <w:pPr>
        <w:spacing w:after="0" w:line="59" w:lineRule="exact"/>
        <w:rPr>
          <w:sz w:val="20"/>
          <w:szCs w:val="20"/>
          <w:color w:val="auto"/>
        </w:rPr>
      </w:pPr>
    </w:p>
    <w:p>
      <w:pPr>
        <w:ind w:left="1480" w:hanging="796"/>
        <w:spacing w:after="0" w:line="256" w:lineRule="auto"/>
        <w:tabs>
          <w:tab w:leader="none" w:pos="146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8"/>
          <w:szCs w:val="18"/>
          <w:color w:val="auto"/>
        </w:rPr>
        <w:t>that the information and documents disclosed by our searches of the Public Records referred to in paragraph 2.4 are accurate as at the date hereof and there is no information or document which had been delivered for registration, or which is required by the laws of Guernsey to be delivered for registration, or which has been passed or made but not yet delivered for registration, which was not included in the Public Records;</w:t>
      </w:r>
    </w:p>
    <w:p>
      <w:pPr>
        <w:spacing w:after="0" w:line="62" w:lineRule="exact"/>
        <w:rPr>
          <w:sz w:val="20"/>
          <w:szCs w:val="20"/>
          <w:color w:val="auto"/>
        </w:rPr>
      </w:pPr>
    </w:p>
    <w:p>
      <w:pPr>
        <w:ind w:left="1480" w:right="80" w:hanging="796"/>
        <w:spacing w:after="0" w:line="298" w:lineRule="auto"/>
        <w:tabs>
          <w:tab w:leader="none" w:pos="146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6"/>
          <w:szCs w:val="16"/>
          <w:color w:val="auto"/>
        </w:rPr>
        <w:t>that the Certificate is complete and accurate as at the date hereof and that the proceedings described in the Minutes remained quorate throughout and were duly conducted as so described and that the resolutions passed thereat were duly adopted, have not been revoked, superseded or varied and remain in full force and effect as confirmed by the Certificate and the continuing accuracy and completeness of all statements as to matters of fact contained in the Documents as at the date hereof;</w:t>
      </w:r>
    </w:p>
    <w:p>
      <w:pPr>
        <w:spacing w:after="0" w:line="32"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6"/>
          <w:szCs w:val="16"/>
          <w:color w:val="auto"/>
        </w:rPr>
        <w:t>that there are no documents or information which we have not been provided with which could affect the accuracy of this opinion;</w:t>
      </w:r>
    </w:p>
    <w:p>
      <w:pPr>
        <w:spacing w:after="0" w:line="90" w:lineRule="exact"/>
        <w:rPr>
          <w:sz w:val="20"/>
          <w:szCs w:val="20"/>
          <w:color w:val="auto"/>
        </w:rPr>
      </w:pPr>
    </w:p>
    <w:p>
      <w:pPr>
        <w:ind w:left="1480" w:right="340" w:hanging="796"/>
        <w:spacing w:after="0" w:line="256" w:lineRule="auto"/>
        <w:tabs>
          <w:tab w:leader="none" w:pos="1460" w:val="left"/>
        </w:tabs>
        <w:rPr>
          <w:sz w:val="20"/>
          <w:szCs w:val="20"/>
          <w:color w:val="auto"/>
        </w:rPr>
      </w:pPr>
      <w:r>
        <w:rPr>
          <w:rFonts w:ascii="Arial" w:cs="Arial" w:eastAsia="Arial" w:hAnsi="Arial"/>
          <w:sz w:val="18"/>
          <w:szCs w:val="18"/>
          <w:color w:val="auto"/>
        </w:rPr>
        <w:t>3.1.10</w:t>
      </w:r>
      <w:r>
        <w:rPr>
          <w:sz w:val="20"/>
          <w:szCs w:val="20"/>
          <w:color w:val="auto"/>
        </w:rPr>
        <w:tab/>
      </w:r>
      <w:r>
        <w:rPr>
          <w:rFonts w:ascii="Arial" w:cs="Arial" w:eastAsia="Arial" w:hAnsi="Arial"/>
          <w:sz w:val="18"/>
          <w:szCs w:val="18"/>
          <w:color w:val="auto"/>
        </w:rPr>
        <w:t>that the directors of the Company have acted prudently for the commercial benefit of the Company and in good faith for the purposes of carrying on its business on arm’s length commercial terms, and further that they have disclosed all personal interests in the transactions contemplated in the Plan Documents in accordance with the requirements of the Companies (Guernsey) law, 2008 (as amended) (the “</w:t>
      </w:r>
      <w:r>
        <w:rPr>
          <w:rFonts w:ascii="Arial" w:cs="Arial" w:eastAsia="Arial" w:hAnsi="Arial"/>
          <w:sz w:val="18"/>
          <w:szCs w:val="18"/>
          <w:b w:val="1"/>
          <w:bCs w:val="1"/>
          <w:color w:val="auto"/>
        </w:rPr>
        <w:t>Companies Law</w:t>
      </w:r>
      <w:r>
        <w:rPr>
          <w:rFonts w:ascii="Arial" w:cs="Arial" w:eastAsia="Arial" w:hAnsi="Arial"/>
          <w:sz w:val="18"/>
          <w:szCs w:val="18"/>
          <w:color w:val="auto"/>
        </w:rPr>
        <w:t>”) and the Articles;</w:t>
      </w:r>
    </w:p>
    <w:p>
      <w:pPr>
        <w:sectPr>
          <w:pgSz w:w="11900" w:h="16838" w:orient="portrait"/>
          <w:cols w:equalWidth="0" w:num="1">
            <w:col w:w="11380"/>
          </w:cols>
          <w:pgMar w:left="240" w:top="280"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Page 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 January 2014</w:t>
      </w:r>
    </w:p>
    <w:p>
      <w:pPr>
        <w:spacing w:after="0" w:line="200" w:lineRule="exact"/>
        <w:rPr>
          <w:sz w:val="20"/>
          <w:szCs w:val="20"/>
          <w:color w:val="auto"/>
        </w:rPr>
      </w:pPr>
    </w:p>
    <w:p>
      <w:pPr>
        <w:spacing w:after="0" w:line="356" w:lineRule="exact"/>
        <w:rPr>
          <w:sz w:val="20"/>
          <w:szCs w:val="20"/>
          <w:color w:val="auto"/>
        </w:rPr>
      </w:pPr>
    </w:p>
    <w:p>
      <w:pPr>
        <w:ind w:left="1480" w:right="20" w:hanging="796"/>
        <w:spacing w:after="0" w:line="259" w:lineRule="auto"/>
        <w:tabs>
          <w:tab w:leader="none" w:pos="1460" w:val="left"/>
        </w:tabs>
        <w:rPr>
          <w:sz w:val="20"/>
          <w:szCs w:val="20"/>
          <w:color w:val="auto"/>
        </w:rPr>
      </w:pPr>
      <w:r>
        <w:rPr>
          <w:rFonts w:ascii="Arial" w:cs="Arial" w:eastAsia="Arial" w:hAnsi="Arial"/>
          <w:sz w:val="18"/>
          <w:szCs w:val="18"/>
          <w:color w:val="auto"/>
        </w:rPr>
        <w:t>3.1.11</w:t>
      </w:r>
      <w:r>
        <w:rPr>
          <w:sz w:val="20"/>
          <w:szCs w:val="20"/>
          <w:color w:val="auto"/>
        </w:rPr>
        <w:tab/>
      </w:r>
      <w:r>
        <w:rPr>
          <w:rFonts w:ascii="Arial" w:cs="Arial" w:eastAsia="Arial" w:hAnsi="Arial"/>
          <w:sz w:val="18"/>
          <w:szCs w:val="18"/>
          <w:color w:val="auto"/>
        </w:rPr>
        <w:t>that all secretaries of the Company have been validly appointed in accordance with the Companies Law and the Articles and are not ineligible to act as such and that where a secretary of the Company has executed any of the Plan Documents that secretary was at the time of execution eligible to act as such for the purposes of the Companies Law;</w:t>
      </w:r>
    </w:p>
    <w:p>
      <w:pPr>
        <w:spacing w:after="0" w:line="59" w:lineRule="exact"/>
        <w:rPr>
          <w:sz w:val="20"/>
          <w:szCs w:val="20"/>
          <w:color w:val="auto"/>
        </w:rPr>
      </w:pPr>
    </w:p>
    <w:p>
      <w:pPr>
        <w:ind w:left="1480" w:right="100" w:hanging="796"/>
        <w:spacing w:after="0" w:line="268" w:lineRule="auto"/>
        <w:tabs>
          <w:tab w:leader="none" w:pos="1460" w:val="left"/>
        </w:tabs>
        <w:rPr>
          <w:sz w:val="20"/>
          <w:szCs w:val="20"/>
          <w:color w:val="auto"/>
        </w:rPr>
      </w:pPr>
      <w:r>
        <w:rPr>
          <w:rFonts w:ascii="Arial" w:cs="Arial" w:eastAsia="Arial" w:hAnsi="Arial"/>
          <w:sz w:val="18"/>
          <w:szCs w:val="18"/>
          <w:color w:val="auto"/>
        </w:rPr>
        <w:t>3.1.12</w:t>
      </w:r>
      <w:r>
        <w:rPr>
          <w:sz w:val="20"/>
          <w:szCs w:val="20"/>
          <w:color w:val="auto"/>
        </w:rPr>
        <w:tab/>
      </w:r>
      <w:r>
        <w:rPr>
          <w:rFonts w:ascii="Arial" w:cs="Arial" w:eastAsia="Arial" w:hAnsi="Arial"/>
          <w:sz w:val="18"/>
          <w:szCs w:val="18"/>
          <w:color w:val="auto"/>
        </w:rPr>
        <w:t>that the Company is not insolvent or unable to pay its debts as they fall due and will not become insolvent or unable to pay its debts as they fall due as a result of it entering into the Plan Documents;</w:t>
      </w:r>
    </w:p>
    <w:p>
      <w:pPr>
        <w:spacing w:after="0" w:line="51" w:lineRule="exact"/>
        <w:rPr>
          <w:sz w:val="20"/>
          <w:szCs w:val="20"/>
          <w:color w:val="auto"/>
        </w:rPr>
      </w:pPr>
    </w:p>
    <w:p>
      <w:pPr>
        <w:ind w:left="1480" w:right="380" w:hanging="796"/>
        <w:spacing w:after="0" w:line="268" w:lineRule="auto"/>
        <w:tabs>
          <w:tab w:leader="none" w:pos="1460" w:val="left"/>
        </w:tabs>
        <w:rPr>
          <w:sz w:val="20"/>
          <w:szCs w:val="20"/>
          <w:color w:val="auto"/>
        </w:rPr>
      </w:pPr>
      <w:r>
        <w:rPr>
          <w:rFonts w:ascii="Arial" w:cs="Arial" w:eastAsia="Arial" w:hAnsi="Arial"/>
          <w:sz w:val="18"/>
          <w:szCs w:val="18"/>
          <w:color w:val="auto"/>
        </w:rPr>
        <w:t>3.1.13</w:t>
      </w:r>
      <w:r>
        <w:rPr>
          <w:sz w:val="20"/>
          <w:szCs w:val="20"/>
          <w:color w:val="auto"/>
        </w:rPr>
        <w:tab/>
      </w:r>
      <w:r>
        <w:rPr>
          <w:rFonts w:ascii="Arial" w:cs="Arial" w:eastAsia="Arial" w:hAnsi="Arial"/>
          <w:sz w:val="18"/>
          <w:szCs w:val="18"/>
          <w:color w:val="auto"/>
        </w:rPr>
        <w:t>that all dividends or distributions (including any financial assistance) made by the Company were lawful and the Company was solvent immediately after the payment of any such dividend or distribution;</w:t>
      </w:r>
    </w:p>
    <w:p>
      <w:pPr>
        <w:spacing w:after="0" w:line="5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3.1.14</w:t>
      </w:r>
      <w:r>
        <w:rPr>
          <w:sz w:val="20"/>
          <w:szCs w:val="20"/>
          <w:color w:val="auto"/>
        </w:rPr>
        <w:tab/>
      </w:r>
      <w:r>
        <w:rPr>
          <w:rFonts w:ascii="Arial" w:cs="Arial" w:eastAsia="Arial" w:hAnsi="Arial"/>
          <w:sz w:val="15"/>
          <w:szCs w:val="15"/>
          <w:color w:val="auto"/>
        </w:rPr>
        <w:t>that there has not been, nor does there continue to be a reason for the Company to be struck off the register of companies at the Registry;</w:t>
      </w:r>
    </w:p>
    <w:p>
      <w:pPr>
        <w:spacing w:after="0" w:line="90" w:lineRule="exact"/>
        <w:rPr>
          <w:sz w:val="20"/>
          <w:szCs w:val="20"/>
          <w:color w:val="auto"/>
        </w:rPr>
      </w:pPr>
    </w:p>
    <w:p>
      <w:pPr>
        <w:ind w:left="1480" w:hanging="796"/>
        <w:spacing w:after="0" w:line="259" w:lineRule="auto"/>
        <w:tabs>
          <w:tab w:leader="none" w:pos="1460" w:val="left"/>
        </w:tabs>
        <w:rPr>
          <w:sz w:val="20"/>
          <w:szCs w:val="20"/>
          <w:color w:val="auto"/>
        </w:rPr>
      </w:pPr>
      <w:r>
        <w:rPr>
          <w:rFonts w:ascii="Arial" w:cs="Arial" w:eastAsia="Arial" w:hAnsi="Arial"/>
          <w:sz w:val="18"/>
          <w:szCs w:val="18"/>
          <w:color w:val="auto"/>
        </w:rPr>
        <w:t>3.1.15</w:t>
      </w:r>
      <w:r>
        <w:rPr>
          <w:sz w:val="20"/>
          <w:szCs w:val="20"/>
          <w:color w:val="auto"/>
        </w:rPr>
        <w:tab/>
      </w:r>
      <w:r>
        <w:rPr>
          <w:rFonts w:ascii="Arial" w:cs="Arial" w:eastAsia="Arial" w:hAnsi="Arial"/>
          <w:sz w:val="18"/>
          <w:szCs w:val="18"/>
          <w:color w:val="auto"/>
        </w:rPr>
        <w:t>that in respect of the transactions contemplated by, referred to in, provided for or effected by, the Plan Documents, each of the parties thereto entered into the same in good faith for the purpose of carrying on its business on arm’s length commercial terms and has disclosed all personal interests in the transactions contemplated in the Plan Documents;</w:t>
      </w:r>
    </w:p>
    <w:p>
      <w:pPr>
        <w:spacing w:after="0" w:line="59" w:lineRule="exact"/>
        <w:rPr>
          <w:sz w:val="20"/>
          <w:szCs w:val="20"/>
          <w:color w:val="auto"/>
        </w:rPr>
      </w:pPr>
    </w:p>
    <w:p>
      <w:pPr>
        <w:ind w:left="1480" w:right="180" w:hanging="796"/>
        <w:spacing w:after="0" w:line="255" w:lineRule="auto"/>
        <w:tabs>
          <w:tab w:leader="none" w:pos="1460" w:val="left"/>
        </w:tabs>
        <w:rPr>
          <w:sz w:val="20"/>
          <w:szCs w:val="20"/>
          <w:color w:val="auto"/>
        </w:rPr>
      </w:pPr>
      <w:r>
        <w:rPr>
          <w:rFonts w:ascii="Arial" w:cs="Arial" w:eastAsia="Arial" w:hAnsi="Arial"/>
          <w:sz w:val="18"/>
          <w:szCs w:val="18"/>
          <w:color w:val="auto"/>
        </w:rPr>
        <w:t>3.1.16</w:t>
      </w:r>
      <w:r>
        <w:rPr>
          <w:sz w:val="20"/>
          <w:szCs w:val="20"/>
          <w:color w:val="auto"/>
        </w:rPr>
        <w:tab/>
      </w:r>
      <w:r>
        <w:rPr>
          <w:rFonts w:ascii="Arial" w:cs="Arial" w:eastAsia="Arial" w:hAnsi="Arial"/>
          <w:sz w:val="18"/>
          <w:szCs w:val="18"/>
          <w:color w:val="auto"/>
        </w:rPr>
        <w:t>that all consents, exemptions, licenses, registrations, approvals or authorizations of any person required in relation to the transaction contemplated or entered into under or pursuant to the Plan Documents, the execution and delivery of the Plan Documents and the performance and observance of the terms thereof by the parties thereto (other than such consents, exemptions, licenses, registrations, approvals or authorizations required of the Company under the laws and regulations of Guernsey) have been obtained and are in full force and effect at the date of this opinion;</w:t>
      </w:r>
    </w:p>
    <w:p>
      <w:pPr>
        <w:spacing w:after="0" w:line="62" w:lineRule="exact"/>
        <w:rPr>
          <w:sz w:val="20"/>
          <w:szCs w:val="20"/>
          <w:color w:val="auto"/>
        </w:rPr>
      </w:pPr>
    </w:p>
    <w:p>
      <w:pPr>
        <w:ind w:left="1480" w:right="120" w:hanging="796"/>
        <w:spacing w:after="0" w:line="268" w:lineRule="auto"/>
        <w:tabs>
          <w:tab w:leader="none" w:pos="1460" w:val="left"/>
        </w:tabs>
        <w:rPr>
          <w:sz w:val="20"/>
          <w:szCs w:val="20"/>
          <w:color w:val="auto"/>
        </w:rPr>
      </w:pPr>
      <w:r>
        <w:rPr>
          <w:rFonts w:ascii="Arial" w:cs="Arial" w:eastAsia="Arial" w:hAnsi="Arial"/>
          <w:sz w:val="18"/>
          <w:szCs w:val="18"/>
          <w:color w:val="auto"/>
        </w:rPr>
        <w:t>3.1.17</w:t>
      </w:r>
      <w:r>
        <w:rPr>
          <w:sz w:val="20"/>
          <w:szCs w:val="20"/>
          <w:color w:val="auto"/>
        </w:rPr>
        <w:tab/>
      </w:r>
      <w:r>
        <w:rPr>
          <w:rFonts w:ascii="Arial" w:cs="Arial" w:eastAsia="Arial" w:hAnsi="Arial"/>
          <w:sz w:val="18"/>
          <w:szCs w:val="18"/>
          <w:color w:val="auto"/>
        </w:rPr>
        <w:t>that the powers of the Company and the powers and authority of the Company’s directors have not been restricted in any way other than as set out in the Plan Documents or the Articles;</w:t>
      </w:r>
    </w:p>
    <w:p>
      <w:pPr>
        <w:spacing w:after="0" w:line="51" w:lineRule="exact"/>
        <w:rPr>
          <w:sz w:val="20"/>
          <w:szCs w:val="20"/>
          <w:color w:val="auto"/>
        </w:rPr>
      </w:pPr>
    </w:p>
    <w:p>
      <w:pPr>
        <w:ind w:left="1480" w:right="280" w:hanging="796"/>
        <w:spacing w:after="0" w:line="332" w:lineRule="auto"/>
        <w:tabs>
          <w:tab w:leader="none" w:pos="1460" w:val="left"/>
        </w:tabs>
        <w:rPr>
          <w:sz w:val="20"/>
          <w:szCs w:val="20"/>
          <w:color w:val="auto"/>
        </w:rPr>
      </w:pPr>
      <w:r>
        <w:rPr>
          <w:rFonts w:ascii="Arial" w:cs="Arial" w:eastAsia="Arial" w:hAnsi="Arial"/>
          <w:sz w:val="18"/>
          <w:szCs w:val="18"/>
          <w:color w:val="auto"/>
        </w:rPr>
        <w:t>3.1.18</w:t>
      </w:r>
      <w:r>
        <w:rPr>
          <w:sz w:val="20"/>
          <w:szCs w:val="20"/>
          <w:color w:val="auto"/>
        </w:rPr>
        <w:tab/>
      </w:r>
      <w:r>
        <w:rPr>
          <w:rFonts w:ascii="Arial" w:cs="Arial" w:eastAsia="Arial" w:hAnsi="Arial"/>
          <w:sz w:val="16"/>
          <w:szCs w:val="16"/>
          <w:color w:val="auto"/>
        </w:rPr>
        <w:t>that each of the parties to the Plan Documents (other than the Company) is duly incorporated and organized, validly existing and in good standing under the laws of its jurisdiction of incorporation and of the jurisdiction of its principal place of business;</w:t>
      </w:r>
    </w:p>
    <w:p>
      <w:pPr>
        <w:spacing w:after="0" w:line="4" w:lineRule="exact"/>
        <w:rPr>
          <w:sz w:val="20"/>
          <w:szCs w:val="20"/>
          <w:color w:val="auto"/>
        </w:rPr>
      </w:pPr>
    </w:p>
    <w:p>
      <w:pPr>
        <w:ind w:left="1480" w:right="620" w:hanging="796"/>
        <w:spacing w:after="0" w:line="268" w:lineRule="auto"/>
        <w:tabs>
          <w:tab w:leader="none" w:pos="1460" w:val="left"/>
        </w:tabs>
        <w:rPr>
          <w:sz w:val="20"/>
          <w:szCs w:val="20"/>
          <w:color w:val="auto"/>
        </w:rPr>
      </w:pPr>
      <w:r>
        <w:rPr>
          <w:rFonts w:ascii="Arial" w:cs="Arial" w:eastAsia="Arial" w:hAnsi="Arial"/>
          <w:sz w:val="18"/>
          <w:szCs w:val="18"/>
          <w:color w:val="auto"/>
        </w:rPr>
        <w:t>3.1.19</w:t>
      </w:r>
      <w:r>
        <w:rPr>
          <w:sz w:val="20"/>
          <w:szCs w:val="20"/>
          <w:color w:val="auto"/>
        </w:rPr>
        <w:tab/>
      </w:r>
      <w:r>
        <w:rPr>
          <w:rFonts w:ascii="Arial" w:cs="Arial" w:eastAsia="Arial" w:hAnsi="Arial"/>
          <w:sz w:val="18"/>
          <w:szCs w:val="18"/>
          <w:color w:val="auto"/>
        </w:rPr>
        <w:t>that words and phrases used in the Plan Documents have the same meanings and effect as they would have if those documents were governed by Guernsey law;</w:t>
      </w:r>
    </w:p>
    <w:p>
      <w:pPr>
        <w:spacing w:after="0" w:line="5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3.1.20</w:t>
      </w:r>
      <w:r>
        <w:rPr>
          <w:sz w:val="20"/>
          <w:szCs w:val="20"/>
          <w:color w:val="auto"/>
        </w:rPr>
        <w:tab/>
      </w:r>
      <w:r>
        <w:rPr>
          <w:rFonts w:ascii="Arial" w:cs="Arial" w:eastAsia="Arial" w:hAnsi="Arial"/>
          <w:sz w:val="15"/>
          <w:szCs w:val="15"/>
          <w:color w:val="auto"/>
        </w:rPr>
        <w:t>the Awards are granted pursuant to and in accordance with terms and conditions of the Option Plan;</w:t>
      </w:r>
    </w:p>
    <w:p>
      <w:pPr>
        <w:spacing w:after="0" w:line="90"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3.1.21</w:t>
      </w:r>
      <w:r>
        <w:rPr>
          <w:sz w:val="20"/>
          <w:szCs w:val="20"/>
          <w:color w:val="auto"/>
        </w:rPr>
        <w:tab/>
      </w:r>
      <w:r>
        <w:rPr>
          <w:rFonts w:ascii="Arial" w:cs="Arial" w:eastAsia="Arial" w:hAnsi="Arial"/>
          <w:sz w:val="15"/>
          <w:szCs w:val="15"/>
          <w:color w:val="auto"/>
        </w:rPr>
        <w:t>the Award Grant Agreements are correctly and duly executed by all parties to such Award Grant Agreements;</w:t>
      </w:r>
    </w:p>
    <w:p>
      <w:pPr>
        <w:sectPr>
          <w:pgSz w:w="11900" w:h="16838" w:orient="portrait"/>
          <w:cols w:equalWidth="0" w:num="1">
            <w:col w:w="11360"/>
          </w:cols>
          <w:pgMar w:left="240" w:top="280" w:right="29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Page 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 January 2014</w:t>
      </w:r>
    </w:p>
    <w:p>
      <w:pPr>
        <w:spacing w:after="0" w:line="200" w:lineRule="exact"/>
        <w:rPr>
          <w:sz w:val="20"/>
          <w:szCs w:val="20"/>
          <w:color w:val="auto"/>
        </w:rPr>
      </w:pPr>
    </w:p>
    <w:p>
      <w:pPr>
        <w:spacing w:after="0" w:line="356" w:lineRule="exact"/>
        <w:rPr>
          <w:sz w:val="20"/>
          <w:szCs w:val="20"/>
          <w:color w:val="auto"/>
        </w:rPr>
      </w:pPr>
    </w:p>
    <w:p>
      <w:pPr>
        <w:ind w:left="1480" w:right="100" w:hanging="796"/>
        <w:spacing w:after="0" w:line="268" w:lineRule="auto"/>
        <w:tabs>
          <w:tab w:leader="none" w:pos="1460" w:val="left"/>
        </w:tabs>
        <w:rPr>
          <w:sz w:val="20"/>
          <w:szCs w:val="20"/>
          <w:color w:val="auto"/>
        </w:rPr>
      </w:pPr>
      <w:r>
        <w:rPr>
          <w:rFonts w:ascii="Arial" w:cs="Arial" w:eastAsia="Arial" w:hAnsi="Arial"/>
          <w:sz w:val="18"/>
          <w:szCs w:val="18"/>
          <w:color w:val="auto"/>
        </w:rPr>
        <w:t>3.1.22</w:t>
      </w:r>
      <w:r>
        <w:rPr>
          <w:sz w:val="20"/>
          <w:szCs w:val="20"/>
          <w:color w:val="auto"/>
        </w:rPr>
        <w:tab/>
      </w:r>
      <w:r>
        <w:rPr>
          <w:rFonts w:ascii="Arial" w:cs="Arial" w:eastAsia="Arial" w:hAnsi="Arial"/>
          <w:sz w:val="18"/>
          <w:szCs w:val="18"/>
          <w:color w:val="auto"/>
        </w:rPr>
        <w:t>none of the parties to the Transaction Documents have committed any act or omission that has caused or may cause them to be in breach of the Plan Documents;</w:t>
      </w:r>
    </w:p>
    <w:p>
      <w:pPr>
        <w:spacing w:after="0" w:line="51" w:lineRule="exact"/>
        <w:rPr>
          <w:sz w:val="20"/>
          <w:szCs w:val="20"/>
          <w:color w:val="auto"/>
        </w:rPr>
      </w:pPr>
    </w:p>
    <w:p>
      <w:pPr>
        <w:ind w:left="1480" w:hanging="796"/>
        <w:spacing w:after="0" w:line="268" w:lineRule="auto"/>
        <w:tabs>
          <w:tab w:leader="none" w:pos="1460" w:val="left"/>
        </w:tabs>
        <w:rPr>
          <w:sz w:val="20"/>
          <w:szCs w:val="20"/>
          <w:color w:val="auto"/>
        </w:rPr>
      </w:pPr>
      <w:r>
        <w:rPr>
          <w:rFonts w:ascii="Arial" w:cs="Arial" w:eastAsia="Arial" w:hAnsi="Arial"/>
          <w:sz w:val="18"/>
          <w:szCs w:val="18"/>
          <w:color w:val="auto"/>
        </w:rPr>
        <w:t>3.1.23</w:t>
      </w:r>
      <w:r>
        <w:rPr>
          <w:sz w:val="20"/>
          <w:szCs w:val="20"/>
          <w:color w:val="auto"/>
        </w:rPr>
        <w:tab/>
      </w:r>
      <w:r>
        <w:rPr>
          <w:rFonts w:ascii="Arial" w:cs="Arial" w:eastAsia="Arial" w:hAnsi="Arial"/>
          <w:sz w:val="18"/>
          <w:szCs w:val="18"/>
          <w:color w:val="auto"/>
        </w:rPr>
        <w:t>where options to purchase Shares are exercised by the Optionholders, they are exercised in accordance with the Option Plan and the relevant Award Grant Agreement;</w:t>
      </w:r>
    </w:p>
    <w:p>
      <w:pPr>
        <w:spacing w:after="0" w:line="51" w:lineRule="exact"/>
        <w:rPr>
          <w:sz w:val="20"/>
          <w:szCs w:val="20"/>
          <w:color w:val="auto"/>
        </w:rPr>
      </w:pPr>
    </w:p>
    <w:p>
      <w:pPr>
        <w:ind w:left="1480" w:right="100" w:hanging="796"/>
        <w:spacing w:after="0" w:line="268" w:lineRule="auto"/>
        <w:tabs>
          <w:tab w:leader="none" w:pos="1460" w:val="left"/>
        </w:tabs>
        <w:rPr>
          <w:sz w:val="20"/>
          <w:szCs w:val="20"/>
          <w:color w:val="auto"/>
        </w:rPr>
      </w:pPr>
      <w:r>
        <w:rPr>
          <w:rFonts w:ascii="Arial" w:cs="Arial" w:eastAsia="Arial" w:hAnsi="Arial"/>
          <w:sz w:val="18"/>
          <w:szCs w:val="18"/>
          <w:color w:val="auto"/>
        </w:rPr>
        <w:t>3.1.24</w:t>
      </w:r>
      <w:r>
        <w:rPr>
          <w:sz w:val="20"/>
          <w:szCs w:val="20"/>
          <w:color w:val="auto"/>
        </w:rPr>
        <w:tab/>
      </w:r>
      <w:r>
        <w:rPr>
          <w:rFonts w:ascii="Arial" w:cs="Arial" w:eastAsia="Arial" w:hAnsi="Arial"/>
          <w:sz w:val="18"/>
          <w:szCs w:val="18"/>
          <w:color w:val="auto"/>
        </w:rPr>
        <w:t>that the resolutions passed at paragraph 2 of the Proxy Ballot were passed by the requisite majority of the holders of the Ordinary Shares in the capital of the Company; and</w:t>
      </w:r>
    </w:p>
    <w:p>
      <w:pPr>
        <w:spacing w:after="0" w:line="51" w:lineRule="exact"/>
        <w:rPr>
          <w:sz w:val="20"/>
          <w:szCs w:val="20"/>
          <w:color w:val="auto"/>
        </w:rPr>
      </w:pPr>
    </w:p>
    <w:p>
      <w:pPr>
        <w:ind w:left="1480" w:right="60" w:hanging="796"/>
        <w:spacing w:after="0" w:line="268" w:lineRule="auto"/>
        <w:tabs>
          <w:tab w:leader="none" w:pos="1460" w:val="left"/>
        </w:tabs>
        <w:rPr>
          <w:sz w:val="20"/>
          <w:szCs w:val="20"/>
          <w:color w:val="auto"/>
        </w:rPr>
      </w:pPr>
      <w:r>
        <w:rPr>
          <w:rFonts w:ascii="Arial" w:cs="Arial" w:eastAsia="Arial" w:hAnsi="Arial"/>
          <w:sz w:val="18"/>
          <w:szCs w:val="18"/>
          <w:color w:val="auto"/>
        </w:rPr>
        <w:t>3.1.25</w:t>
      </w:r>
      <w:r>
        <w:rPr>
          <w:sz w:val="20"/>
          <w:szCs w:val="20"/>
          <w:color w:val="auto"/>
        </w:rPr>
        <w:tab/>
      </w:r>
      <w:r>
        <w:rPr>
          <w:rFonts w:ascii="Arial" w:cs="Arial" w:eastAsia="Arial" w:hAnsi="Arial"/>
          <w:sz w:val="18"/>
          <w:szCs w:val="18"/>
          <w:color w:val="auto"/>
        </w:rPr>
        <w:t>that the Option Price determined in accordance with the Plan Documents is fair and reasonable to the Company and to all existing members and that the board of directors of the Company would be of that opinion at the relevant time.</w:t>
      </w:r>
    </w:p>
    <w:p>
      <w:pPr>
        <w:spacing w:after="0" w:line="5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We have not independently verified these assumptions.</w:t>
      </w:r>
    </w:p>
    <w:p>
      <w:pPr>
        <w:spacing w:after="0" w:line="287" w:lineRule="exact"/>
        <w:rPr>
          <w:sz w:val="20"/>
          <w:szCs w:val="20"/>
          <w:color w:val="auto"/>
        </w:rPr>
      </w:pPr>
    </w:p>
    <w:p>
      <w:pPr>
        <w:ind w:left="680" w:hanging="672"/>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OPINIONS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On the basis of and subject to the above and the observations and qualifications below and subject to matters not disclosed to us we are of the following opinion:</w:t>
      </w:r>
    </w:p>
    <w:p>
      <w:pPr>
        <w:spacing w:after="0" w:line="1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When issued and paid for in accordance with the Option Plan such Shares in the Company will be validly issued, fully paid and non-assessable.</w:t>
      </w:r>
    </w:p>
    <w:p>
      <w:pPr>
        <w:spacing w:after="0" w:line="287" w:lineRule="exact"/>
        <w:rPr>
          <w:sz w:val="20"/>
          <w:szCs w:val="20"/>
          <w:color w:val="auto"/>
        </w:rPr>
      </w:pPr>
    </w:p>
    <w:p>
      <w:pPr>
        <w:ind w:left="680" w:hanging="672"/>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QUALIFICATIONS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observations and qualifications referred to above are as follows:</w:t>
      </w:r>
    </w:p>
    <w:p>
      <w:pPr>
        <w:spacing w:after="0" w:line="90" w:lineRule="exact"/>
        <w:rPr>
          <w:sz w:val="20"/>
          <w:szCs w:val="20"/>
          <w:color w:val="auto"/>
        </w:rPr>
      </w:pPr>
    </w:p>
    <w:p>
      <w:pPr>
        <w:ind w:left="680" w:right="40" w:hanging="674"/>
        <w:spacing w:after="0" w:line="268" w:lineRule="auto"/>
        <w:tabs>
          <w:tab w:leader="none" w:pos="6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We express no opinion on whether or not any transaction under the Plan Documents constitutes a transaction at an undervalue or a preference under the Companies Law.</w:t>
      </w:r>
    </w:p>
    <w:p>
      <w:pPr>
        <w:spacing w:after="0" w:line="51" w:lineRule="exact"/>
        <w:rPr>
          <w:sz w:val="20"/>
          <w:szCs w:val="20"/>
          <w:color w:val="auto"/>
        </w:rPr>
      </w:pPr>
    </w:p>
    <w:p>
      <w:pPr>
        <w:ind w:left="680" w:right="20" w:hanging="674"/>
        <w:spacing w:after="0" w:line="290" w:lineRule="auto"/>
        <w:tabs>
          <w:tab w:leader="none" w:pos="6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Transactions may be set aside where they are determined to be a preference over other creditors in the event of insolvency of a company. The liquidator of a company may apply to the Royal Court for an order in respect of a company if the relevant company has given a preference six months (or in the case of a connected party two years) prior to either an application for compulsory winding up of the relevant company or the date of the passing by the company of a special resolution to voluntarily wind up the company. In order for the Royal Court to make an order it must be of the opinion that the company may at the time of giving the preference or as a result of giving the preference be unable to pay its debts. A preference is given to a person if that person is one of the company’s creditors or is a surety or guarantor for any of the company’s debts or other liabilities and the company does anything, or permits anything to be done which improves the person’s position in the company’s liquidation.</w:t>
      </w:r>
    </w:p>
    <w:p>
      <w:pPr>
        <w:spacing w:after="0" w:line="37" w:lineRule="exact"/>
        <w:rPr>
          <w:sz w:val="20"/>
          <w:szCs w:val="20"/>
          <w:color w:val="auto"/>
        </w:rPr>
      </w:pPr>
    </w:p>
    <w:p>
      <w:pPr>
        <w:ind w:left="680" w:right="660" w:hanging="674"/>
        <w:spacing w:after="0" w:line="332" w:lineRule="auto"/>
        <w:tabs>
          <w:tab w:leader="none" w:pos="6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We express no opinion as to whether the entering into the agreements constituted by the Plan Documents will or may result in any breach of or otherwise infringe any other agreement, deed or document (other than the Articles) entered into by or binding on the Company.</w:t>
      </w:r>
    </w:p>
    <w:p>
      <w:pPr>
        <w:sectPr>
          <w:pgSz w:w="11900" w:h="16838" w:orient="portrait"/>
          <w:cols w:equalWidth="0" w:num="1">
            <w:col w:w="11360"/>
          </w:cols>
          <w:pgMar w:left="240" w:top="280" w:right="29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Page 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 January 2014</w:t>
      </w:r>
    </w:p>
    <w:p>
      <w:pPr>
        <w:spacing w:after="0" w:line="200" w:lineRule="exact"/>
        <w:rPr>
          <w:sz w:val="20"/>
          <w:szCs w:val="20"/>
          <w:color w:val="auto"/>
        </w:rPr>
      </w:pPr>
    </w:p>
    <w:p>
      <w:pPr>
        <w:spacing w:after="0" w:line="35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Failure to exercise a right may operate as a waiver of that right notwithstanding a provision to the contrary.</w:t>
      </w:r>
    </w:p>
    <w:p>
      <w:pPr>
        <w:spacing w:after="0" w:line="90" w:lineRule="exact"/>
        <w:rPr>
          <w:sz w:val="20"/>
          <w:szCs w:val="20"/>
          <w:color w:val="auto"/>
        </w:rPr>
      </w:pPr>
    </w:p>
    <w:p>
      <w:pPr>
        <w:ind w:left="680" w:hanging="674"/>
        <w:spacing w:after="0" w:line="259" w:lineRule="auto"/>
        <w:tabs>
          <w:tab w:leader="none" w:pos="6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We express no opinion on the accuracy or completeness of any statements, representations or warranties of fact set out in the Plan Documents and or/the Documents save insofar as an express opinion is given herein in respect thereof, which statements, representations and warranties we have not independently verified.</w:t>
      </w:r>
    </w:p>
    <w:p>
      <w:pPr>
        <w:spacing w:after="0" w:line="59" w:lineRule="exact"/>
        <w:rPr>
          <w:sz w:val="20"/>
          <w:szCs w:val="20"/>
          <w:color w:val="auto"/>
        </w:rPr>
      </w:pPr>
    </w:p>
    <w:p>
      <w:pPr>
        <w:ind w:left="680" w:right="120" w:hanging="674"/>
        <w:spacing w:after="0" w:line="256" w:lineRule="auto"/>
        <w:tabs>
          <w:tab w:leader="none" w:pos="6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This opinion shall be governed by and construed in accordance with the laws of the Island of Guernsey as it exists at the date hereof with no obligation to keep the terms of the opinion under review. We have not made any investigation as to any other law other than the laws of the Island of Guernsey in force at and as interpreted at the date of this opinion; in particular we express no opinion as to whether the Plan Documents are enforceable in any jurisdiction outside Guernsey.</w:t>
      </w:r>
    </w:p>
    <w:p>
      <w:pPr>
        <w:spacing w:after="0" w:line="6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5"/>
          <w:szCs w:val="15"/>
          <w:color w:val="auto"/>
        </w:rPr>
        <w:t>We do not give any opinion on the commerciality of any transaction contemplated or entered into under or pursuant to the Plan Documents.</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5"/>
          <w:szCs w:val="15"/>
          <w:color w:val="auto"/>
        </w:rPr>
        <w:t>The search of the Public Records referred to in paragraph 2.4 above is not conclusively capable of revealing whether or not:</w:t>
      </w:r>
    </w:p>
    <w:p>
      <w:pPr>
        <w:spacing w:after="0" w:line="90"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5.8.1</w:t>
      </w:r>
      <w:r>
        <w:rPr>
          <w:sz w:val="20"/>
          <w:szCs w:val="20"/>
          <w:color w:val="auto"/>
        </w:rPr>
        <w:tab/>
      </w:r>
      <w:r>
        <w:rPr>
          <w:rFonts w:ascii="Arial" w:cs="Arial" w:eastAsia="Arial" w:hAnsi="Arial"/>
          <w:sz w:val="15"/>
          <w:szCs w:val="15"/>
          <w:color w:val="auto"/>
        </w:rPr>
        <w:t>a winding up order has been made or a resolution passed for the winding up of the Company; or</w:t>
      </w:r>
    </w:p>
    <w:p>
      <w:pPr>
        <w:spacing w:after="0" w:line="90" w:lineRule="exact"/>
        <w:rPr>
          <w:sz w:val="20"/>
          <w:szCs w:val="20"/>
          <w:color w:val="auto"/>
        </w:rPr>
      </w:pPr>
    </w:p>
    <w:p>
      <w:pPr>
        <w:ind w:left="1480" w:hanging="796"/>
        <w:spacing w:after="0" w:line="309" w:lineRule="auto"/>
        <w:tabs>
          <w:tab w:leader="none" w:pos="1460" w:val="left"/>
        </w:tabs>
        <w:rPr>
          <w:sz w:val="20"/>
          <w:szCs w:val="20"/>
          <w:color w:val="auto"/>
        </w:rPr>
      </w:pPr>
      <w:r>
        <w:rPr>
          <w:rFonts w:ascii="Arial" w:cs="Arial" w:eastAsia="Arial" w:hAnsi="Arial"/>
          <w:sz w:val="18"/>
          <w:szCs w:val="18"/>
          <w:color w:val="auto"/>
        </w:rPr>
        <w:t>5.8.2</w:t>
      </w:r>
      <w:r>
        <w:rPr>
          <w:sz w:val="20"/>
          <w:szCs w:val="20"/>
          <w:color w:val="auto"/>
        </w:rPr>
        <w:tab/>
      </w:r>
      <w:r>
        <w:rPr>
          <w:rFonts w:ascii="Arial" w:cs="Arial" w:eastAsia="Arial" w:hAnsi="Arial"/>
          <w:sz w:val="15"/>
          <w:szCs w:val="15"/>
          <w:color w:val="auto"/>
        </w:rPr>
        <w:t>an order has been made or a resolution passed appointing a liquidator or administrator or other person to control the assets of the Company, as notice of these matters might not be filed with the Registry or the Greffe immediately or at all and, when filed, might not be entered on the Public Records of the Company immediately. A company search conducted in Guernsey is limited in respect of the information it produces. Full details regarding aggregate shareholdings of a company are only given as at 31 December in the preceding year. The Companies Law allows for various periods of time to file certain information with the Registry including resolutions, notices and court orders which if the relevant period is still running may not appear in time for the search. Any changes to the details of the directors of a company must be filed within 14 days of that change</w:t>
      </w:r>
      <w:r>
        <w:rPr>
          <w:rFonts w:ascii="Arial" w:cs="Arial" w:eastAsia="Arial" w:hAnsi="Arial"/>
          <w:sz w:val="15"/>
          <w:szCs w:val="15"/>
          <w:i w:val="1"/>
          <w:iCs w:val="1"/>
          <w:color w:val="auto"/>
        </w:rPr>
        <w:t>.</w:t>
      </w:r>
      <w:r>
        <w:rPr>
          <w:rFonts w:ascii="Arial" w:cs="Arial" w:eastAsia="Arial" w:hAnsi="Arial"/>
          <w:sz w:val="15"/>
          <w:szCs w:val="15"/>
          <w:color w:val="auto"/>
        </w:rPr>
        <w:t xml:space="preserve"> There is no requirement to file at the Registry information regarding the secretary of a company or regarding mortgages, security interests or charges created by a company other than in respect of real property situate in Guernsey. Moreover, a company search carried out in Guernsey is unlikely to reveal any information as to any such procedure initiated in any other jurisdiction.</w:t>
      </w:r>
    </w:p>
    <w:p>
      <w:pPr>
        <w:spacing w:after="0" w:line="27" w:lineRule="exact"/>
        <w:rPr>
          <w:sz w:val="20"/>
          <w:szCs w:val="20"/>
          <w:color w:val="auto"/>
        </w:rPr>
      </w:pPr>
    </w:p>
    <w:p>
      <w:pPr>
        <w:ind w:left="680" w:right="20" w:hanging="674"/>
        <w:spacing w:after="0" w:line="256" w:lineRule="auto"/>
        <w:tabs>
          <w:tab w:leader="none" w:pos="66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8"/>
          <w:szCs w:val="18"/>
          <w:color w:val="auto"/>
        </w:rPr>
        <w:t>There is no official register of pending actions in Guernsey available for public inspection and no formal procedure for determining whether any proceedings have been commenced against the Company including as to whether proceedings have commenced to declare the property of the Company “en désastre”; the enquiry of the Public Records referred to in paragraph 2.4 of this opinion above is an informal enquiry only and cannot be relied upon exclusively.</w:t>
      </w:r>
    </w:p>
    <w:p>
      <w:pPr>
        <w:sectPr>
          <w:pgSz w:w="11900" w:h="16838" w:orient="portrait"/>
          <w:cols w:equalWidth="0" w:num="1">
            <w:col w:w="11400"/>
          </w:cols>
          <w:pgMar w:left="240" w:top="280"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Page 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 January 2014</w:t>
      </w:r>
    </w:p>
    <w:p>
      <w:pPr>
        <w:spacing w:after="0" w:line="200" w:lineRule="exact"/>
        <w:rPr>
          <w:sz w:val="20"/>
          <w:szCs w:val="20"/>
          <w:color w:val="auto"/>
        </w:rPr>
      </w:pPr>
    </w:p>
    <w:p>
      <w:pPr>
        <w:spacing w:after="0" w:line="356" w:lineRule="exact"/>
        <w:rPr>
          <w:sz w:val="20"/>
          <w:szCs w:val="20"/>
          <w:color w:val="auto"/>
        </w:rPr>
      </w:pPr>
    </w:p>
    <w:p>
      <w:pPr>
        <w:ind w:left="680" w:hanging="674"/>
        <w:spacing w:after="0" w:line="256" w:lineRule="auto"/>
        <w:tabs>
          <w:tab w:leader="none" w:pos="66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8"/>
          <w:szCs w:val="18"/>
          <w:color w:val="auto"/>
        </w:rPr>
        <w:t>Insofar as a Transaction Document grants or requires the grant of a power of attorney by the Company to a party to the Transaction Document, the grant of such power of attorney must be in accordance with the requirements of the Articles. If the Articles are silent the Transaction Document must be executed by one director. The absence of compliance with such requirements will mean that the power of attorney may not be valid and enforceable in Guernsey.</w:t>
      </w:r>
    </w:p>
    <w:p>
      <w:pPr>
        <w:spacing w:after="0" w:line="259" w:lineRule="exact"/>
        <w:rPr>
          <w:sz w:val="20"/>
          <w:szCs w:val="20"/>
          <w:color w:val="auto"/>
        </w:rPr>
      </w:pPr>
    </w:p>
    <w:p>
      <w:pPr>
        <w:ind w:left="680" w:hanging="672"/>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ADDRESSEES</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This opinion is addressed only to the Recipient and is solely for the benefit of the Recipient in connection with the Plan Documents and except with our prior written consent it may not be disclosed to or relied upon by any other person or used for any other purpose or referred to or made public in any way. Notwithstanding the foregoing, we hereby consent to the filing of this opinion with the SEC in connection with the Registration Statement in accordance with the requirements of Item 601(b)(5) of Regulation S-K under the U.S. Securities Act of 1933, as amended (the “Securities Act”). In giving such consent, we do not hereby admit that we are in the category of persons whose consent is required under Section 7 of the Securities Act or the rules and regulations of the SEC.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Carey Olsen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Carey Olsen</w:t>
      </w:r>
    </w:p>
    <w:p>
      <w:pPr>
        <w:sectPr>
          <w:pgSz w:w="11900" w:h="16838" w:orient="portrait"/>
          <w:cols w:equalWidth="0" w:num="1">
            <w:col w:w="11380"/>
          </w:cols>
          <w:pgMar w:left="240" w:top="280" w:right="27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No. 333-00000) pertaining to the Amdocs Limited 1998 Stock Option and Incentive Plan, as amended, of our reports dated December 9, 2013, with respect to the consolidated financial statements and schedule of Amdocs Limited and the effectiveness of internal control over financial reporting of Amdocs Limited, included in its Annual Report (Form 20-F) for the year ended September 30, 2013, filed with the Securities and Exchange Commission.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30, 2014</w:t>
      </w:r>
    </w:p>
    <w:p>
      <w:pPr>
        <w:sectPr>
          <w:pgSz w:w="11900" w:h="16838" w:orient="portrait"/>
          <w:cols w:equalWidth="0" w:num="1">
            <w:col w:w="11420"/>
          </w:cols>
          <w:pgMar w:left="240" w:top="125"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1998 STOCK OPTION AND INCENTIVE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ON FEBRUARY 2, 2012</w:t>
      </w:r>
    </w:p>
    <w:p>
      <w:pPr>
        <w:spacing w:after="0" w:line="21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Purpose; Type of Awards; Construction</w:t>
      </w:r>
    </w:p>
    <w:p>
      <w:pPr>
        <w:spacing w:after="0" w:line="90" w:lineRule="exact"/>
        <w:rPr>
          <w:sz w:val="20"/>
          <w:szCs w:val="20"/>
          <w:color w:val="auto"/>
        </w:rPr>
      </w:pPr>
    </w:p>
    <w:p>
      <w:pPr>
        <w:ind w:left="920"/>
        <w:spacing w:after="0" w:line="287" w:lineRule="auto"/>
        <w:rPr>
          <w:sz w:val="20"/>
          <w:szCs w:val="20"/>
          <w:color w:val="auto"/>
        </w:rPr>
      </w:pPr>
      <w:r>
        <w:rPr>
          <w:rFonts w:ascii="Arial" w:cs="Arial" w:eastAsia="Arial" w:hAnsi="Arial"/>
          <w:sz w:val="16"/>
          <w:szCs w:val="16"/>
          <w:color w:val="auto"/>
        </w:rPr>
        <w:t>The purpose of the Amdocs Limited 1998 Stock Option and Incentive Plan (the “Plan”) is to afford an incentive to officers, directors, employees and consultants of Amdocs Limited (the “Company”), or any subsidiary of the Company which now exists or hereafter is organized or acquired by the Company, to acquire a proprietary interest in the Company, to continue as employees, directors and consultants, to increase their efforts on behalf of the Company and to promote the success of the Company’s business. It is further intended that options granted by the Committee (as such a term is defined below) pursuant to Section 8 of the Plan shall constitute “incentive stock options” (“Incentive Stock Options”) within the meaning of Section 422 of the Internal Revenue Code of 1986, as amended (the “Code”), and options granted by the Committee pursuant to Section 7 of the Plan shall constitute “nonqualified stock options” (“Nonqualified Stock Options”). The Committee may also grant restricted shares (“Restricted Stock”) under the Plan pursuant to Section 9 of the Plan. If the Committee so determines it may grant Nonqualified Stock Options or Restricted Stock pursuant to the provisions of Section 102 of the Israel Income Tax Ordinance (New Version) 1961, and any regulations, rules, orders or procedures promulgated thereunder (“102 Securities”).</w:t>
      </w:r>
    </w:p>
    <w:p>
      <w:pPr>
        <w:spacing w:after="0" w:line="24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in this Plan, the following words and phrases shall have the meanings indicated:</w:t>
      </w:r>
    </w:p>
    <w:p>
      <w:pPr>
        <w:spacing w:after="0" w:line="90"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“Ordinary Shares” shall mean shares of ordinary shares, par value £0.01 per share, of the Company.</w:t>
      </w:r>
    </w:p>
    <w:p>
      <w:pPr>
        <w:spacing w:after="0" w:line="90" w:lineRule="exact"/>
        <w:rPr>
          <w:rFonts w:ascii="Arial" w:cs="Arial" w:eastAsia="Arial" w:hAnsi="Arial"/>
          <w:sz w:val="18"/>
          <w:szCs w:val="18"/>
          <w:color w:val="auto"/>
        </w:rPr>
      </w:pPr>
    </w:p>
    <w:p>
      <w:pPr>
        <w:jc w:val="both"/>
        <w:ind w:left="900" w:right="50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“Disability” shall mean the inability of a Grantee (as defined in Section 3 hereof) to engage in any substantial gainful activity by reason of any medically determinable physical or mental impairment that can be expected to result in death or that has lasted or can be expected to last for a continuous period of not less than twelve (12) months.</w:t>
      </w:r>
    </w:p>
    <w:p>
      <w:pPr>
        <w:spacing w:after="0" w:line="59" w:lineRule="exact"/>
        <w:rPr>
          <w:rFonts w:ascii="Arial" w:cs="Arial" w:eastAsia="Arial" w:hAnsi="Arial"/>
          <w:sz w:val="18"/>
          <w:szCs w:val="18"/>
          <w:color w:val="auto"/>
        </w:rPr>
      </w:pPr>
    </w:p>
    <w:p>
      <w:pPr>
        <w:ind w:left="900" w:right="20" w:hanging="446"/>
        <w:spacing w:after="0" w:line="302"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“Fair Market Value” per share as of a particular date shall mean (i) if the shares of Ordinary Shares are not then listed on a national securities exchange or traded in an over-the-counter market, such value as the Committee, in its sole discretion, shall determine; or (ii) if the shares of Ordinary Shares are then traded on a national securities exchange the closing sales price per share of Ordinary Shares on the national securities exchange, on which the Ordinary Shares are principally traded, for the last preceding date on which there was a sale of such Ordinary Shares on such exchange, or</w:t>
      </w:r>
    </w:p>
    <w:p>
      <w:pPr>
        <w:spacing w:after="0" w:line="2" w:lineRule="exact"/>
        <w:rPr>
          <w:rFonts w:ascii="Arial" w:cs="Arial" w:eastAsia="Arial" w:hAnsi="Arial"/>
          <w:sz w:val="15"/>
          <w:szCs w:val="15"/>
          <w:color w:val="auto"/>
        </w:rPr>
      </w:pPr>
    </w:p>
    <w:p>
      <w:pPr>
        <w:ind w:left="900" w:right="220" w:hanging="1"/>
        <w:spacing w:after="0" w:line="352" w:lineRule="auto"/>
        <w:tabs>
          <w:tab w:leader="none" w:pos="1207" w:val="left"/>
        </w:tabs>
        <w:numPr>
          <w:ilvl w:val="1"/>
          <w:numId w:val="10"/>
        </w:numPr>
        <w:rPr>
          <w:rFonts w:ascii="Arial" w:cs="Arial" w:eastAsia="Arial" w:hAnsi="Arial"/>
          <w:sz w:val="15"/>
          <w:szCs w:val="15"/>
          <w:color w:val="auto"/>
        </w:rPr>
      </w:pPr>
      <w:r>
        <w:rPr>
          <w:rFonts w:ascii="Arial" w:cs="Arial" w:eastAsia="Arial" w:hAnsi="Arial"/>
          <w:sz w:val="15"/>
          <w:szCs w:val="15"/>
          <w:color w:val="auto"/>
        </w:rPr>
        <w:t>if the shares of Ordinary Shares are then traded in an over-the-counter market, the average of the closing bid and asked prices for the shares of Ordinary Shares in such over-the-counter market for the last preceding date on which there was a sale of such Ordinary Shares in such market.</w:t>
      </w:r>
    </w:p>
    <w:p>
      <w:pPr>
        <w:ind w:left="900" w:right="6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“Option” or “Options” shall mean a grant to a Grantee (as defined in Section 3 hereof) of an option or options to purchase shares of Ordinary Shares. Options granted by the Committee (as defined in Section 3 hereof), pursuant to the Plan shall constitute either Incentive Stock Options or Nonqualified Stock Options.</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“Parent” shall mean any company (other than the Company) in an unbroken chain of companies ending with the Company if, at the time of granting an award, each of the companies other than the Company owns stock possessing fifty percent (50%) or more of the total combined voting power of all classes of stock in one of the other companies in such chain.</w:t>
      </w:r>
    </w:p>
    <w:p>
      <w:pPr>
        <w:spacing w:after="0" w:line="59" w:lineRule="exact"/>
        <w:rPr>
          <w:rFonts w:ascii="Arial" w:cs="Arial" w:eastAsia="Arial" w:hAnsi="Arial"/>
          <w:sz w:val="18"/>
          <w:szCs w:val="18"/>
          <w:color w:val="auto"/>
        </w:rPr>
      </w:pPr>
    </w:p>
    <w:p>
      <w:pPr>
        <w:jc w:val="both"/>
        <w:ind w:left="900" w:right="220" w:hanging="446"/>
        <w:spacing w:after="0" w:line="306"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“Subsidiary” shall mean any company (other than the Company) in an unbroken chain of companies beginning with the Company if, at the time of granting an award, each of the companies other than the last company in the unbroken chain owns stock possessing fifty percent (50%) or more of the total combined voting power of all classes of stock in one of the other companies in such chain.</w:t>
      </w:r>
    </w:p>
    <w:p>
      <w:pPr>
        <w:sectPr>
          <w:pgSz w:w="11900" w:h="16838" w:orient="portrait"/>
          <w:cols w:equalWidth="0" w:num="1">
            <w:col w:w="11420"/>
          </w:cols>
          <w:pgMar w:left="240" w:top="125" w:right="239" w:bottom="1440" w:gutter="0" w:footer="0" w:header="0"/>
        </w:sectPr>
      </w:pPr>
    </w:p>
    <w:bookmarkStart w:id="16" w:name="page17"/>
    <w:bookmarkEnd w:id="16"/>
    <w:p>
      <w:pPr>
        <w:ind w:left="892" w:right="120" w:hanging="446"/>
        <w:spacing w:after="0" w:line="370" w:lineRule="auto"/>
        <w:tabs>
          <w:tab w:leader="none" w:pos="892" w:val="left"/>
        </w:tabs>
        <w:numPr>
          <w:ilvl w:val="1"/>
          <w:numId w:val="1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“Ten Percent Stockholder” shall mean a Grantee (as defined in Section 3 hereof), who, at the time an Incentive Stock Option is granted, owns stock possessing more than ten percent (10%) of the total combined voting power of all classes of stock of the Company or any Parent or Subsidiary.</w:t>
      </w:r>
    </w:p>
    <w:p>
      <w:pPr>
        <w:spacing w:after="0" w:line="183" w:lineRule="exact"/>
        <w:rPr>
          <w:rFonts w:ascii="Arial" w:cs="Arial" w:eastAsia="Arial" w:hAnsi="Arial"/>
          <w:sz w:val="15"/>
          <w:szCs w:val="15"/>
          <w:color w:val="auto"/>
        </w:rPr>
      </w:pPr>
    </w:p>
    <w:p>
      <w:pPr>
        <w:ind w:left="452" w:hanging="452"/>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Administration</w:t>
      </w:r>
    </w:p>
    <w:p>
      <w:pPr>
        <w:spacing w:after="0" w:line="90" w:lineRule="exact"/>
        <w:rPr>
          <w:sz w:val="20"/>
          <w:szCs w:val="20"/>
          <w:color w:val="auto"/>
        </w:rPr>
      </w:pPr>
    </w:p>
    <w:p>
      <w:pPr>
        <w:ind w:left="912"/>
        <w:spacing w:after="0"/>
        <w:rPr>
          <w:sz w:val="20"/>
          <w:szCs w:val="20"/>
          <w:color w:val="auto"/>
        </w:rPr>
      </w:pPr>
      <w:r>
        <w:rPr>
          <w:rFonts w:ascii="Arial" w:cs="Arial" w:eastAsia="Arial" w:hAnsi="Arial"/>
          <w:sz w:val="16"/>
          <w:szCs w:val="16"/>
          <w:color w:val="auto"/>
        </w:rPr>
        <w:t>The Plan shall be administered by a committee (the “Committee”) established by the Board of Directors of the Company (the “Board”).</w:t>
      </w:r>
    </w:p>
    <w:p>
      <w:pPr>
        <w:spacing w:after="0" w:line="113" w:lineRule="exact"/>
        <w:rPr>
          <w:sz w:val="20"/>
          <w:szCs w:val="20"/>
          <w:color w:val="auto"/>
        </w:rPr>
      </w:pPr>
    </w:p>
    <w:p>
      <w:pPr>
        <w:ind w:left="912"/>
        <w:spacing w:after="0" w:line="287" w:lineRule="auto"/>
        <w:rPr>
          <w:sz w:val="20"/>
          <w:szCs w:val="20"/>
          <w:color w:val="auto"/>
        </w:rPr>
      </w:pPr>
      <w:r>
        <w:rPr>
          <w:rFonts w:ascii="Arial" w:cs="Arial" w:eastAsia="Arial" w:hAnsi="Arial"/>
          <w:sz w:val="16"/>
          <w:szCs w:val="16"/>
          <w:color w:val="auto"/>
        </w:rPr>
        <w:t>The Committee shall have the authority in its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Options and Restricted Stock; to determine which Options shall constitute Incentive Stock Options and which Options or Restricted Stock shall constitute Nonqualified Stock Options or 102 Securities; to determine the kind of consideration payable (if any) with respect to awards; to determine the period during which Options may be exercised and Restricted Stock shall be subject to restrictions, and whether in whole or in installments; to determine the persons to whom, and the time or times at which awards shall be granted (such persons are referred to herein as “Grantees”); to determine the number of shares to be covered by each award; to interpret the Plan; to prescribe, amend and rescind rules and regulations relating to the Plan; to determine the terms and provisions of the agreements (which need not be identical) entered into in connection with awards granted under the Plan (the “Agreements”); to cancel or suspend awards, as necessary; and to make all other determinations deemed necessary or advisable for the administration of the Plan.</w:t>
      </w:r>
    </w:p>
    <w:p>
      <w:pPr>
        <w:spacing w:after="0" w:line="42" w:lineRule="exact"/>
        <w:rPr>
          <w:sz w:val="20"/>
          <w:szCs w:val="20"/>
          <w:color w:val="auto"/>
        </w:rPr>
      </w:pPr>
    </w:p>
    <w:p>
      <w:pPr>
        <w:ind w:left="912" w:right="180"/>
        <w:spacing w:after="0" w:line="256" w:lineRule="auto"/>
        <w:rPr>
          <w:sz w:val="20"/>
          <w:szCs w:val="20"/>
          <w:color w:val="auto"/>
        </w:rPr>
      </w:pPr>
      <w:r>
        <w:rPr>
          <w:rFonts w:ascii="Arial" w:cs="Arial" w:eastAsia="Arial" w:hAnsi="Arial"/>
          <w:sz w:val="18"/>
          <w:szCs w:val="18"/>
          <w:color w:val="auto"/>
        </w:rPr>
        <w:t>The Committee may delegate to one or more of its members or to one or more agents such administrative duties as it may deem advisable, and the Committee or any person to whom it has delegated duties as aforesaid may employ one or more persons to render advice with respect to any responsibility the Committee or such person may have under the Plan. All decisions, determinations and interpretations of the Committee shall be final and binding on all Grantees of any awards under this Plan.</w:t>
      </w:r>
    </w:p>
    <w:p>
      <w:pPr>
        <w:spacing w:after="0" w:line="62" w:lineRule="exact"/>
        <w:rPr>
          <w:sz w:val="20"/>
          <w:szCs w:val="20"/>
          <w:color w:val="auto"/>
        </w:rPr>
      </w:pPr>
    </w:p>
    <w:p>
      <w:pPr>
        <w:ind w:left="912" w:right="720"/>
        <w:spacing w:after="0" w:line="268" w:lineRule="auto"/>
        <w:rPr>
          <w:sz w:val="20"/>
          <w:szCs w:val="20"/>
          <w:color w:val="auto"/>
        </w:rPr>
      </w:pPr>
      <w:r>
        <w:rPr>
          <w:rFonts w:ascii="Arial" w:cs="Arial" w:eastAsia="Arial" w:hAnsi="Arial"/>
          <w:sz w:val="18"/>
          <w:szCs w:val="18"/>
          <w:color w:val="auto"/>
        </w:rPr>
        <w:t>The Board shall fill all vacancies, however caused, in the Committee. The Board may from time to time appoint additional members to the Committee, and may at any time remove one or more Committee members and substitute others.</w:t>
      </w:r>
    </w:p>
    <w:p>
      <w:pPr>
        <w:spacing w:after="0" w:line="51" w:lineRule="exact"/>
        <w:rPr>
          <w:sz w:val="20"/>
          <w:szCs w:val="20"/>
          <w:color w:val="auto"/>
        </w:rPr>
      </w:pPr>
    </w:p>
    <w:p>
      <w:pPr>
        <w:ind w:left="912"/>
        <w:spacing w:after="0" w:line="268" w:lineRule="auto"/>
        <w:rPr>
          <w:sz w:val="20"/>
          <w:szCs w:val="20"/>
          <w:color w:val="auto"/>
        </w:rPr>
      </w:pPr>
      <w:r>
        <w:rPr>
          <w:rFonts w:ascii="Arial" w:cs="Arial" w:eastAsia="Arial" w:hAnsi="Arial"/>
          <w:sz w:val="18"/>
          <w:szCs w:val="18"/>
          <w:color w:val="auto"/>
        </w:rPr>
        <w:t>No member of the Board or Committee shall be liable for any action taken or determination made in good faith with respect to the Plan or any award granted hereunder.</w:t>
      </w:r>
    </w:p>
    <w:p>
      <w:pPr>
        <w:spacing w:after="0" w:line="254" w:lineRule="exact"/>
        <w:rPr>
          <w:sz w:val="20"/>
          <w:szCs w:val="20"/>
          <w:color w:val="auto"/>
        </w:rPr>
      </w:pPr>
    </w:p>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90" w:lineRule="exact"/>
        <w:rPr>
          <w:sz w:val="20"/>
          <w:szCs w:val="20"/>
          <w:color w:val="auto"/>
        </w:rPr>
      </w:pPr>
    </w:p>
    <w:p>
      <w:pPr>
        <w:ind w:left="912" w:right="40"/>
        <w:spacing w:after="0" w:line="256" w:lineRule="auto"/>
        <w:rPr>
          <w:sz w:val="20"/>
          <w:szCs w:val="20"/>
          <w:color w:val="auto"/>
        </w:rPr>
      </w:pPr>
      <w:r>
        <w:rPr>
          <w:rFonts w:ascii="Arial" w:cs="Arial" w:eastAsia="Arial" w:hAnsi="Arial"/>
          <w:sz w:val="18"/>
          <w:szCs w:val="18"/>
          <w:color w:val="auto"/>
        </w:rPr>
        <w:t>Officers, Directors, other employees and consultants of the Company or of any Subsidiary or Parent shall be eligible to receive awards hereunder. In determining the persons to whom awards shall be granted and the number of shares to be covered by each award, the Committee, in its sole discretion, shall take into account the contribution by the eligible individuals to the management, growth and/or profitability of the business of the Company and such other factors as the Committee shall deem relevant.</w:t>
      </w:r>
    </w:p>
    <w:p>
      <w:pPr>
        <w:spacing w:after="0" w:line="265" w:lineRule="exact"/>
        <w:rPr>
          <w:sz w:val="20"/>
          <w:szCs w:val="20"/>
          <w:color w:val="auto"/>
        </w:rPr>
      </w:pPr>
    </w:p>
    <w:p>
      <w:pPr>
        <w:ind w:left="452" w:hanging="452"/>
        <w:spacing w:after="0"/>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Ordinary Shares</w:t>
      </w:r>
    </w:p>
    <w:p>
      <w:pPr>
        <w:spacing w:after="0" w:line="90" w:lineRule="exact"/>
        <w:rPr>
          <w:sz w:val="20"/>
          <w:szCs w:val="20"/>
          <w:color w:val="auto"/>
        </w:rPr>
      </w:pPr>
    </w:p>
    <w:p>
      <w:pPr>
        <w:ind w:left="912" w:right="80"/>
        <w:spacing w:after="0" w:line="332" w:lineRule="auto"/>
        <w:rPr>
          <w:sz w:val="20"/>
          <w:szCs w:val="20"/>
          <w:color w:val="auto"/>
        </w:rPr>
      </w:pPr>
      <w:r>
        <w:rPr>
          <w:rFonts w:ascii="Arial" w:cs="Arial" w:eastAsia="Arial" w:hAnsi="Arial"/>
          <w:sz w:val="16"/>
          <w:szCs w:val="16"/>
          <w:color w:val="auto"/>
        </w:rPr>
        <w:t>The maximum number of Ordinary Shares reserved for grant of awards under the Plan shall be 62,300,000. Such shares may, in whole or in part, be authorized but unissued shares. The foregoing numbers of shares may be increased or decreased by the events set forth in Section 10 hereof.</w:t>
      </w:r>
    </w:p>
    <w:p>
      <w:pPr>
        <w:spacing w:after="0" w:line="4" w:lineRule="exact"/>
        <w:rPr>
          <w:sz w:val="20"/>
          <w:szCs w:val="20"/>
          <w:color w:val="auto"/>
        </w:rPr>
      </w:pPr>
    </w:p>
    <w:p>
      <w:pPr>
        <w:ind w:left="912" w:right="20"/>
        <w:spacing w:after="0" w:line="298" w:lineRule="auto"/>
        <w:rPr>
          <w:sz w:val="20"/>
          <w:szCs w:val="20"/>
          <w:color w:val="auto"/>
        </w:rPr>
      </w:pPr>
      <w:r>
        <w:rPr>
          <w:rFonts w:ascii="Arial" w:cs="Arial" w:eastAsia="Arial" w:hAnsi="Arial"/>
          <w:sz w:val="16"/>
          <w:szCs w:val="16"/>
          <w:color w:val="auto"/>
        </w:rPr>
        <w:t>If any outstanding award under the Plan should, for any reason expire, be canceled or be terminated without having been exercised in full, the shares of Ordinary Shares allocable to the unexercised, canceled or terminated portion of such award shall (unless the Plan shall have been terminated) become available for subsequent grants of awards under the Plan; provided that an award under the plan may not again be made available for issuance under the plan if such Ordinary Shares are: (i) Ordinary Shares that were subject to</w:t>
      </w:r>
    </w:p>
    <w:p>
      <w:pPr>
        <w:spacing w:after="0" w:line="9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72"/>
          </w:cols>
          <w:pgMar w:left="248" w:top="280" w:right="279" w:bottom="1440" w:gutter="0" w:footer="0" w:header="0"/>
        </w:sectPr>
      </w:pPr>
    </w:p>
    <w:bookmarkStart w:id="17" w:name="page18"/>
    <w:bookmarkEnd w:id="17"/>
    <w:p>
      <w:pPr>
        <w:ind w:left="912"/>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stock-settled stock appreciation rights and were not issued upon the net settlement or net exercise of such stock appreciation rights, (ii) Ordinary Shares used to pay the Option Price, (iii) Ordinary Shares delivered to or withheld by the Company to pay the withholding taxes related to an award, or (iv) Ordinary Shares repurchased on the open market with proceeds of an Option exercise.</w:t>
      </w:r>
    </w:p>
    <w:p>
      <w:pPr>
        <w:spacing w:after="0" w:line="228" w:lineRule="exact"/>
        <w:rPr>
          <w:sz w:val="20"/>
          <w:szCs w:val="20"/>
          <w:color w:val="auto"/>
        </w:rPr>
      </w:pPr>
    </w:p>
    <w:p>
      <w:pPr>
        <w:ind w:left="452" w:hanging="452"/>
        <w:spacing w:after="0"/>
        <w:tabs>
          <w:tab w:leader="none" w:pos="45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Options</w:t>
      </w:r>
    </w:p>
    <w:p>
      <w:pPr>
        <w:spacing w:after="0" w:line="90" w:lineRule="exact"/>
        <w:rPr>
          <w:sz w:val="20"/>
          <w:szCs w:val="20"/>
          <w:color w:val="auto"/>
        </w:rPr>
      </w:pPr>
    </w:p>
    <w:p>
      <w:pPr>
        <w:ind w:left="912" w:right="340"/>
        <w:spacing w:after="0" w:line="259" w:lineRule="auto"/>
        <w:rPr>
          <w:sz w:val="20"/>
          <w:szCs w:val="20"/>
          <w:color w:val="auto"/>
        </w:rPr>
      </w:pPr>
      <w:r>
        <w:rPr>
          <w:rFonts w:ascii="Arial" w:cs="Arial" w:eastAsia="Arial" w:hAnsi="Arial"/>
          <w:sz w:val="18"/>
          <w:szCs w:val="18"/>
          <w:color w:val="auto"/>
        </w:rPr>
        <w:t>Each Option granted pursuant to the Plan shall be evidenced by a written agreement between the Company and the Grantee (the “Option Agreement”), in such form as the Committee shall from time to time approve, which Option Agreement shall comply with and be subject to the following terms and conditions:</w:t>
      </w:r>
    </w:p>
    <w:p>
      <w:pPr>
        <w:spacing w:after="0" w:line="59" w:lineRule="exact"/>
        <w:rPr>
          <w:sz w:val="20"/>
          <w:szCs w:val="20"/>
          <w:color w:val="auto"/>
        </w:rPr>
      </w:pPr>
    </w:p>
    <w:p>
      <w:pPr>
        <w:ind w:left="892" w:hanging="446"/>
        <w:spacing w:after="0"/>
        <w:tabs>
          <w:tab w:leader="none" w:pos="8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NUMBER OF SHARES. Each Option Agreement shall state the number of shares of Ordinary Shares to which the Option relates.</w:t>
      </w:r>
    </w:p>
    <w:p>
      <w:pPr>
        <w:spacing w:after="0" w:line="90" w:lineRule="exact"/>
        <w:rPr>
          <w:rFonts w:ascii="Arial" w:cs="Arial" w:eastAsia="Arial" w:hAnsi="Arial"/>
          <w:sz w:val="18"/>
          <w:szCs w:val="18"/>
          <w:color w:val="auto"/>
        </w:rPr>
      </w:pPr>
    </w:p>
    <w:p>
      <w:pPr>
        <w:ind w:left="892" w:right="180" w:hanging="446"/>
        <w:spacing w:after="0" w:line="268" w:lineRule="auto"/>
        <w:tabs>
          <w:tab w:leader="none" w:pos="8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OPTION. Each Option Agreement shall specifically state that the Option constitutes an Incentive Stock Option or a Nonqualified Stock Option.</w:t>
      </w:r>
    </w:p>
    <w:p>
      <w:pPr>
        <w:spacing w:after="0" w:line="50" w:lineRule="exact"/>
        <w:rPr>
          <w:rFonts w:ascii="Arial" w:cs="Arial" w:eastAsia="Arial" w:hAnsi="Arial"/>
          <w:sz w:val="18"/>
          <w:szCs w:val="18"/>
          <w:color w:val="auto"/>
        </w:rPr>
      </w:pPr>
    </w:p>
    <w:p>
      <w:pPr>
        <w:ind w:left="892" w:right="140" w:hanging="446"/>
        <w:spacing w:after="0" w:line="256" w:lineRule="auto"/>
        <w:tabs>
          <w:tab w:leader="none" w:pos="8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OPTION PRICE. Each Option Agreement shall state the Option Price, which shall not be less than one-hundred percent (100%) of the Fair Market Value of the shares of Ordinary Shares covered by the Option on the date of grant. The Option Price shall be subject to adjustment as provided in Section 10 hereof. The date on which the Committee adopts a resolution expressly granting an Option shall be considered the day on which such Option is granted.</w:t>
      </w:r>
    </w:p>
    <w:p>
      <w:pPr>
        <w:spacing w:after="0" w:line="62" w:lineRule="exact"/>
        <w:rPr>
          <w:rFonts w:ascii="Arial" w:cs="Arial" w:eastAsia="Arial" w:hAnsi="Arial"/>
          <w:sz w:val="18"/>
          <w:szCs w:val="18"/>
          <w:color w:val="auto"/>
        </w:rPr>
      </w:pPr>
    </w:p>
    <w:p>
      <w:pPr>
        <w:ind w:left="892" w:right="140" w:hanging="446"/>
        <w:spacing w:after="0" w:line="290" w:lineRule="auto"/>
        <w:tabs>
          <w:tab w:leader="none" w:pos="892" w:val="left"/>
        </w:tabs>
        <w:numPr>
          <w:ilvl w:val="0"/>
          <w:numId w:val="16"/>
        </w:numPr>
        <w:rPr>
          <w:rFonts w:ascii="Arial" w:cs="Arial" w:eastAsia="Arial" w:hAnsi="Arial"/>
          <w:sz w:val="16"/>
          <w:szCs w:val="16"/>
          <w:color w:val="auto"/>
        </w:rPr>
      </w:pPr>
      <w:r>
        <w:rPr>
          <w:rFonts w:ascii="Arial" w:cs="Arial" w:eastAsia="Arial" w:hAnsi="Arial"/>
          <w:sz w:val="16"/>
          <w:szCs w:val="16"/>
          <w:color w:val="auto"/>
        </w:rPr>
        <w:t>MEDIUM AND TIME OF PAYMENT. The Option Price shall be paid in full, at the time of exercise and may be made in cash, by the delivery of shares of Ordinary Shares with a fair market value equal to the Option Price, provided that any such shares acquired by the Grantee pursuant to the exercise of an Incentive Stock Option shall have been held by the Grantee for a period of at least one year, or by a combination of cash and such shares that have been held by the Grantee for a period of at least one year whose fair market value together with such cash shall equal the Option Price. The Committee may also permit Grantees, either on a selective or aggregate basis, simultaneously to exercise Options and sell the shares of Ordinary Shares thereby acquired pursuant to a brokerage or a similar arrangement, approved in advance by the Committee, and use the proceeds from such sale as payment of the Purchase Price of such shares.</w:t>
      </w:r>
    </w:p>
    <w:p>
      <w:pPr>
        <w:spacing w:after="0" w:line="37" w:lineRule="exact"/>
        <w:rPr>
          <w:rFonts w:ascii="Arial" w:cs="Arial" w:eastAsia="Arial" w:hAnsi="Arial"/>
          <w:sz w:val="16"/>
          <w:szCs w:val="16"/>
          <w:color w:val="auto"/>
        </w:rPr>
      </w:pPr>
    </w:p>
    <w:p>
      <w:pPr>
        <w:ind w:left="892" w:right="100" w:hanging="446"/>
        <w:spacing w:after="0" w:line="255" w:lineRule="auto"/>
        <w:tabs>
          <w:tab w:leader="none" w:pos="8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TERM AND EXERCISABILITY OF OPTIONS. Each Option Agreement shall be exercisable at such times and under such conditions as the Committee, in its discretion, shall determine; provided, however, such exercise period shall not exceed ten (10) years from the date of grant of such Option. The exercise period shall be subject to earlier termination as provided in Sections 6(f) and 6(g) hereof. An Option may be exercised, as to any or all full shares of Ordinary Shares as to which the Option has become exercisable, by giving written notice of such exercise to the Committee or its designated agent.</w:t>
      </w:r>
    </w:p>
    <w:p>
      <w:pPr>
        <w:spacing w:after="0" w:line="62" w:lineRule="exact"/>
        <w:rPr>
          <w:sz w:val="20"/>
          <w:szCs w:val="20"/>
          <w:color w:val="auto"/>
        </w:rPr>
      </w:pPr>
    </w:p>
    <w:p>
      <w:pPr>
        <w:ind w:left="1492" w:right="160"/>
        <w:spacing w:after="0" w:line="291" w:lineRule="auto"/>
        <w:rPr>
          <w:sz w:val="20"/>
          <w:szCs w:val="20"/>
          <w:color w:val="auto"/>
        </w:rPr>
      </w:pPr>
      <w:r>
        <w:rPr>
          <w:rFonts w:ascii="Arial" w:cs="Arial" w:eastAsia="Arial" w:hAnsi="Arial"/>
          <w:sz w:val="16"/>
          <w:szCs w:val="16"/>
          <w:color w:val="auto"/>
        </w:rPr>
        <w:t>Options shall become exercisable in cumulative installments of 25% on the first, second, third and fourth anniversary of the date on which such Option is granted, or at such other times and in such other installments (which may be cumulative) as the Committee shall provide in the terms of the respective Option Agreements; provided, however, that the Committee, in its absolute discretion, may, on such terms and conditions as it may determine to be appropriate, accelerate the time at which such Option or any portion thereof may be exercised. The Option may contain performance goals and measurements, and the provisions with respect to any Option need not be the same as the provisions with respect to any other Option.</w:t>
      </w:r>
    </w:p>
    <w:p>
      <w:pPr>
        <w:spacing w:after="0" w:line="39" w:lineRule="exact"/>
        <w:rPr>
          <w:sz w:val="20"/>
          <w:szCs w:val="20"/>
          <w:color w:val="auto"/>
        </w:rPr>
      </w:pPr>
    </w:p>
    <w:p>
      <w:pPr>
        <w:ind w:left="892" w:hanging="446"/>
        <w:spacing w:after="0" w:line="294" w:lineRule="auto"/>
        <w:tabs>
          <w:tab w:leader="none" w:pos="892" w:val="left"/>
        </w:tabs>
        <w:numPr>
          <w:ilvl w:val="0"/>
          <w:numId w:val="17"/>
        </w:numPr>
        <w:rPr>
          <w:rFonts w:ascii="Arial" w:cs="Arial" w:eastAsia="Arial" w:hAnsi="Arial"/>
          <w:sz w:val="16"/>
          <w:szCs w:val="16"/>
          <w:color w:val="auto"/>
        </w:rPr>
      </w:pPr>
      <w:r>
        <w:rPr>
          <w:rFonts w:ascii="Arial" w:cs="Arial" w:eastAsia="Arial" w:hAnsi="Arial"/>
          <w:sz w:val="16"/>
          <w:szCs w:val="16"/>
          <w:color w:val="auto"/>
        </w:rPr>
        <w:t>TERMINATION. Except as provided in this Section 6(f) and in Section 6(g) hereof, an Option may not be exercised unless the Grantee is then in the service or employ of the Company or a Parent or Subsidiary (or a company or a parent or subsidiary company of such company issuing or assuming the Option in a transaction to which Section 424(a) of the Code applies), and unless the Grantee has remained continuously so employed or has continuously performed such services since the date of grant of the Option. In the event that the employment of a Grantee shall terminate or Grantee shall cease performance of services for the Company, a Parent or a Subsidiary thereof (in either event, other</w:t>
      </w:r>
    </w:p>
    <w:p>
      <w:pPr>
        <w:spacing w:after="0" w:line="10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352"/>
          </w:cols>
          <w:pgMar w:left="248" w:top="280" w:right="299" w:bottom="1440" w:gutter="0" w:footer="0" w:header="0"/>
        </w:sectPr>
      </w:pPr>
    </w:p>
    <w:bookmarkStart w:id="18" w:name="page19"/>
    <w:bookmarkEnd w:id="18"/>
    <w:p>
      <w:pPr>
        <w:ind w:left="466"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than by reason of death or disability), all Options of such Grantee that are exercisable at the time of such termination or cessation may, unless earlier terminated in accordance with their terms, be exercised within ninety (90) days after the date of such termination or cessation; provided, however, that if the Company, Subsidiary, or Parent, as the case may be, shall terminate the Grantee’s employment for cause (as determined by the Committee), all Options theretofore granted to such Grantee shall, to the extent not theretofore exercised, terminate on the date of such termination or cessation unless otherwise determined by the Committee. In the case of a Grantee whose principal employer is a Subsidiary, the Grantee’s employment shall be deemed to be terminated for purposes of this Section 6(f) as of the date on which such principal employer ceases to be a Subsidiary.</w:t>
      </w:r>
    </w:p>
    <w:p>
      <w:pPr>
        <w:spacing w:after="0" w:line="66" w:lineRule="exact"/>
        <w:rPr>
          <w:sz w:val="20"/>
          <w:szCs w:val="20"/>
          <w:color w:val="auto"/>
        </w:rPr>
      </w:pPr>
    </w:p>
    <w:p>
      <w:pPr>
        <w:ind w:left="446" w:hanging="446"/>
        <w:spacing w:after="0" w:line="288" w:lineRule="auto"/>
        <w:tabs>
          <w:tab w:leader="none" w:pos="446"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DEATH OR DISABILITY OF GRANTEE. If a Grantee shall die while employed by, or performing services for, the Company or a Parent or subsidiary thereof, or within ninety (90) days after the date of cessation of such Grantee’s employment or performance of services other than as a result of termination for cause (or within such longer period as the Committee may have provided pursuant to Section 6(e) hereof), or if the Grantee’s employment shall terminate or performance of services shall cease by reason of Disability, all Options theretofore granted to such Grantee may, unless earlier terminated in accordance with their terms, be exercised by the Grantee or by the Grantee’s estate or by a person who acquired the right to exercise such Options by bequest or inheritance or otherwise by reason of the death or Disability of the Grantee, at any time within twelve months after the date of death or Disability of the Grantee. In the event that an Option granted hereunder shall be exercised by the legal representatives of a deceased or former Grantee, written notice of such exercise shall be accompanied by a certified copy of letters testamentary or equivalent proof of the right of such legal representative to exercise such Option.</w:t>
      </w:r>
    </w:p>
    <w:p>
      <w:pPr>
        <w:spacing w:after="0" w:line="38" w:lineRule="exact"/>
        <w:rPr>
          <w:rFonts w:ascii="Arial" w:cs="Arial" w:eastAsia="Arial" w:hAnsi="Arial"/>
          <w:sz w:val="16"/>
          <w:szCs w:val="16"/>
          <w:color w:val="auto"/>
        </w:rPr>
      </w:pPr>
    </w:p>
    <w:p>
      <w:pPr>
        <w:ind w:left="446" w:hanging="446"/>
        <w:spacing w:after="0" w:line="306" w:lineRule="auto"/>
        <w:tabs>
          <w:tab w:leader="none" w:pos="446" w:val="left"/>
        </w:tabs>
        <w:numPr>
          <w:ilvl w:val="0"/>
          <w:numId w:val="18"/>
        </w:numPr>
        <w:rPr>
          <w:rFonts w:ascii="Arial" w:cs="Arial" w:eastAsia="Arial" w:hAnsi="Arial"/>
          <w:sz w:val="15"/>
          <w:szCs w:val="15"/>
          <w:color w:val="auto"/>
        </w:rPr>
      </w:pPr>
      <w:r>
        <w:rPr>
          <w:rFonts w:ascii="Arial" w:cs="Arial" w:eastAsia="Arial" w:hAnsi="Arial"/>
          <w:sz w:val="15"/>
          <w:szCs w:val="15"/>
          <w:color w:val="auto"/>
        </w:rPr>
        <w:t>LOANS. Subject to any law, the Company may make loans to Grantees as the Committee, in its discretion, may determine in connection with the exercise of outstanding options granted under the Plan. Such loans shall (i) be evidenced by promissory notes entered into by the Grantees in favor of the Company, (ii) be subject to the terms and conditions set forth in this Section 6(h) and such other terms and conditions, not inconsistent with the Plan, as the Committee shall determine and (iii) bear interest, if any, at such rate as the Committee shall determine. In no event may the principal amount of any such loan exceed the exercise price less the par value of the shares of Ordinary Shares covered by the option, or portion thereof, exercised by the Grantee. The initial term of the loan, the schedule of payments of principal and interest under the loan, the extent to which the loan is to be with or without recourse against the Grantee with respect to principal and/or interest and the conditions upon which the loan will become payable in the event of the Grantee’s termination of employment or ceasing to perform services shall be determined by the Committee; provided, however, that the term of the loan, including extensions, shall not exceed 10 years. Unless the Committee determines otherwise, when a loan shall have been made, shares of Ordinary Shares having a Fair Market Value at least equal to the principal amount of the loan shall be pledged by the Grantee to the Company as security for payment of the unpaid balance of the loan and such pledge shall be evidenced by a pledge agreement, the terms of which shall be determined by the Committee, in its discretion; provided, however, that each loan shall comply with all applicable laws, regulations and rules of the Board of Governors of the Federal Reserve System and any other governmental agency having jurisdiction.</w:t>
      </w:r>
    </w:p>
    <w:p>
      <w:pPr>
        <w:spacing w:after="0" w:line="31" w:lineRule="exact"/>
        <w:rPr>
          <w:rFonts w:ascii="Arial" w:cs="Arial" w:eastAsia="Arial" w:hAnsi="Arial"/>
          <w:sz w:val="15"/>
          <w:szCs w:val="15"/>
          <w:color w:val="auto"/>
        </w:rPr>
      </w:pPr>
    </w:p>
    <w:p>
      <w:pPr>
        <w:ind w:left="446" w:right="180" w:hanging="446"/>
        <w:spacing w:after="0" w:line="268" w:lineRule="auto"/>
        <w:tabs>
          <w:tab w:leader="none" w:pos="4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PROVISIONS. The Option Agreements evidencing Options under the Plan shall contain such other terms and conditions, not inconsistent with the Plan, as the Committee may determine.</w:t>
      </w:r>
    </w:p>
    <w:p>
      <w:pPr>
        <w:spacing w:after="0" w:line="50" w:lineRule="exact"/>
        <w:rPr>
          <w:rFonts w:ascii="Arial" w:cs="Arial" w:eastAsia="Arial" w:hAnsi="Arial"/>
          <w:sz w:val="18"/>
          <w:szCs w:val="18"/>
          <w:color w:val="auto"/>
        </w:rPr>
      </w:pPr>
    </w:p>
    <w:p>
      <w:pPr>
        <w:ind w:left="446" w:right="20" w:hanging="446"/>
        <w:spacing w:after="0" w:line="259" w:lineRule="auto"/>
        <w:tabs>
          <w:tab w:leader="none" w:pos="4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EXERCISE OF OPTIONS. A Grantee who decides to exercise an Option in whole or in part shall give notice to the Company or its designated agent of such exercise in writing on a form approved by the Committee. Such notice shall specify the manner in which the Grantee will make payment of the Option Price.</w:t>
      </w:r>
    </w:p>
    <w:p>
      <w:pPr>
        <w:spacing w:after="0" w:line="127"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0946"/>
          </w:cols>
          <w:pgMar w:left="694" w:top="280" w:right="259" w:bottom="1440" w:gutter="0" w:footer="0" w:header="0"/>
        </w:sectPr>
      </w:pPr>
    </w:p>
    <w:bookmarkStart w:id="19" w:name="page20"/>
    <w:bookmarkEnd w:id="19"/>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Nonqualified Stock Options</w:t>
      </w:r>
    </w:p>
    <w:p>
      <w:pPr>
        <w:spacing w:after="0" w:line="90"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Options intended to constitute Nonqualified Stock Options shall be subject only to the general terms and conditions specified in Section 6 hereof.</w:t>
      </w:r>
    </w:p>
    <w:p>
      <w:pPr>
        <w:spacing w:after="0" w:line="31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7A.</w:t>
      </w:r>
      <w:r>
        <w:rPr>
          <w:sz w:val="20"/>
          <w:szCs w:val="20"/>
          <w:color w:val="auto"/>
        </w:rPr>
        <w:tab/>
      </w:r>
      <w:r>
        <w:rPr>
          <w:rFonts w:ascii="Arial" w:cs="Arial" w:eastAsia="Arial" w:hAnsi="Arial"/>
          <w:sz w:val="18"/>
          <w:szCs w:val="18"/>
          <w:u w:val="single" w:color="auto"/>
          <w:color w:val="auto"/>
        </w:rPr>
        <w:t>102 Securities</w:t>
      </w:r>
    </w:p>
    <w:p>
      <w:pPr>
        <w:spacing w:after="0" w:line="90" w:lineRule="exact"/>
        <w:rPr>
          <w:sz w:val="20"/>
          <w:szCs w:val="20"/>
          <w:color w:val="auto"/>
        </w:rPr>
      </w:pPr>
    </w:p>
    <w:p>
      <w:pPr>
        <w:ind w:left="1040" w:right="60"/>
        <w:spacing w:after="0" w:line="298" w:lineRule="auto"/>
        <w:rPr>
          <w:sz w:val="20"/>
          <w:szCs w:val="20"/>
          <w:color w:val="auto"/>
        </w:rPr>
      </w:pPr>
      <w:r>
        <w:rPr>
          <w:rFonts w:ascii="Arial" w:cs="Arial" w:eastAsia="Arial" w:hAnsi="Arial"/>
          <w:sz w:val="16"/>
          <w:szCs w:val="16"/>
          <w:color w:val="auto"/>
        </w:rPr>
        <w:t>Any 102 Securities which shall be granted to employees or consultants of the Company, any Subsidiary or Parent, or if required by law, shall be issued to a trustee nominated by the Board or the Committee (in accordance with the provisions of Section 102) (the “Trustee”) and held for the benefit of the Grantee in accordance with any of the alternatives under Section 102 as shall be prescribed from time to time by the Committee. The Trustee may also hold in trust any shares issued upon exercise of such 102 Securities, pursuant to the provisions of Section 102.</w:t>
      </w:r>
    </w:p>
    <w:p>
      <w:pPr>
        <w:spacing w:after="0" w:line="23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Incentive Stock Options</w:t>
      </w:r>
    </w:p>
    <w:p>
      <w:pPr>
        <w:spacing w:after="0" w:line="90" w:lineRule="exact"/>
        <w:rPr>
          <w:sz w:val="20"/>
          <w:szCs w:val="20"/>
          <w:color w:val="auto"/>
        </w:rPr>
      </w:pPr>
    </w:p>
    <w:p>
      <w:pPr>
        <w:ind w:left="1040" w:right="360"/>
        <w:spacing w:after="0" w:line="268" w:lineRule="auto"/>
        <w:rPr>
          <w:sz w:val="20"/>
          <w:szCs w:val="20"/>
          <w:color w:val="auto"/>
        </w:rPr>
      </w:pPr>
      <w:r>
        <w:rPr>
          <w:rFonts w:ascii="Arial" w:cs="Arial" w:eastAsia="Arial" w:hAnsi="Arial"/>
          <w:sz w:val="18"/>
          <w:szCs w:val="18"/>
          <w:color w:val="auto"/>
        </w:rPr>
        <w:t>Options intended to constitute Incentive Stock Options shall be subject to the following special terms and conditions, in addition to the general terms and conditions specified in Section 6 hereof.</w:t>
      </w:r>
    </w:p>
    <w:p>
      <w:pPr>
        <w:spacing w:after="0" w:line="51" w:lineRule="exact"/>
        <w:rPr>
          <w:sz w:val="20"/>
          <w:szCs w:val="20"/>
          <w:color w:val="auto"/>
        </w:rPr>
      </w:pPr>
    </w:p>
    <w:p>
      <w:pPr>
        <w:ind w:left="1020" w:right="20" w:hanging="566"/>
        <w:spacing w:after="0" w:line="289" w:lineRule="auto"/>
        <w:tabs>
          <w:tab w:leader="none" w:pos="10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VALUE OF SHARES. The aggregate Fair Market Value (determined as of the date the Incentive Stock Option is granted) of the shares of equity securities of the Company with respect to which Incentive Stock Options granted under this Plan and all other option plans of any Parent or Subsidiary become exercisable for the first time by each Grantee during any calendar year shall not exceed $100,000. To the extent that the aggregate fair market value of shares with respect to which Incentive Stock Options are exercisable for the first time by any Grantee during any calendar year exceeds $100,000, such Option shall be treated as a Non-Qualified Stock Option. The foregoing shall be applied by taking options into account in the order in which they were granted, with the fair market value of any share to be determined at the time of the grant of the Option. In the event the foregoing results in a portion of an Incentive Stock Option exceeding the $100,000 limitation, only such excess shall be treated as a Non-Qualified Stock Option.</w:t>
      </w:r>
    </w:p>
    <w:p>
      <w:pPr>
        <w:spacing w:after="0" w:line="37" w:lineRule="exact"/>
        <w:rPr>
          <w:rFonts w:ascii="Arial" w:cs="Arial" w:eastAsia="Arial" w:hAnsi="Arial"/>
          <w:sz w:val="16"/>
          <w:szCs w:val="16"/>
          <w:color w:val="auto"/>
        </w:rPr>
      </w:pPr>
    </w:p>
    <w:p>
      <w:pPr>
        <w:jc w:val="both"/>
        <w:ind w:left="1020" w:hanging="566"/>
        <w:spacing w:after="0" w:line="306" w:lineRule="auto"/>
        <w:tabs>
          <w:tab w:leader="none" w:pos="10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TEN PERCENT STOCKHOLDER. In the case of an Incentive Stock Option granted to a Ten Percent Stockholder, (i) the Option Price shall not be less than one hundred and ten percent (110%) of the Fair Market Value of the shares of Ordinary Shares on the date of grant of such Incentive Stock Option and (ii) the exercise period shall not exceed five (5) years from the date of grant of such Incentive Stock Option.</w:t>
      </w:r>
    </w:p>
    <w:p>
      <w:pPr>
        <w:spacing w:after="0" w:line="228" w:lineRule="exact"/>
        <w:rPr>
          <w:rFonts w:ascii="Arial" w:cs="Arial" w:eastAsia="Arial" w:hAnsi="Arial"/>
          <w:sz w:val="16"/>
          <w:szCs w:val="16"/>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Restricted Stock</w:t>
      </w:r>
    </w:p>
    <w:p>
      <w:pPr>
        <w:spacing w:after="0" w:line="90" w:lineRule="exact"/>
        <w:rPr>
          <w:sz w:val="20"/>
          <w:szCs w:val="20"/>
          <w:color w:val="auto"/>
        </w:rPr>
      </w:pPr>
    </w:p>
    <w:p>
      <w:pPr>
        <w:ind w:left="1040" w:right="60"/>
        <w:spacing w:after="0" w:line="255" w:lineRule="auto"/>
        <w:rPr>
          <w:sz w:val="20"/>
          <w:szCs w:val="20"/>
          <w:color w:val="auto"/>
        </w:rPr>
      </w:pPr>
      <w:r>
        <w:rPr>
          <w:rFonts w:ascii="Arial" w:cs="Arial" w:eastAsia="Arial" w:hAnsi="Arial"/>
          <w:sz w:val="18"/>
          <w:szCs w:val="18"/>
          <w:color w:val="auto"/>
        </w:rPr>
        <w:t>The Committee may award shares of Restricted Stock to any eligible individual. Each award of Restricted Stock under the Plan shall be evidenced by an instrument, in such form as the Committee shall from time to time approve (the “Restricted Stock Agreement”), and shall comply with the following terms and conditions (and with such other terms and conditions not inconsistent with the terms of this Plan as the Committee, in its discretion, shall establish including, without limitation, the requirement that a Grantee provide consideration for Restricted Stock upon the lapse of restrictions):</w:t>
      </w:r>
    </w:p>
    <w:p>
      <w:pPr>
        <w:spacing w:after="0" w:line="62" w:lineRule="exact"/>
        <w:rPr>
          <w:sz w:val="20"/>
          <w:szCs w:val="20"/>
          <w:color w:val="auto"/>
        </w:rPr>
      </w:pPr>
    </w:p>
    <w:p>
      <w:pPr>
        <w:ind w:left="1020" w:hanging="566"/>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Committee shall determine the number of shares of Ordinary Shares to be issued to the Grantee pursuant to the award.</w:t>
      </w:r>
    </w:p>
    <w:p>
      <w:pPr>
        <w:spacing w:after="0" w:line="90" w:lineRule="exact"/>
        <w:rPr>
          <w:sz w:val="20"/>
          <w:szCs w:val="20"/>
          <w:color w:val="auto"/>
        </w:rPr>
      </w:pPr>
    </w:p>
    <w:p>
      <w:pPr>
        <w:ind w:left="1020" w:right="200" w:hanging="559"/>
        <w:spacing w:after="0" w:line="294" w:lineRule="auto"/>
        <w:tabs>
          <w:tab w:leader="none" w:pos="1000" w:val="left"/>
        </w:tabs>
        <w:rPr>
          <w:sz w:val="20"/>
          <w:szCs w:val="20"/>
          <w:color w:val="auto"/>
        </w:rPr>
      </w:pPr>
      <w:r>
        <w:rPr>
          <w:rFonts w:ascii="Arial" w:cs="Arial" w:eastAsia="Arial" w:hAnsi="Arial"/>
          <w:sz w:val="16"/>
          <w:szCs w:val="16"/>
          <w:color w:val="auto"/>
        </w:rPr>
        <w:t>(b)(i)</w:t>
        <w:tab/>
        <w:t>Shares of Restricted Stock may not be sold, assigned, transferred, pledged, hypothecated or otherwise disposed of, except by will or the laws of descent and distribution, for such period as the Committee shall determine from the date on which the award is granted (the “Restricted Period”). The Committee may also impose such other restrictions and conditions on the shares as it deems appropriate including the satisfaction of performance criteria. Certificates for shares of stock issued pursuant to Restricted Stock awards shall bear an appropriate legend referring to such restrictions, and any attempt to dispose of any such shares of stock in contravention of such restrictions shall be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20"/>
          </w:cols>
          <w:pgMar w:left="240" w:top="280" w:right="239" w:bottom="1440" w:gutter="0" w:footer="0" w:header="0"/>
        </w:sectPr>
      </w:pPr>
    </w:p>
    <w:bookmarkStart w:id="20" w:name="page21"/>
    <w:bookmarkEnd w:id="20"/>
    <w:p>
      <w:pPr>
        <w:ind w:left="920" w:right="80"/>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null and void and without effect. During the Restricted Period, such certificates shall be held in escrow by an escrow agent appointed by the Committee. In determining the Restricted Period of an award, the Committee may provide that the foregoing restrictions shall lapse with respect to specified percentages of the awarded shares on successive anniversaries of the date of such award, provided that the restrictions with respect to no more than 25% of the awarded shares shall lapse prior to the first anniversary of the date of grant, no more than additional 25% shall lapse prior to the second anniversary of the date of grant, no more than additional 25% shall lapse prior to the third anniversary of the date of grant and no more than additional 25% shall lapse prior to the fourth anniversary of the date of grant</w:t>
      </w:r>
      <w:r>
        <w:rPr>
          <w:rFonts w:ascii="Arial" w:cs="Arial" w:eastAsia="Arial" w:hAnsi="Arial"/>
          <w:sz w:val="15"/>
          <w:szCs w:val="15"/>
          <w:b w:val="1"/>
          <w:bCs w:val="1"/>
          <w:color w:val="auto"/>
        </w:rPr>
        <w:t>;</w:t>
      </w:r>
      <w:r>
        <w:rPr>
          <w:rFonts w:ascii="Arial" w:cs="Arial" w:eastAsia="Arial" w:hAnsi="Arial"/>
          <w:sz w:val="15"/>
          <w:szCs w:val="15"/>
          <w:color w:val="auto"/>
        </w:rPr>
        <w:t xml:space="preserve"> provided further, however, that the foregoing vesting schedule shall not apply to (A) Restricted Stock granted with restrictions related to satisfaction of performance criteria; or (B) extraordinary circumstances as shall be determined by the Committee which shall include, without limitation, death or disability, a merger, consolidation, sale, reorganization, recapitalization, or change in control of the Company; or any other nonrecurring significant event affecting the Company, a Participant or the Plan.</w:t>
      </w:r>
    </w:p>
    <w:p>
      <w:pPr>
        <w:spacing w:after="0" w:line="27" w:lineRule="exact"/>
        <w:rPr>
          <w:sz w:val="20"/>
          <w:szCs w:val="20"/>
          <w:color w:val="auto"/>
        </w:rPr>
      </w:pPr>
    </w:p>
    <w:p>
      <w:pPr>
        <w:ind w:left="900" w:hanging="446"/>
        <w:spacing w:after="0" w:line="291"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Committee may adjust the performance goals to take into account changes in law and accounting and tax rules and to make such adjustments as the Committee deems necessary or appropriate to reflect the inclusion or exclusion of the impact of extraordinary or unusual items, events or circumstances, provided that no adjustment shall be made which will result in an increase in the compensation of any Grantee whose compensation is subject to the limitation on deductibility under Section 162(m) of the Internal Revenue Code, as amended, or a successor provision, for the applicable year. The Committee also may adjust the performance goals by reducing the amount to be received by any Grantee pursuant to an award if and to the extent that the Committee deems it appropriate.</w:t>
      </w:r>
    </w:p>
    <w:p>
      <w:pPr>
        <w:spacing w:after="0" w:line="39" w:lineRule="exact"/>
        <w:rPr>
          <w:sz w:val="20"/>
          <w:szCs w:val="20"/>
          <w:color w:val="auto"/>
        </w:rPr>
      </w:pPr>
    </w:p>
    <w:p>
      <w:pPr>
        <w:ind w:left="900" w:hanging="446"/>
        <w:spacing w:after="0" w:line="256"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Subject to such exceptions as may be determined by the Committee, if the Grantee’s continuous employment with, or performance of, service for, the Company or any Parent or Subsidiary shall cease for any reason prior to the expiration of the Restricted Period of an award, any shares remaining subject to restrictions (after taking into account the provisions of Subsection (e) of this Section 9) shall be repurchased by the Company or its Subsidiary at a price per share equal to the par value thereof.</w:t>
      </w:r>
    </w:p>
    <w:p>
      <w:pPr>
        <w:spacing w:after="0" w:line="62"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the Restricted Period the Grantee shall possess all incidents of ownership of such shares, subject to Subsection (b) of this Section 9, including the right to receive dividends with respect to such shares and to vote such shares.</w:t>
      </w:r>
    </w:p>
    <w:p>
      <w:pPr>
        <w:spacing w:after="0" w:line="50" w:lineRule="exact"/>
        <w:rPr>
          <w:rFonts w:ascii="Arial" w:cs="Arial" w:eastAsia="Arial" w:hAnsi="Arial"/>
          <w:sz w:val="18"/>
          <w:szCs w:val="18"/>
          <w:color w:val="auto"/>
        </w:rPr>
      </w:pPr>
    </w:p>
    <w:p>
      <w:pPr>
        <w:ind w:left="900" w:right="38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Committee shall have the authority (and the Restricted Stock Agreement may so provide) to cancel all or any portion of any outstanding restrictions prior to the expiration of the Restricted Period with respect to any or all of the shares of Restricted Stock awarded on such terms and conditions as the Committee shall deem appropriate.</w:t>
      </w:r>
    </w:p>
    <w:p>
      <w:pPr>
        <w:spacing w:after="0" w:line="26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9A.</w:t>
      </w:r>
      <w:r>
        <w:rPr>
          <w:sz w:val="20"/>
          <w:szCs w:val="20"/>
          <w:color w:val="auto"/>
        </w:rPr>
        <w:tab/>
      </w:r>
      <w:r>
        <w:rPr>
          <w:rFonts w:ascii="Arial" w:cs="Arial" w:eastAsia="Arial" w:hAnsi="Arial"/>
          <w:sz w:val="18"/>
          <w:szCs w:val="18"/>
          <w:u w:val="single" w:color="auto"/>
          <w:color w:val="auto"/>
        </w:rPr>
        <w:t>Stock Appreciation Rights</w:t>
      </w:r>
    </w:p>
    <w:p>
      <w:pPr>
        <w:spacing w:after="0" w:line="90" w:lineRule="exact"/>
        <w:rPr>
          <w:sz w:val="20"/>
          <w:szCs w:val="20"/>
          <w:color w:val="auto"/>
        </w:rPr>
      </w:pPr>
    </w:p>
    <w:p>
      <w:pPr>
        <w:ind w:left="900" w:right="42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Committee may also grant stock appreciation rights (“SARs”) without the grant of an accompanying option, which rights shall permit the Grantees to receive, at the time of any exercise of such rights, cash equal to the amount by which the fair market value of all shares of Ordinary Shares in respect to which the right was granted exceeds the exercise price thereof.</w:t>
      </w:r>
    </w:p>
    <w:p>
      <w:pPr>
        <w:spacing w:after="0" w:line="59" w:lineRule="exact"/>
        <w:rPr>
          <w:rFonts w:ascii="Arial" w:cs="Arial" w:eastAsia="Arial" w:hAnsi="Arial"/>
          <w:sz w:val="18"/>
          <w:szCs w:val="18"/>
          <w:color w:val="auto"/>
        </w:rPr>
      </w:pPr>
    </w:p>
    <w:p>
      <w:pPr>
        <w:jc w:val="both"/>
        <w:ind w:left="900" w:right="240" w:hanging="446"/>
        <w:spacing w:after="0" w:line="306"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Committee shall establish the exercise price of each SAR and specify it in the applicable SAR agreement. The exercise price shall not be less than 100% of the Fair Market Value on the date the SAR is granted; provided that if the Committee approves the grant of an SAR effective as of a future date, the exercise price shall be not less than 100% of the Fair Market Value on such future date.</w:t>
      </w:r>
    </w:p>
    <w:p>
      <w:pPr>
        <w:spacing w:after="0" w:line="25" w:lineRule="exact"/>
        <w:rPr>
          <w:rFonts w:ascii="Arial" w:cs="Arial" w:eastAsia="Arial" w:hAnsi="Arial"/>
          <w:sz w:val="16"/>
          <w:szCs w:val="16"/>
          <w:color w:val="auto"/>
        </w:rPr>
      </w:pPr>
    </w:p>
    <w:p>
      <w:pPr>
        <w:ind w:left="900" w:right="74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SAR shall be exercisable at such times and subject to such terms and conditions as the Committee may specify in the applicable SAR agreement; provided, however, that no SAR will be granted with a term in excess of 10 years.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400"/>
          </w:cols>
          <w:pgMar w:left="240" w:top="280" w:right="259" w:bottom="1440" w:gutter="0" w:footer="0" w:header="0"/>
        </w:sectPr>
      </w:pPr>
    </w:p>
    <w:bookmarkStart w:id="21" w:name="page22"/>
    <w:bookmarkEnd w:id="21"/>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9B.</w:t>
      </w:r>
      <w:r>
        <w:rPr>
          <w:sz w:val="20"/>
          <w:szCs w:val="20"/>
          <w:color w:val="auto"/>
        </w:rPr>
        <w:tab/>
      </w:r>
      <w:r>
        <w:rPr>
          <w:rFonts w:ascii="Arial" w:cs="Arial" w:eastAsia="Arial" w:hAnsi="Arial"/>
          <w:sz w:val="18"/>
          <w:szCs w:val="18"/>
          <w:u w:val="single" w:color="auto"/>
          <w:color w:val="auto"/>
        </w:rPr>
        <w:t>Other Stock-Based Awards</w:t>
      </w:r>
    </w:p>
    <w:p>
      <w:pPr>
        <w:spacing w:after="0" w:line="90" w:lineRule="exact"/>
        <w:rPr>
          <w:sz w:val="20"/>
          <w:szCs w:val="20"/>
          <w:color w:val="auto"/>
        </w:rPr>
      </w:pPr>
    </w:p>
    <w:p>
      <w:pPr>
        <w:ind w:left="920" w:right="80"/>
        <w:spacing w:after="0" w:line="291" w:lineRule="auto"/>
        <w:rPr>
          <w:sz w:val="20"/>
          <w:szCs w:val="20"/>
          <w:color w:val="auto"/>
        </w:rPr>
      </w:pPr>
      <w:r>
        <w:rPr>
          <w:rFonts w:ascii="Arial" w:cs="Arial" w:eastAsia="Arial" w:hAnsi="Arial"/>
          <w:sz w:val="16"/>
          <w:szCs w:val="16"/>
          <w:color w:val="auto"/>
        </w:rPr>
        <w:t>The Committee may grant other awards under the Plan pursuant to which shares of Ordinary Shares (which may, but need not, be shares of Restricted Stock pursuant to Section 9 hereof) are or may in the future be acquired, or awards denominated in stock units, including ones values using measures other than market value. Such other stock based awards may be granted alone, in addition to, or in tandem with any award of any typed granted under the plan and must be consistent with the purposes of the Plan. From and after November 30, 2011, the Committee may not award such stock-based awards, including but not limited to Shares of Restricted Stock or awards denominated in stock units (but excluding options and SARs), in an aggregate amount that exceeds 7,554,579 Ordinary Shares.</w:t>
      </w:r>
    </w:p>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9C.</w:t>
      </w:r>
      <w:r>
        <w:rPr>
          <w:sz w:val="20"/>
          <w:szCs w:val="20"/>
          <w:color w:val="auto"/>
        </w:rPr>
        <w:tab/>
      </w:r>
      <w:r>
        <w:rPr>
          <w:rFonts w:ascii="Arial" w:cs="Arial" w:eastAsia="Arial" w:hAnsi="Arial"/>
          <w:sz w:val="18"/>
          <w:szCs w:val="18"/>
          <w:u w:val="single" w:color="auto"/>
          <w:color w:val="auto"/>
        </w:rPr>
        <w:t>Limitations and Conditions.</w:t>
      </w:r>
    </w:p>
    <w:p>
      <w:pPr>
        <w:spacing w:after="0" w:line="90" w:lineRule="exact"/>
        <w:rPr>
          <w:sz w:val="20"/>
          <w:szCs w:val="20"/>
          <w:color w:val="auto"/>
        </w:rPr>
      </w:pPr>
    </w:p>
    <w:p>
      <w:pPr>
        <w:ind w:left="900" w:hanging="446"/>
        <w:spacing w:after="0" w:line="290"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the event that the Company makes an acquisition or is a party to a merger or consolidation and the Company assumes or substitutes for the options or other awards consistent with the purpose of this Plan of the Company acquired, merged or consolidated which are administered pursuant to this Plan, shares of Ordinary Shares subject to the assumed or substiuted options or other awards shall not count as part of the total number of shares of Ordinary Shares that may be made subject to awards under this Plan or the limitation on other stock-based awards under Section 9B hereof, except as may be required by reason of Section 422 and related provisions of the Code. Any assumed or substituted awards to be administered under the Plan shall be on such terms as the Board deems appropriate in the circumstances, notwithstanding any limitations on the terms and conditions of awards contained in the Plan.</w:t>
      </w:r>
    </w:p>
    <w:p>
      <w:pPr>
        <w:spacing w:after="0" w:line="37" w:lineRule="exact"/>
        <w:rPr>
          <w:rFonts w:ascii="Arial" w:cs="Arial" w:eastAsia="Arial" w:hAnsi="Arial"/>
          <w:sz w:val="16"/>
          <w:szCs w:val="16"/>
          <w:color w:val="auto"/>
        </w:rPr>
      </w:pPr>
    </w:p>
    <w:p>
      <w:pPr>
        <w:ind w:left="900" w:right="40" w:hanging="446"/>
        <w:spacing w:after="0" w:line="314" w:lineRule="auto"/>
        <w:tabs>
          <w:tab w:leader="none" w:pos="9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Subject to section 5 above, any shares that have been made subject to an award that cease to be subject to the award (other than by reason of exercise or payment of the award to the extent it is settled in shares) shall again be available for award and shall not be considered as having been theretofore made subject to award. For the avoidance of doubt, any shares that have been made subject to an award made prior to November 30, 2011 and of the type described in the last sentence of Section 9B that cease to be subject to such award (other than by reason of exercise or payment of the award to the extent it is settled in shares) shall again be available for awards of the type described in the last sentence of Section 9B, without regard to the sublimit set forth in the last sentence of Section 9B, and shall not be considered as having been theretofore made subject to award.</w:t>
      </w:r>
    </w:p>
    <w:p>
      <w:pPr>
        <w:spacing w:after="0" w:line="23" w:lineRule="exact"/>
        <w:rPr>
          <w:rFonts w:ascii="Arial" w:cs="Arial" w:eastAsia="Arial" w:hAnsi="Arial"/>
          <w:sz w:val="15"/>
          <w:szCs w:val="15"/>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Nothing contained herein shall affect the right of the Company to terminate any Grantee’s employment at any time or for any reason.</w:t>
      </w:r>
    </w:p>
    <w:p>
      <w:pPr>
        <w:spacing w:after="0" w:line="316"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Effect of Certain Changes</w:t>
      </w:r>
    </w:p>
    <w:p>
      <w:pPr>
        <w:spacing w:after="0" w:line="90" w:lineRule="exact"/>
        <w:rPr>
          <w:rFonts w:ascii="Arial" w:cs="Arial" w:eastAsia="Arial" w:hAnsi="Arial"/>
          <w:sz w:val="18"/>
          <w:szCs w:val="18"/>
          <w:color w:val="auto"/>
        </w:rPr>
      </w:pPr>
    </w:p>
    <w:p>
      <w:pPr>
        <w:ind w:left="900" w:right="40" w:hanging="446"/>
        <w:spacing w:after="0" w:line="291" w:lineRule="auto"/>
        <w:tabs>
          <w:tab w:leader="none" w:pos="9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If there is any change in the shares of Ordinary Shares through the declaration of stock dividends, recapitalization, stock splits, combinations or exchanges of such shares, or other similar transactions, which result in any increase or decrease in the number of issued Ordinary Shares effected without receipt of consideration (provided, however, that conversion of any convertible security of the Company shall not be deemed to have been effected without receipt of consideration), the number of shares of Ordinary Shares available for awards, the number of such shares covered by outstanding awards, and the price per share of Options shall be proportionately adjusted by the Committee to reflect such change in the issued shares of Ordinary Shares; provided, however, that any fractional shares resulting from such adjustment shall be eliminated.</w:t>
      </w:r>
    </w:p>
    <w:p>
      <w:pPr>
        <w:spacing w:after="0" w:line="39" w:lineRule="exact"/>
        <w:rPr>
          <w:rFonts w:ascii="Arial" w:cs="Arial" w:eastAsia="Arial" w:hAnsi="Arial"/>
          <w:sz w:val="16"/>
          <w:szCs w:val="16"/>
          <w:color w:val="auto"/>
        </w:rPr>
      </w:pPr>
    </w:p>
    <w:p>
      <w:pPr>
        <w:ind w:left="900" w:right="320" w:hanging="446"/>
        <w:spacing w:after="0" w:line="268"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 the event of the dissolution or liquidation of the Company or in the event of any corporate separation or division, including, but not limited to, split-up, split-off or spin-off or in the event of other similar transactions, the Committee may provide that:</w:t>
      </w:r>
    </w:p>
    <w:p>
      <w:pPr>
        <w:spacing w:after="0" w:line="50" w:lineRule="exact"/>
        <w:rPr>
          <w:rFonts w:ascii="Arial" w:cs="Arial" w:eastAsia="Arial" w:hAnsi="Arial"/>
          <w:sz w:val="18"/>
          <w:szCs w:val="18"/>
          <w:color w:val="auto"/>
        </w:rPr>
      </w:pPr>
    </w:p>
    <w:p>
      <w:pPr>
        <w:ind w:left="1480" w:right="60" w:hanging="567"/>
        <w:spacing w:after="0" w:line="255" w:lineRule="auto"/>
        <w:tabs>
          <w:tab w:leader="none" w:pos="14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Grantee of any award hereunder shall have the right to exercise an Option (at its then Option price) or to receive in respect of other types of awards the kind and amount of shares of stock and other securities, property, cash or any combination thereof receivable upon such dissolution, liquidation, or corporate separation or division by a Grantee of the number of shares of Ordinary Shares subject to such award for which such award might have been exercised or realized immediately prior to such dissolution, liquidation, or corporate separation or division; or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400"/>
          </w:cols>
          <w:pgMar w:left="240" w:top="280" w:right="259" w:bottom="1440" w:gutter="0" w:footer="0" w:header="0"/>
        </w:sectPr>
      </w:pPr>
    </w:p>
    <w:bookmarkStart w:id="22" w:name="page23"/>
    <w:bookmarkEnd w:id="22"/>
    <w:p>
      <w:pPr>
        <w:ind w:left="1472" w:right="40" w:hanging="567"/>
        <w:spacing w:after="0" w:line="256" w:lineRule="auto"/>
        <w:tabs>
          <w:tab w:leader="none" w:pos="1472"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award granted under the Plan shall terminate as of a date to be fixed by the Committee and that not less than thirty (30) days’ written notice of the date so fixed shall be given to each Grantee, who shall have the right, during the period of thirty (30) days preceding such termination, to exercise or otherwise realize with respect to such awards all or any part of the shares of Ordinary Shares and other securities, property, cash or any combination thereof, covered thereby.</w:t>
      </w:r>
    </w:p>
    <w:p>
      <w:pPr>
        <w:spacing w:after="0" w:line="62" w:lineRule="exact"/>
        <w:rPr>
          <w:sz w:val="20"/>
          <w:szCs w:val="20"/>
          <w:color w:val="auto"/>
        </w:rPr>
      </w:pPr>
    </w:p>
    <w:p>
      <w:pPr>
        <w:ind w:left="912"/>
        <w:spacing w:after="0" w:line="294" w:lineRule="auto"/>
        <w:rPr>
          <w:sz w:val="20"/>
          <w:szCs w:val="20"/>
          <w:color w:val="auto"/>
        </w:rPr>
      </w:pPr>
      <w:r>
        <w:rPr>
          <w:rFonts w:ascii="Arial" w:cs="Arial" w:eastAsia="Arial" w:hAnsi="Arial"/>
          <w:sz w:val="16"/>
          <w:szCs w:val="16"/>
          <w:color w:val="auto"/>
        </w:rPr>
        <w:t>In the event of a proposed sale of all or substantially all of the assets of the Company or the merger of the Company with or into another corporation, the Committee may provide that any award then outstanding shall be assumed or an equivalent award shall be substituted by such successor corporation or a parent or subsidiary of such successor corporation, unless such successor corporation does not agree to assume the award or to substitute an equivalent award, in which case the Committee shall, in lieu of such assumption or substitution, provide for the realization of such outstanding awards in the manner set forth in subsections 10(b)(i) or 10(b)(ii) above.</w:t>
      </w:r>
    </w:p>
    <w:p>
      <w:pPr>
        <w:spacing w:after="0" w:line="35" w:lineRule="exact"/>
        <w:rPr>
          <w:sz w:val="20"/>
          <w:szCs w:val="20"/>
          <w:color w:val="auto"/>
        </w:rPr>
      </w:pPr>
    </w:p>
    <w:p>
      <w:pPr>
        <w:jc w:val="both"/>
        <w:ind w:left="892" w:right="180" w:hanging="446"/>
        <w:spacing w:after="0" w:line="259" w:lineRule="auto"/>
        <w:tabs>
          <w:tab w:leader="none" w:pos="892"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the event of a change in the Ordinary Shares of the Company as presently constituted that is limited to a change of all of its authorized shares of Ordinary Shares into the same number of shares with a different par value or without par value, the shares resulting from any such change shall be deemed to be the Ordinary Shares within the meaning of the Plan.</w:t>
      </w:r>
    </w:p>
    <w:p>
      <w:pPr>
        <w:spacing w:after="0" w:line="59" w:lineRule="exact"/>
        <w:rPr>
          <w:rFonts w:ascii="Arial" w:cs="Arial" w:eastAsia="Arial" w:hAnsi="Arial"/>
          <w:sz w:val="18"/>
          <w:szCs w:val="18"/>
          <w:color w:val="auto"/>
        </w:rPr>
      </w:pPr>
    </w:p>
    <w:p>
      <w:pPr>
        <w:ind w:left="892" w:hanging="446"/>
        <w:spacing w:after="0" w:line="286" w:lineRule="auto"/>
        <w:tabs>
          <w:tab w:leader="none" w:pos="892" w:val="left"/>
        </w:tabs>
        <w:numPr>
          <w:ilvl w:val="1"/>
          <w:numId w:val="30"/>
        </w:numPr>
        <w:rPr>
          <w:rFonts w:ascii="Arial" w:cs="Arial" w:eastAsia="Arial" w:hAnsi="Arial"/>
          <w:sz w:val="16"/>
          <w:szCs w:val="16"/>
          <w:color w:val="auto"/>
        </w:rPr>
      </w:pPr>
      <w:r>
        <w:rPr>
          <w:rFonts w:ascii="Arial" w:cs="Arial" w:eastAsia="Arial" w:hAnsi="Arial"/>
          <w:sz w:val="16"/>
          <w:szCs w:val="16"/>
          <w:color w:val="auto"/>
        </w:rPr>
        <w:t>Except as herein before expressly provided in this Section 10, the Grantee of an award hereunder shall have no rights by reason of any subdivision or consolidation of shares of stock of any class or the payment of any stock dividend or any other increase or decrease in the number of shares of stock of any class or by reason of any dissolution, liquidation, merger, or consolidation or spin-off of assets or stock of another company; and any issue by the Company of shares of stock of any class, or securities convertible into shares of stock of any class, shall not affect, and no adjustment by reason thereof shall be made with respect to, the number or price of shares of Ordinary Shares subject to an award. Except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awards may not be amended to reduce the exercise price of outstanding Options or stock appreciation rights or cancel outstanding Options or stock appreciation rights in exchange for cash, other awards or Options or stock appreciation rights with an exercise price that is less than the exercise price of the original Options or stock appreciation rights without shareholder approval. The grant of an award pursuant to the Plan shall not affect in any way the right or power of the Company to make adjustments, reclassifications, reorganizations or changes of its capital or business structures or to merge or to consolidate or to dissolve, liquidate or sell, or transfer all or part of its business or assets or engage in any similar transactions.</w:t>
      </w:r>
    </w:p>
    <w:p>
      <w:pPr>
        <w:spacing w:after="0" w:line="245" w:lineRule="exact"/>
        <w:rPr>
          <w:rFonts w:ascii="Arial" w:cs="Arial" w:eastAsia="Arial" w:hAnsi="Arial"/>
          <w:sz w:val="16"/>
          <w:szCs w:val="16"/>
          <w:color w:val="auto"/>
        </w:rPr>
      </w:pPr>
    </w:p>
    <w:p>
      <w:pPr>
        <w:ind w:left="452" w:hanging="452"/>
        <w:spacing w:after="0"/>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Effective Date and Term of the Plan</w:t>
      </w:r>
    </w:p>
    <w:p>
      <w:pPr>
        <w:spacing w:after="0" w:line="90" w:lineRule="exact"/>
        <w:rPr>
          <w:sz w:val="20"/>
          <w:szCs w:val="20"/>
          <w:color w:val="auto"/>
        </w:rPr>
      </w:pPr>
    </w:p>
    <w:p>
      <w:pPr>
        <w:ind w:left="912" w:right="60"/>
        <w:spacing w:after="0" w:line="268" w:lineRule="auto"/>
        <w:rPr>
          <w:sz w:val="20"/>
          <w:szCs w:val="20"/>
          <w:color w:val="auto"/>
        </w:rPr>
      </w:pPr>
      <w:r>
        <w:rPr>
          <w:rFonts w:ascii="Arial" w:cs="Arial" w:eastAsia="Arial" w:hAnsi="Arial"/>
          <w:sz w:val="18"/>
          <w:szCs w:val="18"/>
          <w:color w:val="auto"/>
        </w:rPr>
        <w:t>Awards may be granted pursuant to the Plan from time to time by no later than January 17, 2016, but awards previously granted may extend beyond such date</w:t>
      </w:r>
    </w:p>
    <w:p>
      <w:pPr>
        <w:spacing w:after="0" w:line="254" w:lineRule="exact"/>
        <w:rPr>
          <w:sz w:val="20"/>
          <w:szCs w:val="20"/>
          <w:color w:val="auto"/>
        </w:rPr>
      </w:pPr>
    </w:p>
    <w:p>
      <w:pPr>
        <w:ind w:left="452" w:hanging="452"/>
        <w:spacing w:after="0"/>
        <w:tabs>
          <w:tab w:leader="none" w:pos="452"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Nontransferability of Awards</w:t>
      </w:r>
    </w:p>
    <w:p>
      <w:pPr>
        <w:spacing w:after="0" w:line="90" w:lineRule="exact"/>
        <w:rPr>
          <w:sz w:val="20"/>
          <w:szCs w:val="20"/>
          <w:color w:val="auto"/>
        </w:rPr>
      </w:pPr>
    </w:p>
    <w:p>
      <w:pPr>
        <w:ind w:left="912"/>
        <w:spacing w:after="0" w:line="259" w:lineRule="auto"/>
        <w:rPr>
          <w:sz w:val="20"/>
          <w:szCs w:val="20"/>
          <w:color w:val="auto"/>
        </w:rPr>
      </w:pPr>
      <w:r>
        <w:rPr>
          <w:rFonts w:ascii="Arial" w:cs="Arial" w:eastAsia="Arial" w:hAnsi="Arial"/>
          <w:sz w:val="18"/>
          <w:szCs w:val="18"/>
          <w:color w:val="auto"/>
        </w:rPr>
        <w:t>Awards granted under the Plan shall not be transferable otherwise than by will or by the laws of descent and distribution, other than pursuant to a valid qualified domestic relations order issued by a court pursuant to Section 414(p) of the Code, and awards may be exercised or otherwise realized, during the lifetime of the Grantee, only by the Grantee.</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372"/>
          </w:cols>
          <w:pgMar w:left="248" w:top="280" w:right="279" w:bottom="1440" w:gutter="0" w:footer="0" w:header="0"/>
        </w:sectPr>
      </w:pPr>
    </w:p>
    <w:bookmarkStart w:id="23" w:name="page24"/>
    <w:bookmarkEnd w:id="23"/>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Approval of Shareholders</w:t>
      </w:r>
    </w:p>
    <w:p>
      <w:pPr>
        <w:spacing w:after="0" w:line="90" w:lineRule="exact"/>
        <w:rPr>
          <w:sz w:val="20"/>
          <w:szCs w:val="20"/>
          <w:color w:val="auto"/>
        </w:rPr>
      </w:pPr>
    </w:p>
    <w:p>
      <w:pPr>
        <w:ind w:left="920" w:right="200"/>
        <w:spacing w:after="0" w:line="306" w:lineRule="auto"/>
        <w:rPr>
          <w:sz w:val="20"/>
          <w:szCs w:val="20"/>
          <w:color w:val="auto"/>
        </w:rPr>
      </w:pPr>
      <w:r>
        <w:rPr>
          <w:rFonts w:ascii="Arial" w:cs="Arial" w:eastAsia="Arial" w:hAnsi="Arial"/>
          <w:sz w:val="16"/>
          <w:szCs w:val="16"/>
          <w:color w:val="auto"/>
        </w:rPr>
        <w:t>The Plan shall take effect upon its adoption by the Board but the Plan (and any grants of awards made prior to the shareholder approval mentioned herein) shall be subject to the approval of the holder(s) of a majority of the issued and outstanding shares of voting securities of the Company entitled to vote, which approval must occur within twelve months of the date the Plan is adopted by the Board.</w:t>
      </w:r>
    </w:p>
    <w:p>
      <w:pPr>
        <w:spacing w:after="0" w:line="228"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Agreement by Grantee Regarding Withholding Taxes</w:t>
      </w:r>
    </w:p>
    <w:p>
      <w:pPr>
        <w:spacing w:after="0" w:line="90"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color w:val="auto"/>
        </w:rPr>
        <w:t>If the Committee shall so require, as a condition of exercise of an Option or other realization of an award, each Grantee shall agree that no later than the date of exercise or other realization of an award granted hereunder, the Grantee will pay to the Company or make arrangements satisfactory to the Committee regarding payment of any federal, state or local taxes of any kind required by law to be withheld upon the exercise of an Option or other realization of an award. Alternatively, the Committee may provide that a Grantee may elect, to the extent permitted or required by law, to have the Company deduct federal, state and local taxes of any kind required by law to be withheld upon the exercise of an Option or realization of any award from any payment of any kind due to the Grantee.</w:t>
      </w:r>
    </w:p>
    <w:p>
      <w:pPr>
        <w:spacing w:after="0" w:line="242"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p>
    <w:p>
      <w:pPr>
        <w:spacing w:after="0" w:line="90" w:lineRule="exact"/>
        <w:rPr>
          <w:sz w:val="20"/>
          <w:szCs w:val="20"/>
          <w:color w:val="auto"/>
        </w:rPr>
      </w:pPr>
    </w:p>
    <w:p>
      <w:pPr>
        <w:ind w:left="920" w:right="40"/>
        <w:spacing w:after="0" w:line="302" w:lineRule="auto"/>
        <w:rPr>
          <w:sz w:val="20"/>
          <w:szCs w:val="20"/>
          <w:color w:val="auto"/>
        </w:rPr>
      </w:pPr>
      <w:r>
        <w:rPr>
          <w:rFonts w:ascii="Arial" w:cs="Arial" w:eastAsia="Arial" w:hAnsi="Arial"/>
          <w:sz w:val="15"/>
          <w:szCs w:val="15"/>
          <w:color w:val="auto"/>
        </w:rPr>
        <w:t>The Board at any time and from time to time may suspend, terminate, modify or amend the Plan; provided, however, that any amendment that would increase the aggregate number of Ordinary Shares as to which awards may be granted under the Plan or materially increase the benefits accruing to Grantees under the Plan or change the class of employees eligible for participation in the Plan or reduce the basis upon which the minimum Option Price is determined or extend the period within which awards under the Plan may be granted or provide for an Option that is exercisable more than</w:t>
      </w:r>
    </w:p>
    <w:p>
      <w:pPr>
        <w:spacing w:after="0" w:line="3" w:lineRule="exact"/>
        <w:rPr>
          <w:sz w:val="20"/>
          <w:szCs w:val="20"/>
          <w:color w:val="auto"/>
        </w:rPr>
      </w:pPr>
    </w:p>
    <w:p>
      <w:pPr>
        <w:ind w:left="920"/>
        <w:spacing w:after="0" w:line="286" w:lineRule="auto"/>
        <w:rPr>
          <w:sz w:val="20"/>
          <w:szCs w:val="20"/>
          <w:color w:val="auto"/>
        </w:rPr>
      </w:pPr>
      <w:r>
        <w:rPr>
          <w:rFonts w:ascii="Arial" w:cs="Arial" w:eastAsia="Arial" w:hAnsi="Arial"/>
          <w:sz w:val="16"/>
          <w:szCs w:val="16"/>
          <w:color w:val="auto"/>
        </w:rPr>
        <w:t>10 years after the date it is granted shall be subject to the approval of the holders of a majority of the Ordinary Shares issued and outstanding, except that any such increase or modification that may result from adjustments authorized by Section 10 hereof shall not require such approval. Except as provided in Section 10 hereof, no suspension, termination, modification or amendment of the Plan may adversely affect any award previously granted, unless the written consent of the Grantee is obtained. In addition, unless such action is approved by the Company’s shareholders: (1) no outstanding Option or SAR granted under the Plan may be amended to provide an exercise price per share that is lower than the then-current exercise price per share of such outstanding Option or SAR (other than adjustments pursuant to Section 10) and (2) the Board may not cancel any outstanding Option or SAR (whether or not granted under the Plan) and grant in substitution therefore new awards under the Plan covering the same or a different number of shares of Ordinary Shares and having an exercise price per share lower than the then-current exercise price per share of the cancelled Option or SAR. No Option or SAR granted under the Plan shall contain any provision entitling the Grantee to the automatic grant of additional Options or SARs in connection with any exercise of the original Option or SAR.</w:t>
      </w:r>
    </w:p>
    <w:p>
      <w:pPr>
        <w:spacing w:after="0" w:line="246"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p>
    <w:p>
      <w:pPr>
        <w:spacing w:after="0" w:line="90" w:lineRule="exact"/>
        <w:rPr>
          <w:sz w:val="20"/>
          <w:szCs w:val="20"/>
          <w:color w:val="auto"/>
        </w:rPr>
      </w:pPr>
    </w:p>
    <w:p>
      <w:pPr>
        <w:ind w:left="920" w:right="240"/>
        <w:spacing w:after="0" w:line="256" w:lineRule="auto"/>
        <w:rPr>
          <w:sz w:val="20"/>
          <w:szCs w:val="20"/>
          <w:color w:val="auto"/>
        </w:rPr>
      </w:pPr>
      <w:r>
        <w:rPr>
          <w:rFonts w:ascii="Arial" w:cs="Arial" w:eastAsia="Arial" w:hAnsi="Arial"/>
          <w:sz w:val="18"/>
          <w:szCs w:val="18"/>
          <w:color w:val="auto"/>
        </w:rPr>
        <w:t>Except as provided in Section 9(d) hereof, a Grantee or a transferee of an award shall have no rights as a shareholder with respect to any shares covered by the award until the date of the issuance of a stock certificate to him or her for such shares. No adjustment shall be made for dividends (ordinary or extraordinary, whether in cash, securities or other property) or distribution of other rights for which the record date is prior to the date such stock certificate is issued, except as provided in Section 10 hereof.</w:t>
      </w:r>
    </w:p>
    <w:p>
      <w:pPr>
        <w:spacing w:after="0" w:line="265"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No Rights to Employment</w:t>
      </w:r>
    </w:p>
    <w:p>
      <w:pPr>
        <w:spacing w:after="0" w:line="90" w:lineRule="exact"/>
        <w:rPr>
          <w:sz w:val="20"/>
          <w:szCs w:val="20"/>
          <w:color w:val="auto"/>
        </w:rPr>
      </w:pPr>
    </w:p>
    <w:p>
      <w:pPr>
        <w:ind w:left="920" w:right="60"/>
        <w:spacing w:after="0" w:line="255" w:lineRule="auto"/>
        <w:rPr>
          <w:sz w:val="20"/>
          <w:szCs w:val="20"/>
          <w:color w:val="auto"/>
        </w:rPr>
      </w:pPr>
      <w:r>
        <w:rPr>
          <w:rFonts w:ascii="Arial" w:cs="Arial" w:eastAsia="Arial" w:hAnsi="Arial"/>
          <w:sz w:val="18"/>
          <w:szCs w:val="18"/>
          <w:color w:val="auto"/>
        </w:rPr>
        <w:t>Nothing in the Plan or in any award granted or Agreement entered into pursuant hereto shall confer upon any Grantee the right to continue in the employ of the Company or any subsidiary or to be entitled to any remuneration or benefits not set forth in the Plan or such Agreement or to interfere with or limit in any way the right of the Company or any such subsidiary to terminate such Grantee’s employment or services. Awards granted under the Plan shall not be affected by any change in duties or position of a Grantee as long as such Grantee continues in the employ of the Company or any subsidiary.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420"/>
          </w:cols>
          <w:pgMar w:left="240" w:top="280" w:right="239" w:bottom="1440" w:gutter="0" w:footer="0" w:header="0"/>
        </w:sectPr>
      </w:pPr>
    </w:p>
    <w:bookmarkStart w:id="24" w:name="page25"/>
    <w:bookmarkEnd w:id="24"/>
    <w:p>
      <w:pPr>
        <w:ind w:left="452" w:hanging="452"/>
        <w:spacing w:after="0"/>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Beneficiary</w:t>
      </w:r>
    </w:p>
    <w:p>
      <w:pPr>
        <w:spacing w:after="0" w:line="90" w:lineRule="exact"/>
        <w:rPr>
          <w:sz w:val="20"/>
          <w:szCs w:val="20"/>
          <w:color w:val="auto"/>
        </w:rPr>
      </w:pPr>
    </w:p>
    <w:p>
      <w:pPr>
        <w:ind w:left="912"/>
        <w:spacing w:after="0" w:line="259" w:lineRule="auto"/>
        <w:rPr>
          <w:sz w:val="20"/>
          <w:szCs w:val="20"/>
          <w:color w:val="auto"/>
        </w:rPr>
      </w:pPr>
      <w:r>
        <w:rPr>
          <w:rFonts w:ascii="Arial" w:cs="Arial" w:eastAsia="Arial" w:hAnsi="Arial"/>
          <w:sz w:val="18"/>
          <w:szCs w:val="18"/>
          <w:color w:val="auto"/>
        </w:rPr>
        <w:t>A Grantee may file with the Committee a written designation of a beneficiary on such form as may be prescribed by the Committee and may, from time to time, amend or revoke such designation. If no designated beneficiary survives the Grantee, the executor or administrator of the Grantee’s estate shall be deemed to be the Grantee’s beneficiary.</w:t>
      </w:r>
    </w:p>
    <w:p>
      <w:pPr>
        <w:spacing w:after="0" w:line="262" w:lineRule="exact"/>
        <w:rPr>
          <w:sz w:val="20"/>
          <w:szCs w:val="20"/>
          <w:color w:val="auto"/>
        </w:rPr>
      </w:pPr>
    </w:p>
    <w:p>
      <w:pPr>
        <w:ind w:left="452" w:hanging="452"/>
        <w:spacing w:after="0"/>
        <w:tabs>
          <w:tab w:leader="none" w:pos="452"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left="912"/>
        <w:spacing w:after="0"/>
        <w:rPr>
          <w:sz w:val="20"/>
          <w:szCs w:val="20"/>
          <w:color w:val="auto"/>
        </w:rPr>
      </w:pPr>
      <w:r>
        <w:rPr>
          <w:rFonts w:ascii="Arial" w:cs="Arial" w:eastAsia="Arial" w:hAnsi="Arial"/>
          <w:sz w:val="18"/>
          <w:szCs w:val="18"/>
          <w:color w:val="auto"/>
        </w:rPr>
        <w:t>The Plan and all determinations made and actions taken pursuant hereto shall be governed by the laws of the State of New York.</w:t>
      </w:r>
    </w:p>
    <w:p>
      <w:pPr>
        <w:spacing w:after="0" w:line="158" w:lineRule="exact"/>
        <w:rPr>
          <w:sz w:val="20"/>
          <w:szCs w:val="20"/>
          <w:color w:val="auto"/>
        </w:rPr>
      </w:pPr>
    </w:p>
    <w:p>
      <w:pPr>
        <w:ind w:left="5532"/>
        <w:spacing w:after="0"/>
        <w:rPr>
          <w:sz w:val="20"/>
          <w:szCs w:val="20"/>
          <w:color w:val="auto"/>
        </w:rPr>
      </w:pPr>
      <w:r>
        <w:rPr>
          <w:rFonts w:ascii="Arial" w:cs="Arial" w:eastAsia="Arial" w:hAnsi="Arial"/>
          <w:sz w:val="18"/>
          <w:szCs w:val="18"/>
          <w:color w:val="auto"/>
        </w:rPr>
        <w:t>C-10</w:t>
      </w:r>
    </w:p>
    <w:sectPr>
      <w:pgSz w:w="11900" w:h="16838" w:orient="portrait"/>
      <w:cols w:equalWidth="0" w:num="1">
        <w:col w:w="11212"/>
      </w:cols>
      <w:pgMar w:left="248" w:top="28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1."/>
      <w:numFmt w:val="decimal"/>
      <w:start w:val="2"/>
    </w:lvl>
  </w:abstractNum>
  <w:abstractNum w:abstractNumId="3">
    <w:nsid w:val="333AB105"/>
    <w:multiLevelType w:val="hybridMultilevel"/>
    <w:lvl w:ilvl="0">
      <w:lvlJc w:val="left"/>
      <w:lvlText w:val="%1."/>
      <w:numFmt w:val="decimal"/>
      <w:start w:val="3"/>
    </w:lvl>
  </w:abstractNum>
  <w:abstractNum w:abstractNumId="4">
    <w:nsid w:val="721DA317"/>
    <w:multiLevelType w:val="hybridMultilevel"/>
    <w:lvl w:ilvl="0">
      <w:lvlJc w:val="left"/>
      <w:lvlText w:val="%1."/>
      <w:numFmt w:val="decimal"/>
      <w:start w:val="4"/>
    </w:lvl>
  </w:abstractNum>
  <w:abstractNum w:abstractNumId="5">
    <w:nsid w:val="2443A858"/>
    <w:multiLevelType w:val="hybridMultilevel"/>
    <w:lvl w:ilvl="0">
      <w:lvlJc w:val="left"/>
      <w:lvlText w:val="%1."/>
      <w:numFmt w:val="decimal"/>
      <w:start w:val="5"/>
    </w:lvl>
  </w:abstractNum>
  <w:abstractNum w:abstractNumId="6">
    <w:nsid w:val="2D1D5AE9"/>
    <w:multiLevelType w:val="hybridMultilevel"/>
    <w:lvl w:ilvl="0">
      <w:lvlJc w:val="left"/>
      <w:lvlText w:val="%1."/>
      <w:numFmt w:val="decimal"/>
      <w:start w:val="6"/>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2"/>
    </w:lvl>
  </w:abstractNum>
  <w:abstractNum w:abstractNumId="9">
    <w:nsid w:val="8EDBDAB"/>
    <w:multiLevelType w:val="hybridMultilevel"/>
    <w:lvl w:ilvl="0">
      <w:lvlJc w:val="left"/>
      <w:lvlText w:val="(%1)"/>
      <w:numFmt w:val="lowerLetter"/>
      <w:start w:val="1"/>
    </w:lvl>
    <w:lvl w:ilvl="1">
      <w:lvlJc w:val="left"/>
      <w:lvlText w:val="(%2)"/>
      <w:numFmt w:val="lowerLetter"/>
      <w:start w:val="61"/>
    </w:lvl>
  </w:abstractNum>
  <w:abstractNum w:abstractNumId="10">
    <w:nsid w:val="79838CB2"/>
    <w:multiLevelType w:val="hybridMultilevel"/>
    <w:lvl w:ilvl="0">
      <w:lvlJc w:val="left"/>
      <w:lvlText w:val="%1"/>
      <w:numFmt w:val="decimal"/>
      <w:start w:val="1"/>
    </w:lvl>
    <w:lvl w:ilvl="1">
      <w:lvlJc w:val="left"/>
      <w:lvlText w:val="(%2)"/>
      <w:numFmt w:val="lowerLetter"/>
      <w:start w:val="7"/>
    </w:lvl>
  </w:abstractNum>
  <w:abstractNum w:abstractNumId="11">
    <w:nsid w:val="4353D0CD"/>
    <w:multiLevelType w:val="hybridMultilevel"/>
    <w:lvl w:ilvl="0">
      <w:lvlJc w:val="left"/>
      <w:lvlText w:val="%1."/>
      <w:numFmt w:val="decimal"/>
      <w:start w:val="3"/>
    </w:lvl>
    <w:lvl w:ilvl="1">
      <w:lvlJc w:val="left"/>
      <w:lvlText w:val="%2"/>
      <w:numFmt w:val="lowerLetter"/>
      <w:start w:val="1"/>
    </w:lvl>
  </w:abstractNum>
  <w:abstractNum w:abstractNumId="12">
    <w:nsid w:val="B03E0C6"/>
    <w:multiLevelType w:val="hybridMultilevel"/>
    <w:lvl w:ilvl="0">
      <w:lvlJc w:val="left"/>
      <w:lvlText w:val="%1."/>
      <w:numFmt w:val="decimal"/>
      <w:start w:val="4"/>
    </w:lvl>
  </w:abstractNum>
  <w:abstractNum w:abstractNumId="13">
    <w:nsid w:val="189A769B"/>
    <w:multiLevelType w:val="hybridMultilevel"/>
    <w:lvl w:ilvl="0">
      <w:lvlJc w:val="left"/>
      <w:lvlText w:val="%1."/>
      <w:numFmt w:val="decimal"/>
      <w:start w:val="5"/>
    </w:lvl>
  </w:abstractNum>
  <w:abstractNum w:abstractNumId="14">
    <w:nsid w:val="54E49EB4"/>
    <w:multiLevelType w:val="hybridMultilevel"/>
    <w:lvl w:ilvl="0">
      <w:lvlJc w:val="left"/>
      <w:lvlText w:val="%1."/>
      <w:numFmt w:val="decimal"/>
      <w:start w:val="6"/>
    </w:lvl>
  </w:abstractNum>
  <w:abstractNum w:abstractNumId="15">
    <w:nsid w:val="71F32454"/>
    <w:multiLevelType w:val="hybridMultilevel"/>
    <w:lvl w:ilvl="0">
      <w:lvlJc w:val="left"/>
      <w:lvlText w:val="(%1)"/>
      <w:numFmt w:val="lowerLetter"/>
      <w:start w:val="1"/>
    </w:lvl>
  </w:abstractNum>
  <w:abstractNum w:abstractNumId="16">
    <w:nsid w:val="2CA88611"/>
    <w:multiLevelType w:val="hybridMultilevel"/>
    <w:lvl w:ilvl="0">
      <w:lvlJc w:val="left"/>
      <w:lvlText w:val="(%1)"/>
      <w:numFmt w:val="lowerLetter"/>
      <w:start w:val="6"/>
    </w:lvl>
  </w:abstractNum>
  <w:abstractNum w:abstractNumId="17">
    <w:nsid w:val="836C40E"/>
    <w:multiLevelType w:val="hybridMultilevel"/>
    <w:lvl w:ilvl="0">
      <w:lvlJc w:val="left"/>
      <w:lvlText w:val="(%1)"/>
      <w:numFmt w:val="lowerLetter"/>
      <w:start w:val="7"/>
    </w:lvl>
  </w:abstractNum>
  <w:abstractNum w:abstractNumId="18">
    <w:nsid w:val="2901D82"/>
    <w:multiLevelType w:val="hybridMultilevel"/>
    <w:lvl w:ilvl="0">
      <w:lvlJc w:val="left"/>
      <w:lvlText w:val="%1."/>
      <w:numFmt w:val="decimal"/>
      <w:start w:val="7"/>
    </w:lvl>
  </w:abstractNum>
  <w:abstractNum w:abstractNumId="19">
    <w:nsid w:val="3A95F874"/>
    <w:multiLevelType w:val="hybridMultilevel"/>
    <w:lvl w:ilvl="0">
      <w:lvlJc w:val="left"/>
      <w:lvlText w:val="%1."/>
      <w:numFmt w:val="decimal"/>
      <w:start w:val="8"/>
    </w:lvl>
  </w:abstractNum>
  <w:abstractNum w:abstractNumId="20">
    <w:nsid w:val="8138641"/>
    <w:multiLevelType w:val="hybridMultilevel"/>
    <w:lvl w:ilvl="0">
      <w:lvlJc w:val="left"/>
      <w:lvlText w:val="%1"/>
      <w:numFmt w:val="decimal"/>
      <w:start w:val="1"/>
    </w:lvl>
    <w:lvl w:ilvl="1">
      <w:lvlJc w:val="left"/>
      <w:lvlText w:val="(%2)"/>
      <w:numFmt w:val="lowerLetter"/>
      <w:start w:val="1"/>
    </w:lvl>
  </w:abstractNum>
  <w:abstractNum w:abstractNumId="21">
    <w:nsid w:val="1E7FF521"/>
    <w:multiLevelType w:val="hybridMultilevel"/>
    <w:lvl w:ilvl="0">
      <w:lvlJc w:val="left"/>
      <w:lvlText w:val="%1."/>
      <w:numFmt w:val="decimal"/>
      <w:start w:val="9"/>
    </w:lvl>
    <w:lvl w:ilvl="1">
      <w:lvlJc w:val="left"/>
      <w:lvlText w:val="%2"/>
      <w:numFmt w:val="lowerLetter"/>
      <w:start w:val="1"/>
    </w:lvl>
  </w:abstractNum>
  <w:abstractNum w:abstractNumId="22">
    <w:nsid w:val="7C3DBD3D"/>
    <w:multiLevelType w:val="hybridMultilevel"/>
    <w:lvl w:ilvl="0">
      <w:lvlJc w:val="left"/>
      <w:lvlText w:val="(%1)"/>
      <w:numFmt w:val="lowerLetter"/>
      <w:start w:val="1"/>
    </w:lvl>
  </w:abstractNum>
  <w:abstractNum w:abstractNumId="23">
    <w:nsid w:val="737B8DDC"/>
    <w:multiLevelType w:val="hybridMultilevel"/>
    <w:lvl w:ilvl="0">
      <w:lvlJc w:val="left"/>
      <w:lvlText w:val="(%1)"/>
      <w:numFmt w:val="lowerRoman"/>
      <w:start w:val="2"/>
    </w:lvl>
  </w:abstractNum>
  <w:abstractNum w:abstractNumId="24">
    <w:nsid w:val="6CEAF087"/>
    <w:multiLevelType w:val="hybridMultilevel"/>
    <w:lvl w:ilvl="0">
      <w:lvlJc w:val="left"/>
      <w:lvlText w:val="(%1)"/>
      <w:numFmt w:val="lowerLetter"/>
      <w:start w:val="3"/>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1)"/>
      <w:numFmt w:val="lowerRoman"/>
      <w:start w:val="1"/>
    </w:lvl>
  </w:abstractNum>
  <w:abstractNum w:abstractNumId="27">
    <w:nsid w:val="3006C83E"/>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8">
    <w:nsid w:val="614FD4A1"/>
    <w:multiLevelType w:val="hybridMultilevel"/>
    <w:lvl w:ilvl="0">
      <w:lvlJc w:val="left"/>
      <w:lvlText w:val="(%1)"/>
      <w:numFmt w:val="lowerRoman"/>
      <w:start w:val="2"/>
    </w:lvl>
  </w:abstractNum>
  <w:abstractNum w:abstractNumId="29">
    <w:nsid w:val="419AC241"/>
    <w:multiLevelType w:val="hybridMultilevel"/>
    <w:lvl w:ilvl="0">
      <w:lvlJc w:val="left"/>
      <w:lvlText w:val="%1"/>
      <w:numFmt w:val="decimal"/>
      <w:start w:val="1"/>
    </w:lvl>
    <w:lvl w:ilvl="1">
      <w:lvlJc w:val="left"/>
      <w:lvlText w:val="(%2)"/>
      <w:numFmt w:val="lowerLetter"/>
      <w:start w:val="3"/>
    </w:lvl>
  </w:abstractNum>
  <w:abstractNum w:abstractNumId="30">
    <w:nsid w:val="5577F8E1"/>
    <w:multiLevelType w:val="hybridMultilevel"/>
    <w:lvl w:ilvl="0">
      <w:lvlJc w:val="left"/>
      <w:lvlText w:val="%1."/>
      <w:numFmt w:val="decimal"/>
      <w:start w:val="11"/>
    </w:lvl>
    <w:lvl w:ilvl="1">
      <w:lvlJc w:val="left"/>
      <w:lvlText w:val="%2"/>
      <w:numFmt w:val="lowerLetter"/>
      <w:start w:val="1"/>
    </w:lvl>
  </w:abstractNum>
  <w:abstractNum w:abstractNumId="31">
    <w:nsid w:val="440BADFC"/>
    <w:multiLevelType w:val="hybridMultilevel"/>
    <w:lvl w:ilvl="0">
      <w:lvlJc w:val="left"/>
      <w:lvlText w:val="%1."/>
      <w:numFmt w:val="decimal"/>
      <w:start w:val="13"/>
    </w:lvl>
  </w:abstractNum>
  <w:abstractNum w:abstractNumId="32">
    <w:nsid w:val="5072367"/>
    <w:multiLevelType w:val="hybridMultilevel"/>
    <w:lvl w:ilvl="0">
      <w:lvlJc w:val="left"/>
      <w:lvlText w:val="%1."/>
      <w:numFmt w:val="decimal"/>
      <w:start w:val="14"/>
    </w:lvl>
  </w:abstractNum>
  <w:abstractNum w:abstractNumId="33">
    <w:nsid w:val="3804823E"/>
    <w:multiLevelType w:val="hybridMultilevel"/>
    <w:lvl w:ilvl="0">
      <w:lvlJc w:val="left"/>
      <w:lvlText w:val="%1."/>
      <w:numFmt w:val="decimal"/>
      <w:start w:val="15"/>
    </w:lvl>
  </w:abstractNum>
  <w:abstractNum w:abstractNumId="34">
    <w:nsid w:val="77465F01"/>
    <w:multiLevelType w:val="hybridMultilevel"/>
    <w:lvl w:ilvl="0">
      <w:lvlJc w:val="left"/>
      <w:lvlText w:val="%1."/>
      <w:numFmt w:val="decimal"/>
      <w:start w:val="16"/>
    </w:lvl>
  </w:abstractNum>
  <w:abstractNum w:abstractNumId="35">
    <w:nsid w:val="7724C67E"/>
    <w:multiLevelType w:val="hybridMultilevel"/>
    <w:lvl w:ilvl="0">
      <w:lvlJc w:val="left"/>
      <w:lvlText w:val="%1."/>
      <w:numFmt w:val="decimal"/>
      <w:start w:val="17"/>
    </w:lvl>
  </w:abstractNum>
  <w:abstractNum w:abstractNumId="36">
    <w:nsid w:val="5C482A97"/>
    <w:multiLevelType w:val="hybridMultilevel"/>
    <w:lvl w:ilvl="0">
      <w:lvlJc w:val="left"/>
      <w:lvlText w:val="%1."/>
      <w:numFmt w:val="decimal"/>
      <w:start w:val="18"/>
    </w:lvl>
  </w:abstractNum>
  <w:abstractNum w:abstractNumId="37">
    <w:nsid w:val="2463B9EA"/>
    <w:multiLevelType w:val="hybridMultilevel"/>
    <w:lvl w:ilvl="0">
      <w:lvlJc w:val="left"/>
      <w:lvlText w:val="%1."/>
      <w:numFmt w:val="decimal"/>
      <w:start w:val="19"/>
    </w:lvl>
  </w:abstractNum>
  <w:abstractNum w:abstractNumId="38">
    <w:nsid w:val="5E884ADC"/>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2019-12-06T20:10:35Z</dcterms:created>
  <dcterms:modified xsi:type="dcterms:W3CDTF">2019-12-06T20:10:35Z</dcterms:modified>
</cp:coreProperties>
</file>