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As Filed Pursuant to Rule 424(b)(3)</w:t>
      </w:r>
    </w:p>
    <w:p>
      <w:pPr>
        <w:spacing w:after="0" w:line="16"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Registration No. 333-67572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2% CONVERTIBLE NOTES DUE JUNE 1, 2008</w:t>
      </w: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7"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line="238" w:lineRule="auto"/>
        <w:rPr>
          <w:sz w:val="20"/>
          <w:szCs w:val="20"/>
          <w:color w:val="auto"/>
        </w:rPr>
      </w:pPr>
      <w:r>
        <w:rPr>
          <w:rFonts w:ascii="Courier New" w:cs="Courier New" w:eastAsia="Courier New" w:hAnsi="Courier New"/>
          <w:sz w:val="18"/>
          <w:szCs w:val="18"/>
          <w:color w:val="auto"/>
        </w:rPr>
        <w:t>UPON CONVERSION OF THE NOTES</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holders listed under the caption "Selling Holders" beginning on page 50 may offer and resell for each of their own accounts up to an aggregate of $500,000,000 2% Convertible Notes due June 1, 2008 and the 5,429,350 ordinary shares issuable upon conversion of the notes. In May 2001, we issued and sold these notes to the initial purchaser in private offering. For a more detailed description of the plan of distribution, see "Plan of Distribution," beginning on page 56.</w:t>
      </w:r>
    </w:p>
    <w:p>
      <w:pPr>
        <w:spacing w:after="0" w:line="211"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senior unsecured obligations of Amdocs Limited, an Island of Guernsey corporation. Holders of the notes may convert the notes into our ordinary shares at any time before their maturity or their prior redemption or repurchase by Amdocs. The notes will mature on June 1, 2008. The conversion rate is 10.8587 ordinary shares per each $1,000 principal amount of the notes, subject to adjustment in some circumstances. This is equivalent to a conversion price of approximately $92.09 per share.</w:t>
      </w:r>
    </w:p>
    <w:p>
      <w:pPr>
        <w:spacing w:after="0" w:line="211" w:lineRule="exact"/>
        <w:rPr>
          <w:sz w:val="24"/>
          <w:szCs w:val="24"/>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will pay interest on the notes on June 1 and December 1 of each year. The first interest payment will be made on December 1, 2001. On or after June 1, 2006, we have the option to redeem all or a portion of the notes that have not been previously converted at a redemption price of 100% of principal amount plus accrued interest to, but excluding, the redemption date. On June 1, 2004 and June 1, 2006, you have the option to require us to repurchase any notes held by you at a price equal to 100% of the principal amount of the notes plus accrued interest to, but excluding, the date of repurchase. You also have the option, subject to certain conditions, to require us to repurchase any notes held by you in the event of a "change in control" at a price equal to 100% of the principal amount of the notes plus accrued interest to, but excluding, the date of repurchase. Upon the exercise by you of either of the repurchase rights, we may choose to pay the repurchase price in our ordinary shares.</w:t>
      </w:r>
    </w:p>
    <w:p>
      <w:pPr>
        <w:spacing w:after="0" w:line="389" w:lineRule="exact"/>
        <w:rPr>
          <w:sz w:val="24"/>
          <w:szCs w:val="24"/>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Our ordinary shares are listed on the New York Stock Exchange under the symbol "DOX". The last reported sale price of the ordinary shares on the New York Stock Exchange on September 24, 2001 was $29.45 per share.</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applied for listing of the notes on any securities exchange or for quotation through any automated quotation system. The notes are eligible for trading in the Private Offerings, Resales and Trading through Automated Linkages ("PORTAL") market of the NASDAQ Stock Market.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and the ordinary shares issuable upon conversion of the notes may be offered for sale from time to time by the selling holders in brokerage transactions at prevailing market prices, in transactions at negotiated prices or otherwise. No representation is made that any ordinary shares will or will not be offered for sale. We will not receive any proceeds from the sale by the selling holders of the notes or ordinary shares issuable upon conversion of the notes. We will pay all costs, expenses and fees in connection with the registration of the notes and the ordinary shares, except that all selling commissions and fees and other expenses incurred by the selling holders will be borne by such holders.</w:t>
      </w:r>
    </w:p>
    <w:p>
      <w:pPr>
        <w:spacing w:after="0" w:line="215"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selling holders and the brokers who sell our ordinary shares may be "underwriters" within the meaning of Section 2(11) of the Securities Act of 1933, as amended. In addition, any profits realized by the selling holders or such brokers on the sale of any shares of ordinary shares may constitute underwriting commissions.</w:t>
      </w:r>
    </w:p>
    <w:p>
      <w:pPr>
        <w:spacing w:after="0" w:line="209"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SEE "RISK FACTORS" ON PAGE 8 TO READ ABOUT IMPORTANT FACTORS YOU SHOULD CONSIDER BEFORE BUYING THE NOTES OR THE ORDINARY SHARES ISSUABLE UPON CONVERSION OF THE NOTES.</w:t>
      </w:r>
    </w:p>
    <w:p>
      <w:pPr>
        <w:spacing w:after="0" w:line="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ind w:left="2960"/>
        <w:spacing w:after="0"/>
        <w:rPr>
          <w:sz w:val="20"/>
          <w:szCs w:val="20"/>
          <w:color w:val="auto"/>
        </w:rPr>
      </w:pPr>
      <w:r>
        <w:rPr>
          <w:rFonts w:ascii="Courier New" w:cs="Courier New" w:eastAsia="Courier New" w:hAnsi="Courier New"/>
          <w:sz w:val="18"/>
          <w:szCs w:val="18"/>
          <w:color w:val="auto"/>
        </w:rPr>
        <w:t>------------------------</w:t>
      </w:r>
    </w:p>
    <w:p>
      <w:pPr>
        <w:sectPr>
          <w:pgSz w:w="11900" w:h="16856" w:orient="portrait"/>
          <w:cols w:equalWidth="0" w:num="1">
            <w:col w:w="10219"/>
          </w:cols>
          <w:pgMar w:left="240" w:top="244" w:right="1440" w:bottom="0" w:gutter="0" w:footer="0" w:header="0"/>
        </w:sectPr>
      </w:pPr>
    </w:p>
    <w:bookmarkStart w:id="1" w:name="page2"/>
    <w:bookmarkEnd w:id="1"/>
    <w:p>
      <w:pPr>
        <w:ind w:left="1120"/>
        <w:spacing w:after="0"/>
        <w:rPr>
          <w:sz w:val="20"/>
          <w:szCs w:val="20"/>
          <w:color w:val="auto"/>
        </w:rPr>
      </w:pPr>
      <w:r>
        <w:rPr>
          <w:rFonts w:ascii="Courier New" w:cs="Courier New" w:eastAsia="Courier New" w:hAnsi="Courier New"/>
          <w:sz w:val="16"/>
          <w:szCs w:val="16"/>
          <w:color w:val="auto"/>
        </w:rPr>
        <w:t>PROSPECTUS DATED SEPTEMBER 25, 2001.</w:t>
      </w:r>
    </w:p>
    <w:p>
      <w:pPr>
        <w:sectPr>
          <w:pgSz w:w="11900" w:h="16838" w:orient="portrait"/>
          <w:cols w:equalWidth="0" w:num="1">
            <w:col w:w="9019"/>
          </w:cols>
          <w:pgMar w:left="144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jc w:val="right"/>
              <w:ind w:right="1875"/>
              <w:spacing w:after="0"/>
              <w:rPr>
                <w:sz w:val="20"/>
                <w:szCs w:val="20"/>
                <w:color w:val="auto"/>
              </w:rPr>
            </w:pPr>
            <w:r>
              <w:rPr>
                <w:rFonts w:ascii="Courier New" w:cs="Courier New" w:eastAsia="Courier New" w:hAnsi="Courier New"/>
                <w:sz w:val="18"/>
                <w:szCs w:val="18"/>
                <w:color w:val="auto"/>
              </w:rPr>
              <w:t>2</w:t>
            </w:r>
          </w:p>
        </w:tc>
        <w:tc>
          <w:tcPr>
            <w:tcW w:w="2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390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rPr>
              <w:t>TABLE OF CONTENTS</w:t>
            </w:r>
          </w:p>
        </w:tc>
      </w:tr>
      <w:tr>
        <w:trPr>
          <w:trHeight w:val="405"/>
        </w:trPr>
        <w:tc>
          <w:tcPr>
            <w:tcW w:w="5020" w:type="dxa"/>
            <w:vAlign w:val="bottom"/>
            <w:gridSpan w:val="2"/>
          </w:tcPr>
          <w:p>
            <w:pPr>
              <w:jc w:val="center"/>
              <w:ind w:left="1235"/>
              <w:spacing w:after="0"/>
              <w:rPr>
                <w:sz w:val="20"/>
                <w:szCs w:val="20"/>
                <w:color w:val="auto"/>
              </w:rPr>
            </w:pPr>
            <w:r>
              <w:rPr>
                <w:rFonts w:ascii="Courier New" w:cs="Courier New" w:eastAsia="Courier New" w:hAnsi="Courier New"/>
                <w:sz w:val="18"/>
                <w:szCs w:val="18"/>
                <w:color w:val="auto"/>
                <w:w w:val="97"/>
              </w:rPr>
              <w:t>PAGE ---- Documents Incorporated by</w:t>
            </w:r>
          </w:p>
        </w:tc>
        <w:tc>
          <w:tcPr>
            <w:tcW w:w="1260" w:type="dxa"/>
            <w:vAlign w:val="bottom"/>
          </w:tcPr>
          <w:p>
            <w:pPr>
              <w:spacing w:after="0"/>
              <w:rPr>
                <w:sz w:val="24"/>
                <w:szCs w:val="24"/>
                <w:color w:val="auto"/>
              </w:rPr>
            </w:pPr>
          </w:p>
        </w:tc>
      </w:t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72"/>
              </w:rPr>
              <w:t>Reference.........................</w:t>
            </w:r>
          </w:p>
        </w:tc>
        <w:tc>
          <w:tcPr>
            <w:tcW w:w="3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2 Forward-Looking</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Statements..................................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Summary.....................................................</w:t>
            </w:r>
          </w:p>
        </w:tc>
        <w:tc>
          <w:tcPr>
            <w:tcW w:w="12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6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5"/>
              </w:rPr>
              <w:t>4 Risk</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Factors................................................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020" w:type="dxa"/>
            <w:vAlign w:val="bottom"/>
            <w:gridSpan w:val="2"/>
          </w:tcPr>
          <w:p>
            <w:pPr>
              <w:jc w:val="center"/>
              <w:ind w:left="1235"/>
              <w:spacing w:after="0" w:line="203" w:lineRule="exact"/>
              <w:rPr>
                <w:sz w:val="20"/>
                <w:szCs w:val="20"/>
                <w:color w:val="auto"/>
              </w:rPr>
            </w:pPr>
            <w:r>
              <w:rPr>
                <w:rFonts w:ascii="Courier New" w:cs="Courier New" w:eastAsia="Courier New" w:hAnsi="Courier New"/>
                <w:sz w:val="18"/>
                <w:szCs w:val="18"/>
                <w:color w:val="auto"/>
                <w:w w:val="97"/>
              </w:rPr>
              <w:t>Ratio of Earnings to Fixed</w:t>
            </w:r>
          </w:p>
        </w:tc>
        <w:tc>
          <w:tcPr>
            <w:tcW w:w="1260" w:type="dxa"/>
            <w:vAlign w:val="bottom"/>
          </w:tcPr>
          <w:p>
            <w:pPr>
              <w:spacing w:after="0"/>
              <w:rPr>
                <w:sz w:val="17"/>
                <w:szCs w:val="17"/>
                <w:color w:val="auto"/>
              </w:rPr>
            </w:pPr>
          </w:p>
        </w:tc>
      </w:t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74"/>
              </w:rPr>
              <w:t>Charges..........................</w:t>
            </w:r>
          </w:p>
        </w:tc>
        <w:tc>
          <w:tcPr>
            <w:tcW w:w="3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 Offer Statistics and</w:t>
            </w:r>
          </w:p>
        </w:tc>
      </w:t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w w:val="72"/>
              </w:rPr>
              <w:t>Timetable..............................</w:t>
            </w:r>
          </w:p>
        </w:tc>
        <w:tc>
          <w:tcPr>
            <w:tcW w:w="3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17 Use of</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Proceeds.............................................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2380" w:type="dxa"/>
            <w:vAlign w:val="bottom"/>
          </w:tcPr>
          <w:p>
            <w:pPr>
              <w:spacing w:after="0"/>
              <w:rPr>
                <w:sz w:val="17"/>
                <w:szCs w:val="17"/>
                <w:color w:val="auto"/>
              </w:rPr>
            </w:pPr>
          </w:p>
        </w:tc>
        <w:tc>
          <w:tcPr>
            <w:tcW w:w="26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8"/>
              </w:rPr>
              <w:t>The Offer and</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Listing.......................................</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Capitalization..............................................</w:t>
            </w:r>
          </w:p>
        </w:tc>
        <w:tc>
          <w:tcPr>
            <w:tcW w:w="126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 Unaudited Proforma Condensed Combined Statements of</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Operations................................................</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center"/>
              <w:ind w:left="1235"/>
              <w:spacing w:after="0" w:line="203" w:lineRule="exact"/>
              <w:rPr>
                <w:sz w:val="20"/>
                <w:szCs w:val="20"/>
                <w:color w:val="auto"/>
              </w:rPr>
            </w:pPr>
            <w:r>
              <w:rPr>
                <w:rFonts w:ascii="Courier New" w:cs="Courier New" w:eastAsia="Courier New" w:hAnsi="Courier New"/>
                <w:sz w:val="18"/>
                <w:szCs w:val="18"/>
                <w:color w:val="auto"/>
                <w:w w:val="97"/>
              </w:rPr>
              <w:t>21 Description of the</w:t>
            </w:r>
          </w:p>
        </w:tc>
        <w:tc>
          <w:tcPr>
            <w:tcW w:w="1260" w:type="dxa"/>
            <w:vAlign w:val="bottom"/>
          </w:tcPr>
          <w:p>
            <w:pPr>
              <w:spacing w:after="0"/>
              <w:rPr>
                <w:sz w:val="17"/>
                <w:szCs w:val="17"/>
                <w:color w:val="auto"/>
              </w:rPr>
            </w:pPr>
          </w:p>
        </w:tc>
      </w:t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3"/>
                <w:szCs w:val="13"/>
                <w:color w:val="auto"/>
                <w:w w:val="73"/>
              </w:rPr>
              <w:t>Notes....................................</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 Description of</w:t>
            </w:r>
          </w:p>
        </w:tc>
      </w:t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2"/>
                <w:szCs w:val="12"/>
                <w:color w:val="auto"/>
                <w:w w:val="72"/>
              </w:rPr>
              <w:t>Share Capital................................</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 Comparison</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of United States and Guernsey Corporate Law......</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2380" w:type="dxa"/>
            <w:vAlign w:val="bottom"/>
          </w:tcPr>
          <w:p>
            <w:pPr>
              <w:spacing w:after="0"/>
              <w:rPr>
                <w:sz w:val="17"/>
                <w:szCs w:val="17"/>
                <w:color w:val="auto"/>
              </w:rPr>
            </w:pPr>
          </w:p>
        </w:tc>
        <w:tc>
          <w:tcPr>
            <w:tcW w:w="26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Taxation of the</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Company.....................................</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43 Certain</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U.S. Federal Income Tax Considerations..............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020" w:type="dxa"/>
            <w:vAlign w:val="bottom"/>
            <w:gridSpan w:val="2"/>
          </w:tcPr>
          <w:p>
            <w:pPr>
              <w:jc w:val="center"/>
              <w:ind w:left="1235"/>
              <w:spacing w:after="0" w:line="203" w:lineRule="exact"/>
              <w:rPr>
                <w:sz w:val="20"/>
                <w:szCs w:val="20"/>
                <w:color w:val="auto"/>
              </w:rPr>
            </w:pPr>
            <w:r>
              <w:rPr>
                <w:rFonts w:ascii="Courier New" w:cs="Courier New" w:eastAsia="Courier New" w:hAnsi="Courier New"/>
                <w:sz w:val="18"/>
                <w:szCs w:val="18"/>
                <w:color w:val="auto"/>
                <w:w w:val="97"/>
              </w:rPr>
              <w:t>Certain Guernsey Tax</w:t>
            </w:r>
          </w:p>
        </w:tc>
        <w:tc>
          <w:tcPr>
            <w:tcW w:w="1260" w:type="dxa"/>
            <w:vAlign w:val="bottom"/>
          </w:tcPr>
          <w:p>
            <w:pPr>
              <w:spacing w:after="0"/>
              <w:rPr>
                <w:sz w:val="17"/>
                <w:szCs w:val="17"/>
                <w:color w:val="auto"/>
              </w:rPr>
            </w:pPr>
          </w:p>
        </w:tc>
      </w:t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w w:val="72"/>
              </w:rPr>
              <w:t>Considerations.........................</w:t>
            </w:r>
          </w:p>
        </w:tc>
        <w:tc>
          <w:tcPr>
            <w:tcW w:w="3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49 Selling</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Holders.............................................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2380" w:type="dxa"/>
            <w:vAlign w:val="bottom"/>
          </w:tcPr>
          <w:p>
            <w:pPr>
              <w:spacing w:after="0"/>
              <w:rPr>
                <w:sz w:val="17"/>
                <w:szCs w:val="17"/>
                <w:color w:val="auto"/>
              </w:rPr>
            </w:pPr>
          </w:p>
        </w:tc>
        <w:tc>
          <w:tcPr>
            <w:tcW w:w="26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Plan of</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Distribution........................................</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2380" w:type="dxa"/>
            <w:vAlign w:val="bottom"/>
          </w:tcPr>
          <w:p>
            <w:pPr>
              <w:spacing w:after="0"/>
              <w:rPr>
                <w:sz w:val="17"/>
                <w:szCs w:val="17"/>
                <w:color w:val="auto"/>
              </w:rPr>
            </w:pPr>
          </w:p>
        </w:tc>
        <w:tc>
          <w:tcPr>
            <w:tcW w:w="26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9"/>
              </w:rPr>
              <w:t>Legal</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Matters...............................................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Experts.....................................................</w:t>
            </w:r>
          </w:p>
        </w:tc>
        <w:tc>
          <w:tcPr>
            <w:tcW w:w="12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6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57 Available</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Information.......................................</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5020" w:type="dxa"/>
            <w:vAlign w:val="bottom"/>
            <w:gridSpan w:val="2"/>
          </w:tcPr>
          <w:p>
            <w:pPr>
              <w:jc w:val="center"/>
              <w:ind w:left="1235"/>
              <w:spacing w:after="0" w:line="203" w:lineRule="exact"/>
              <w:rPr>
                <w:sz w:val="20"/>
                <w:szCs w:val="20"/>
                <w:color w:val="auto"/>
              </w:rPr>
            </w:pPr>
            <w:r>
              <w:rPr>
                <w:rFonts w:ascii="Courier New" w:cs="Courier New" w:eastAsia="Courier New" w:hAnsi="Courier New"/>
                <w:sz w:val="18"/>
                <w:szCs w:val="18"/>
                <w:color w:val="auto"/>
                <w:w w:val="97"/>
              </w:rPr>
              <w:t>Enforceability of Civil</w:t>
            </w:r>
          </w:p>
        </w:tc>
        <w:tc>
          <w:tcPr>
            <w:tcW w:w="1260" w:type="dxa"/>
            <w:vAlign w:val="bottom"/>
          </w:tcPr>
          <w:p>
            <w:pPr>
              <w:spacing w:after="0"/>
              <w:rPr>
                <w:sz w:val="17"/>
                <w:szCs w:val="17"/>
                <w:color w:val="auto"/>
              </w:rPr>
            </w:pPr>
          </w:p>
        </w:tc>
      </w:tr>
      <w:tr>
        <w:trPr>
          <w:trHeight w:val="203"/>
        </w:trPr>
        <w:tc>
          <w:tcPr>
            <w:tcW w:w="5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Liabilities.........................</w:t>
            </w:r>
          </w:p>
        </w:tc>
        <w:tc>
          <w:tcPr>
            <w:tcW w:w="1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83"/>
              </w:rPr>
              <w:t>57</w:t>
            </w:r>
          </w:p>
        </w:tc>
      </w:tr>
    </w:tbl>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Securities and Exchange Commission, referred to herein as the SEC, under Sections 13(a), 13(c), 14 or 15(d) of the Securities Exchange Act of 1934, as amended, including any filings after the date of this prospectus, until the selling holders have sold all of the notes and the ordinary shares issuable upon conversion of the notes to which this prospectus relates or the offering is otherwise terminated:</w:t>
      </w:r>
    </w:p>
    <w:p>
      <w:pPr>
        <w:spacing w:after="0" w:line="211" w:lineRule="exact"/>
        <w:rPr>
          <w:sz w:val="20"/>
          <w:szCs w:val="20"/>
          <w:color w:val="auto"/>
        </w:rPr>
      </w:pPr>
    </w:p>
    <w:p>
      <w:pPr>
        <w:ind w:left="740" w:right="199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20-F/A for the year ended September 30, 2000, filed on April 3, 2001;</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6-K for the quarterly periods ended December 31, 2000, March 31, 2001 and June 30, 2001 filed on February 1, 2001, May 10, 2001 and August 9, 2001, respectively;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reports of foreign private issuer on Form 6-K filed on May 24, 2001 and May 31, 2001; and</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Securities Exchange Act of 1934, including any amendment or report updating this description.</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reports of foreign private issuer on Form 6-K filed on December 13, 1999, April 11, 2000 (as amended by Form 6-K/A filed on June 8, 2000) and December 29, 2000.</w:t>
      </w:r>
    </w:p>
    <w:p>
      <w:pPr>
        <w:spacing w:after="0" w:line="209"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O'Brien, Secretary and Treasurer, Amdocs, Inc., 1390 Timberlake Manor Parkway, Chesterfield, Missouri 63017, telephone (314) 212-8328. Copies of such documents may also be obtained from various alternative sources -- see "Available Information".</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and incorporates by reference statements relating to our future business and/or results, including, without limitation, the statements under the captions "Summary" and "Risk Factors" contained in this prospectus and the statements under the captions, "Operating and Financial Review and Prospects" and "Information on the Company" incorporated by reference from our annual report on Form 20-F/A for the year ended September 30, 2000. These statements include certain projections and business trends which are "forward-looking" within the meaning of the Private Securities Litigation Reform Act of 1995. You can identify these statements by the use of words like "may", "will", "could", "should", "project", "believe", "anticipate", "expect", "plan", "estimate", "forecast", "potential", "intend", "continue" and variations of these words or comparable words. Forward-looking statements do not guarantee future performance and involve risks and uncertainties. Actual results may differ materially from projected results as a result of certain risks and uncertainties. These risks and uncertainties include, without limitation, those described under "Risk Factors" and those detailed from time to time in our filings with the SEC. These forward-looking statements are made only as of the date of this prospectus. We do not undertake to update or revise the forward-looking statements, whether as a result of new information, future events or otherwise.</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making an investment decision, you must rely on your own examination of Amdocs Limited and the terms of this offering, including the merits and risks involved. These notes and the ordinary</w:t>
      </w:r>
    </w:p>
    <w:p>
      <w:pPr>
        <w:sectPr>
          <w:pgSz w:w="11900" w:h="16838" w:orient="portrait"/>
          <w:cols w:equalWidth="0" w:num="1">
            <w:col w:w="10219"/>
          </w:cols>
          <w:pgMar w:left="240" w:top="312" w:right="1440" w:bottom="987"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987"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shares issuable upon conversion of the notes have not been recommended by any federal or state securities commission or regulatory authority. Furthermore, these authorities have not confirmed the accuracy or determined the adequacy of this document. Any representation to the contrary is a criminal offense. The notes and ordinary shares issuable upon conversion of the notes may not be transferred or resold except as permitted under the Securities Act of 1933, as amended, and applicable state securities laws. You should be aware that you may be required to bear the financial risks of this investment for an indefinite period of time.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highlights some information from this prospectus, and it may not contain all of the information that is important to you. You should read the following summary together with the more detailed information regarding our company and the notes and ordinary shares issuable upon conversion of the notes being sold by the selling holders, including "Risk Factors" and our consolidated financial statements and related notes, incorporated by reference into this prospectus.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June 30, 2001.</w:t>
      </w:r>
    </w:p>
    <w:p>
      <w:pPr>
        <w:spacing w:after="0" w:line="21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are a leading provider of software products and services to major communications companies in North America, Europe and the rest of the world.</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Business Support Systems, or BSS, consist of software products designed to support the business operations of communications companies. Our BSS products and related services are designed to manage and improve key aspects of the business operations of communications companies, such as customer care, order management, call rating, invoice calculation and preparation, bill formatting, collections, fraud management and directory publishing services. We tailor our BSS products to address the unique needs of each communications provider.</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provide primarily Customer Care and Billing, CRM or Customer Relationship Management, and Order Management Systems, or collectively, CC&amp;B Systems, for communications service providers. Our systems support a wide range of communications services including wireline, wireless, broadband, electronic and mobile commerce and Internet Protocol, or IP,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wireless companies (such as Sprint PCS, Nextel, Cingular and Vodafone Group) and Internet companies (such as BT Global Mobile Portal, SBC Internet Services, E-Plus Online and Freeserve).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207" w:lineRule="exact"/>
        <w:rPr>
          <w:sz w:val="20"/>
          <w:szCs w:val="20"/>
          <w:color w:val="auto"/>
        </w:rPr>
      </w:pPr>
    </w:p>
    <w:p>
      <w:pPr>
        <w:ind w:right="1779" w:firstLine="535"/>
        <w:spacing w:after="0" w:line="268" w:lineRule="auto"/>
        <w:tabs>
          <w:tab w:leader="none" w:pos="73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Focus on the Communications Industry. We intend to continue to concentrate our resources and efforts on providing strategic information systems to communications companies. This strategy has enabled us to develop the specialized industry know-how and capability necessary to deliver the technologically advanced, large-scale, specifications-intensive information sys-</w:t>
      </w:r>
    </w:p>
    <w:p>
      <w:pPr>
        <w:ind w:left="4220"/>
        <w:spacing w:after="0" w:line="234"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tems solutions required by the leading communications companies in the wireless, wireline, IP and convergent service sectors.</w:t>
      </w:r>
    </w:p>
    <w:p>
      <w:pPr>
        <w:spacing w:after="0" w:line="208" w:lineRule="exact"/>
        <w:rPr>
          <w:sz w:val="20"/>
          <w:szCs w:val="20"/>
          <w:color w:val="auto"/>
        </w:rPr>
      </w:pPr>
    </w:p>
    <w:p>
      <w:pPr>
        <w:ind w:right="1779" w:firstLine="535"/>
        <w:spacing w:after="0" w:line="238" w:lineRule="auto"/>
        <w:tabs>
          <w:tab w:leader="none" w:pos="7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and Promising New Entrants. We intend to continue to direct our marketing efforts principally towards the major communications companies and new entrants that are believed to have the potential to be market leaders. Our customer base includes major communications companies in North America (including SBC, Verizon, Bellsouth, Sprint PCS, Bell Canada and Nextel), major foreign network operators and service providers (including Deutsche Telekom (Germany), Telstra (Australia), BT (UK) and Vodafone Group (UK))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7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our development personnel prepare the detailed functional specifications of the system required by the customer. In accordance with such specifications, system modules are then adapted or customized to meet the customer's specific business requirements. We believe that this approach minimizes risks and increases efficiencies by drawing on field-proven BSS products and techniques, and also helps to create significant time-to-market and other competitive advantages for our customers. By leveraging our specialized product knowledge, we believe that we can provide more effective system integration and implementation support services to our customers.</w:t>
      </w:r>
    </w:p>
    <w:p>
      <w:pPr>
        <w:spacing w:after="0" w:line="389" w:lineRule="exact"/>
        <w:rPr>
          <w:rFonts w:ascii="Courier New" w:cs="Courier New" w:eastAsia="Courier New" w:hAnsi="Courier New"/>
          <w:sz w:val="16"/>
          <w:szCs w:val="16"/>
          <w:color w:val="auto"/>
        </w:rPr>
      </w:pPr>
    </w:p>
    <w:p>
      <w:pPr>
        <w:ind w:right="1779" w:firstLine="535"/>
        <w:spacing w:after="0" w:line="271" w:lineRule="auto"/>
        <w:tabs>
          <w:tab w:leader="none" w:pos="7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As such, these long-term customer relationships enhance the predictability and visibility of our revenue flows.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of June 30, 2001, we employed on a full-time basis approximately 8,450 software and information technology specialists, engaged in research, development, maintenance and support activities and approximately 1,100 administrative personnel. We employ approximately 4,200 and 2,700 software and information technology specialists in Israel and North America, respectively, with the remaining principally located in Europe and the Asia-Pacific region. We often maintain teams of employees at a customer's premises to work on specific projects.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OFFERING</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Securities Offered............</w:t>
      </w:r>
      <w:r>
        <w:rPr>
          <w:sz w:val="20"/>
          <w:szCs w:val="20"/>
          <w:color w:val="auto"/>
        </w:rPr>
        <w:tab/>
      </w:r>
      <w:r>
        <w:rPr>
          <w:rFonts w:ascii="Courier New" w:cs="Courier New" w:eastAsia="Courier New" w:hAnsi="Courier New"/>
          <w:sz w:val="16"/>
          <w:szCs w:val="16"/>
          <w:color w:val="auto"/>
        </w:rPr>
        <w:t>$500,000,000 aggregate principal amount of 2%</w:t>
      </w:r>
    </w:p>
    <w:p>
      <w:pPr>
        <w:ind w:left="3480"/>
        <w:spacing w:after="0" w:line="238" w:lineRule="auto"/>
        <w:rPr>
          <w:sz w:val="20"/>
          <w:szCs w:val="20"/>
          <w:color w:val="auto"/>
        </w:rPr>
      </w:pPr>
      <w:r>
        <w:rPr>
          <w:rFonts w:ascii="Courier New" w:cs="Courier New" w:eastAsia="Courier New" w:hAnsi="Courier New"/>
          <w:sz w:val="18"/>
          <w:szCs w:val="18"/>
          <w:color w:val="auto"/>
        </w:rPr>
        <w:t>Convertible Notes due June 1, 2008 and</w:t>
      </w:r>
    </w:p>
    <w:p>
      <w:pPr>
        <w:ind w:left="3480"/>
        <w:spacing w:after="0"/>
        <w:rPr>
          <w:sz w:val="20"/>
          <w:szCs w:val="20"/>
          <w:color w:val="auto"/>
        </w:rPr>
      </w:pPr>
      <w:r>
        <w:rPr>
          <w:rFonts w:ascii="Courier New" w:cs="Courier New" w:eastAsia="Courier New" w:hAnsi="Courier New"/>
          <w:sz w:val="18"/>
          <w:szCs w:val="18"/>
          <w:color w:val="auto"/>
        </w:rPr>
        <w:t>5,429,350 ordinary shares issuable upon</w:t>
      </w:r>
    </w:p>
    <w:p>
      <w:pPr>
        <w:ind w:left="3480"/>
        <w:spacing w:after="0" w:line="237" w:lineRule="auto"/>
        <w:rPr>
          <w:sz w:val="20"/>
          <w:szCs w:val="20"/>
          <w:color w:val="auto"/>
        </w:rPr>
      </w:pPr>
      <w:r>
        <w:rPr>
          <w:rFonts w:ascii="Courier New" w:cs="Courier New" w:eastAsia="Courier New" w:hAnsi="Courier New"/>
          <w:sz w:val="18"/>
          <w:szCs w:val="18"/>
          <w:color w:val="auto"/>
        </w:rPr>
        <w:t>conversion of the notes to be sold by the</w:t>
      </w:r>
    </w:p>
    <w:p>
      <w:pPr>
        <w:ind w:left="3480"/>
        <w:spacing w:after="0" w:line="238" w:lineRule="auto"/>
        <w:rPr>
          <w:sz w:val="20"/>
          <w:szCs w:val="20"/>
          <w:color w:val="auto"/>
        </w:rPr>
      </w:pPr>
      <w:r>
        <w:rPr>
          <w:rFonts w:ascii="Courier New" w:cs="Courier New" w:eastAsia="Courier New" w:hAnsi="Courier New"/>
          <w:sz w:val="18"/>
          <w:szCs w:val="18"/>
          <w:color w:val="auto"/>
        </w:rPr>
        <w:t>selling holders listed under the caption</w:t>
      </w:r>
    </w:p>
    <w:p>
      <w:pPr>
        <w:ind w:left="3480"/>
        <w:spacing w:after="0"/>
        <w:rPr>
          <w:sz w:val="20"/>
          <w:szCs w:val="20"/>
          <w:color w:val="auto"/>
        </w:rPr>
      </w:pPr>
      <w:r>
        <w:rPr>
          <w:rFonts w:ascii="Courier New" w:cs="Courier New" w:eastAsia="Courier New" w:hAnsi="Courier New"/>
          <w:sz w:val="18"/>
          <w:szCs w:val="18"/>
          <w:color w:val="auto"/>
        </w:rPr>
        <w:t>"Selling Holders" beginning on page 50.</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6"/>
          <w:szCs w:val="16"/>
          <w:color w:val="auto"/>
        </w:rPr>
        <w:t>June 1, 2008.</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Ranking.......................</w:t>
      </w:r>
      <w:r>
        <w:rPr>
          <w:sz w:val="20"/>
          <w:szCs w:val="20"/>
          <w:color w:val="auto"/>
        </w:rPr>
        <w:tab/>
      </w:r>
      <w:r>
        <w:rPr>
          <w:rFonts w:ascii="Courier New" w:cs="Courier New" w:eastAsia="Courier New" w:hAnsi="Courier New"/>
          <w:sz w:val="16"/>
          <w:szCs w:val="16"/>
          <w:color w:val="auto"/>
        </w:rPr>
        <w:t>The notes will be senior unsecured obligations</w:t>
      </w:r>
    </w:p>
    <w:p>
      <w:pPr>
        <w:ind w:left="3480"/>
        <w:spacing w:after="0" w:line="238" w:lineRule="auto"/>
        <w:rPr>
          <w:sz w:val="20"/>
          <w:szCs w:val="20"/>
          <w:color w:val="auto"/>
        </w:rPr>
      </w:pPr>
      <w:r>
        <w:rPr>
          <w:rFonts w:ascii="Courier New" w:cs="Courier New" w:eastAsia="Courier New" w:hAnsi="Courier New"/>
          <w:sz w:val="18"/>
          <w:szCs w:val="18"/>
          <w:color w:val="auto"/>
        </w:rPr>
        <w:t>of Amdocs and will rank equal in right of</w:t>
      </w:r>
    </w:p>
    <w:p>
      <w:pPr>
        <w:ind w:left="3480"/>
        <w:spacing w:after="0"/>
        <w:rPr>
          <w:sz w:val="20"/>
          <w:szCs w:val="20"/>
          <w:color w:val="auto"/>
        </w:rPr>
      </w:pPr>
      <w:r>
        <w:rPr>
          <w:rFonts w:ascii="Courier New" w:cs="Courier New" w:eastAsia="Courier New" w:hAnsi="Courier New"/>
          <w:sz w:val="18"/>
          <w:szCs w:val="18"/>
          <w:color w:val="auto"/>
        </w:rPr>
        <w:t>payment with all existing and future senior</w:t>
      </w:r>
    </w:p>
    <w:p>
      <w:pPr>
        <w:ind w:left="3480"/>
        <w:spacing w:after="0" w:line="237" w:lineRule="auto"/>
        <w:rPr>
          <w:sz w:val="20"/>
          <w:szCs w:val="20"/>
          <w:color w:val="auto"/>
        </w:rPr>
      </w:pPr>
      <w:r>
        <w:rPr>
          <w:rFonts w:ascii="Courier New" w:cs="Courier New" w:eastAsia="Courier New" w:hAnsi="Courier New"/>
          <w:sz w:val="18"/>
          <w:szCs w:val="18"/>
          <w:color w:val="auto"/>
        </w:rPr>
        <w:t>unsecured indebtedness of Amdocs.</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We will pay interest on the notes semi-annually</w:t>
      </w:r>
    </w:p>
    <w:p>
      <w:pPr>
        <w:ind w:left="3480"/>
        <w:spacing w:after="0" w:line="238" w:lineRule="auto"/>
        <w:rPr>
          <w:sz w:val="20"/>
          <w:szCs w:val="20"/>
          <w:color w:val="auto"/>
        </w:rPr>
      </w:pPr>
      <w:r>
        <w:rPr>
          <w:rFonts w:ascii="Courier New" w:cs="Courier New" w:eastAsia="Courier New" w:hAnsi="Courier New"/>
          <w:sz w:val="18"/>
          <w:szCs w:val="18"/>
          <w:color w:val="auto"/>
        </w:rPr>
        <w:t>on June 1 and December 1 of each year,</w:t>
      </w:r>
    </w:p>
    <w:p>
      <w:pPr>
        <w:ind w:left="3480"/>
        <w:spacing w:after="0"/>
        <w:rPr>
          <w:sz w:val="20"/>
          <w:szCs w:val="20"/>
          <w:color w:val="auto"/>
        </w:rPr>
      </w:pPr>
      <w:r>
        <w:rPr>
          <w:rFonts w:ascii="Courier New" w:cs="Courier New" w:eastAsia="Courier New" w:hAnsi="Courier New"/>
          <w:sz w:val="18"/>
          <w:szCs w:val="18"/>
          <w:color w:val="auto"/>
        </w:rPr>
        <w:t>commencing December 1, 2001.</w:t>
      </w:r>
    </w:p>
    <w:p>
      <w:pPr>
        <w:spacing w:after="0" w:line="200"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Conversion rights.............</w:t>
      </w:r>
      <w:r>
        <w:rPr>
          <w:sz w:val="20"/>
          <w:szCs w:val="20"/>
          <w:color w:val="auto"/>
        </w:rPr>
        <w:tab/>
      </w:r>
      <w:r>
        <w:rPr>
          <w:rFonts w:ascii="Courier New" w:cs="Courier New" w:eastAsia="Courier New" w:hAnsi="Courier New"/>
          <w:sz w:val="16"/>
          <w:szCs w:val="16"/>
          <w:color w:val="auto"/>
        </w:rPr>
        <w:t>You may convert your notes into our ordinary</w:t>
      </w:r>
    </w:p>
    <w:p>
      <w:pPr>
        <w:ind w:left="3480"/>
        <w:spacing w:after="0" w:line="238" w:lineRule="auto"/>
        <w:rPr>
          <w:sz w:val="20"/>
          <w:szCs w:val="20"/>
          <w:color w:val="auto"/>
        </w:rPr>
      </w:pPr>
      <w:r>
        <w:rPr>
          <w:rFonts w:ascii="Courier New" w:cs="Courier New" w:eastAsia="Courier New" w:hAnsi="Courier New"/>
          <w:sz w:val="18"/>
          <w:szCs w:val="18"/>
          <w:color w:val="auto"/>
        </w:rPr>
        <w:t>shares at a conversion rate of 10.8587 shares</w:t>
      </w:r>
    </w:p>
    <w:p>
      <w:pPr>
        <w:ind w:left="3480"/>
        <w:spacing w:after="0"/>
        <w:rPr>
          <w:sz w:val="20"/>
          <w:szCs w:val="20"/>
          <w:color w:val="auto"/>
        </w:rPr>
      </w:pPr>
      <w:r>
        <w:rPr>
          <w:rFonts w:ascii="Courier New" w:cs="Courier New" w:eastAsia="Courier New" w:hAnsi="Courier New"/>
          <w:sz w:val="18"/>
          <w:szCs w:val="18"/>
          <w:color w:val="auto"/>
        </w:rPr>
        <w:t>per $1,000 principal amount of notes. This is</w:t>
      </w:r>
    </w:p>
    <w:p>
      <w:pPr>
        <w:ind w:left="3480"/>
        <w:spacing w:after="0" w:line="237" w:lineRule="auto"/>
        <w:rPr>
          <w:sz w:val="20"/>
          <w:szCs w:val="20"/>
          <w:color w:val="auto"/>
        </w:rPr>
      </w:pPr>
      <w:r>
        <w:rPr>
          <w:rFonts w:ascii="Courier New" w:cs="Courier New" w:eastAsia="Courier New" w:hAnsi="Courier New"/>
          <w:sz w:val="18"/>
          <w:szCs w:val="18"/>
          <w:color w:val="auto"/>
        </w:rPr>
        <w:t>equivalent to a conversion price of</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approximately $92.09 per share. The conversion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rate is subject to adjustment in certain</w:t>
      </w:r>
    </w:p>
    <w:p>
      <w:pPr>
        <w:ind w:left="3480"/>
        <w:spacing w:after="0" w:line="238" w:lineRule="auto"/>
        <w:rPr>
          <w:sz w:val="20"/>
          <w:szCs w:val="20"/>
          <w:color w:val="auto"/>
        </w:rPr>
      </w:pPr>
      <w:r>
        <w:rPr>
          <w:rFonts w:ascii="Courier New" w:cs="Courier New" w:eastAsia="Courier New" w:hAnsi="Courier New"/>
          <w:sz w:val="18"/>
          <w:szCs w:val="18"/>
          <w:color w:val="auto"/>
        </w:rPr>
        <w:t>events. The notes will be convertible at any</w:t>
      </w:r>
    </w:p>
    <w:p>
      <w:pPr>
        <w:ind w:left="3480"/>
        <w:spacing w:after="0"/>
        <w:rPr>
          <w:sz w:val="20"/>
          <w:szCs w:val="20"/>
          <w:color w:val="auto"/>
        </w:rPr>
      </w:pPr>
      <w:r>
        <w:rPr>
          <w:rFonts w:ascii="Courier New" w:cs="Courier New" w:eastAsia="Courier New" w:hAnsi="Courier New"/>
          <w:sz w:val="18"/>
          <w:szCs w:val="18"/>
          <w:color w:val="auto"/>
        </w:rPr>
        <w:t>time before the close of business on the</w:t>
      </w:r>
    </w:p>
    <w:p>
      <w:pPr>
        <w:ind w:left="3480"/>
        <w:spacing w:after="0" w:line="237" w:lineRule="auto"/>
        <w:rPr>
          <w:sz w:val="20"/>
          <w:szCs w:val="20"/>
          <w:color w:val="auto"/>
        </w:rPr>
      </w:pPr>
      <w:r>
        <w:rPr>
          <w:rFonts w:ascii="Courier New" w:cs="Courier New" w:eastAsia="Courier New" w:hAnsi="Courier New"/>
          <w:sz w:val="18"/>
          <w:szCs w:val="18"/>
          <w:color w:val="auto"/>
        </w:rPr>
        <w:t>maturity date, unless we have previously</w:t>
      </w:r>
    </w:p>
    <w:p>
      <w:pPr>
        <w:ind w:left="3480"/>
        <w:spacing w:after="0" w:line="238" w:lineRule="auto"/>
        <w:rPr>
          <w:sz w:val="20"/>
          <w:szCs w:val="20"/>
          <w:color w:val="auto"/>
        </w:rPr>
      </w:pPr>
      <w:r>
        <w:rPr>
          <w:rFonts w:ascii="Courier New" w:cs="Courier New" w:eastAsia="Courier New" w:hAnsi="Courier New"/>
          <w:sz w:val="18"/>
          <w:szCs w:val="18"/>
          <w:color w:val="auto"/>
        </w:rPr>
        <w:t>redeemed or repurchased the notes. You may</w:t>
      </w:r>
    </w:p>
    <w:p>
      <w:pPr>
        <w:ind w:left="3480"/>
        <w:spacing w:after="0"/>
        <w:rPr>
          <w:sz w:val="20"/>
          <w:szCs w:val="20"/>
          <w:color w:val="auto"/>
        </w:rPr>
      </w:pPr>
      <w:r>
        <w:rPr>
          <w:rFonts w:ascii="Courier New" w:cs="Courier New" w:eastAsia="Courier New" w:hAnsi="Courier New"/>
          <w:sz w:val="18"/>
          <w:szCs w:val="18"/>
          <w:color w:val="auto"/>
        </w:rPr>
        <w:t>convert your notes called for redemption or</w:t>
      </w:r>
    </w:p>
    <w:p>
      <w:pPr>
        <w:ind w:left="3480"/>
        <w:spacing w:after="0" w:line="237" w:lineRule="auto"/>
        <w:rPr>
          <w:sz w:val="20"/>
          <w:szCs w:val="20"/>
          <w:color w:val="auto"/>
        </w:rPr>
      </w:pPr>
      <w:r>
        <w:rPr>
          <w:rFonts w:ascii="Courier New" w:cs="Courier New" w:eastAsia="Courier New" w:hAnsi="Courier New"/>
          <w:sz w:val="18"/>
          <w:szCs w:val="18"/>
          <w:color w:val="auto"/>
        </w:rPr>
        <w:t>submitted for repurchase up to and including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business day immediately preceding the date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fixed for redemption or repurchase, as the case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may be.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of the notes at our</w:t>
      </w:r>
    </w:p>
    <w:p>
      <w:pPr>
        <w:ind w:left="220"/>
        <w:spacing w:after="0"/>
        <w:tabs>
          <w:tab w:leader="none" w:pos="3460" w:val="left"/>
        </w:tabs>
        <w:rPr>
          <w:sz w:val="20"/>
          <w:szCs w:val="20"/>
          <w:color w:val="auto"/>
        </w:rPr>
      </w:pPr>
      <w:r>
        <w:rPr>
          <w:rFonts w:ascii="Courier New" w:cs="Courier New" w:eastAsia="Courier New" w:hAnsi="Courier New"/>
          <w:sz w:val="18"/>
          <w:szCs w:val="18"/>
          <w:color w:val="auto"/>
        </w:rPr>
        <w:t>option......................</w:t>
      </w:r>
      <w:r>
        <w:rPr>
          <w:sz w:val="20"/>
          <w:szCs w:val="20"/>
          <w:color w:val="auto"/>
        </w:rPr>
        <w:tab/>
      </w:r>
      <w:r>
        <w:rPr>
          <w:rFonts w:ascii="Courier New" w:cs="Courier New" w:eastAsia="Courier New" w:hAnsi="Courier New"/>
          <w:sz w:val="16"/>
          <w:szCs w:val="16"/>
          <w:color w:val="auto"/>
        </w:rPr>
        <w:t>On or after June 1, 2006, we may redeem for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cash all or part of the notes at any time, at a</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redemption price of 100% of the principal</w:t>
      </w:r>
    </w:p>
    <w:p>
      <w:pPr>
        <w:ind w:left="3480"/>
        <w:spacing w:after="0" w:line="238" w:lineRule="auto"/>
        <w:rPr>
          <w:sz w:val="20"/>
          <w:szCs w:val="20"/>
          <w:color w:val="auto"/>
        </w:rPr>
      </w:pPr>
      <w:r>
        <w:rPr>
          <w:rFonts w:ascii="Courier New" w:cs="Courier New" w:eastAsia="Courier New" w:hAnsi="Courier New"/>
          <w:sz w:val="18"/>
          <w:szCs w:val="18"/>
          <w:color w:val="auto"/>
        </w:rPr>
        <w:t>amount plus accrued and unpaid interest.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of notes at your</w:t>
      </w:r>
    </w:p>
    <w:p>
      <w:pPr>
        <w:spacing w:after="0"/>
        <w:tabs>
          <w:tab w:leader="none" w:pos="3460" w:val="left"/>
        </w:tabs>
        <w:rPr>
          <w:sz w:val="20"/>
          <w:szCs w:val="20"/>
          <w:color w:val="auto"/>
        </w:rPr>
      </w:pPr>
      <w:r>
        <w:rPr>
          <w:rFonts w:ascii="Courier New" w:cs="Courier New" w:eastAsia="Courier New" w:hAnsi="Courier New"/>
          <w:sz w:val="18"/>
          <w:szCs w:val="18"/>
          <w:color w:val="auto"/>
        </w:rPr>
        <w:t>option........................</w:t>
      </w:r>
      <w:r>
        <w:rPr>
          <w:sz w:val="20"/>
          <w:szCs w:val="20"/>
          <w:color w:val="auto"/>
        </w:rPr>
        <w:tab/>
      </w:r>
      <w:r>
        <w:rPr>
          <w:rFonts w:ascii="Courier New" w:cs="Courier New" w:eastAsia="Courier New" w:hAnsi="Courier New"/>
          <w:sz w:val="16"/>
          <w:szCs w:val="16"/>
          <w:color w:val="auto"/>
        </w:rPr>
        <w:t>You have the right to require us to repurchase</w:t>
      </w:r>
    </w:p>
    <w:p>
      <w:pPr>
        <w:ind w:left="3480"/>
        <w:spacing w:after="0"/>
        <w:rPr>
          <w:sz w:val="20"/>
          <w:szCs w:val="20"/>
          <w:color w:val="auto"/>
        </w:rPr>
      </w:pPr>
      <w:r>
        <w:rPr>
          <w:rFonts w:ascii="Courier New" w:cs="Courier New" w:eastAsia="Courier New" w:hAnsi="Courier New"/>
          <w:sz w:val="18"/>
          <w:szCs w:val="18"/>
          <w:color w:val="auto"/>
        </w:rPr>
        <w:t>the notes on June 1, 2004 and June 1, 2006,</w:t>
      </w:r>
    </w:p>
    <w:p>
      <w:pPr>
        <w:ind w:left="3480"/>
        <w:spacing w:after="0" w:line="237" w:lineRule="auto"/>
        <w:rPr>
          <w:sz w:val="20"/>
          <w:szCs w:val="20"/>
          <w:color w:val="auto"/>
        </w:rPr>
      </w:pPr>
      <w:r>
        <w:rPr>
          <w:rFonts w:ascii="Courier New" w:cs="Courier New" w:eastAsia="Courier New" w:hAnsi="Courier New"/>
          <w:sz w:val="18"/>
          <w:szCs w:val="18"/>
          <w:color w:val="auto"/>
        </w:rPr>
        <w:t>each a repurchase date. In each case,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repurchase price payable will be equal to 100%</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the principal amount plus accrued and unpaid</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cash interest, if any, on such repurchase date.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cash or in ordinary shares or a combination of</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cash and ordinary shares. If we elect to pay</w:t>
      </w:r>
    </w:p>
    <w:p>
      <w:pPr>
        <w:ind w:left="3480"/>
        <w:spacing w:after="0" w:line="238" w:lineRule="auto"/>
        <w:rPr>
          <w:sz w:val="20"/>
          <w:szCs w:val="20"/>
          <w:color w:val="auto"/>
        </w:rPr>
      </w:pPr>
      <w:r>
        <w:rPr>
          <w:rFonts w:ascii="Courier New" w:cs="Courier New" w:eastAsia="Courier New" w:hAnsi="Courier New"/>
          <w:sz w:val="18"/>
          <w:szCs w:val="18"/>
          <w:color w:val="auto"/>
        </w:rPr>
        <w:t>the repurchase price in ordinary shares or a</w:t>
      </w:r>
    </w:p>
    <w:p>
      <w:pPr>
        <w:ind w:left="3480"/>
        <w:spacing w:after="0"/>
        <w:rPr>
          <w:sz w:val="20"/>
          <w:szCs w:val="20"/>
          <w:color w:val="auto"/>
        </w:rPr>
      </w:pPr>
      <w:r>
        <w:rPr>
          <w:rFonts w:ascii="Courier New" w:cs="Courier New" w:eastAsia="Courier New" w:hAnsi="Courier New"/>
          <w:sz w:val="18"/>
          <w:szCs w:val="18"/>
          <w:color w:val="auto"/>
        </w:rPr>
        <w:t>combination of cash and ordinary shares, we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must notify holders not less than 20 days prior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the repurchase date. The ordinary shares</w:t>
      </w:r>
    </w:p>
    <w:p>
      <w:pPr>
        <w:ind w:left="3480"/>
        <w:spacing w:after="0" w:line="238" w:lineRule="auto"/>
        <w:rPr>
          <w:sz w:val="20"/>
          <w:szCs w:val="20"/>
          <w:color w:val="auto"/>
        </w:rPr>
      </w:pPr>
      <w:r>
        <w:rPr>
          <w:rFonts w:ascii="Courier New" w:cs="Courier New" w:eastAsia="Courier New" w:hAnsi="Courier New"/>
          <w:sz w:val="18"/>
          <w:szCs w:val="18"/>
          <w:color w:val="auto"/>
        </w:rPr>
        <w:t>will be valued at 100% of the average closing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sales price for five trading days ending on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third day prior to the repurchase date.</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Change in control.............</w:t>
      </w:r>
      <w:r>
        <w:rPr>
          <w:sz w:val="20"/>
          <w:szCs w:val="20"/>
          <w:color w:val="auto"/>
        </w:rPr>
        <w:tab/>
      </w:r>
      <w:r>
        <w:rPr>
          <w:rFonts w:ascii="Courier New" w:cs="Courier New" w:eastAsia="Courier New" w:hAnsi="Courier New"/>
          <w:sz w:val="16"/>
          <w:szCs w:val="16"/>
          <w:color w:val="auto"/>
        </w:rPr>
        <w:t>If we undergo a change in control, you will</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have the option to require us to repurchase all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of your notes not previously called for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or any portion thereof for cash or,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 our option, ordinary shares (which will be</w:t>
      </w:r>
    </w:p>
    <w:p>
      <w:pPr>
        <w:ind w:left="3480"/>
        <w:spacing w:after="0" w:line="238" w:lineRule="auto"/>
        <w:rPr>
          <w:sz w:val="20"/>
          <w:szCs w:val="20"/>
          <w:color w:val="auto"/>
        </w:rPr>
      </w:pPr>
      <w:r>
        <w:rPr>
          <w:rFonts w:ascii="Courier New" w:cs="Courier New" w:eastAsia="Courier New" w:hAnsi="Courier New"/>
          <w:sz w:val="18"/>
          <w:szCs w:val="18"/>
          <w:color w:val="auto"/>
        </w:rPr>
        <w:t>valued at 95% of the average closing sales</w:t>
      </w:r>
    </w:p>
    <w:p>
      <w:pPr>
        <w:ind w:left="3480"/>
        <w:spacing w:after="0"/>
        <w:rPr>
          <w:sz w:val="20"/>
          <w:szCs w:val="20"/>
          <w:color w:val="auto"/>
        </w:rPr>
      </w:pPr>
      <w:r>
        <w:rPr>
          <w:rFonts w:ascii="Courier New" w:cs="Courier New" w:eastAsia="Courier New" w:hAnsi="Courier New"/>
          <w:sz w:val="18"/>
          <w:szCs w:val="18"/>
          <w:color w:val="auto"/>
        </w:rPr>
        <w:t>prices of our ordinary shares for the five</w:t>
      </w:r>
    </w:p>
    <w:p>
      <w:pPr>
        <w:ind w:left="3480"/>
        <w:spacing w:after="0" w:line="237" w:lineRule="auto"/>
        <w:rPr>
          <w:sz w:val="20"/>
          <w:szCs w:val="20"/>
          <w:color w:val="auto"/>
        </w:rPr>
      </w:pPr>
      <w:r>
        <w:rPr>
          <w:rFonts w:ascii="Courier New" w:cs="Courier New" w:eastAsia="Courier New" w:hAnsi="Courier New"/>
          <w:sz w:val="18"/>
          <w:szCs w:val="18"/>
          <w:color w:val="auto"/>
        </w:rPr>
        <w:t>trading days immediately preceding and</w:t>
      </w:r>
    </w:p>
    <w:p>
      <w:pPr>
        <w:ind w:left="3480"/>
        <w:spacing w:after="0" w:line="238" w:lineRule="auto"/>
        <w:rPr>
          <w:sz w:val="20"/>
          <w:szCs w:val="20"/>
          <w:color w:val="auto"/>
        </w:rPr>
      </w:pPr>
      <w:r>
        <w:rPr>
          <w:rFonts w:ascii="Courier New" w:cs="Courier New" w:eastAsia="Courier New" w:hAnsi="Courier New"/>
          <w:sz w:val="18"/>
          <w:szCs w:val="18"/>
          <w:color w:val="auto"/>
        </w:rPr>
        <w:t>including the third trading day prior to the</w:t>
      </w:r>
    </w:p>
    <w:p>
      <w:pPr>
        <w:ind w:left="3480"/>
        <w:spacing w:after="0"/>
        <w:rPr>
          <w:sz w:val="20"/>
          <w:szCs w:val="20"/>
          <w:color w:val="auto"/>
        </w:rPr>
      </w:pPr>
      <w:r>
        <w:rPr>
          <w:rFonts w:ascii="Courier New" w:cs="Courier New" w:eastAsia="Courier New" w:hAnsi="Courier New"/>
          <w:sz w:val="18"/>
          <w:szCs w:val="18"/>
          <w:color w:val="auto"/>
        </w:rPr>
        <w:t>repurchase date). We will pay a repurchase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price equal to the 100% of the principal amount</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plus accrued and unpaid cash interest, if any,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on the repurchase date.</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379"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6"/>
          <w:szCs w:val="16"/>
          <w:color w:val="auto"/>
        </w:rPr>
        <w:t>The following will be events of default under</w:t>
      </w:r>
    </w:p>
    <w:p>
      <w:pPr>
        <w:ind w:left="3480"/>
        <w:spacing w:after="0" w:line="238" w:lineRule="auto"/>
        <w:rPr>
          <w:sz w:val="20"/>
          <w:szCs w:val="20"/>
          <w:color w:val="auto"/>
        </w:rPr>
      </w:pPr>
      <w:r>
        <w:rPr>
          <w:rFonts w:ascii="Courier New" w:cs="Courier New" w:eastAsia="Courier New" w:hAnsi="Courier New"/>
          <w:sz w:val="18"/>
          <w:szCs w:val="18"/>
          <w:color w:val="auto"/>
        </w:rPr>
        <w:t>the indenture for the notes: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we fail to pay principal of, or any premium</w:t>
      </w:r>
    </w:p>
    <w:p>
      <w:pPr>
        <w:ind w:left="3480"/>
        <w:spacing w:after="0" w:line="238" w:lineRule="auto"/>
        <w:rPr>
          <w:sz w:val="20"/>
          <w:szCs w:val="20"/>
          <w:color w:val="auto"/>
        </w:rPr>
      </w:pPr>
      <w:r>
        <w:rPr>
          <w:rFonts w:ascii="Courier New" w:cs="Courier New" w:eastAsia="Courier New" w:hAnsi="Courier New"/>
          <w:sz w:val="18"/>
          <w:szCs w:val="18"/>
          <w:color w:val="auto"/>
        </w:rPr>
        <w:t>on, any note when due;</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we fail to pay any interest on any note when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due and that default continues for 30 days;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we fail to provide the notice that we are</w:t>
      </w:r>
    </w:p>
    <w:p>
      <w:pPr>
        <w:ind w:left="3480"/>
        <w:spacing w:after="0" w:line="238" w:lineRule="auto"/>
        <w:rPr>
          <w:sz w:val="20"/>
          <w:szCs w:val="20"/>
          <w:color w:val="auto"/>
        </w:rPr>
      </w:pPr>
      <w:r>
        <w:rPr>
          <w:rFonts w:ascii="Courier New" w:cs="Courier New" w:eastAsia="Courier New" w:hAnsi="Courier New"/>
          <w:sz w:val="18"/>
          <w:szCs w:val="18"/>
          <w:color w:val="auto"/>
        </w:rPr>
        <w:t>required to give in the event of a change in</w:t>
      </w:r>
    </w:p>
    <w:p>
      <w:pPr>
        <w:ind w:left="3480"/>
        <w:spacing w:after="0"/>
        <w:rPr>
          <w:sz w:val="20"/>
          <w:szCs w:val="20"/>
          <w:color w:val="auto"/>
        </w:rPr>
      </w:pPr>
      <w:r>
        <w:rPr>
          <w:rFonts w:ascii="Courier New" w:cs="Courier New" w:eastAsia="Courier New" w:hAnsi="Courier New"/>
          <w:sz w:val="18"/>
          <w:szCs w:val="18"/>
          <w:color w:val="auto"/>
        </w:rPr>
        <w:t>control;</w:t>
      </w: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we fail to perform any other covenant in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indenture and that failure continues for 60</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days after written notice to us by the trustee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 the holders of at least 25% in the aggregate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principal amount of outstanding notes;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we or any of our significant subsidiaries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fail to pay when due at final maturity thereof,</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either at its maturity or upon acceleration,</w:t>
      </w:r>
    </w:p>
    <w:p>
      <w:pPr>
        <w:ind w:left="3480"/>
        <w:spacing w:after="0" w:line="238" w:lineRule="auto"/>
        <w:rPr>
          <w:sz w:val="20"/>
          <w:szCs w:val="20"/>
          <w:color w:val="auto"/>
        </w:rPr>
      </w:pPr>
      <w:r>
        <w:rPr>
          <w:rFonts w:ascii="Courier New" w:cs="Courier New" w:eastAsia="Courier New" w:hAnsi="Courier New"/>
          <w:sz w:val="18"/>
          <w:szCs w:val="18"/>
          <w:color w:val="auto"/>
        </w:rPr>
        <w:t>any indebtedness under any bonds, debentures,</w:t>
      </w:r>
    </w:p>
    <w:p>
      <w:pPr>
        <w:ind w:left="3480"/>
        <w:spacing w:after="0"/>
        <w:rPr>
          <w:sz w:val="20"/>
          <w:szCs w:val="20"/>
          <w:color w:val="auto"/>
        </w:rPr>
      </w:pPr>
      <w:r>
        <w:rPr>
          <w:rFonts w:ascii="Courier New" w:cs="Courier New" w:eastAsia="Courier New" w:hAnsi="Courier New"/>
          <w:sz w:val="18"/>
          <w:szCs w:val="18"/>
          <w:color w:val="auto"/>
        </w:rPr>
        <w:t>notes or other evidences of indebtedness for</w:t>
      </w:r>
    </w:p>
    <w:p>
      <w:pPr>
        <w:ind w:left="3480"/>
        <w:spacing w:after="0" w:line="237" w:lineRule="auto"/>
        <w:rPr>
          <w:sz w:val="20"/>
          <w:szCs w:val="20"/>
          <w:color w:val="auto"/>
        </w:rPr>
      </w:pPr>
      <w:r>
        <w:rPr>
          <w:rFonts w:ascii="Courier New" w:cs="Courier New" w:eastAsia="Courier New" w:hAnsi="Courier New"/>
          <w:sz w:val="18"/>
          <w:szCs w:val="18"/>
          <w:color w:val="auto"/>
        </w:rPr>
        <w:t>money borrowed, or any guarantee thereof, in</w:t>
      </w:r>
    </w:p>
    <w:p>
      <w:pPr>
        <w:ind w:left="3480"/>
        <w:spacing w:after="0" w:line="238" w:lineRule="auto"/>
        <w:rPr>
          <w:sz w:val="20"/>
          <w:szCs w:val="20"/>
          <w:color w:val="auto"/>
        </w:rPr>
      </w:pPr>
      <w:r>
        <w:rPr>
          <w:rFonts w:ascii="Courier New" w:cs="Courier New" w:eastAsia="Courier New" w:hAnsi="Courier New"/>
          <w:sz w:val="18"/>
          <w:szCs w:val="18"/>
          <w:color w:val="auto"/>
        </w:rPr>
        <w:t>excess of $50 million if the indebtedness is</w:t>
      </w:r>
    </w:p>
    <w:p>
      <w:pPr>
        <w:ind w:left="3480"/>
        <w:spacing w:after="0"/>
        <w:rPr>
          <w:sz w:val="20"/>
          <w:szCs w:val="20"/>
          <w:color w:val="auto"/>
        </w:rPr>
      </w:pPr>
      <w:r>
        <w:rPr>
          <w:rFonts w:ascii="Courier New" w:cs="Courier New" w:eastAsia="Courier New" w:hAnsi="Courier New"/>
          <w:sz w:val="18"/>
          <w:szCs w:val="18"/>
          <w:color w:val="auto"/>
        </w:rPr>
        <w:t>not discharged, or the acceleration is not</w:t>
      </w:r>
    </w:p>
    <w:p>
      <w:pPr>
        <w:ind w:left="3480"/>
        <w:spacing w:after="0" w:line="237" w:lineRule="auto"/>
        <w:rPr>
          <w:sz w:val="20"/>
          <w:szCs w:val="20"/>
          <w:color w:val="auto"/>
        </w:rPr>
      </w:pPr>
      <w:r>
        <w:rPr>
          <w:rFonts w:ascii="Courier New" w:cs="Courier New" w:eastAsia="Courier New" w:hAnsi="Courier New"/>
          <w:sz w:val="18"/>
          <w:szCs w:val="18"/>
          <w:color w:val="auto"/>
        </w:rPr>
        <w:t>annulled, within 30 days after written notice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to us by the trustee or the holders of at least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25% in aggregate principal amount of the</w:t>
      </w:r>
    </w:p>
    <w:p>
      <w:pPr>
        <w:ind w:left="3480"/>
        <w:spacing w:after="0" w:line="238" w:lineRule="auto"/>
        <w:rPr>
          <w:sz w:val="20"/>
          <w:szCs w:val="20"/>
          <w:color w:val="auto"/>
        </w:rPr>
      </w:pPr>
      <w:r>
        <w:rPr>
          <w:rFonts w:ascii="Courier New" w:cs="Courier New" w:eastAsia="Courier New" w:hAnsi="Courier New"/>
          <w:sz w:val="18"/>
          <w:szCs w:val="18"/>
          <w:color w:val="auto"/>
        </w:rPr>
        <w:t>outstanding notes; and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events of bankruptcy, insolvency or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reorganization with respect to us or any of our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significant subsidiaries specified in the</w:t>
      </w:r>
    </w:p>
    <w:p>
      <w:pPr>
        <w:ind w:left="3480"/>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Registration rights...........</w:t>
      </w:r>
      <w:r>
        <w:rPr>
          <w:sz w:val="20"/>
          <w:szCs w:val="20"/>
          <w:color w:val="auto"/>
        </w:rPr>
        <w:tab/>
      </w:r>
      <w:r>
        <w:rPr>
          <w:rFonts w:ascii="Courier New" w:cs="Courier New" w:eastAsia="Courier New" w:hAnsi="Courier New"/>
          <w:sz w:val="16"/>
          <w:szCs w:val="16"/>
          <w:color w:val="auto"/>
        </w:rPr>
        <w:t>Pursuant to a registration rights agreement, we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agreed to register the resale of the notes and</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sale of the ordinary shares issuable upon</w:t>
      </w:r>
    </w:p>
    <w:p>
      <w:pPr>
        <w:ind w:left="3480"/>
        <w:spacing w:after="0" w:line="238" w:lineRule="auto"/>
        <w:rPr>
          <w:sz w:val="20"/>
          <w:szCs w:val="20"/>
          <w:color w:val="auto"/>
        </w:rPr>
      </w:pPr>
      <w:r>
        <w:rPr>
          <w:rFonts w:ascii="Courier New" w:cs="Courier New" w:eastAsia="Courier New" w:hAnsi="Courier New"/>
          <w:sz w:val="18"/>
          <w:szCs w:val="18"/>
          <w:color w:val="auto"/>
        </w:rPr>
        <w:t>conversion of the notes. If we fail to comply</w:t>
      </w:r>
    </w:p>
    <w:p>
      <w:pPr>
        <w:ind w:left="3480"/>
        <w:spacing w:after="0"/>
        <w:rPr>
          <w:sz w:val="20"/>
          <w:szCs w:val="20"/>
          <w:color w:val="auto"/>
        </w:rPr>
      </w:pPr>
      <w:r>
        <w:rPr>
          <w:rFonts w:ascii="Courier New" w:cs="Courier New" w:eastAsia="Courier New" w:hAnsi="Courier New"/>
          <w:sz w:val="18"/>
          <w:szCs w:val="18"/>
          <w:color w:val="auto"/>
        </w:rPr>
        <w:t>with certain of our obligations under the</w:t>
      </w:r>
    </w:p>
    <w:p>
      <w:pPr>
        <w:ind w:left="3480"/>
        <w:spacing w:after="0" w:line="237" w:lineRule="auto"/>
        <w:rPr>
          <w:sz w:val="20"/>
          <w:szCs w:val="20"/>
          <w:color w:val="auto"/>
        </w:rPr>
      </w:pPr>
      <w:r>
        <w:rPr>
          <w:rFonts w:ascii="Courier New" w:cs="Courier New" w:eastAsia="Courier New" w:hAnsi="Courier New"/>
          <w:sz w:val="18"/>
          <w:szCs w:val="18"/>
          <w:color w:val="auto"/>
        </w:rPr>
        <w:t>registration rights agreement, liquidated</w:t>
      </w:r>
    </w:p>
    <w:p>
      <w:pPr>
        <w:ind w:left="3480"/>
        <w:spacing w:after="0" w:line="238" w:lineRule="auto"/>
        <w:rPr>
          <w:sz w:val="20"/>
          <w:szCs w:val="20"/>
          <w:color w:val="auto"/>
        </w:rPr>
      </w:pPr>
      <w:r>
        <w:rPr>
          <w:rFonts w:ascii="Courier New" w:cs="Courier New" w:eastAsia="Courier New" w:hAnsi="Courier New"/>
          <w:sz w:val="18"/>
          <w:szCs w:val="18"/>
          <w:color w:val="auto"/>
        </w:rPr>
        <w:t>damages will be payable on the notes and the</w:t>
      </w:r>
    </w:p>
    <w:p>
      <w:pPr>
        <w:ind w:left="3480"/>
        <w:spacing w:after="0"/>
        <w:rPr>
          <w:sz w:val="20"/>
          <w:szCs w:val="20"/>
          <w:color w:val="auto"/>
        </w:rPr>
      </w:pPr>
      <w:r>
        <w:rPr>
          <w:rFonts w:ascii="Courier New" w:cs="Courier New" w:eastAsia="Courier New" w:hAnsi="Courier New"/>
          <w:sz w:val="18"/>
          <w:szCs w:val="18"/>
          <w:color w:val="auto"/>
        </w:rPr>
        <w:t>ordinary shares issued upon conversion of the</w:t>
      </w:r>
    </w:p>
    <w:p>
      <w:pPr>
        <w:ind w:left="3480"/>
        <w:spacing w:after="0" w:line="237" w:lineRule="auto"/>
        <w:rPr>
          <w:sz w:val="20"/>
          <w:szCs w:val="20"/>
          <w:color w:val="auto"/>
        </w:rPr>
      </w:pPr>
      <w:r>
        <w:rPr>
          <w:rFonts w:ascii="Courier New" w:cs="Courier New" w:eastAsia="Courier New" w:hAnsi="Courier New"/>
          <w:sz w:val="18"/>
          <w:szCs w:val="18"/>
          <w:color w:val="auto"/>
        </w:rPr>
        <w:t>notes.</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We will not receive any proceeds from the sale</w:t>
      </w:r>
    </w:p>
    <w:p>
      <w:pPr>
        <w:ind w:left="3480"/>
        <w:spacing w:after="0" w:line="238" w:lineRule="auto"/>
        <w:rPr>
          <w:sz w:val="20"/>
          <w:szCs w:val="20"/>
          <w:color w:val="auto"/>
        </w:rPr>
      </w:pPr>
      <w:r>
        <w:rPr>
          <w:rFonts w:ascii="Courier New" w:cs="Courier New" w:eastAsia="Courier New" w:hAnsi="Courier New"/>
          <w:sz w:val="18"/>
          <w:szCs w:val="18"/>
          <w:color w:val="auto"/>
        </w:rPr>
        <w:t>by the selling holders of the notes or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Book-entry form...............</w:t>
      </w:r>
      <w:r>
        <w:rPr>
          <w:sz w:val="20"/>
          <w:szCs w:val="20"/>
          <w:color w:val="auto"/>
        </w:rPr>
        <w:tab/>
      </w:r>
      <w:r>
        <w:rPr>
          <w:rFonts w:ascii="Courier New" w:cs="Courier New" w:eastAsia="Courier New" w:hAnsi="Courier New"/>
          <w:sz w:val="16"/>
          <w:szCs w:val="16"/>
          <w:color w:val="auto"/>
        </w:rPr>
        <w:t>The notes have been issued in book-entry form</w:t>
      </w:r>
    </w:p>
    <w:p>
      <w:pPr>
        <w:ind w:left="3480"/>
        <w:spacing w:after="0" w:line="238" w:lineRule="auto"/>
        <w:rPr>
          <w:sz w:val="20"/>
          <w:szCs w:val="20"/>
          <w:color w:val="auto"/>
        </w:rPr>
      </w:pPr>
      <w:r>
        <w:rPr>
          <w:rFonts w:ascii="Courier New" w:cs="Courier New" w:eastAsia="Courier New" w:hAnsi="Courier New"/>
          <w:sz w:val="18"/>
          <w:szCs w:val="18"/>
          <w:color w:val="auto"/>
        </w:rPr>
        <w:t>and are represented by permanent global</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certificates deposited with a custodian for and</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registered in the name of a nominee of The</w:t>
      </w:r>
    </w:p>
    <w:p>
      <w:pPr>
        <w:ind w:left="3480"/>
        <w:spacing w:after="0" w:line="238" w:lineRule="auto"/>
        <w:rPr>
          <w:sz w:val="20"/>
          <w:szCs w:val="20"/>
          <w:color w:val="auto"/>
        </w:rPr>
      </w:pPr>
      <w:r>
        <w:rPr>
          <w:rFonts w:ascii="Courier New" w:cs="Courier New" w:eastAsia="Courier New" w:hAnsi="Courier New"/>
          <w:sz w:val="18"/>
          <w:szCs w:val="18"/>
          <w:color w:val="auto"/>
        </w:rPr>
        <w:t>Depository Trust Company, commonly known as</w:t>
      </w:r>
    </w:p>
    <w:p>
      <w:pPr>
        <w:ind w:left="3480"/>
        <w:spacing w:after="0"/>
        <w:rPr>
          <w:sz w:val="20"/>
          <w:szCs w:val="20"/>
          <w:color w:val="auto"/>
        </w:rPr>
      </w:pPr>
      <w:r>
        <w:rPr>
          <w:rFonts w:ascii="Courier New" w:cs="Courier New" w:eastAsia="Courier New" w:hAnsi="Courier New"/>
          <w:sz w:val="18"/>
          <w:szCs w:val="18"/>
          <w:color w:val="auto"/>
        </w:rPr>
        <w:t>DTC, in New York, New York. Beneficial</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interests in any of the notes will be shown on,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 transfers will be effected only through,</w:t>
      </w:r>
    </w:p>
    <w:p>
      <w:pPr>
        <w:ind w:left="3480"/>
        <w:spacing w:after="0" w:line="238" w:lineRule="auto"/>
        <w:rPr>
          <w:sz w:val="20"/>
          <w:szCs w:val="20"/>
          <w:color w:val="auto"/>
        </w:rPr>
      </w:pPr>
      <w:r>
        <w:rPr>
          <w:rFonts w:ascii="Courier New" w:cs="Courier New" w:eastAsia="Courier New" w:hAnsi="Courier New"/>
          <w:sz w:val="18"/>
          <w:szCs w:val="18"/>
          <w:color w:val="auto"/>
        </w:rPr>
        <w:t>records maintained by DTC and its direct and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indirect participants and any such interest may</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 be exchanged for certificated notes, except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limited circumstances.</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Trading.......................</w:t>
      </w:r>
      <w:r>
        <w:rPr>
          <w:sz w:val="20"/>
          <w:szCs w:val="20"/>
          <w:color w:val="auto"/>
        </w:rPr>
        <w:tab/>
      </w:r>
      <w:r>
        <w:rPr>
          <w:rFonts w:ascii="Courier New" w:cs="Courier New" w:eastAsia="Courier New" w:hAnsi="Courier New"/>
          <w:sz w:val="16"/>
          <w:szCs w:val="16"/>
          <w:color w:val="auto"/>
        </w:rPr>
        <w:t>The notes will not be listed on any securities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exchange or included in any automated quotation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system. Our ordinary shares are traded on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New York Stock Exchange under the symbol "DOX".</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Before you invest in our notes or the ordinary shares issuable upon conversion of the notes, you should carefully consider and evaluate all of the information contained in this prospectus and the information incorporated by reference into this prospectus, including the risks described below. Any of these risks could materially and adversely affect our business, financial condition and results of operations, which in turn could materially and adversely affect the price of the notes and the ordinary shares issuable upon conversion of the notes.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420" w:right="3039"/>
        <w:spacing w:after="0" w:line="290" w:lineRule="auto"/>
        <w:rPr>
          <w:sz w:val="20"/>
          <w:szCs w:val="20"/>
          <w:color w:val="auto"/>
        </w:rPr>
      </w:pPr>
      <w:r>
        <w:rPr>
          <w:rFonts w:ascii="Courier New" w:cs="Courier New" w:eastAsia="Courier New" w:hAnsi="Courier New"/>
          <w:sz w:val="16"/>
          <w:szCs w:val="16"/>
          <w:color w:val="auto"/>
        </w:rPr>
        <w:t>WE ARE EXPOSED TO GENERAL GLOBAL ECONOMIC AND MARKET CONDITIONS, PARTICULARLY THOSE IMPACTING THE COMMUNICATIONS INDUSTRY</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Developments in the communications industry, such as the impact of general global economic conditions, continued industry consolidation, the formation of alliances among network operators and service providers, and changes in the regulatory environment could materially affect our existing or potential customers. These conditions have reduced the high growth that the communications industry had experienced over the past several years, and have caused the market value, financial results and prospects, and capital spending levels of many communications companies to decline. The impact of these conditions on the communications industry could reduce the demand for our products and services, and the growth rates that we have achieved in recent years. As a result, we may be unable to effectively market and sell our information systems to potential customers in the communications industry.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Our new products for these markets may not be successful and we believe our current levels of revenue from the sales of products and services to directory publishers are not likely to grow significantly.</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On September 11, 2001, the United States was subject to terrorist attacks at the World Trade Center buildings in New York City and the Pentagon in Washington, D.C. These attacks have had, and we expect will continue for some time to have a negative effect on the global economy. These events and any similar acts of violence or war may negatively affect the communications industry, our revenue and our profitability and could also result in a disruption of our business or the businesses of our customers.</w:t>
      </w:r>
    </w:p>
    <w:p>
      <w:pPr>
        <w:spacing w:after="0" w:line="188" w:lineRule="exact"/>
        <w:rPr>
          <w:sz w:val="20"/>
          <w:szCs w:val="20"/>
          <w:color w:val="auto"/>
        </w:rPr>
      </w:pPr>
    </w:p>
    <w:p>
      <w:pPr>
        <w:ind w:left="420" w:right="2419"/>
        <w:spacing w:after="0" w:line="235" w:lineRule="auto"/>
        <w:rPr>
          <w:sz w:val="20"/>
          <w:szCs w:val="20"/>
          <w:color w:val="auto"/>
        </w:rPr>
      </w:pPr>
      <w:r>
        <w:rPr>
          <w:rFonts w:ascii="Courier New" w:cs="Courier New" w:eastAsia="Courier New" w:hAnsi="Courier New"/>
          <w:sz w:val="18"/>
          <w:szCs w:val="18"/>
          <w:color w:val="auto"/>
        </w:rPr>
        <w:t>IF WE CANNOT COMPETE SUCCESSFULLY WITH EXISTING OR NEW COMPETITORS OUR BUSINESS COULD BE MATERIALLY ADVERSELY AFFECTED</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also believe that our ability to compete depends in part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MUST CONTINUALLY ENHANCE OUR PRODUCTS TO REMAIN COMPETITIVE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Systems, or BSS, products that operate in state-of-the-art computing environments.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30, 1999, in a stock-for-stock transaction, we completed our acquisition of International Telecommunication Data Systems, Inc., or ITDS, a leading provider of billing and customer care service bureau solutions to wireless communications service providers (we have since renamed ITDS, Amdocs Stamford, Inc.). On April 5, 2000, in a stock-for-stock transaction, we completed our acquisition of Solect Technology Group Inc., or Solect, a leading provider of billing and customer care software to Internet Protocol, or IP, service providers (we have since renamed Solect, Amdocs Canada, Inc.).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that the ITDS or Solect acquisitions will continue to enhance our products or strengthen our competitive position or that we will be able to successfully and efficiently integrate these businesses into our own.</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OUR BUSINESS IS HIGHLY DEPENDENT ON A LIMITED NUMBER OF SIGNIFICANT CUSTOMERS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and its operating subsidiaries (see below), accounted for approximately 41.1% of revenue in the nine months ended June 30, 2001 and 39.7%, 33.4% and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21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DEPEND ON SBC COMMUNICATIONS INC. FOR A SIGNIFICANT PORTION OF OUR REVENUE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One of our largest groups of customers is SBC Communications Inc., or SBC, and its operating subsidiaries. SBC International Inc., or SBCI, a wholly-owned subsidiary of SBC, is also one of our largest shareholders. As of June 30, 2001, it held approximately 14.1% of our outstanding voting ordinary shares and all of our outstanding non-voting ordinary shares. A significant decrease in the sale of products and services to SBC or its subsidiaries may materially adversely affect our results of operations and financial condition.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Substantially all of our work for SBC is conducted directly with SBC's operating subsidiaries, such as Cingular Wireless, Southwestern Bell Yellow Pages, Southwestern Bell Communications Services (SBC's long distance provider) and Southwestern Bell Telephone Company. These SBC relationships accounted for in the aggregate 12.6%, 15.9% and 20.8% of our total revenue in fiscal 2000, 1999 and 1998, respectively. The revenue attributable to SBC and such subsidiaries amounted to $149.2 million, or 13.3% of our total revenue, in the nine months ended June 30, 2001 and $141.0 million, $99.5 million and $84.4 million in fiscal 2000, 1999 and 1998, respectively.</w:t>
      </w:r>
    </w:p>
    <w:p>
      <w:pPr>
        <w:spacing w:after="0" w:line="214" w:lineRule="exact"/>
        <w:rPr>
          <w:sz w:val="20"/>
          <w:szCs w:val="20"/>
          <w:color w:val="auto"/>
        </w:rPr>
      </w:pPr>
    </w:p>
    <w:p>
      <w:pPr>
        <w:ind w:left="420" w:right="1779"/>
        <w:spacing w:after="0" w:line="235" w:lineRule="auto"/>
        <w:rPr>
          <w:sz w:val="20"/>
          <w:szCs w:val="20"/>
          <w:color w:val="auto"/>
        </w:rPr>
      </w:pPr>
      <w:r>
        <w:rPr>
          <w:rFonts w:ascii="Courier New" w:cs="Courier New" w:eastAsia="Courier New" w:hAnsi="Courier New"/>
          <w:sz w:val="18"/>
          <w:szCs w:val="18"/>
          <w:color w:val="auto"/>
        </w:rPr>
        <w:t>OUR FUTURE SUCCESS DEPENDS ON OUR ABILITY TO DEVELOP LONG-TERM RELATIONSHIPS WITH OUR CUSTOMERS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depends to a significant extent on our ability to develop long-term relationships with successful network operators and service providers with the financial and other resources required to invest in significant ongoing BSS products.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SKILLED EMPLOYEES THAT WE NEED MAY BE DIFFICULT TO HIRE AND RETAIN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As of June 30, 2001, we employed on a full time basis approximately 8,450 software and information technology specialists, of which over 4,200 are located in Israel and 2,700 are located in North America.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w:t>
      </w:r>
    </w:p>
    <w:p>
      <w:pPr>
        <w:sectPr>
          <w:pgSz w:w="11900" w:h="16838" w:orient="portrait"/>
          <w:cols w:equalWidth="0" w:num="1">
            <w:col w:w="10219"/>
          </w:cols>
          <w:pgMar w:left="240" w:top="312" w:right="1440" w:bottom="1440" w:gutter="0" w:footer="0" w:header="0"/>
        </w:sect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small group of senior management personnel who have been with us for many years. The loss of the services of all or some of these employees could have a material adverse effect on our business.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QUARTERLY OPERATING RESULTS MAY FLUCTUATE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202"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fees,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BUSINESS IS IMPACTED BY LENGTHENING SALES CYCLES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a result of the current slowdown in the growth of the global communications market, the sales cycle associated with the purchase of our information systems has recently lengthened, with the time between our initial contact with a prospective customer and the signing of a sales contract now typically being between six and twelve months. We believe that such lengthening of our sales cycle timing could reduce growth in our revenue. Moreover, information systems for communications companies are relatively complex and their purchase generally involves a significant commitment of capital, with attendant delays frequently associated with large capital expenditures and implementation procedures within an organization. The purchase of such products typically also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INTERNATIONAL PRESENCE CREATES SPECIAL RISKS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are subject to certain risks inherent in doing business in international markets, including:</w:t>
      </w:r>
    </w:p>
    <w:p>
      <w:pPr>
        <w:spacing w:after="0" w:line="203"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European and North American customer base and to expand into new international markets.</w:t>
      </w:r>
    </w:p>
    <w:p>
      <w:pPr>
        <w:spacing w:after="0" w:line="18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FLUCTUATIONS IN FOREIGN CURRENCY EXCHANGE RATES COULD ADVERSELY AFFECT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MAY BE UNABLE TO PROTECT OUR PROPRIETARY TECHNOLOGY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215"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w:t>
      </w:r>
    </w:p>
    <w:p>
      <w:pPr>
        <w:sectPr>
          <w:pgSz w:w="11900" w:h="16838" w:orient="portrait"/>
          <w:cols w:equalWidth="0" w:num="1">
            <w:col w:w="10219"/>
          </w:cols>
          <w:pgMar w:left="240" w:top="312" w:right="1440" w:bottom="1440" w:gutter="0" w:footer="0" w:header="0"/>
        </w:sectPr>
      </w:pP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laws of some foreign countries do not protect our proprietary technology to the same extent as the laws of the United States. Other companies could independently develop similar or superior technology without violating our proprietary rights.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and expensive and could involve a high degree of risk.</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12" w:lineRule="exact"/>
        <w:rPr>
          <w:sz w:val="20"/>
          <w:szCs w:val="20"/>
          <w:color w:val="auto"/>
        </w:rPr>
      </w:pPr>
    </w:p>
    <w:p>
      <w:pPr>
        <w:ind w:left="420" w:right="177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Since our products are generally used by our customers to perform critical business functions, design defects, software errors, misuse of our products, incorrect data from external sources or</w:t>
      </w:r>
    </w:p>
    <w:p>
      <w:pPr>
        <w:sectPr>
          <w:pgSz w:w="11900" w:h="16838" w:orient="portrait"/>
          <w:cols w:equalWidth="0" w:num="1">
            <w:col w:w="10219"/>
          </w:cols>
          <w:pgMar w:left="240" w:top="312" w:right="1440" w:bottom="362"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362"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other potential problems within or out of our control may arise from the use of our products, and may result in financial or other damages to our customers. Completion of the development and implementation phases of a project generally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388" w:lineRule="exact"/>
        <w:rPr>
          <w:sz w:val="20"/>
          <w:szCs w:val="20"/>
          <w:color w:val="auto"/>
        </w:rPr>
      </w:pPr>
    </w:p>
    <w:p>
      <w:pPr>
        <w:ind w:left="420" w:right="1779"/>
        <w:spacing w:after="0" w:line="235" w:lineRule="auto"/>
        <w:rPr>
          <w:sz w:val="20"/>
          <w:szCs w:val="20"/>
          <w:color w:val="auto"/>
        </w:rPr>
      </w:pPr>
      <w:r>
        <w:rPr>
          <w:rFonts w:ascii="Courier New" w:cs="Courier New" w:eastAsia="Courier New" w:hAnsi="Courier New"/>
          <w:sz w:val="18"/>
          <w:szCs w:val="18"/>
          <w:color w:val="auto"/>
        </w:rPr>
        <w:t>OUR DEVELOPMENT FACILITIES IN ISRAEL AND CYPRUS MAY BE ADVERSELY AFFECTED BY POLITICAL AND ECONOMIC CONDITIONS IN THOSE COUNTRIES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Out of the five development centers we maintain worldwide, our largest development center is located in Israel, which is also where we employ approximately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any peace arrangement with Syria or Lebanon. Moreover, while Israel has conducted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APPLICABLE TO OUR CAPITAL STRUCTURE</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For example, since our initial public offering in June 1998 through September 24, 2001, the closing price of our ordinary shares ranged from a low of $8.38 per share to a high of $89.75 per share. Many factors could cause the market price of our ordinary shares to rise and fall. Some of these factors are:</w:t>
      </w:r>
    </w:p>
    <w:p>
      <w:pPr>
        <w:spacing w:after="0" w:line="204"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industry;</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21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FUTURE SALES BY EXISTING SHAREHOLDERS COULD DEPRESS THE MARKET PRICE OF OUR ORDINARY SHARES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Sales of substantial amounts of ordinary shares in the public market, or the perception that such sales could occur, could adversely affect prevailing market prices for the ordinary shares. As of June 30, 2001, we had 222,485,576 ordinary shares issued and outstanding, a substantial portion of which are either freely tradeable on the New York Stock Exchange or currently eligible for sale pursuant to Rule 144, under the Securities Act of 1933 (subject to compliance with the volume and manner of sale limitation of Rule 144), or pursuant to another exemption from the registration requirements of the Securities Act.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principal shareholders have the right, in certain circumstances, to require us to register their shares under the Securities Act for resale to the public. In addition, we have registered under the Securities Act a total of 35,062,121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212"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WE DO NOT ANTICIPATE PAYING DIVIDENDS ON OUR ORDINARY SHARES IN THE FORESEEABLE FUTURE</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We do not anticipate paying dividends on our ordinary shares in the foreseeable future.</w:t>
      </w:r>
    </w:p>
    <w:p>
      <w:pPr>
        <w:spacing w:after="0" w:line="208" w:lineRule="exact"/>
        <w:rPr>
          <w:sz w:val="20"/>
          <w:szCs w:val="20"/>
          <w:color w:val="auto"/>
        </w:rPr>
      </w:pPr>
    </w:p>
    <w:p>
      <w:pPr>
        <w:ind w:left="420" w:right="1879"/>
        <w:spacing w:after="0" w:line="235" w:lineRule="auto"/>
        <w:rPr>
          <w:sz w:val="20"/>
          <w:szCs w:val="20"/>
          <w:color w:val="auto"/>
        </w:rPr>
      </w:pPr>
      <w:r>
        <w:rPr>
          <w:rFonts w:ascii="Courier New" w:cs="Courier New" w:eastAsia="Courier New" w:hAnsi="Courier New"/>
          <w:sz w:val="18"/>
          <w:szCs w:val="18"/>
          <w:color w:val="auto"/>
        </w:rPr>
        <w:t>THE RIGHTS OF SHAREHOLDERS OF GUERNSEY CORPORATIONS DIFFER IN SOME RESPECTS FROM THOSE OF SHAREHOLDERS OF UNITED STATES CORPORATIONS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THIS OFFERING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will be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2001, our subsidiaries had liabilities of approximately $505.7 million. We may from time to time incur additional debt. Our subsidiaries may also from time to time incur other additional debt and liabilities. The notes will also be effectively subordinated to all secured obligations to the extent of the value of the assets securing such obligations. See "Description of the Notes".</w:t>
      </w:r>
    </w:p>
    <w:p>
      <w:pPr>
        <w:sectPr>
          <w:pgSz w:w="11900" w:h="16838" w:orient="portrait"/>
          <w:cols w:equalWidth="0" w:num="1">
            <w:col w:w="10219"/>
          </w:cols>
          <w:pgMar w:left="240" w:top="312" w:right="1440" w:bottom="767"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767"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May 2001, we issued the notes to the initial purchaser in a private placement. The notes are eligible to trade on the PORTAL market. However, the notes resold pursuant to this prospectus will no longer trade on the PORTAL market. As a result, there may be a limited market for the notes. We do not intend to list the notes on any national securities exchange.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 public market may not develop for the notes. The initial purchaser has advised us that it currently intends to make a market in the notes. However, the initial purchaser is not obligated to make a market and may discontinue this market making activity at any time without notice. In addition, market making activity by the initial purchaser will be subject to the limits imposed by the federal securities laws. As a result, we cannot assure you that any market for the notes will develop or, if one does develop, that it will be maintained. If an active market for the notes fails to develop or be sustained, the trading price of the notes could be materially and adversely affected.</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MAY NOT BE ABLE TO REFINANCE THE NOTES IF REQUIRED OR IF WE SO DESIRE</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We may need or desire to refinance all or a portion of our indebtedness on or before maturity. There can be no assurance that we will be able to refinance any of our indebtedness on commercially reasonable terms, if at all.</w:t>
      </w:r>
    </w:p>
    <w:p>
      <w:pPr>
        <w:spacing w:after="0" w:line="178" w:lineRule="exact"/>
        <w:rPr>
          <w:sz w:val="20"/>
          <w:szCs w:val="20"/>
          <w:color w:val="auto"/>
        </w:rPr>
      </w:pPr>
    </w:p>
    <w:p>
      <w:pPr>
        <w:ind w:left="420" w:right="1879"/>
        <w:spacing w:after="0" w:line="235" w:lineRule="auto"/>
        <w:rPr>
          <w:sz w:val="20"/>
          <w:szCs w:val="20"/>
          <w:color w:val="auto"/>
        </w:rPr>
      </w:pPr>
      <w:r>
        <w:rPr>
          <w:rFonts w:ascii="Courier New" w:cs="Courier New" w:eastAsia="Courier New" w:hAnsi="Courier New"/>
          <w:sz w:val="18"/>
          <w:szCs w:val="18"/>
          <w:color w:val="auto"/>
        </w:rPr>
        <w:t>WE ARE DEPENDENT UPON OUR SUBSIDIARIES TO SERVICE OUR DEBT AND OBTAIN FUNDS FOR DIVIDEND PAYMENTS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pay dividends and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the instruments governing their indebtedness. The instruments governing some of the indebtedness of our subsidiaries currently contain restrictions on their ability to make payments to us. We cannot be certain that payments from our subsidiaries will be adequate to pay dividends or service our debt obligations, including the notes.</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ratio of earnings to fixed charges is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YEAR ENDED JUNE 30, SEPTEMBER 30, -----</w:t>
      </w:r>
    </w:p>
    <w:p>
      <w:pPr>
        <w:ind w:left="220"/>
        <w:spacing w:after="0" w:line="238" w:lineRule="auto"/>
        <w:rPr>
          <w:sz w:val="20"/>
          <w:szCs w:val="20"/>
          <w:color w:val="auto"/>
        </w:rPr>
      </w:pPr>
      <w:r>
        <w:rPr>
          <w:rFonts w:ascii="Courier New" w:cs="Courier New" w:eastAsia="Courier New" w:hAnsi="Courier New"/>
          <w:sz w:val="18"/>
          <w:szCs w:val="18"/>
          <w:color w:val="auto"/>
        </w:rPr>
        <w:t>-------- ----------------------------------- 2001 2000</w:t>
      </w:r>
    </w:p>
    <w:p>
      <w:pPr>
        <w:ind w:left="60"/>
        <w:spacing w:after="0"/>
        <w:rPr>
          <w:sz w:val="20"/>
          <w:szCs w:val="20"/>
          <w:color w:val="auto"/>
        </w:rPr>
      </w:pPr>
      <w:r>
        <w:rPr>
          <w:rFonts w:ascii="Courier New" w:cs="Courier New" w:eastAsia="Courier New" w:hAnsi="Courier New"/>
          <w:sz w:val="18"/>
          <w:szCs w:val="18"/>
          <w:color w:val="auto"/>
        </w:rPr>
        <w:t>2000 1999 1998 1997 1996 ----- ----- ----- ----- ---- ---</w:t>
      </w:r>
    </w:p>
    <w:p>
      <w:pPr>
        <w:spacing w:after="0" w:line="3" w:lineRule="exact"/>
        <w:rPr>
          <w:sz w:val="20"/>
          <w:szCs w:val="20"/>
          <w:color w:val="auto"/>
        </w:rPr>
      </w:pPr>
    </w:p>
    <w:p>
      <w:pPr>
        <w:ind w:left="60" w:right="4159" w:firstLine="577"/>
        <w:spacing w:after="0" w:line="268" w:lineRule="auto"/>
        <w:tabs>
          <w:tab w:leader="none" w:pos="85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(UNAUDITED) Ratio of earnings to fixed charges(1)....................... 11.69 10.01 10.10 15.29 3.26 9.52 12.97 Pro forma, as adjusted ratio of earnings</w:t>
      </w:r>
    </w:p>
    <w:p>
      <w:pPr>
        <w:ind w:left="2640"/>
        <w:spacing w:after="0" w:line="233" w:lineRule="auto"/>
        <w:rPr>
          <w:sz w:val="20"/>
          <w:szCs w:val="20"/>
          <w:color w:val="auto"/>
        </w:rPr>
      </w:pPr>
      <w:r>
        <w:rPr>
          <w:rFonts w:ascii="Courier New" w:cs="Courier New" w:eastAsia="Courier New" w:hAnsi="Courier New"/>
          <w:sz w:val="18"/>
          <w:szCs w:val="18"/>
          <w:color w:val="auto"/>
        </w:rPr>
        <w:t>to fixed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charges(2)................................................</w:t>
            </w:r>
          </w:p>
        </w:tc>
      </w:tr>
      <w:tr>
        <w:trPr>
          <w:trHeight w:val="203"/>
        </w:trPr>
        <w:tc>
          <w:tcPr>
            <w:tcW w:w="312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6.52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68"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is calculated as (i) the sum of earnings before taxes from continuing operations plus fixed charges and amortization of capitalized interest less interest capitalized, divided by</w:t>
      </w:r>
    </w:p>
    <w:p>
      <w:pPr>
        <w:ind w:left="420" w:right="2419" w:firstLine="9"/>
        <w:spacing w:after="0" w:line="236" w:lineRule="auto"/>
        <w:tabs>
          <w:tab w:leader="none" w:pos="94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charges, which include amortization of expenses related to indebtedness, interest within rental expense and interest expensed and capitalized.</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as adjusted ratio of earnings to fixed charges is calculated for the year ended September 30, 2000 and the nine months ended June 30, 2001 as (i) the sum of earnings before taxes from continuing operations plus fixed charges and amortization of capitalized interest less interest capitalized, divided by (ii) fixed charges, which include amortization of expenses related to indebtedness, interest within rental expense and interest expensed and capitalized, as if the convertible notes had been issued on October 1, 1999.</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STATISTICS AND TIMETABLE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$500,000,000 of our convertibles notes and 5,429,350 ordinary shares issuable upon conversion of the notes are being sold by the selling holders listed under the caption "Selling Holders" beginning on page 50. The offer will be open until the earlier of (1) the date on which all of the notes and ordinary shares being offered have been sold, and (2) the date on which all of the notes and ordinary shares issuable upon conversion of the notes no longer qualify as "restricted securities" under our registration rights agreement.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selling holders will receive all of the proceeds from the sale under this prospectus of the notes and the ordinary shares issuable upon conversion of the notes. We will not receive any proceeds from these sales.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ordinary shares have been listed on the New York Stock Exchange since June 19, 1998, under the symbol "DOX". The annual high and low reported sale prices for the ordinary shares were $96.00 and $19.81, respectively, for fiscal 2000 and were $30.25 and $8.75, respectively, for fiscal 1999. Through September 24, 2001, the high and low reported sale prices for the ordinary shares were as follows:</w:t>
      </w: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LOW HIGH --- ---- FISCAL YEAR ENDING</w:t>
      </w:r>
    </w:p>
    <w:p>
      <w:pPr>
        <w:jc w:val="center"/>
        <w:ind w:right="5379"/>
        <w:spacing w:after="0" w:line="238" w:lineRule="auto"/>
        <w:rPr>
          <w:sz w:val="20"/>
          <w:szCs w:val="20"/>
          <w:color w:val="auto"/>
        </w:rPr>
      </w:pPr>
      <w:r>
        <w:rPr>
          <w:rFonts w:ascii="Courier New" w:cs="Courier New" w:eastAsia="Courier New" w:hAnsi="Courier New"/>
          <w:sz w:val="18"/>
          <w:szCs w:val="18"/>
          <w:color w:val="auto"/>
        </w:rPr>
        <w:t>SEPTEMBER 30, 1999: First Quarter</w:t>
      </w:r>
    </w:p>
    <w:p>
      <w:pPr>
        <w:spacing w:after="0"/>
        <w:rPr>
          <w:sz w:val="20"/>
          <w:szCs w:val="20"/>
          <w:color w:val="auto"/>
        </w:rPr>
      </w:pPr>
      <w:r>
        <w:rPr>
          <w:rFonts w:ascii="Courier New" w:cs="Courier New" w:eastAsia="Courier New" w:hAnsi="Courier New"/>
          <w:sz w:val="18"/>
          <w:szCs w:val="18"/>
          <w:color w:val="auto"/>
        </w:rPr>
        <w:t>1999..........................................</w:t>
      </w:r>
    </w:p>
    <w:p>
      <w:pPr>
        <w:jc w:val="center"/>
        <w:ind w:right="5379"/>
        <w:spacing w:after="0" w:line="237" w:lineRule="auto"/>
        <w:rPr>
          <w:sz w:val="20"/>
          <w:szCs w:val="20"/>
          <w:color w:val="auto"/>
        </w:rPr>
      </w:pPr>
      <w:r>
        <w:rPr>
          <w:rFonts w:ascii="Courier New" w:cs="Courier New" w:eastAsia="Courier New" w:hAnsi="Courier New"/>
          <w:sz w:val="18"/>
          <w:szCs w:val="18"/>
          <w:color w:val="auto"/>
        </w:rPr>
        <w:t>$ 8.75 $17.50 Second Quarter</w:t>
      </w:r>
    </w:p>
    <w:p>
      <w:pPr>
        <w:ind w:left="60"/>
        <w:spacing w:after="0" w:line="238" w:lineRule="auto"/>
        <w:rPr>
          <w:sz w:val="20"/>
          <w:szCs w:val="20"/>
          <w:color w:val="auto"/>
        </w:rPr>
      </w:pPr>
      <w:r>
        <w:rPr>
          <w:rFonts w:ascii="Courier New" w:cs="Courier New" w:eastAsia="Courier New" w:hAnsi="Courier New"/>
          <w:sz w:val="18"/>
          <w:szCs w:val="18"/>
          <w:color w:val="auto"/>
        </w:rPr>
        <w:t>1999.........................................</w:t>
      </w:r>
    </w:p>
    <w:p>
      <w:pPr>
        <w:jc w:val="center"/>
        <w:ind w:right="5379"/>
        <w:spacing w:after="0"/>
        <w:rPr>
          <w:sz w:val="20"/>
          <w:szCs w:val="20"/>
          <w:color w:val="auto"/>
        </w:rPr>
      </w:pPr>
      <w:r>
        <w:rPr>
          <w:rFonts w:ascii="Courier New" w:cs="Courier New" w:eastAsia="Courier New" w:hAnsi="Courier New"/>
          <w:sz w:val="18"/>
          <w:szCs w:val="18"/>
          <w:color w:val="auto"/>
        </w:rPr>
        <w:t>13.50 26.38 Third Quarter</w:t>
      </w:r>
    </w:p>
    <w:p>
      <w:pPr>
        <w:spacing w:after="0" w:line="237" w:lineRule="auto"/>
        <w:rPr>
          <w:sz w:val="20"/>
          <w:szCs w:val="20"/>
          <w:color w:val="auto"/>
        </w:rPr>
      </w:pPr>
      <w:r>
        <w:rPr>
          <w:rFonts w:ascii="Courier New" w:cs="Courier New" w:eastAsia="Courier New" w:hAnsi="Courier New"/>
          <w:sz w:val="18"/>
          <w:szCs w:val="18"/>
          <w:color w:val="auto"/>
        </w:rPr>
        <w:t>1999..........................................</w:t>
      </w:r>
    </w:p>
    <w:p>
      <w:pPr>
        <w:jc w:val="center"/>
        <w:ind w:right="5379"/>
        <w:spacing w:after="0"/>
        <w:rPr>
          <w:sz w:val="20"/>
          <w:szCs w:val="20"/>
          <w:color w:val="auto"/>
        </w:rPr>
      </w:pPr>
      <w:r>
        <w:rPr>
          <w:rFonts w:ascii="Courier New" w:cs="Courier New" w:eastAsia="Courier New" w:hAnsi="Courier New"/>
          <w:sz w:val="18"/>
          <w:szCs w:val="18"/>
          <w:color w:val="auto"/>
        </w:rPr>
        <w:t>18.38 29.69 Fourth Quarter</w:t>
      </w:r>
    </w:p>
    <w:p>
      <w:pPr>
        <w:ind w:left="60"/>
        <w:spacing w:after="0" w:line="237" w:lineRule="auto"/>
        <w:rPr>
          <w:sz w:val="20"/>
          <w:szCs w:val="20"/>
          <w:color w:val="auto"/>
        </w:rPr>
      </w:pPr>
      <w:r>
        <w:rPr>
          <w:rFonts w:ascii="Courier New" w:cs="Courier New" w:eastAsia="Courier New" w:hAnsi="Courier New"/>
          <w:sz w:val="18"/>
          <w:szCs w:val="18"/>
          <w:color w:val="auto"/>
        </w:rPr>
        <w:t>1999.........................................</w:t>
      </w:r>
    </w:p>
    <w:p>
      <w:pPr>
        <w:ind w:left="1840"/>
        <w:spacing w:after="0"/>
        <w:rPr>
          <w:sz w:val="20"/>
          <w:szCs w:val="20"/>
          <w:color w:val="auto"/>
        </w:rPr>
      </w:pPr>
      <w:r>
        <w:rPr>
          <w:rFonts w:ascii="Courier New" w:cs="Courier New" w:eastAsia="Courier New" w:hAnsi="Courier New"/>
          <w:sz w:val="18"/>
          <w:szCs w:val="18"/>
          <w:color w:val="auto"/>
        </w:rPr>
        <w:t>20.00 30.25</w:t>
      </w: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LOW HIGH --- ---- FISCAL YEAR ENDING</w:t>
      </w:r>
    </w:p>
    <w:p>
      <w:pPr>
        <w:jc w:val="center"/>
        <w:ind w:right="5379"/>
        <w:spacing w:after="0" w:line="238" w:lineRule="auto"/>
        <w:rPr>
          <w:sz w:val="20"/>
          <w:szCs w:val="20"/>
          <w:color w:val="auto"/>
        </w:rPr>
      </w:pPr>
      <w:r>
        <w:rPr>
          <w:rFonts w:ascii="Courier New" w:cs="Courier New" w:eastAsia="Courier New" w:hAnsi="Courier New"/>
          <w:sz w:val="18"/>
          <w:szCs w:val="18"/>
          <w:color w:val="auto"/>
        </w:rPr>
        <w:t>SEPTEMBER 30, 2000: First Quarter</w:t>
      </w:r>
    </w:p>
    <w:p>
      <w:pPr>
        <w:spacing w:after="0"/>
        <w:rPr>
          <w:sz w:val="20"/>
          <w:szCs w:val="20"/>
          <w:color w:val="auto"/>
        </w:rPr>
      </w:pPr>
      <w:r>
        <w:rPr>
          <w:rFonts w:ascii="Courier New" w:cs="Courier New" w:eastAsia="Courier New" w:hAnsi="Courier New"/>
          <w:sz w:val="18"/>
          <w:szCs w:val="18"/>
          <w:color w:val="auto"/>
        </w:rPr>
        <w:t>2000..........................................</w:t>
      </w:r>
    </w:p>
    <w:p>
      <w:pPr>
        <w:jc w:val="center"/>
        <w:ind w:right="5379"/>
        <w:spacing w:after="0" w:line="237" w:lineRule="auto"/>
        <w:rPr>
          <w:sz w:val="20"/>
          <w:szCs w:val="20"/>
          <w:color w:val="auto"/>
        </w:rPr>
      </w:pPr>
      <w:r>
        <w:rPr>
          <w:rFonts w:ascii="Courier New" w:cs="Courier New" w:eastAsia="Courier New" w:hAnsi="Courier New"/>
          <w:sz w:val="18"/>
          <w:szCs w:val="18"/>
          <w:color w:val="auto"/>
        </w:rPr>
        <w:t>$19.81 $37.94 Second Quarter</w:t>
      </w:r>
    </w:p>
    <w:p>
      <w:pPr>
        <w:ind w:left="60"/>
        <w:spacing w:after="0" w:line="238" w:lineRule="auto"/>
        <w:rPr>
          <w:sz w:val="20"/>
          <w:szCs w:val="20"/>
          <w:color w:val="auto"/>
        </w:rPr>
      </w:pPr>
      <w:r>
        <w:rPr>
          <w:rFonts w:ascii="Courier New" w:cs="Courier New" w:eastAsia="Courier New" w:hAnsi="Courier New"/>
          <w:sz w:val="18"/>
          <w:szCs w:val="18"/>
          <w:color w:val="auto"/>
        </w:rPr>
        <w:t>2000.........................................</w:t>
      </w:r>
    </w:p>
    <w:p>
      <w:pPr>
        <w:jc w:val="center"/>
        <w:ind w:right="5379"/>
        <w:spacing w:after="0"/>
        <w:rPr>
          <w:sz w:val="20"/>
          <w:szCs w:val="20"/>
          <w:color w:val="auto"/>
        </w:rPr>
      </w:pPr>
      <w:r>
        <w:rPr>
          <w:rFonts w:ascii="Courier New" w:cs="Courier New" w:eastAsia="Courier New" w:hAnsi="Courier New"/>
          <w:sz w:val="18"/>
          <w:szCs w:val="18"/>
          <w:color w:val="auto"/>
        </w:rPr>
        <w:t>32.44 96.00 Third Quarter</w:t>
      </w:r>
    </w:p>
    <w:p>
      <w:pPr>
        <w:spacing w:after="0" w:line="237" w:lineRule="auto"/>
        <w:rPr>
          <w:sz w:val="20"/>
          <w:szCs w:val="20"/>
          <w:color w:val="auto"/>
        </w:rPr>
      </w:pPr>
      <w:r>
        <w:rPr>
          <w:rFonts w:ascii="Courier New" w:cs="Courier New" w:eastAsia="Courier New" w:hAnsi="Courier New"/>
          <w:sz w:val="18"/>
          <w:szCs w:val="18"/>
          <w:color w:val="auto"/>
        </w:rPr>
        <w:t>2000..........................................</w:t>
      </w:r>
    </w:p>
    <w:p>
      <w:pPr>
        <w:jc w:val="center"/>
        <w:ind w:right="5379"/>
        <w:spacing w:after="0"/>
        <w:rPr>
          <w:sz w:val="20"/>
          <w:szCs w:val="20"/>
          <w:color w:val="auto"/>
        </w:rPr>
      </w:pPr>
      <w:r>
        <w:rPr>
          <w:rFonts w:ascii="Courier New" w:cs="Courier New" w:eastAsia="Courier New" w:hAnsi="Courier New"/>
          <w:sz w:val="18"/>
          <w:szCs w:val="18"/>
          <w:color w:val="auto"/>
        </w:rPr>
        <w:t>49.00 88.75 Fourth Quarter</w:t>
      </w:r>
    </w:p>
    <w:p>
      <w:pPr>
        <w:ind w:left="60"/>
        <w:spacing w:after="0" w:line="237" w:lineRule="auto"/>
        <w:rPr>
          <w:sz w:val="20"/>
          <w:szCs w:val="20"/>
          <w:color w:val="auto"/>
        </w:rPr>
      </w:pPr>
      <w:r>
        <w:rPr>
          <w:rFonts w:ascii="Courier New" w:cs="Courier New" w:eastAsia="Courier New" w:hAnsi="Courier New"/>
          <w:sz w:val="18"/>
          <w:szCs w:val="18"/>
          <w:color w:val="auto"/>
        </w:rPr>
        <w:t>2000.........................................</w:t>
      </w:r>
    </w:p>
    <w:p>
      <w:pPr>
        <w:ind w:left="1840"/>
        <w:spacing w:after="0"/>
        <w:rPr>
          <w:sz w:val="20"/>
          <w:szCs w:val="20"/>
          <w:color w:val="auto"/>
        </w:rPr>
      </w:pPr>
      <w:r>
        <w:rPr>
          <w:rFonts w:ascii="Courier New" w:cs="Courier New" w:eastAsia="Courier New" w:hAnsi="Courier New"/>
          <w:sz w:val="18"/>
          <w:szCs w:val="18"/>
          <w:color w:val="auto"/>
        </w:rPr>
        <w:t>59.38 88.75</w:t>
      </w: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LOW HIGH --- ---- FISCAL YEAR ENDING</w:t>
      </w:r>
    </w:p>
    <w:p>
      <w:pPr>
        <w:jc w:val="center"/>
        <w:ind w:right="5379"/>
        <w:spacing w:after="0" w:line="238" w:lineRule="auto"/>
        <w:rPr>
          <w:sz w:val="20"/>
          <w:szCs w:val="20"/>
          <w:color w:val="auto"/>
        </w:rPr>
      </w:pPr>
      <w:r>
        <w:rPr>
          <w:rFonts w:ascii="Courier New" w:cs="Courier New" w:eastAsia="Courier New" w:hAnsi="Courier New"/>
          <w:sz w:val="18"/>
          <w:szCs w:val="18"/>
          <w:color w:val="auto"/>
        </w:rPr>
        <w:t>SEPTEMBER 30, 2001: First Quarter</w:t>
      </w:r>
    </w:p>
    <w:p>
      <w:pPr>
        <w:spacing w:after="0"/>
        <w:rPr>
          <w:sz w:val="20"/>
          <w:szCs w:val="20"/>
          <w:color w:val="auto"/>
        </w:rPr>
      </w:pPr>
      <w:r>
        <w:rPr>
          <w:rFonts w:ascii="Courier New" w:cs="Courier New" w:eastAsia="Courier New" w:hAnsi="Courier New"/>
          <w:sz w:val="18"/>
          <w:szCs w:val="18"/>
          <w:color w:val="auto"/>
        </w:rPr>
        <w:t>2001..........................................</w:t>
      </w:r>
    </w:p>
    <w:p>
      <w:pPr>
        <w:jc w:val="center"/>
        <w:ind w:right="5379"/>
        <w:spacing w:after="0" w:line="237" w:lineRule="auto"/>
        <w:rPr>
          <w:sz w:val="20"/>
          <w:szCs w:val="20"/>
          <w:color w:val="auto"/>
        </w:rPr>
      </w:pPr>
      <w:r>
        <w:rPr>
          <w:rFonts w:ascii="Courier New" w:cs="Courier New" w:eastAsia="Courier New" w:hAnsi="Courier New"/>
          <w:sz w:val="18"/>
          <w:szCs w:val="18"/>
          <w:color w:val="auto"/>
        </w:rPr>
        <w:t>$51.63 $73.50 Second Quarter</w:t>
      </w:r>
    </w:p>
    <w:p>
      <w:pPr>
        <w:ind w:left="60"/>
        <w:spacing w:after="0" w:line="238" w:lineRule="auto"/>
        <w:rPr>
          <w:sz w:val="20"/>
          <w:szCs w:val="20"/>
          <w:color w:val="auto"/>
        </w:rPr>
      </w:pPr>
      <w:r>
        <w:rPr>
          <w:rFonts w:ascii="Courier New" w:cs="Courier New" w:eastAsia="Courier New" w:hAnsi="Courier New"/>
          <w:sz w:val="18"/>
          <w:szCs w:val="18"/>
          <w:color w:val="auto"/>
        </w:rPr>
        <w:t>2001.........................................</w:t>
      </w:r>
    </w:p>
    <w:p>
      <w:pPr>
        <w:jc w:val="center"/>
        <w:ind w:right="5379"/>
        <w:spacing w:after="0"/>
        <w:rPr>
          <w:sz w:val="20"/>
          <w:szCs w:val="20"/>
          <w:color w:val="auto"/>
        </w:rPr>
      </w:pPr>
      <w:r>
        <w:rPr>
          <w:rFonts w:ascii="Courier New" w:cs="Courier New" w:eastAsia="Courier New" w:hAnsi="Courier New"/>
          <w:sz w:val="18"/>
          <w:szCs w:val="18"/>
          <w:color w:val="auto"/>
        </w:rPr>
        <w:t>43.50 80.50 Third Quarter</w:t>
      </w:r>
    </w:p>
    <w:p>
      <w:pPr>
        <w:spacing w:after="0" w:line="237" w:lineRule="auto"/>
        <w:rPr>
          <w:sz w:val="20"/>
          <w:szCs w:val="20"/>
          <w:color w:val="auto"/>
        </w:rPr>
      </w:pPr>
      <w:r>
        <w:rPr>
          <w:rFonts w:ascii="Courier New" w:cs="Courier New" w:eastAsia="Courier New" w:hAnsi="Courier New"/>
          <w:sz w:val="18"/>
          <w:szCs w:val="18"/>
          <w:color w:val="auto"/>
        </w:rPr>
        <w:t>2001..........................................</w:t>
      </w:r>
    </w:p>
    <w:p>
      <w:pPr>
        <w:ind w:left="320"/>
        <w:spacing w:after="0"/>
        <w:rPr>
          <w:sz w:val="20"/>
          <w:szCs w:val="20"/>
          <w:color w:val="auto"/>
        </w:rPr>
      </w:pPr>
      <w:r>
        <w:rPr>
          <w:rFonts w:ascii="Courier New" w:cs="Courier New" w:eastAsia="Courier New" w:hAnsi="Courier New"/>
          <w:sz w:val="18"/>
          <w:szCs w:val="18"/>
          <w:color w:val="auto"/>
        </w:rPr>
        <w:t>40.60 66.50 Fourth Quarter 2001 (through</w:t>
      </w:r>
    </w:p>
    <w:tbl>
      <w:tblPr>
        <w:tblLayout w:type="fixed"/>
        <w:tblInd w:w="160" w:type="dxa"/>
        <w:tblCellMar>
          <w:top w:w="0" w:type="dxa"/>
          <w:left w:w="0" w:type="dxa"/>
          <w:bottom w:w="0" w:type="dxa"/>
          <w:right w:w="0" w:type="dxa"/>
        </w:tblCellMar>
      </w:tblPr>
      <w:tr>
        <w:trPr>
          <w:trHeight w:val="202"/>
        </w:trPr>
        <w:tc>
          <w:tcPr>
            <w:tcW w:w="33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September 24, 2001)............</w:t>
            </w:r>
          </w:p>
        </w:tc>
        <w:tc>
          <w:tcPr>
            <w:tcW w:w="1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26.60 55.75</w:t>
            </w:r>
          </w:p>
        </w:tc>
      </w:tr>
    </w:tbl>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LOW HIGH --- ---- MOST RECENT SIX MONTHS: March,</w:t>
      </w:r>
    </w:p>
    <w:p>
      <w:pPr>
        <w:ind w:left="120"/>
        <w:spacing w:after="0" w:line="238" w:lineRule="auto"/>
        <w:rPr>
          <w:sz w:val="20"/>
          <w:szCs w:val="20"/>
          <w:color w:val="auto"/>
        </w:rPr>
      </w:pPr>
      <w:r>
        <w:rPr>
          <w:rFonts w:ascii="Courier New" w:cs="Courier New" w:eastAsia="Courier New" w:hAnsi="Courier New"/>
          <w:sz w:val="18"/>
          <w:szCs w:val="18"/>
          <w:color w:val="auto"/>
        </w:rPr>
        <w:t>2001.................................................</w:t>
      </w:r>
    </w:p>
    <w:p>
      <w:pPr>
        <w:jc w:val="center"/>
        <w:ind w:right="4419"/>
        <w:spacing w:after="0"/>
        <w:rPr>
          <w:sz w:val="20"/>
          <w:szCs w:val="20"/>
          <w:color w:val="auto"/>
        </w:rPr>
      </w:pPr>
      <w:r>
        <w:rPr>
          <w:rFonts w:ascii="Courier New" w:cs="Courier New" w:eastAsia="Courier New" w:hAnsi="Courier New"/>
          <w:sz w:val="18"/>
          <w:szCs w:val="18"/>
          <w:color w:val="auto"/>
        </w:rPr>
        <w:t>43.50 69.35 April,</w:t>
      </w:r>
    </w:p>
    <w:p>
      <w:pPr>
        <w:ind w:left="120"/>
        <w:spacing w:after="0" w:line="237" w:lineRule="auto"/>
        <w:rPr>
          <w:sz w:val="20"/>
          <w:szCs w:val="20"/>
          <w:color w:val="auto"/>
        </w:rPr>
      </w:pPr>
      <w:r>
        <w:rPr>
          <w:rFonts w:ascii="Courier New" w:cs="Courier New" w:eastAsia="Courier New" w:hAnsi="Courier New"/>
          <w:sz w:val="18"/>
          <w:szCs w:val="18"/>
          <w:color w:val="auto"/>
        </w:rPr>
        <w:t>2001.................................................</w:t>
      </w:r>
    </w:p>
    <w:p>
      <w:pPr>
        <w:jc w:val="center"/>
        <w:ind w:right="4419"/>
        <w:spacing w:after="0" w:line="238" w:lineRule="auto"/>
        <w:rPr>
          <w:sz w:val="20"/>
          <w:szCs w:val="20"/>
          <w:color w:val="auto"/>
        </w:rPr>
      </w:pPr>
      <w:r>
        <w:rPr>
          <w:rFonts w:ascii="Courier New" w:cs="Courier New" w:eastAsia="Courier New" w:hAnsi="Courier New"/>
          <w:sz w:val="18"/>
          <w:szCs w:val="18"/>
          <w:color w:val="auto"/>
        </w:rPr>
        <w:t>40.60 60.35 May,</w:t>
      </w:r>
    </w:p>
    <w:p>
      <w:pPr>
        <w:spacing w:after="0"/>
        <w:rPr>
          <w:sz w:val="20"/>
          <w:szCs w:val="20"/>
          <w:color w:val="auto"/>
        </w:rPr>
      </w:pPr>
      <w:r>
        <w:rPr>
          <w:rFonts w:ascii="Courier New" w:cs="Courier New" w:eastAsia="Courier New" w:hAnsi="Courier New"/>
          <w:sz w:val="18"/>
          <w:szCs w:val="18"/>
          <w:color w:val="auto"/>
        </w:rPr>
        <w:t>2001...................................................</w:t>
      </w:r>
    </w:p>
    <w:p>
      <w:pPr>
        <w:jc w:val="center"/>
        <w:ind w:right="4419"/>
        <w:spacing w:after="0" w:line="237" w:lineRule="auto"/>
        <w:rPr>
          <w:sz w:val="20"/>
          <w:szCs w:val="20"/>
          <w:color w:val="auto"/>
        </w:rPr>
      </w:pPr>
      <w:r>
        <w:rPr>
          <w:rFonts w:ascii="Courier New" w:cs="Courier New" w:eastAsia="Courier New" w:hAnsi="Courier New"/>
          <w:sz w:val="18"/>
          <w:szCs w:val="18"/>
          <w:color w:val="auto"/>
        </w:rPr>
        <w:t>58.50 66.15 June,</w:t>
      </w:r>
    </w:p>
    <w:p>
      <w:pPr>
        <w:ind w:left="60"/>
        <w:spacing w:after="0"/>
        <w:rPr>
          <w:sz w:val="20"/>
          <w:szCs w:val="20"/>
          <w:color w:val="auto"/>
        </w:rPr>
      </w:pPr>
      <w:r>
        <w:rPr>
          <w:rFonts w:ascii="Courier New" w:cs="Courier New" w:eastAsia="Courier New" w:hAnsi="Courier New"/>
          <w:sz w:val="18"/>
          <w:szCs w:val="18"/>
          <w:color w:val="auto"/>
        </w:rPr>
        <w:t>2001..................................................</w:t>
      </w:r>
    </w:p>
    <w:p>
      <w:pPr>
        <w:jc w:val="center"/>
        <w:ind w:right="4419"/>
        <w:spacing w:after="0" w:line="237" w:lineRule="auto"/>
        <w:rPr>
          <w:sz w:val="20"/>
          <w:szCs w:val="20"/>
          <w:color w:val="auto"/>
        </w:rPr>
      </w:pPr>
      <w:r>
        <w:rPr>
          <w:rFonts w:ascii="Courier New" w:cs="Courier New" w:eastAsia="Courier New" w:hAnsi="Courier New"/>
          <w:sz w:val="18"/>
          <w:szCs w:val="18"/>
          <w:color w:val="auto"/>
        </w:rPr>
        <w:t>52.80 66.50 July,</w:t>
      </w:r>
    </w:p>
    <w:p>
      <w:pPr>
        <w:ind w:left="60"/>
        <w:spacing w:after="0"/>
        <w:rPr>
          <w:sz w:val="20"/>
          <w:szCs w:val="20"/>
          <w:color w:val="auto"/>
        </w:rPr>
      </w:pPr>
      <w:r>
        <w:rPr>
          <w:rFonts w:ascii="Courier New" w:cs="Courier New" w:eastAsia="Courier New" w:hAnsi="Courier New"/>
          <w:sz w:val="18"/>
          <w:szCs w:val="18"/>
          <w:color w:val="auto"/>
        </w:rPr>
        <w:t>2001..................................................</w:t>
      </w:r>
    </w:p>
    <w:p>
      <w:pPr>
        <w:jc w:val="center"/>
        <w:ind w:right="4419"/>
        <w:spacing w:after="0" w:line="237" w:lineRule="auto"/>
        <w:rPr>
          <w:sz w:val="20"/>
          <w:szCs w:val="20"/>
          <w:color w:val="auto"/>
        </w:rPr>
      </w:pPr>
      <w:r>
        <w:rPr>
          <w:rFonts w:ascii="Courier New" w:cs="Courier New" w:eastAsia="Courier New" w:hAnsi="Courier New"/>
          <w:sz w:val="18"/>
          <w:szCs w:val="18"/>
          <w:color w:val="auto"/>
        </w:rPr>
        <w:t>37.00 55.75 August,</w:t>
      </w:r>
    </w:p>
    <w:p>
      <w:pPr>
        <w:ind w:left="160"/>
        <w:spacing w:after="0" w:line="238" w:lineRule="auto"/>
        <w:rPr>
          <w:sz w:val="20"/>
          <w:szCs w:val="20"/>
          <w:color w:val="auto"/>
        </w:rPr>
      </w:pPr>
      <w:r>
        <w:rPr>
          <w:rFonts w:ascii="Courier New" w:cs="Courier New" w:eastAsia="Courier New" w:hAnsi="Courier New"/>
          <w:sz w:val="18"/>
          <w:szCs w:val="18"/>
          <w:color w:val="auto"/>
        </w:rPr>
        <w:t>2001................................................</w:t>
      </w:r>
    </w:p>
    <w:p>
      <w:pPr>
        <w:ind w:left="2320"/>
        <w:spacing w:after="0"/>
        <w:rPr>
          <w:sz w:val="20"/>
          <w:szCs w:val="20"/>
          <w:color w:val="auto"/>
        </w:rPr>
      </w:pPr>
      <w:r>
        <w:rPr>
          <w:rFonts w:ascii="Courier New" w:cs="Courier New" w:eastAsia="Courier New" w:hAnsi="Courier New"/>
          <w:sz w:val="18"/>
          <w:szCs w:val="18"/>
          <w:color w:val="auto"/>
        </w:rPr>
        <w:t>36.00 46.75</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September 14, 2001 there were 218 holders of record of our ordinary shares. The last reported sale price of our ordinary shares on September 24, 2001 was $29.45 per share.</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You are advised to obtain a current market quotation for our ordinary shares.</w:t>
      </w:r>
    </w:p>
    <w:p>
      <w:pPr>
        <w:sectPr>
          <w:pgSz w:w="11900" w:h="16838" w:orient="portrait"/>
          <w:cols w:equalWidth="0" w:num="1">
            <w:col w:w="10219"/>
          </w:cols>
          <w:pgMar w:left="240" w:top="312" w:right="1440" w:bottom="362"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362"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We will pay all costs and expenses incurred by us in connection with the registration of the sale of the notes and the ordinary shares pursuant to this prospectus. We will not be responsible for any commissions, underwriting discounts or similar charges on sales of the ordinary shares or notes.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19</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our capitalization as of June 30, 2001:</w:t>
      </w:r>
    </w:p>
    <w:p>
      <w:pPr>
        <w:spacing w:after="0" w:line="207" w:lineRule="exact"/>
        <w:rPr>
          <w:sz w:val="20"/>
          <w:szCs w:val="20"/>
          <w:color w:val="auto"/>
        </w:rPr>
      </w:pPr>
    </w:p>
    <w:p>
      <w:pPr>
        <w:jc w:val="center"/>
        <w:ind w:right="4399"/>
        <w:spacing w:after="0" w:line="268" w:lineRule="auto"/>
        <w:rPr>
          <w:sz w:val="20"/>
          <w:szCs w:val="20"/>
          <w:color w:val="auto"/>
        </w:rPr>
      </w:pPr>
      <w:r>
        <w:rPr>
          <w:rFonts w:ascii="Courier New" w:cs="Courier New" w:eastAsia="Courier New" w:hAnsi="Courier New"/>
          <w:sz w:val="16"/>
          <w:szCs w:val="16"/>
          <w:color w:val="auto"/>
        </w:rPr>
        <w:t>AS OF JUNE 30, 2001 -------------- (UNAUDITED) (IN THOUSANDS) ACTUAL ------ Current portion of capital lease obligations................ $ 9,522 Capital lease obligations, less current portion............. 23,183 ---------- Total capital lease obligations................... 32,705 2% Convertible Notes due June 1, 2008....................... 500,000 Shareholders' equity: Preferred Shares, par value</w:t>
      </w:r>
    </w:p>
    <w:p>
      <w:pPr>
        <w:jc w:val="center"/>
        <w:ind w:right="4419"/>
        <w:spacing w:after="0" w:line="235" w:lineRule="auto"/>
        <w:rPr>
          <w:sz w:val="20"/>
          <w:szCs w:val="20"/>
          <w:color w:val="auto"/>
        </w:rPr>
      </w:pPr>
      <w:r>
        <w:rPr>
          <w:rFonts w:ascii="Courier New" w:cs="Courier New" w:eastAsia="Courier New" w:hAnsi="Courier New"/>
          <w:sz w:val="18"/>
          <w:szCs w:val="18"/>
          <w:color w:val="auto"/>
        </w:rPr>
        <w:t>L0.01 per share; 25,000 shares</w:t>
      </w:r>
    </w:p>
    <w:p>
      <w:pPr>
        <w:spacing w:after="0" w:line="238" w:lineRule="auto"/>
        <w:rPr>
          <w:sz w:val="20"/>
          <w:szCs w:val="20"/>
          <w:color w:val="auto"/>
        </w:rPr>
      </w:pPr>
      <w:r>
        <w:rPr>
          <w:rFonts w:ascii="Courier New" w:cs="Courier New" w:eastAsia="Courier New" w:hAnsi="Courier New"/>
          <w:sz w:val="18"/>
          <w:szCs w:val="18"/>
          <w:color w:val="auto"/>
        </w:rPr>
        <w:t>authorized;............................................</w:t>
      </w:r>
    </w:p>
    <w:p>
      <w:pPr>
        <w:spacing w:after="0" w:line="5" w:lineRule="exact"/>
        <w:rPr>
          <w:sz w:val="20"/>
          <w:szCs w:val="20"/>
          <w:color w:val="auto"/>
        </w:rPr>
      </w:pPr>
    </w:p>
    <w:p>
      <w:pPr>
        <w:ind w:left="580" w:right="4479" w:hanging="520"/>
        <w:spacing w:after="0" w:line="268" w:lineRule="auto"/>
        <w:tabs>
          <w:tab w:leader="none" w:pos="3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Shares, par value L0.01 per share; 550,000 shares authorized; 222,486 shares issued and</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on an actual basis(1)</w:t>
      </w:r>
    </w:p>
    <w:p>
      <w:pPr>
        <w:ind w:left="480"/>
        <w:spacing w:after="0"/>
        <w:rPr>
          <w:sz w:val="20"/>
          <w:szCs w:val="20"/>
          <w:color w:val="auto"/>
        </w:rPr>
      </w:pPr>
      <w:r>
        <w:rPr>
          <w:rFonts w:ascii="Courier New" w:cs="Courier New" w:eastAsia="Courier New" w:hAnsi="Courier New"/>
          <w:sz w:val="18"/>
          <w:szCs w:val="18"/>
          <w:color w:val="auto"/>
        </w:rPr>
        <w:t>(2)..................................... 3,558</w:t>
      </w:r>
    </w:p>
    <w:p>
      <w:pPr>
        <w:ind w:left="1960"/>
        <w:spacing w:after="0" w:line="237" w:lineRule="auto"/>
        <w:rPr>
          <w:sz w:val="20"/>
          <w:szCs w:val="20"/>
          <w:color w:val="auto"/>
        </w:rPr>
      </w:pPr>
      <w:r>
        <w:rPr>
          <w:rFonts w:ascii="Courier New" w:cs="Courier New" w:eastAsia="Courier New" w:hAnsi="Courier New"/>
          <w:sz w:val="18"/>
          <w:szCs w:val="18"/>
          <w:color w:val="auto"/>
        </w:rPr>
        <w:t>Additional paid-in</w:t>
      </w:r>
    </w:p>
    <w:p>
      <w:pPr>
        <w:ind w:left="320"/>
        <w:spacing w:after="0" w:line="238" w:lineRule="auto"/>
        <w:rPr>
          <w:sz w:val="20"/>
          <w:szCs w:val="20"/>
          <w:color w:val="auto"/>
        </w:rPr>
      </w:pPr>
      <w:r>
        <w:rPr>
          <w:rFonts w:ascii="Courier New" w:cs="Courier New" w:eastAsia="Courier New" w:hAnsi="Courier New"/>
          <w:sz w:val="18"/>
          <w:szCs w:val="18"/>
          <w:color w:val="auto"/>
        </w:rPr>
        <w:t>capital................................ 1,803,597</w:t>
      </w:r>
    </w:p>
    <w:p>
      <w:pPr>
        <w:ind w:left="1280"/>
        <w:spacing w:after="0"/>
        <w:rPr>
          <w:sz w:val="20"/>
          <w:szCs w:val="20"/>
          <w:color w:val="auto"/>
        </w:rPr>
      </w:pPr>
      <w:r>
        <w:rPr>
          <w:rFonts w:ascii="Courier New" w:cs="Courier New" w:eastAsia="Courier New" w:hAnsi="Courier New"/>
          <w:sz w:val="18"/>
          <w:szCs w:val="18"/>
          <w:color w:val="auto"/>
        </w:rPr>
        <w:t>Accumulated other comprehensive</w:t>
      </w:r>
    </w:p>
    <w:p>
      <w:pPr>
        <w:ind w:left="640"/>
        <w:spacing w:after="0" w:line="237" w:lineRule="auto"/>
        <w:rPr>
          <w:sz w:val="20"/>
          <w:szCs w:val="20"/>
          <w:color w:val="auto"/>
        </w:rPr>
      </w:pPr>
      <w:r>
        <w:rPr>
          <w:rFonts w:ascii="Courier New" w:cs="Courier New" w:eastAsia="Courier New" w:hAnsi="Courier New"/>
          <w:sz w:val="18"/>
          <w:szCs w:val="18"/>
          <w:color w:val="auto"/>
        </w:rPr>
        <w:t>loss...................... (2,535) Unearned</w:t>
      </w:r>
    </w:p>
    <w:p>
      <w:pPr>
        <w:ind w:left="320"/>
        <w:spacing w:after="0"/>
        <w:rPr>
          <w:sz w:val="20"/>
          <w:szCs w:val="20"/>
          <w:color w:val="auto"/>
        </w:rPr>
      </w:pPr>
      <w:r>
        <w:rPr>
          <w:rFonts w:ascii="Courier New" w:cs="Courier New" w:eastAsia="Courier New" w:hAnsi="Courier New"/>
          <w:sz w:val="18"/>
          <w:szCs w:val="18"/>
          <w:color w:val="auto"/>
        </w:rPr>
        <w:t>compensation.....................................</w:t>
      </w:r>
    </w:p>
    <w:p>
      <w:pPr>
        <w:ind w:left="2000"/>
        <w:spacing w:after="0" w:line="237" w:lineRule="auto"/>
        <w:rPr>
          <w:sz w:val="20"/>
          <w:szCs w:val="20"/>
          <w:color w:val="auto"/>
        </w:rPr>
      </w:pPr>
      <w:r>
        <w:rPr>
          <w:rFonts w:ascii="Courier New" w:cs="Courier New" w:eastAsia="Courier New" w:hAnsi="Courier New"/>
          <w:sz w:val="18"/>
          <w:szCs w:val="18"/>
          <w:color w:val="auto"/>
        </w:rPr>
        <w:t>(370) Accumulated</w:t>
      </w:r>
    </w:p>
    <w:p>
      <w:pPr>
        <w:ind w:left="480"/>
        <w:spacing w:after="0"/>
        <w:rPr>
          <w:sz w:val="20"/>
          <w:szCs w:val="20"/>
          <w:color w:val="auto"/>
        </w:rPr>
      </w:pPr>
      <w:r>
        <w:rPr>
          <w:rFonts w:ascii="Courier New" w:cs="Courier New" w:eastAsia="Courier New" w:hAnsi="Courier New"/>
          <w:sz w:val="18"/>
          <w:szCs w:val="18"/>
          <w:color w:val="auto"/>
        </w:rPr>
        <w:t>deficit.......................................</w:t>
      </w:r>
    </w:p>
    <w:p>
      <w:pPr>
        <w:ind w:left="800"/>
        <w:spacing w:after="0" w:line="237" w:lineRule="auto"/>
        <w:rPr>
          <w:sz w:val="20"/>
          <w:szCs w:val="20"/>
          <w:color w:val="auto"/>
        </w:rPr>
      </w:pPr>
      <w:r>
        <w:rPr>
          <w:rFonts w:ascii="Courier New" w:cs="Courier New" w:eastAsia="Courier New" w:hAnsi="Courier New"/>
          <w:sz w:val="18"/>
          <w:szCs w:val="18"/>
          <w:color w:val="auto"/>
        </w:rPr>
        <w:t>(311,097) ---------- Total shareholders'</w:t>
      </w:r>
    </w:p>
    <w:p>
      <w:pPr>
        <w:ind w:left="220"/>
        <w:spacing w:after="0" w:line="238" w:lineRule="auto"/>
        <w:rPr>
          <w:sz w:val="20"/>
          <w:szCs w:val="20"/>
          <w:color w:val="auto"/>
        </w:rPr>
      </w:pPr>
      <w:r>
        <w:rPr>
          <w:rFonts w:ascii="Courier New" w:cs="Courier New" w:eastAsia="Courier New" w:hAnsi="Courier New"/>
          <w:sz w:val="18"/>
          <w:szCs w:val="18"/>
          <w:color w:val="auto"/>
        </w:rPr>
        <w:t>equity........................ 1,493,153 ----------</w:t>
      </w:r>
    </w:p>
    <w:p>
      <w:pPr>
        <w:ind w:left="280"/>
        <w:spacing w:after="0"/>
        <w:rPr>
          <w:sz w:val="20"/>
          <w:szCs w:val="20"/>
          <w:color w:val="auto"/>
        </w:rPr>
      </w:pPr>
      <w:r>
        <w:rPr>
          <w:rFonts w:ascii="Courier New" w:cs="Courier New" w:eastAsia="Courier New" w:hAnsi="Courier New"/>
          <w:sz w:val="18"/>
          <w:szCs w:val="18"/>
          <w:color w:val="auto"/>
        </w:rPr>
        <w:t>Total capitalization..............................</w:t>
      </w:r>
    </w:p>
    <w:p>
      <w:pPr>
        <w:ind w:left="1800"/>
        <w:spacing w:after="0" w:line="237" w:lineRule="auto"/>
        <w:rPr>
          <w:sz w:val="20"/>
          <w:szCs w:val="20"/>
          <w:color w:val="auto"/>
        </w:rPr>
      </w:pPr>
      <w:r>
        <w:rPr>
          <w:rFonts w:ascii="Courier New" w:cs="Courier New" w:eastAsia="Courier New" w:hAnsi="Courier New"/>
          <w:sz w:val="18"/>
          <w:szCs w:val="18"/>
          <w:color w:val="auto"/>
        </w:rPr>
        <w:t>$2,025,858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99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12,857,655 ordinary shares reserved for issuance upon the exercise of stock options that have been granted to employees.</w:t>
      </w:r>
    </w:p>
    <w:p>
      <w:pPr>
        <w:spacing w:after="0" w:line="208" w:lineRule="exact"/>
        <w:rPr>
          <w:rFonts w:ascii="Courier New" w:cs="Courier New" w:eastAsia="Courier New" w:hAnsi="Courier New"/>
          <w:sz w:val="18"/>
          <w:szCs w:val="18"/>
          <w:color w:val="auto"/>
        </w:rPr>
      </w:pPr>
    </w:p>
    <w:p>
      <w:pPr>
        <w:ind w:left="420" w:right="2099" w:hanging="412"/>
        <w:spacing w:after="0" w:line="290"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Non-voting ordinary shares comprise 50,000,000 of the authorized ordinary shares and 10,781,798 of the issued and outstanding ordinary shares.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UNAUDITED PRO FORMA CONDENSED COMBINED STATEMENTS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1999.</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210" w:lineRule="exact"/>
        <w:rPr>
          <w:sz w:val="20"/>
          <w:szCs w:val="20"/>
          <w:color w:val="auto"/>
        </w:rPr>
      </w:pPr>
    </w:p>
    <w:p>
      <w:pPr>
        <w:ind w:left="740" w:right="177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consolidated financial statements of Amdocs as of and for the fiscal year ended September 30, 2000;</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financial statements of ITDS as of and for the two month period ended November 30, 1999;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financial statements of Solect as of and for the six month period ended January 31, 2000.</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acquisition of ITDS, we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$189.0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acquisition of Solect, we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ectPr>
          <w:pgSz w:w="11900" w:h="16838" w:orient="portrait"/>
          <w:cols w:equalWidth="0" w:num="1">
            <w:col w:w="10219"/>
          </w:cols>
          <w:pgMar w:left="240" w:top="312" w:right="1440" w:bottom="1440"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unaudited pro forma condensed combined statements of operations do not include the realization of cost savings from operating efficiencies, synergies or other restructurings resulting from the acquisitions.</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unaudited pro forma condensed combined statements of operations and notes thereto contain forward-looking statements that involve risks and uncertainties.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pro forma statement of operations has not been adjusted to give effect to the issue of the notes.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UNAUDITED PRO FORMA CONDENSED COMBINED STATEMENTS OF OPERATIONS</w:t>
      </w:r>
    </w:p>
    <w:p>
      <w:pPr>
        <w:ind w:left="1800"/>
        <w:spacing w:after="0" w:line="238" w:lineRule="auto"/>
        <w:rPr>
          <w:sz w:val="20"/>
          <w:szCs w:val="20"/>
          <w:color w:val="auto"/>
        </w:rPr>
      </w:pPr>
      <w:r>
        <w:rPr>
          <w:rFonts w:ascii="Courier New" w:cs="Courier New" w:eastAsia="Courier New" w:hAnsi="Courier New"/>
          <w:sz w:val="18"/>
          <w:szCs w:val="18"/>
          <w:color w:val="auto"/>
        </w:rPr>
        <w:t>FOR THE TWELVE MONTHS ENDED SEPTEMBER 30, 2000</w:t>
      </w:r>
    </w:p>
    <w:p>
      <w:pPr>
        <w:spacing w:after="0" w:line="202"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ITDS SOLECT AMDOCS ITDS PRO</w:t>
      </w:r>
    </w:p>
    <w:p>
      <w:pPr>
        <w:jc w:val="center"/>
        <w:ind w:right="6839"/>
        <w:spacing w:after="0" w:line="238" w:lineRule="auto"/>
        <w:rPr>
          <w:sz w:val="20"/>
          <w:szCs w:val="20"/>
          <w:color w:val="auto"/>
        </w:rPr>
      </w:pPr>
      <w:r>
        <w:rPr>
          <w:rFonts w:ascii="Courier New" w:cs="Courier New" w:eastAsia="Courier New" w:hAnsi="Courier New"/>
          <w:sz w:val="18"/>
          <w:szCs w:val="18"/>
          <w:color w:val="auto"/>
        </w:rPr>
        <w:t>FORMA SOLECT PRO FORMA PRO</w:t>
      </w:r>
    </w:p>
    <w:p>
      <w:pPr>
        <w:jc w:val="center"/>
        <w:ind w:right="6839"/>
        <w:spacing w:after="0"/>
        <w:rPr>
          <w:sz w:val="20"/>
          <w:szCs w:val="20"/>
          <w:color w:val="auto"/>
        </w:rPr>
      </w:pPr>
      <w:r>
        <w:rPr>
          <w:rFonts w:ascii="Courier New" w:cs="Courier New" w:eastAsia="Courier New" w:hAnsi="Courier New"/>
          <w:sz w:val="18"/>
          <w:szCs w:val="18"/>
          <w:color w:val="auto"/>
        </w:rPr>
        <w:t>FORMA HISTORICAL HISTORICAL</w:t>
      </w:r>
    </w:p>
    <w:p>
      <w:pPr>
        <w:jc w:val="center"/>
        <w:ind w:right="6839"/>
        <w:spacing w:after="0" w:line="237" w:lineRule="auto"/>
        <w:rPr>
          <w:sz w:val="20"/>
          <w:szCs w:val="20"/>
          <w:color w:val="auto"/>
        </w:rPr>
      </w:pPr>
      <w:r>
        <w:rPr>
          <w:rFonts w:ascii="Courier New" w:cs="Courier New" w:eastAsia="Courier New" w:hAnsi="Courier New"/>
          <w:sz w:val="18"/>
          <w:szCs w:val="18"/>
          <w:color w:val="auto"/>
        </w:rPr>
        <w:t>ADJUSTMENTS HISTORICAL</w:t>
      </w:r>
    </w:p>
    <w:p>
      <w:pPr>
        <w:jc w:val="center"/>
        <w:ind w:right="6839"/>
        <w:spacing w:after="0" w:line="238" w:lineRule="auto"/>
        <w:rPr>
          <w:sz w:val="20"/>
          <w:szCs w:val="20"/>
          <w:color w:val="auto"/>
        </w:rPr>
      </w:pPr>
      <w:r>
        <w:rPr>
          <w:rFonts w:ascii="Courier New" w:cs="Courier New" w:eastAsia="Courier New" w:hAnsi="Courier New"/>
          <w:sz w:val="18"/>
          <w:szCs w:val="18"/>
          <w:color w:val="auto"/>
        </w:rPr>
        <w:t>ADJUSTMENTS COMBINED ----------</w:t>
      </w:r>
    </w:p>
    <w:p>
      <w:pPr>
        <w:ind w:left="60"/>
        <w:spacing w:after="0"/>
        <w:rPr>
          <w:sz w:val="20"/>
          <w:szCs w:val="20"/>
          <w:color w:val="auto"/>
        </w:rPr>
      </w:pPr>
      <w:r>
        <w:rPr>
          <w:rFonts w:ascii="Courier New" w:cs="Courier New" w:eastAsia="Courier New" w:hAnsi="Courier New"/>
          <w:sz w:val="18"/>
          <w:szCs w:val="18"/>
          <w:color w:val="auto"/>
        </w:rPr>
        <w:t>---------- ----------- --------</w:t>
      </w:r>
    </w:p>
    <w:p>
      <w:pPr>
        <w:ind w:left="540" w:hanging="325"/>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 EXCEPT PER SHARE</w:t>
      </w:r>
    </w:p>
    <w:p>
      <w:pPr>
        <w:jc w:val="center"/>
        <w:ind w:right="6839"/>
        <w:spacing w:after="0"/>
        <w:rPr>
          <w:sz w:val="20"/>
          <w:szCs w:val="20"/>
          <w:color w:val="auto"/>
        </w:rPr>
      </w:pPr>
      <w:r>
        <w:rPr>
          <w:rFonts w:ascii="Courier New" w:cs="Courier New" w:eastAsia="Courier New" w:hAnsi="Courier New"/>
          <w:sz w:val="18"/>
          <w:szCs w:val="18"/>
          <w:color w:val="auto"/>
        </w:rPr>
        <w:t>DATA) (IN U.S. DOLLARS, UNLESS</w:t>
      </w:r>
    </w:p>
    <w:p>
      <w:pPr>
        <w:jc w:val="center"/>
        <w:ind w:right="6839"/>
        <w:spacing w:after="0" w:line="237" w:lineRule="auto"/>
        <w:rPr>
          <w:sz w:val="20"/>
          <w:szCs w:val="20"/>
          <w:color w:val="auto"/>
        </w:rPr>
      </w:pPr>
      <w:r>
        <w:rPr>
          <w:rFonts w:ascii="Courier New" w:cs="Courier New" w:eastAsia="Courier New" w:hAnsi="Courier New"/>
          <w:sz w:val="18"/>
          <w:szCs w:val="18"/>
          <w:color w:val="auto"/>
        </w:rPr>
        <w:t>OTHERWISE STATED)</w:t>
      </w:r>
    </w:p>
    <w:p>
      <w:pPr>
        <w:spacing w:after="0" w:line="238" w:lineRule="auto"/>
        <w:rPr>
          <w:sz w:val="20"/>
          <w:szCs w:val="20"/>
          <w:color w:val="auto"/>
        </w:rPr>
      </w:pPr>
      <w:r>
        <w:rPr>
          <w:rFonts w:ascii="Courier New" w:cs="Courier New" w:eastAsia="Courier New" w:hAnsi="Courier New"/>
          <w:sz w:val="18"/>
          <w:szCs w:val="18"/>
          <w:color w:val="auto"/>
        </w:rPr>
        <w:t>Revenue.........................</w:t>
      </w:r>
    </w:p>
    <w:p>
      <w:pPr>
        <w:ind w:left="60"/>
        <w:spacing w:after="0"/>
        <w:rPr>
          <w:sz w:val="20"/>
          <w:szCs w:val="20"/>
          <w:color w:val="auto"/>
        </w:rPr>
      </w:pPr>
      <w:r>
        <w:rPr>
          <w:rFonts w:ascii="Courier New" w:cs="Courier New" w:eastAsia="Courier New" w:hAnsi="Courier New"/>
          <w:sz w:val="18"/>
          <w:szCs w:val="18"/>
          <w:color w:val="auto"/>
        </w:rPr>
        <w:t>$1,118,320 $23,289 $ -- $11,174</w:t>
      </w:r>
    </w:p>
    <w:p>
      <w:pPr>
        <w:spacing w:after="0" w:line="4" w:lineRule="exact"/>
        <w:rPr>
          <w:sz w:val="20"/>
          <w:szCs w:val="20"/>
          <w:color w:val="auto"/>
        </w:rPr>
      </w:pPr>
    </w:p>
    <w:p>
      <w:pPr>
        <w:jc w:val="both"/>
        <w:ind w:left="420" w:right="7259" w:firstLine="58"/>
        <w:spacing w:after="0" w:line="268" w:lineRule="auto"/>
        <w:tabs>
          <w:tab w:leader="none" w:pos="6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$1,152,783 Cost of revenue.................</w:t>
      </w:r>
    </w:p>
    <w:tbl>
      <w:tblPr>
        <w:tblLayout w:type="fixed"/>
        <w:tblInd w:w="100" w:type="dxa"/>
        <w:tblCellMar>
          <w:top w:w="0" w:type="dxa"/>
          <w:left w:w="0" w:type="dxa"/>
          <w:bottom w:w="0" w:type="dxa"/>
          <w:right w:w="0" w:type="dxa"/>
        </w:tblCellMar>
      </w:tblPr>
      <w:tr>
        <w:trPr>
          <w:trHeight w:val="199"/>
        </w:trPr>
        <w:tc>
          <w:tcPr>
            <w:tcW w:w="1020" w:type="dxa"/>
            <w:vAlign w:val="bottom"/>
            <w:gridSpan w:val="2"/>
          </w:tcPr>
          <w:p>
            <w:pPr>
              <w:ind w:left="220"/>
              <w:spacing w:after="0" w:line="198" w:lineRule="exact"/>
              <w:rPr>
                <w:sz w:val="20"/>
                <w:szCs w:val="20"/>
                <w:color w:val="auto"/>
              </w:rPr>
            </w:pPr>
            <w:r>
              <w:rPr>
                <w:rFonts w:ascii="Courier New" w:cs="Courier New" w:eastAsia="Courier New" w:hAnsi="Courier New"/>
                <w:sz w:val="18"/>
                <w:szCs w:val="18"/>
                <w:color w:val="auto"/>
              </w:rPr>
              <w:t>645,524</w:t>
            </w:r>
          </w:p>
        </w:tc>
        <w:tc>
          <w:tcPr>
            <w:tcW w:w="2140" w:type="dxa"/>
            <w:vAlign w:val="bottom"/>
            <w:gridSpan w:val="2"/>
          </w:tcPr>
          <w:p>
            <w:pPr>
              <w:jc w:val="right"/>
              <w:ind w:right="112"/>
              <w:spacing w:after="0" w:line="198" w:lineRule="exact"/>
              <w:rPr>
                <w:sz w:val="20"/>
                <w:szCs w:val="20"/>
                <w:color w:val="auto"/>
              </w:rPr>
            </w:pPr>
            <w:r>
              <w:rPr>
                <w:rFonts w:ascii="Courier New" w:cs="Courier New" w:eastAsia="Courier New" w:hAnsi="Courier New"/>
                <w:sz w:val="18"/>
                <w:szCs w:val="18"/>
                <w:color w:val="auto"/>
                <w:w w:val="98"/>
              </w:rPr>
              <w:t>11,841 (1,120)(A2)</w:t>
            </w:r>
          </w:p>
        </w:tc>
      </w:tr>
      <w:tr>
        <w:trPr>
          <w:trHeight w:val="203"/>
        </w:trPr>
        <w:tc>
          <w:tcPr>
            <w:tcW w:w="3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6,607 -- 662,852 Research and</w:t>
            </w:r>
          </w:p>
        </w:tc>
      </w:tr>
      <w:tr>
        <w:trPr>
          <w:trHeight w:val="203"/>
        </w:trPr>
        <w:tc>
          <w:tcPr>
            <w:tcW w:w="1580" w:type="dxa"/>
            <w:vAlign w:val="bottom"/>
            <w:gridSpan w:val="3"/>
          </w:tcPr>
          <w:p>
            <w:pPr>
              <w:ind w:left="220"/>
              <w:spacing w:after="0"/>
              <w:rPr>
                <w:sz w:val="20"/>
                <w:szCs w:val="20"/>
                <w:color w:val="auto"/>
              </w:rPr>
            </w:pPr>
            <w:r>
              <w:rPr>
                <w:rFonts w:ascii="Courier New" w:cs="Courier New" w:eastAsia="Courier New" w:hAnsi="Courier New"/>
                <w:sz w:val="16"/>
                <w:szCs w:val="16"/>
                <w:color w:val="auto"/>
                <w:w w:val="73"/>
              </w:rPr>
              <w:t>development........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74,852</w:t>
            </w:r>
          </w:p>
        </w:tc>
      </w:tr>
      <w:tr>
        <w:trPr>
          <w:trHeight w:val="203"/>
        </w:trPr>
        <w:tc>
          <w:tcPr>
            <w:tcW w:w="3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5,384 -- 3,416 -- 83,652</w:t>
            </w:r>
          </w:p>
        </w:tc>
      </w:tr>
      <w:tr>
        <w:trPr>
          <w:trHeight w:val="203"/>
        </w:trPr>
        <w:tc>
          <w:tcPr>
            <w:tcW w:w="3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Selling, general and</w:t>
            </w:r>
          </w:p>
        </w:tc>
      </w:tr>
      <w:tr>
        <w:trPr>
          <w:trHeight w:val="203"/>
        </w:trPr>
        <w:tc>
          <w:tcPr>
            <w:tcW w:w="3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administrative................</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137,004</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11,311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(575)(A1) 6,308</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(5,825)(A5) -- 148,223</w:t>
      </w:r>
    </w:p>
    <w:p>
      <w:pPr>
        <w:ind w:left="220"/>
        <w:spacing w:after="0"/>
        <w:rPr>
          <w:sz w:val="20"/>
          <w:szCs w:val="20"/>
          <w:color w:val="auto"/>
        </w:rPr>
      </w:pPr>
      <w:r>
        <w:rPr>
          <w:rFonts w:ascii="Courier New" w:cs="Courier New" w:eastAsia="Courier New" w:hAnsi="Courier New"/>
          <w:sz w:val="18"/>
          <w:szCs w:val="18"/>
          <w:color w:val="auto"/>
        </w:rPr>
        <w:t>Amortization of goodwill and</w:t>
      </w:r>
    </w:p>
    <w:p>
      <w:pPr>
        <w:ind w:left="100"/>
        <w:spacing w:after="0" w:line="237" w:lineRule="auto"/>
        <w:rPr>
          <w:sz w:val="20"/>
          <w:szCs w:val="20"/>
          <w:color w:val="auto"/>
        </w:rPr>
      </w:pPr>
      <w:r>
        <w:rPr>
          <w:rFonts w:ascii="Courier New" w:cs="Courier New" w:eastAsia="Courier New" w:hAnsi="Courier New"/>
          <w:sz w:val="18"/>
          <w:szCs w:val="18"/>
          <w:color w:val="auto"/>
        </w:rPr>
        <w:t>purchased intangible assets...</w:t>
      </w:r>
    </w:p>
    <w:p>
      <w:pPr>
        <w:ind w:left="60"/>
        <w:spacing w:after="0" w:line="238" w:lineRule="auto"/>
        <w:rPr>
          <w:sz w:val="20"/>
          <w:szCs w:val="20"/>
          <w:color w:val="auto"/>
        </w:rPr>
      </w:pPr>
      <w:r>
        <w:rPr>
          <w:rFonts w:ascii="Courier New" w:cs="Courier New" w:eastAsia="Courier New" w:hAnsi="Courier New"/>
          <w:sz w:val="18"/>
          <w:szCs w:val="18"/>
          <w:color w:val="auto"/>
        </w:rPr>
        <w:t>111,199 -- 787(A1) -- 4,565(B2)</w:t>
      </w:r>
    </w:p>
    <w:tbl>
      <w:tblPr>
        <w:tblLayout w:type="fixed"/>
        <w:tblInd w:w="380" w:type="dxa"/>
        <w:tblCellMar>
          <w:top w:w="0" w:type="dxa"/>
          <w:left w:w="0" w:type="dxa"/>
          <w:bottom w:w="0" w:type="dxa"/>
          <w:right w:w="0" w:type="dxa"/>
        </w:tblCellMar>
      </w:tblPr>
      <w:tr>
        <w:trPr>
          <w:trHeight w:val="203"/>
        </w:trPr>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411(A2)</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543(B3)</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180(A3)</w:t>
            </w:r>
          </w:p>
        </w:tc>
      </w:tr>
      <w:tr>
        <w:trPr>
          <w:trHeight w:val="203"/>
        </w:trPr>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98,631(B1)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22(A3)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202(B3)</w:t>
            </w:r>
          </w:p>
        </w:tc>
      </w:tr>
    </w:tbl>
    <w:p>
      <w:pPr>
        <w:ind w:left="60"/>
        <w:spacing w:after="0" w:line="238" w:lineRule="auto"/>
        <w:rPr>
          <w:sz w:val="20"/>
          <w:szCs w:val="20"/>
          <w:color w:val="auto"/>
        </w:rPr>
      </w:pPr>
      <w:r>
        <w:rPr>
          <w:rFonts w:ascii="Courier New" w:cs="Courier New" w:eastAsia="Courier New" w:hAnsi="Courier New"/>
          <w:sz w:val="18"/>
          <w:szCs w:val="18"/>
          <w:color w:val="auto"/>
        </w:rPr>
        <w:t>216,540 In process research and</w:t>
      </w:r>
    </w:p>
    <w:p>
      <w:pPr>
        <w:ind w:left="100"/>
        <w:spacing w:after="0"/>
        <w:rPr>
          <w:sz w:val="20"/>
          <w:szCs w:val="20"/>
          <w:color w:val="auto"/>
        </w:rPr>
      </w:pPr>
      <w:r>
        <w:rPr>
          <w:rFonts w:ascii="Courier New" w:cs="Courier New" w:eastAsia="Courier New" w:hAnsi="Courier New"/>
          <w:sz w:val="18"/>
          <w:szCs w:val="18"/>
          <w:color w:val="auto"/>
        </w:rPr>
        <w:t>development and other indirect</w:t>
      </w:r>
    </w:p>
    <w:p>
      <w:pPr>
        <w:ind w:left="100"/>
        <w:spacing w:after="0" w:line="237" w:lineRule="auto"/>
        <w:rPr>
          <w:sz w:val="20"/>
          <w:szCs w:val="20"/>
          <w:color w:val="auto"/>
        </w:rPr>
      </w:pPr>
      <w:r>
        <w:rPr>
          <w:rFonts w:ascii="Courier New" w:cs="Courier New" w:eastAsia="Courier New" w:hAnsi="Courier New"/>
          <w:sz w:val="18"/>
          <w:szCs w:val="18"/>
          <w:color w:val="auto"/>
        </w:rPr>
        <w:t>acquisition related costs.....</w:t>
      </w:r>
    </w:p>
    <w:tbl>
      <w:tblPr>
        <w:tblLayout w:type="fixed"/>
        <w:tblInd w:w="60"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75,617 --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(19,876)(A6)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(55,741)(B5)</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 -</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1,044,196</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28,536</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(25,996)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16,331</w:t>
            </w:r>
          </w:p>
        </w:tc>
        <w:tc>
          <w:tcPr>
            <w:tcW w:w="1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48,200</w:t>
            </w: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1,111,267 ----------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640"/>
        <w:spacing w:after="0"/>
        <w:rPr>
          <w:sz w:val="20"/>
          <w:szCs w:val="20"/>
          <w:color w:val="auto"/>
        </w:rPr>
      </w:pPr>
      <w:r>
        <w:rPr>
          <w:rFonts w:ascii="Courier New" w:cs="Courier New" w:eastAsia="Courier New" w:hAnsi="Courier New"/>
          <w:sz w:val="18"/>
          <w:szCs w:val="18"/>
          <w:color w:val="auto"/>
        </w:rPr>
        <w:t>--- Operating income</w:t>
      </w:r>
    </w:p>
    <w:tbl>
      <w:tblPr>
        <w:tblLayout w:type="fixed"/>
        <w:tblInd w:w="6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(loss)</w:t>
            </w:r>
          </w:p>
        </w:tc>
        <w:tc>
          <w:tcPr>
            <w:tcW w:w="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w:t>
            </w:r>
          </w:p>
        </w:tc>
        <w:tc>
          <w:tcPr>
            <w:tcW w:w="16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74,124 (5,247)</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25,996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(48,200)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41,516</w:t>
            </w:r>
          </w:p>
        </w:tc>
      </w:tr>
      <w:tr>
        <w:trPr>
          <w:trHeight w:val="203"/>
        </w:trPr>
        <w:tc>
          <w:tcPr>
            <w:tcW w:w="326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income (expenses),</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net....</w:t>
            </w:r>
          </w:p>
        </w:tc>
        <w:tc>
          <w:tcPr>
            <w:tcW w:w="2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10,734 386 -- (797)</w:t>
            </w:r>
          </w:p>
        </w:tc>
      </w:tr>
      <w:tr>
        <w:trPr>
          <w:trHeight w:val="203"/>
        </w:trPr>
        <w:tc>
          <w:tcPr>
            <w:tcW w:w="25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2"/>
              </w:rPr>
              <w:t>704(B6) 11,027 ----------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 -------- ------- -------- --</w:t>
      </w:r>
    </w:p>
    <w:p>
      <w:pPr>
        <w:ind w:left="160"/>
        <w:spacing w:after="0"/>
        <w:rPr>
          <w:sz w:val="20"/>
          <w:szCs w:val="20"/>
          <w:color w:val="auto"/>
        </w:rPr>
      </w:pPr>
      <w:r>
        <w:rPr>
          <w:rFonts w:ascii="Courier New" w:cs="Courier New" w:eastAsia="Courier New" w:hAnsi="Courier New"/>
          <w:sz w:val="18"/>
          <w:szCs w:val="18"/>
          <w:color w:val="auto"/>
        </w:rPr>
        <w:t>-------- Income (loss) before</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83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6839"/>
        <w:spacing w:after="0"/>
        <w:rPr>
          <w:sz w:val="20"/>
          <w:szCs w:val="20"/>
          <w:color w:val="auto"/>
        </w:rPr>
      </w:pPr>
      <w:r>
        <w:rPr>
          <w:rFonts w:ascii="Courier New" w:cs="Courier New" w:eastAsia="Courier New" w:hAnsi="Courier New"/>
          <w:sz w:val="18"/>
          <w:szCs w:val="18"/>
          <w:color w:val="auto"/>
        </w:rPr>
        <w:t>84,858 (4,861) 25,996 (5,954)</w:t>
      </w:r>
    </w:p>
    <w:p>
      <w:pPr>
        <w:jc w:val="center"/>
        <w:ind w:right="6839"/>
        <w:spacing w:after="0" w:line="237" w:lineRule="auto"/>
        <w:rPr>
          <w:sz w:val="20"/>
          <w:szCs w:val="20"/>
          <w:color w:val="auto"/>
        </w:rPr>
      </w:pPr>
      <w:r>
        <w:rPr>
          <w:rFonts w:ascii="Courier New" w:cs="Courier New" w:eastAsia="Courier New" w:hAnsi="Courier New"/>
          <w:sz w:val="18"/>
          <w:szCs w:val="18"/>
          <w:color w:val="auto"/>
        </w:rPr>
        <w:t>(47,496) 52,543 Income</w:t>
      </w:r>
    </w:p>
    <w:p>
      <w:pPr>
        <w:jc w:val="center"/>
        <w:ind w:right="6839"/>
        <w:spacing w:after="0"/>
        <w:rPr>
          <w:sz w:val="20"/>
          <w:szCs w:val="20"/>
          <w:color w:val="auto"/>
        </w:rPr>
      </w:pPr>
      <w:r>
        <w:rPr>
          <w:rFonts w:ascii="Courier New" w:cs="Courier New" w:eastAsia="Courier New" w:hAnsi="Courier New"/>
          <w:sz w:val="18"/>
          <w:szCs w:val="18"/>
          <w:color w:val="auto"/>
        </w:rPr>
        <w:t>taxes....................</w:t>
      </w:r>
    </w:p>
    <w:p>
      <w:pPr>
        <w:jc w:val="center"/>
        <w:ind w:right="6839"/>
        <w:spacing w:after="0" w:line="237" w:lineRule="auto"/>
        <w:rPr>
          <w:sz w:val="20"/>
          <w:szCs w:val="20"/>
          <w:color w:val="auto"/>
        </w:rPr>
      </w:pPr>
      <w:r>
        <w:rPr>
          <w:rFonts w:ascii="Courier New" w:cs="Courier New" w:eastAsia="Courier New" w:hAnsi="Courier New"/>
          <w:sz w:val="18"/>
          <w:szCs w:val="18"/>
          <w:color w:val="auto"/>
        </w:rPr>
        <w:t>78,880 1,156 110(A4) 37 (2,124)</w:t>
      </w:r>
    </w:p>
    <w:p>
      <w:pPr>
        <w:jc w:val="center"/>
        <w:ind w:right="6839"/>
        <w:spacing w:after="0"/>
        <w:rPr>
          <w:sz w:val="20"/>
          <w:szCs w:val="20"/>
          <w:color w:val="auto"/>
        </w:rPr>
      </w:pPr>
      <w:r>
        <w:rPr>
          <w:rFonts w:ascii="Courier New" w:cs="Courier New" w:eastAsia="Courier New" w:hAnsi="Courier New"/>
          <w:sz w:val="18"/>
          <w:szCs w:val="18"/>
          <w:color w:val="auto"/>
        </w:rPr>
        <w:t>(B4) 78,059 ----------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 ------- -------- -----</w:t>
      </w:r>
    </w:p>
    <w:p>
      <w:pPr>
        <w:jc w:val="center"/>
        <w:ind w:right="6839"/>
        <w:spacing w:after="0" w:line="238" w:lineRule="auto"/>
        <w:rPr>
          <w:sz w:val="20"/>
          <w:szCs w:val="20"/>
          <w:color w:val="auto"/>
        </w:rPr>
      </w:pPr>
      <w:r>
        <w:rPr>
          <w:rFonts w:ascii="Courier New" w:cs="Courier New" w:eastAsia="Courier New" w:hAnsi="Courier New"/>
          <w:sz w:val="18"/>
          <w:szCs w:val="18"/>
          <w:color w:val="auto"/>
        </w:rPr>
        <w:t>----- Net income</w:t>
      </w:r>
    </w:p>
    <w:p>
      <w:pPr>
        <w:jc w:val="center"/>
        <w:ind w:right="6839"/>
        <w:spacing w:after="0"/>
        <w:rPr>
          <w:sz w:val="20"/>
          <w:szCs w:val="20"/>
          <w:color w:val="auto"/>
        </w:rPr>
      </w:pPr>
      <w:r>
        <w:rPr>
          <w:rFonts w:ascii="Courier New" w:cs="Courier New" w:eastAsia="Courier New" w:hAnsi="Courier New"/>
          <w:sz w:val="18"/>
          <w:szCs w:val="18"/>
          <w:color w:val="auto"/>
        </w:rPr>
        <w:t>(loss)............... $ 5,978</w:t>
      </w:r>
    </w:p>
    <w:p>
      <w:pPr>
        <w:jc w:val="center"/>
        <w:ind w:right="6839"/>
        <w:spacing w:after="0" w:line="237" w:lineRule="auto"/>
        <w:rPr>
          <w:sz w:val="20"/>
          <w:szCs w:val="20"/>
          <w:color w:val="auto"/>
        </w:rPr>
      </w:pPr>
      <w:r>
        <w:rPr>
          <w:rFonts w:ascii="Courier New" w:cs="Courier New" w:eastAsia="Courier New" w:hAnsi="Courier New"/>
          <w:sz w:val="18"/>
          <w:szCs w:val="18"/>
          <w:color w:val="auto"/>
        </w:rPr>
        <w:t>$(6,017) $ 25,886 $(5,991)</w:t>
      </w:r>
    </w:p>
    <w:p>
      <w:pPr>
        <w:jc w:val="center"/>
        <w:ind w:right="6839"/>
        <w:spacing w:after="0"/>
        <w:rPr>
          <w:sz w:val="20"/>
          <w:szCs w:val="20"/>
          <w:color w:val="auto"/>
        </w:rPr>
      </w:pPr>
      <w:r>
        <w:rPr>
          <w:rFonts w:ascii="Courier New" w:cs="Courier New" w:eastAsia="Courier New" w:hAnsi="Courier New"/>
          <w:sz w:val="18"/>
          <w:szCs w:val="18"/>
          <w:color w:val="auto"/>
        </w:rPr>
        <w:t>$(45,372) $ (25,516) ==========</w:t>
      </w:r>
    </w:p>
    <w:p>
      <w:pPr>
        <w:jc w:val="center"/>
        <w:ind w:right="6839"/>
        <w:spacing w:after="0" w:line="237" w:lineRule="auto"/>
        <w:rPr>
          <w:sz w:val="20"/>
          <w:szCs w:val="20"/>
          <w:color w:val="auto"/>
        </w:rPr>
      </w:pPr>
      <w:r>
        <w:rPr>
          <w:rFonts w:ascii="Courier New" w:cs="Courier New" w:eastAsia="Courier New" w:hAnsi="Courier New"/>
          <w:sz w:val="18"/>
          <w:szCs w:val="18"/>
          <w:color w:val="auto"/>
        </w:rPr>
        <w:t>======= ======== =======</w:t>
      </w:r>
    </w:p>
    <w:p>
      <w:pPr>
        <w:jc w:val="center"/>
        <w:ind w:right="6839"/>
        <w:spacing w:after="0"/>
        <w:rPr>
          <w:sz w:val="20"/>
          <w:szCs w:val="20"/>
          <w:color w:val="auto"/>
        </w:rPr>
      </w:pPr>
      <w:r>
        <w:rPr>
          <w:rFonts w:ascii="Courier New" w:cs="Courier New" w:eastAsia="Courier New" w:hAnsi="Courier New"/>
          <w:sz w:val="18"/>
          <w:szCs w:val="18"/>
          <w:color w:val="auto"/>
        </w:rPr>
        <w:t>======== ========== Basic</w:t>
      </w:r>
    </w:p>
    <w:p>
      <w:pPr>
        <w:jc w:val="center"/>
        <w:ind w:right="6839"/>
        <w:spacing w:after="0" w:line="237" w:lineRule="auto"/>
        <w:rPr>
          <w:sz w:val="20"/>
          <w:szCs w:val="20"/>
          <w:color w:val="auto"/>
        </w:rPr>
      </w:pPr>
      <w:r>
        <w:rPr>
          <w:rFonts w:ascii="Courier New" w:cs="Courier New" w:eastAsia="Courier New" w:hAnsi="Courier New"/>
          <w:sz w:val="18"/>
          <w:szCs w:val="18"/>
          <w:color w:val="auto"/>
        </w:rPr>
        <w:t>earnings (loss) per</w:t>
      </w:r>
    </w:p>
    <w:p>
      <w:pPr>
        <w:ind w:left="100"/>
        <w:spacing w:after="0" w:line="238" w:lineRule="auto"/>
        <w:rPr>
          <w:sz w:val="20"/>
          <w:szCs w:val="20"/>
          <w:color w:val="auto"/>
        </w:rPr>
      </w:pPr>
      <w:r>
        <w:rPr>
          <w:rFonts w:ascii="Courier New" w:cs="Courier New" w:eastAsia="Courier New" w:hAnsi="Courier New"/>
          <w:sz w:val="18"/>
          <w:szCs w:val="18"/>
          <w:color w:val="auto"/>
        </w:rPr>
        <w:t>share.........................</w:t>
      </w:r>
    </w:p>
    <w:p>
      <w:pPr>
        <w:ind w:left="540" w:hanging="220"/>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0.03 $ (0.12)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Diluted earnings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per</w:t>
      </w:r>
    </w:p>
    <w:p>
      <w:pPr>
        <w:sectPr>
          <w:pgSz w:w="11900" w:h="16838" w:orient="portrait"/>
          <w:cols w:equalWidth="0" w:num="1">
            <w:col w:w="10219"/>
          </w:cols>
          <w:pgMar w:left="240" w:top="312" w:right="1440" w:bottom="0" w:gutter="0" w:footer="0" w:header="0"/>
        </w:sectPr>
      </w:pPr>
    </w:p>
    <w:bookmarkStart w:id="24" w:name="page25"/>
    <w:bookmarkEnd w:id="24"/>
    <w:p>
      <w:pPr>
        <w:ind w:left="40"/>
        <w:spacing w:after="0"/>
        <w:rPr>
          <w:sz w:val="20"/>
          <w:szCs w:val="20"/>
          <w:color w:val="auto"/>
        </w:rPr>
      </w:pPr>
      <w:r>
        <w:rPr>
          <w:rFonts w:ascii="Courier New" w:cs="Courier New" w:eastAsia="Courier New" w:hAnsi="Courier New"/>
          <w:sz w:val="18"/>
          <w:szCs w:val="18"/>
          <w:color w:val="auto"/>
        </w:rPr>
        <w:t>share.........................</w:t>
      </w:r>
    </w:p>
    <w:p>
      <w:pPr>
        <w:ind w:left="480" w:hanging="220"/>
        <w:spacing w:after="0" w:line="238" w:lineRule="auto"/>
        <w:tabs>
          <w:tab w:leader="none" w:pos="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0.03 $ (0.12) ==========</w:t>
      </w:r>
    </w:p>
    <w:p>
      <w:pPr>
        <w:spacing w:after="0" w:line="4" w:lineRule="exact"/>
        <w:rPr>
          <w:rFonts w:ascii="Courier New" w:cs="Courier New" w:eastAsia="Courier New" w:hAnsi="Courier New"/>
          <w:sz w:val="18"/>
          <w:szCs w:val="18"/>
          <w:color w:val="auto"/>
        </w:rPr>
      </w:pPr>
    </w:p>
    <w:p>
      <w:pPr>
        <w:jc w:val="both"/>
        <w:ind w:left="360" w:right="72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Basic weighted average number of shares</w:t>
      </w:r>
    </w:p>
    <w:p>
      <w:pPr>
        <w:spacing w:after="0" w:line="233" w:lineRule="auto"/>
        <w:rPr>
          <w:sz w:val="20"/>
          <w:szCs w:val="20"/>
          <w:color w:val="auto"/>
        </w:rPr>
      </w:pPr>
      <w:r>
        <w:rPr>
          <w:rFonts w:ascii="Courier New" w:cs="Courier New" w:eastAsia="Courier New" w:hAnsi="Courier New"/>
          <w:sz w:val="18"/>
          <w:szCs w:val="18"/>
          <w:color w:val="auto"/>
        </w:rPr>
        <w:t>outstanding............ 212,005</w:t>
      </w:r>
    </w:p>
    <w:p>
      <w:pPr>
        <w:jc w:val="center"/>
        <w:ind w:right="6899"/>
        <w:spacing w:after="0"/>
        <w:rPr>
          <w:sz w:val="20"/>
          <w:szCs w:val="20"/>
          <w:color w:val="auto"/>
        </w:rPr>
      </w:pPr>
      <w:r>
        <w:rPr>
          <w:rFonts w:ascii="Courier New" w:cs="Courier New" w:eastAsia="Courier New" w:hAnsi="Courier New"/>
          <w:sz w:val="18"/>
          <w:szCs w:val="18"/>
          <w:color w:val="auto"/>
        </w:rPr>
        <w:t>220,003 ========== ==========</w:t>
      </w:r>
    </w:p>
    <w:p>
      <w:pPr>
        <w:spacing w:after="0" w:line="237" w:lineRule="auto"/>
        <w:rPr>
          <w:sz w:val="20"/>
          <w:szCs w:val="20"/>
          <w:color w:val="auto"/>
        </w:rPr>
      </w:pPr>
      <w:r>
        <w:rPr>
          <w:rFonts w:ascii="Courier New" w:cs="Courier New" w:eastAsia="Courier New" w:hAnsi="Courier New"/>
          <w:sz w:val="18"/>
          <w:szCs w:val="18"/>
          <w:color w:val="auto"/>
        </w:rPr>
        <w:t>Diluted weighted average number</w:t>
      </w:r>
    </w:p>
    <w:p>
      <w:pPr>
        <w:ind w:left="40"/>
        <w:spacing w:after="0"/>
        <w:rPr>
          <w:sz w:val="20"/>
          <w:szCs w:val="20"/>
          <w:color w:val="auto"/>
        </w:rPr>
      </w:pPr>
      <w:r>
        <w:rPr>
          <w:rFonts w:ascii="Courier New" w:cs="Courier New" w:eastAsia="Courier New" w:hAnsi="Courier New"/>
          <w:sz w:val="18"/>
          <w:szCs w:val="18"/>
          <w:color w:val="auto"/>
        </w:rPr>
        <w:t>of shares outstanding.........</w:t>
      </w:r>
    </w:p>
    <w:p>
      <w:pPr>
        <w:jc w:val="center"/>
        <w:ind w:right="6899"/>
        <w:spacing w:after="0" w:line="237" w:lineRule="auto"/>
        <w:rPr>
          <w:sz w:val="20"/>
          <w:szCs w:val="20"/>
          <w:color w:val="auto"/>
        </w:rPr>
      </w:pPr>
      <w:r>
        <w:rPr>
          <w:rFonts w:ascii="Courier New" w:cs="Courier New" w:eastAsia="Courier New" w:hAnsi="Courier New"/>
          <w:sz w:val="18"/>
          <w:szCs w:val="18"/>
          <w:color w:val="auto"/>
        </w:rPr>
        <w:t>216,935 220,003(C) ==========</w:t>
      </w:r>
    </w:p>
    <w:p>
      <w:pPr>
        <w:jc w:val="center"/>
        <w:ind w:right="6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See notes to Unaudited Pro Forma Condensed Combined Statements of Operations</w:t>
      </w:r>
    </w:p>
    <w:p>
      <w:pPr>
        <w:spacing w:after="0" w:line="16" w:lineRule="exact"/>
        <w:rPr>
          <w:sz w:val="20"/>
          <w:szCs w:val="20"/>
          <w:color w:val="auto"/>
        </w:rPr>
      </w:pPr>
    </w:p>
    <w:p>
      <w:pPr>
        <w:ind w:left="2580"/>
        <w:spacing w:after="0"/>
        <w:rPr>
          <w:sz w:val="20"/>
          <w:szCs w:val="20"/>
          <w:color w:val="auto"/>
        </w:rPr>
      </w:pPr>
      <w:r>
        <w:rPr>
          <w:rFonts w:ascii="Courier New" w:cs="Courier New" w:eastAsia="Courier New" w:hAnsi="Courier New"/>
          <w:sz w:val="18"/>
          <w:szCs w:val="18"/>
          <w:color w:val="auto"/>
        </w:rPr>
        <w:t>for discussion of adjustments.</w:t>
      </w:r>
    </w:p>
    <w:p>
      <w:pPr>
        <w:ind w:left="4160"/>
        <w:spacing w:after="0" w:line="238" w:lineRule="auto"/>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159"/>
          </w:cols>
          <w:pgMar w:left="300" w:top="136"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NOTES TO UNAUDITED PRO FORMA CONDENSED COMBINED STATEMENTS OF OPERATIONS (IN THOUSANDS)</w:t>
      </w:r>
    </w:p>
    <w:p>
      <w:pPr>
        <w:spacing w:after="0"/>
        <w:rPr>
          <w:sz w:val="20"/>
          <w:szCs w:val="20"/>
          <w:color w:val="auto"/>
        </w:rPr>
      </w:pPr>
      <w:r>
        <w:rPr>
          <w:rFonts w:ascii="Courier New" w:cs="Courier New" w:eastAsia="Courier New" w:hAnsi="Courier New"/>
          <w:sz w:val="18"/>
          <w:szCs w:val="18"/>
          <w:color w:val="auto"/>
        </w:rPr>
        <w:t>(IN U.S. DOLLARS, UNLESS OTHERWISE STATED)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ITDS TRANSACTION: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Amdocs acquired ITDS on November 30, 1999. Accordingly, the operations of ITDS are included in the historical results of Amdocs from that date. The amounts presented under the column headed ITDS Historical represent the historical results of ITDS for the two months ended November 30, 1999.</w:t>
      </w:r>
    </w:p>
    <w:p>
      <w:pPr>
        <w:spacing w:after="0" w:line="207" w:lineRule="exact"/>
        <w:rPr>
          <w:sz w:val="20"/>
          <w:szCs w:val="20"/>
          <w:color w:val="auto"/>
        </w:rPr>
      </w:pPr>
    </w:p>
    <w:p>
      <w:pPr>
        <w:ind w:right="1879" w:firstLine="535"/>
        <w:spacing w:after="0" w:line="236"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elimination of ITDS historical goodwill amortization and the amortization of goodwill resulting from the acquisition of ITDS for the two months ended November 30,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Amortization expense relating to goodwill of $70,797 over 15</w:t>
            </w: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years.....................................................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$ 787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Less historical amortization expense........................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Additional goodwill amortization, net.......................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$ 212</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35"/>
        <w:spacing w:after="0" w:line="23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elimination of ITDS historical amortization of intellectual property and core technology and the amortization of the core technology resulting from the valuation at the time of the acquisition for the two months ended November 30, 1999: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Amortization expense relating to core technology of</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$12,342 over 5 years....................................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411</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Less historical amortization expense......................</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(1,120)</w:t>
            </w:r>
          </w:p>
        </w:tc>
      </w:tr>
      <w:tr>
        <w:trPr>
          <w:trHeight w:val="203"/>
        </w:trPr>
        <w:tc>
          <w:tcPr>
            <w:tcW w:w="62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Reduction of amortization expense related to core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technology, net.........................................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w:t>
            </w:r>
          </w:p>
        </w:tc>
      </w:tr>
      <w:tr>
        <w:trPr>
          <w:trHeight w:val="203"/>
        </w:trPr>
        <w:tc>
          <w:tcPr>
            <w:tcW w:w="62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35"/>
        <w:spacing w:after="0" w:line="235"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amortization of the workforce-in-place and customer list for the two months ended November 30, 1999,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Amortization expense relating to workforce-in-place of</w:t>
      </w:r>
    </w:p>
    <w:p>
      <w:pPr>
        <w:ind w:left="220"/>
        <w:spacing w:after="0"/>
        <w:tabs>
          <w:tab w:leader="dot" w:pos="6520" w:val="left"/>
        </w:tabs>
        <w:rPr>
          <w:sz w:val="20"/>
          <w:szCs w:val="20"/>
          <w:color w:val="auto"/>
        </w:rPr>
      </w:pPr>
      <w:r>
        <w:rPr>
          <w:rFonts w:ascii="Courier New" w:cs="Courier New" w:eastAsia="Courier New" w:hAnsi="Courier New"/>
          <w:sz w:val="18"/>
          <w:szCs w:val="18"/>
          <w:color w:val="auto"/>
        </w:rPr>
        <w:t>$5,407 over 5 years</w:t>
      </w:r>
      <w:r>
        <w:rPr>
          <w:sz w:val="20"/>
          <w:szCs w:val="20"/>
          <w:color w:val="auto"/>
        </w:rPr>
        <w:tab/>
      </w:r>
      <w:r>
        <w:rPr>
          <w:rFonts w:ascii="Courier New" w:cs="Courier New" w:eastAsia="Courier New" w:hAnsi="Courier New"/>
          <w:sz w:val="16"/>
          <w:szCs w:val="16"/>
          <w:color w:val="auto"/>
        </w:rPr>
        <w:t>$180</w:t>
      </w:r>
    </w:p>
    <w:p>
      <w:pPr>
        <w:spacing w:after="0"/>
        <w:rPr>
          <w:sz w:val="20"/>
          <w:szCs w:val="20"/>
          <w:color w:val="auto"/>
        </w:rPr>
      </w:pPr>
      <w:r>
        <w:rPr>
          <w:rFonts w:ascii="Courier New" w:cs="Courier New" w:eastAsia="Courier New" w:hAnsi="Courier New"/>
          <w:sz w:val="18"/>
          <w:szCs w:val="18"/>
          <w:color w:val="auto"/>
        </w:rPr>
        <w:t>Amortization expense relating to customer base of $647 over</w:t>
      </w:r>
    </w:p>
    <w:p>
      <w:pPr>
        <w:ind w:left="220"/>
        <w:spacing w:after="0" w:line="237" w:lineRule="auto"/>
        <w:tabs>
          <w:tab w:leader="dot" w:pos="6720" w:val="left"/>
        </w:tabs>
        <w:rPr>
          <w:sz w:val="20"/>
          <w:szCs w:val="20"/>
          <w:color w:val="auto"/>
        </w:rPr>
      </w:pPr>
      <w:r>
        <w:rPr>
          <w:rFonts w:ascii="Courier New" w:cs="Courier New" w:eastAsia="Courier New" w:hAnsi="Courier New"/>
          <w:sz w:val="18"/>
          <w:szCs w:val="18"/>
          <w:color w:val="auto"/>
        </w:rPr>
        <w:t>5 years</w:t>
      </w:r>
      <w:r>
        <w:rPr>
          <w:sz w:val="20"/>
          <w:szCs w:val="20"/>
          <w:color w:val="auto"/>
        </w:rPr>
        <w:tab/>
      </w: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10" w:lineRule="exact"/>
        <w:rPr>
          <w:sz w:val="20"/>
          <w:szCs w:val="20"/>
          <w:color w:val="auto"/>
        </w:rPr>
      </w:pPr>
    </w:p>
    <w:p>
      <w:pPr>
        <w:ind w:right="1879" w:firstLine="535"/>
        <w:spacing w:after="0" w:line="236" w:lineRule="auto"/>
        <w:tabs>
          <w:tab w:leader="none" w:pos="9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effect resulting from the differences between the values assigned to core technology, workforce-in-place and customer list and the respective tax basis of such assets.</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elimination of ITDS transaction costs.</w:t>
      </w:r>
    </w:p>
    <w:p>
      <w:pPr>
        <w:spacing w:after="0" w:line="206"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elimination of in process research and development expenses included in Amdocs' historical financial statements as a result of the ITDS acquisition.</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SOLECT TRANSACTION: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Amdocs acquired Solect on April 5, 2000. Accordingly, Solect's operations are included in the historical results of Amdocs from that date. The amounts presented under the column headed Solect Historical represent the historical results of Solect for the six months ended January 31, 2000. There were no substantial changes in Solect's financial position or results of operations during the two month period ended March 31, 2000.</w:t>
      </w:r>
    </w:p>
    <w:p>
      <w:pPr>
        <w:spacing w:after="0" w:line="210" w:lineRule="exact"/>
        <w:rPr>
          <w:sz w:val="20"/>
          <w:szCs w:val="20"/>
          <w:color w:val="auto"/>
        </w:rPr>
      </w:pPr>
    </w:p>
    <w:p>
      <w:pPr>
        <w:ind w:right="2099" w:firstLine="535"/>
        <w:spacing w:after="0" w:line="235"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amortization of goodwill resulting from the acquisition for the six months ended January 31,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Amortization expense relating to goodwill of $986,312 over</w:t>
            </w:r>
          </w:p>
        </w:tc>
        <w:tc>
          <w:tcPr>
            <w:tcW w:w="840" w:type="dxa"/>
            <w:vAlign w:val="bottom"/>
          </w:tcPr>
          <w:p>
            <w:pPr>
              <w:spacing w:after="0"/>
              <w:rPr>
                <w:sz w:val="17"/>
                <w:szCs w:val="17"/>
                <w:color w:val="auto"/>
              </w:rPr>
            </w:pP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 years.................................................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$98,631</w:t>
            </w:r>
          </w:p>
        </w:tc>
      </w:tr>
    </w:tbl>
    <w:p>
      <w:pPr>
        <w:sectPr>
          <w:pgSz w:w="11900" w:h="16838" w:orient="portrait"/>
          <w:cols w:equalWidth="0" w:num="1">
            <w:col w:w="10219"/>
          </w:cols>
          <w:pgMar w:left="240" w:top="312" w:right="1440" w:bottom="0" w:gutter="0" w:footer="0" w:header="0"/>
        </w:sectPr>
      </w:pPr>
    </w:p>
    <w:bookmarkStart w:id="26" w:name="page27"/>
    <w:bookmarkEnd w:id="26"/>
    <w:p>
      <w:pPr>
        <w:ind w:left="3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019"/>
          </w:cols>
          <w:pgMar w:left="1440" w:top="541"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UNAUDITED PRO FORMA CONDENSED COMBINED STATEMENTS OF OPERATIONS</w:t>
      </w:r>
    </w:p>
    <w:p>
      <w:pPr>
        <w:spacing w:after="0" w:line="238" w:lineRule="auto"/>
        <w:rPr>
          <w:sz w:val="20"/>
          <w:szCs w:val="20"/>
          <w:color w:val="auto"/>
        </w:rPr>
      </w:pPr>
      <w:r>
        <w:rPr>
          <w:rFonts w:ascii="Courier New" w:cs="Courier New" w:eastAsia="Courier New" w:hAnsi="Courier New"/>
          <w:sz w:val="18"/>
          <w:szCs w:val="18"/>
          <w:color w:val="auto"/>
        </w:rPr>
        <w:t>(CONTINUED)</w:t>
      </w:r>
    </w:p>
    <w:p>
      <w:pPr>
        <w:spacing w:after="0"/>
        <w:rPr>
          <w:sz w:val="20"/>
          <w:szCs w:val="20"/>
          <w:color w:val="auto"/>
        </w:rPr>
      </w:pPr>
      <w:r>
        <w:rPr>
          <w:rFonts w:ascii="Courier New" w:cs="Courier New" w:eastAsia="Courier New" w:hAnsi="Courier New"/>
          <w:sz w:val="18"/>
          <w:szCs w:val="18"/>
          <w:color w:val="auto"/>
        </w:rPr>
        <w:t>(IN THOUSANDS)</w:t>
      </w:r>
    </w:p>
    <w:p>
      <w:pPr>
        <w:spacing w:after="0" w:line="237" w:lineRule="auto"/>
        <w:rPr>
          <w:sz w:val="20"/>
          <w:szCs w:val="20"/>
          <w:color w:val="auto"/>
        </w:rPr>
      </w:pPr>
      <w:r>
        <w:rPr>
          <w:rFonts w:ascii="Courier New" w:cs="Courier New" w:eastAsia="Courier New" w:hAnsi="Courier New"/>
          <w:sz w:val="18"/>
          <w:szCs w:val="18"/>
          <w:color w:val="auto"/>
        </w:rPr>
        <w:t>(IN U.S. DOLLARS, UNLESS OTHERWISE STATED)</w:t>
      </w:r>
    </w:p>
    <w:p>
      <w:pPr>
        <w:spacing w:after="0" w:line="207" w:lineRule="exact"/>
        <w:rPr>
          <w:sz w:val="20"/>
          <w:szCs w:val="20"/>
          <w:color w:val="auto"/>
        </w:rPr>
      </w:pPr>
    </w:p>
    <w:p>
      <w:pPr>
        <w:ind w:right="2099" w:firstLine="535"/>
        <w:spacing w:after="0" w:line="236"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amortization of the core technology resulting from the valuation at the time of the acquisition for the six months ended January 31,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rPr>
              <w:t>Amortization expense relating to core technology of $18,259</w:t>
            </w: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over 2 years..............................................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$4,565</w:t>
            </w:r>
          </w:p>
        </w:tc>
      </w:tr>
    </w:tbl>
    <w:p>
      <w:pPr>
        <w:spacing w:after="0" w:line="200" w:lineRule="exact"/>
        <w:rPr>
          <w:sz w:val="20"/>
          <w:szCs w:val="20"/>
          <w:color w:val="auto"/>
        </w:rPr>
      </w:pPr>
    </w:p>
    <w:p>
      <w:pPr>
        <w:spacing w:after="0" w:line="209" w:lineRule="exact"/>
        <w:rPr>
          <w:sz w:val="20"/>
          <w:szCs w:val="20"/>
          <w:color w:val="auto"/>
        </w:rPr>
      </w:pPr>
    </w:p>
    <w:p>
      <w:pPr>
        <w:ind w:right="1879" w:firstLine="535"/>
        <w:spacing w:after="0" w:line="235"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amortization of the workforce-in-place and customers base for the six months ended January 31, 2000,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Amortization expense relating to workforce-in-place of</w:t>
            </w:r>
          </w:p>
        </w:tc>
        <w:tc>
          <w:tcPr>
            <w:tcW w:w="520" w:type="dxa"/>
            <w:vAlign w:val="bottom"/>
          </w:tcPr>
          <w:p>
            <w:pPr>
              <w:spacing w:after="0"/>
              <w:rPr>
                <w:sz w:val="17"/>
                <w:szCs w:val="17"/>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$3,259</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over 3 years.......................................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Amortization expense relating to customer base of $1,211</w:t>
            </w:r>
          </w:p>
        </w:tc>
        <w:tc>
          <w:tcPr>
            <w:tcW w:w="520" w:type="dxa"/>
            <w:vAlign w:val="bottom"/>
          </w:tcPr>
          <w:p>
            <w:pPr>
              <w:spacing w:after="0"/>
              <w:rPr>
                <w:sz w:val="17"/>
                <w:szCs w:val="17"/>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over 3</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years..............................................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w:t>
            </w:r>
          </w:p>
        </w:tc>
      </w:tr>
    </w:tbl>
    <w:p>
      <w:pPr>
        <w:spacing w:after="0" w:line="200" w:lineRule="exact"/>
        <w:rPr>
          <w:sz w:val="20"/>
          <w:szCs w:val="20"/>
          <w:color w:val="auto"/>
        </w:rPr>
      </w:pPr>
    </w:p>
    <w:p>
      <w:pPr>
        <w:spacing w:after="0" w:line="209" w:lineRule="exact"/>
        <w:rPr>
          <w:sz w:val="20"/>
          <w:szCs w:val="20"/>
          <w:color w:val="auto"/>
        </w:rPr>
      </w:pPr>
    </w:p>
    <w:p>
      <w:pPr>
        <w:ind w:right="1999" w:firstLine="535"/>
        <w:spacing w:after="0" w:line="236" w:lineRule="auto"/>
        <w:tabs>
          <w:tab w:leader="none" w:pos="94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effect resulting from the differences between the values assigned to core technology, workforce-in-place and customer base and their respective tax basis.</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elimination of in process research and development and other indirect acquisition related costs included in the historical financial statements of Amdocs as a result of the Solect acquisition.</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decrease in interest expenses related to Solect's debentures that converted to common stock prior to the closing.</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LOSS PER SHARE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amount of shares used in the diluted loss per share calculation does not include any stock options due to their anti-dilutive effect.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issued the notes under an indenture between us and United States Trust Company of New York, as trustee. The indenture and the notes are governed by New York law. As this section is a summary, it does not describe every aspect of the notes and the indenture. The following summaries of provisions of the indenture do not purport to be complete and are subject to, and are qualified in their entirety by reference to, the detailed provisions of the notes and the indenture, including the definitions of terms. You may request copies of these documents by contacting us in writing.</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this section, references to "Amdocs", "we", "our", "us" or the "Company" refer solely to Amdocs Limited and not its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notes were issued in fully registered form, without coupons, in denominations of $1,000 principal amount and whole multiples of $1,000.</w:t>
      </w:r>
    </w:p>
    <w:p>
      <w:pPr>
        <w:spacing w:after="0" w:line="17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notes are senior, unsecured general obligations of Amdocs. The notes are limited to $500 million aggregate principal amount or $600 million if the underwriters exercise in full their right to purchase additional notes to cover over-allotments. We are required to repay the principal amount of the notes in full on June 1, 2008, unless they are redeemed or repurchased on an earlier date. The notes rank equally with our other senior unsecured obligations.</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bear interest at the rate per annum shown on the front cover of this prospectus from May 30, 2001. We will pay interest on the notes on June 1 and December 1 of each year, commencing on December 1, 2001. Interest payable per $1,000 principal amount of notes for the period from May 30, 2001 to December 1, 2001 will be approximately $10.</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You may convert the notes into our ordinary shares initially at the conversion rate stated on the front cover of this prospectus at any time before the close of business on June 1, 2008, unless the notes have been previously redeemed or repurchased. Holders of notes called for redemption or submitted for repurchase will be entitled to convert the notes up to and including the business day immediately preceding the date fixed for redemption or repurchase, as the case may be. The conversion rate may be adjusted as described below.</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redeem the notes at our option at any time on or after June 1, 2006, in whole or in part, at a redemption price of 100% of principal amount plus accrued and unpaid interest to the redemption date. On June 1, 2004 and June 1, 2006, you will have the right to require us to repurchase any notes held by you as described below under "-- Repurchase Rights". In addition, if we undergo a change in control, you will have the right to require us to repurchase your notes as described below under "-- Repurchase at Option of Holders Upon a Change In Control".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the option to convert any portion of the principal amount of any note that is an integral multiple of $1,000 into our ordinary shares of our common stock at any time on or prior to the close of business on the maturity date, unless the notes have been previously redeemed or repurchased. The conversion rate will be equal to 10.8587 shares per $1,000 principal amount of notes. The conversion rate is equivalent to a conversion price of approximately $92.09 per share.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18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convert all or part of any note by delivering the note at the Corporate Trust Office of the trustee in the Borough of Manhattan, The City of New York, accompanied by a duly signed and</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completed conversion notice, a copy of which may be obtained from the trustee. The conversion date will be the date on which the note and the duly signed and completed conversion notice are so delivered.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promptly as practicable on or after the conversion date, we will issue and deliver to the trustee a certificate or certificates for the number of full ordinary shares issuable upon conversion, together with payment in lieu of any fraction of a share. The certificate or certificates will then be sent by the trustee to the conversion agent for delivery to the holder of the note being converted. Our ordinary shares issuable upon conversion of the notes will be fully paid and nonassessable and will rank equally with our other ordinary shares.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you surrender a note for conversion on a date that is not an interest payment date, you will not be entitled to receive any interest for the period from the immediately preceding interest payment date to the conversion date, except as described below in this paragraph. Any note surrendered for conversion during the period from the close of business on any regular record date to the opening of business on the next succeeding interest payment date, except notes, or portions thereof, called for redemption on a redemption date or to be repurchased on a repurchase date for which the right to convert would terminate during such period, must be accompanied by payment of an amount equal to the interest payable on such interest payment date on the principal amount of notes being surrendered for conversion. In the case of any note that has been converted after any regular record date but before the next succeeding interest payment date, interest payable on such interest payment date shall be payable on such interest payment date notwithstanding such conversion, and such interest shall be paid to the holder of such note on such regular record date.</w:t>
      </w:r>
    </w:p>
    <w:p>
      <w:pPr>
        <w:spacing w:after="0" w:line="38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 other payment or adjustment for interest, or for any dividends in respect of our ordinary shares, will be made upon conversion. Holders of our ordinary shares issued upon conversion will not be entitled to receive any dividends payable to holders of our ordinary shares as of any record time or date before the close of business on the conversion date. We will not issue fractional shares upon conversion. Instead, we will pay cash based on the market price of our ordinary shares at the close of business on the conversion date.</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will not be required to pay any taxes or duties relating to the issue or delivery of our ordinary shares on conversion, but you will be required to pay any tax or duty relating to any transfer involved in the issue or delivery of our ordinary shares in a name other than yours. Certificates representing ordinary shares will not be issued or delivered unless all taxes and duties, if any, payable by you have been paid.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conversion rate will be subject to adjustment for, among other things:</w:t>
      </w:r>
    </w:p>
    <w:p>
      <w:pPr>
        <w:spacing w:after="0" w:line="224" w:lineRule="exact"/>
        <w:rPr>
          <w:sz w:val="20"/>
          <w:szCs w:val="20"/>
          <w:color w:val="auto"/>
        </w:rPr>
      </w:pPr>
    </w:p>
    <w:p>
      <w:pPr>
        <w:ind w:left="740" w:right="24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other distributions payable in our ordinary shares on shares of our capital stock;</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to all holders of our ordinary shares of rights, options or warrants entitling them to subscribe for or purchase our ordinary shares at less than the then current market price of such ordinary shares as of the record date for shareholders entitled to receive such rights, options or warrants;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subdivisions, combinations and reclassifications of our ordinary shares;</w:t>
      </w:r>
    </w:p>
    <w:p>
      <w:pPr>
        <w:spacing w:after="0" w:line="223"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to all holders of our ordinary shares of evidences of our indebtedness, shares of capital stock, cash or assets, including securities, but excluding:</w:t>
      </w:r>
    </w:p>
    <w:p>
      <w:pPr>
        <w:spacing w:after="0" w:line="208" w:lineRule="exact"/>
        <w:rPr>
          <w:rFonts w:ascii="Courier New" w:cs="Courier New" w:eastAsia="Courier New" w:hAnsi="Courier New"/>
          <w:sz w:val="18"/>
          <w:szCs w:val="18"/>
          <w:color w:val="auto"/>
        </w:rPr>
      </w:pPr>
    </w:p>
    <w:p>
      <w:pPr>
        <w:ind w:left="1060" w:right="1879" w:hanging="420"/>
        <w:spacing w:after="0" w:line="235"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dividends, rights, options, warrants and distributions referred to above;</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distributions paid exclusively in cash; and</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upon mergers or consolidations discussed below;</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left="740" w:right="17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consisting exclusively of cash, excluding any cash portion of distributions referred to in the bullet point immediately above, or cash distributed upon a merger or consolidation to which the next succeeding bullet point applies, to all holders of our ordinary shares in an aggregate amount that, combined together with:</w:t>
      </w:r>
    </w:p>
    <w:p>
      <w:pPr>
        <w:spacing w:after="0" w:line="208" w:lineRule="exact"/>
        <w:rPr>
          <w:rFonts w:ascii="Courier New" w:cs="Courier New" w:eastAsia="Courier New" w:hAnsi="Courier New"/>
          <w:sz w:val="18"/>
          <w:szCs w:val="18"/>
          <w:color w:val="auto"/>
        </w:rPr>
      </w:pPr>
    </w:p>
    <w:p>
      <w:pPr>
        <w:ind w:left="1060" w:right="1879" w:hanging="420"/>
        <w:spacing w:after="0" w:line="235" w:lineRule="auto"/>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all-cash distributions made within the preceding 365-day period in respect of which no adjustment has been made; and</w:t>
      </w:r>
    </w:p>
    <w:p>
      <w:pPr>
        <w:spacing w:after="0" w:line="208" w:lineRule="exact"/>
        <w:rPr>
          <w:rFonts w:ascii="Courier New" w:cs="Courier New" w:eastAsia="Courier New" w:hAnsi="Courier New"/>
          <w:sz w:val="18"/>
          <w:szCs w:val="18"/>
          <w:color w:val="auto"/>
        </w:rPr>
      </w:pPr>
    </w:p>
    <w:p>
      <w:pPr>
        <w:ind w:left="1060" w:right="1879" w:hanging="420"/>
        <w:spacing w:after="0" w:line="237" w:lineRule="auto"/>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the fair market value of other consideration payable in connection with any tender offer by us or any of our subsidiaries for our ordinary shares concluded within the preceding 365-day period in respect of which no adjustment has been made,</w:t>
      </w:r>
    </w:p>
    <w:p>
      <w:pPr>
        <w:spacing w:after="0" w:line="207"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exceeds 10% of our market capitalization, being the product of the current market price per ordinary share on the record date for such distribution and the number of ordinary shares then outstanding; and</w:t>
      </w:r>
    </w:p>
    <w:p>
      <w:pPr>
        <w:spacing w:after="0" w:line="209" w:lineRule="exact"/>
        <w:rPr>
          <w:sz w:val="20"/>
          <w:szCs w:val="20"/>
          <w:color w:val="auto"/>
        </w:rPr>
      </w:pPr>
    </w:p>
    <w:p>
      <w:pPr>
        <w:ind w:left="740" w:right="2319" w:hanging="205"/>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successful completion of a tender offer made by us or any of our subsidiaries for our ordinary shares which involves an aggregate consideration that, together with:</w:t>
      </w:r>
    </w:p>
    <w:p>
      <w:pPr>
        <w:spacing w:after="0" w:line="208" w:lineRule="exact"/>
        <w:rPr>
          <w:rFonts w:ascii="Courier New" w:cs="Courier New" w:eastAsia="Courier New" w:hAnsi="Courier New"/>
          <w:sz w:val="18"/>
          <w:szCs w:val="18"/>
          <w:color w:val="auto"/>
        </w:rPr>
      </w:pPr>
    </w:p>
    <w:p>
      <w:pPr>
        <w:ind w:left="1060" w:right="2099" w:hanging="420"/>
        <w:spacing w:after="0" w:line="237" w:lineRule="auto"/>
        <w:tabs>
          <w:tab w:leader="none" w:pos="10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other consideration payable in a tender offer by us or any of our subsidiaries for our ordinary shares expiring within the 365-day period preceding the expiration of that tender offer in respect of which no adjustment has been made; and</w:t>
      </w:r>
    </w:p>
    <w:p>
      <w:pPr>
        <w:spacing w:after="0" w:line="207" w:lineRule="exact"/>
        <w:rPr>
          <w:rFonts w:ascii="Courier New" w:cs="Courier New" w:eastAsia="Courier New" w:hAnsi="Courier New"/>
          <w:sz w:val="18"/>
          <w:szCs w:val="18"/>
          <w:color w:val="auto"/>
        </w:rPr>
      </w:pPr>
    </w:p>
    <w:p>
      <w:pPr>
        <w:ind w:left="1060" w:right="1879" w:hanging="420"/>
        <w:spacing w:after="0" w:line="275" w:lineRule="auto"/>
        <w:tabs>
          <w:tab w:leader="none" w:pos="10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all cash distributions referred to in the immediately preceding bullet point above to all holders of our ordinary shares within the 365-day period preceding the expiration of that tender offer in respect of which no adjustments have been made,</w:t>
      </w:r>
    </w:p>
    <w:p>
      <w:pPr>
        <w:spacing w:after="0" w:line="182"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exceeds 10% of our market capitalization on the expiration of such tender offer.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reserve the right to effect such increases in the conversion rate in addition to those required by the foregoing provisions as we consider to be advisable so that any event treated for U.S.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adjustments.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consolidate or merge with or into another entity or another entity is merged into us, or in case of any sale or transfer of all or substantially all of our assets, each note then outstanding will become convertible only into the kind and amount of securities, cash and other property receivable upon such consolidation, merger, sale or transfer by a holder of the number of ordinary shares into which the notes were convertible immediately prior to the consolidation or merger or sale or transfer. The preceding sentence will not apply to a merger that does not result in any reclassification, conversion, exchange or cancellation of our ordinary shares.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may increase the conversion rate for any period of at least 20 days, upon at least 15 days notice, if our board of directors determines that the increase would be in our best interest. The board of directors' determination in this regard will be conclusive. We will give holders of notes at least 15 days' notice of such an increase in the conversion rate. No such increase, however, will be taken into account for purposes of determining whether the closing price of our ordinary shares exceeds the conversion price by 105% in connection with an event that otherwise would be a change in control as defined below.</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at any time we make a distribution of property to our shareholders that would be taxable to such shareholders as a dividend for U.S. federal income tax purposes, such as distributions of evidences of indebtedness or assets by us, but generally not share dividends of ordinary shares on our ordinary shares or rights to subscribe for ordinary shares, and, pursuant to the anti-dilution provisions of the indenture, the number of shares into which notes are convertible is increased, that</w:t>
      </w:r>
    </w:p>
    <w:p>
      <w:pPr>
        <w:sectPr>
          <w:pgSz w:w="11900" w:h="16838" w:orient="portrait"/>
          <w:cols w:equalWidth="0" w:num="1">
            <w:col w:w="10219"/>
          </w:cols>
          <w:pgMar w:left="240" w:top="312" w:right="1440" w:bottom="97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97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increase may be deemed for U.S. federal income tax purposes to be the payment of a taxable dividend to holders of notes. See "Certain U.S. Federal Income Tax Considerations -- U.S. 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RIGHTS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the right to require us to repurchase the notes on June 1, 2004 and June 1, 2006. We will be required to repurchase any outstanding notes for which you deliver a valid written repurchase notice to the paying agent. This notice must be delivered during the period beginning at any time from the opening of business on the date that is 20 business days prior to the relevant repurchase date until the close of business on the last day prior to the repurchase date. Under the terms of the indenture, we will have the right to pay the repurchase price of the notes at any time during the five business days following the repurchase date. If the repurchase notice is given and withdrawn during the period, we will not be obligated to repurchase the related notes. Our repurchase obligation is subject to some additional conditions.</w:t>
      </w:r>
    </w:p>
    <w:p>
      <w:pPr>
        <w:spacing w:after="0" w:line="392"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repurchase price payable will be equal to 100% of the principal amount plus accrued and unpaid cash interest, if any, on such repurchase date.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choose to pay the repurchase price in cash or in our ordinary shares or a combination of cash and ordinary shares. For a discussion of the tax treatment of a holder receiving cash, ordinary shares or any combination thereof, see "Certain U.S. Federal Income Tax Considerations".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If we choose to pay the repurchase price in whole or in part in ordinary shares or a combination of cash and ordinary shares, we will be required to give notice on a date not less than 20 business days prior to each repurchase date to all holders at their addresses shown in the register of the registrar, and to beneficial owners as required by applicable law (i.e. if no notice is given, we will pay the repurchase price with cash), stating, among other things:</w:t>
      </w:r>
    </w:p>
    <w:p>
      <w:pPr>
        <w:spacing w:after="0" w:line="186" w:lineRule="exact"/>
        <w:rPr>
          <w:sz w:val="20"/>
          <w:szCs w:val="20"/>
          <w:color w:val="auto"/>
        </w:rPr>
      </w:pPr>
    </w:p>
    <w:p>
      <w:pPr>
        <w:ind w:left="740" w:right="199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we will pay the repurchase price of the notes in cash, in our ordinary shares, or any combination thereof, specifying the percentages of each;</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elect to pay with our ordinary shares, the method of calculating the price of our ordinary shares;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that holders must follow to require us to repurchase their notes.</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we pay with ordinary shares, they will be valued at 100% of the average closing sales price for the five trading days ending on the third day prior to repurchase.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Simultaneously with such notice of repurchase, we will disseminate a press release through Dow Jones &amp; Company, Inc. or Bloomberg Business News containing this information or publish the information on our website or through such other public medium as we may use at that time.</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 holder's notice electing to require us to repurchase our notes must state:</w:t>
      </w:r>
    </w:p>
    <w:p>
      <w:pPr>
        <w:spacing w:after="0" w:line="208" w:lineRule="exact"/>
        <w:rPr>
          <w:sz w:val="20"/>
          <w:szCs w:val="20"/>
          <w:color w:val="auto"/>
        </w:rPr>
      </w:pPr>
    </w:p>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notes certificate numbers, or if not certificated, your notice must comply with appropriate DTC procedures;</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principal amount of notes to be repurchased, in multiples of $1,000;</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notes are to be repurchased by us pursuant to the applicable provisions of the notes;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we elect, pursuant to the notice that we are required to give, to pay the repurchase price in our ordinary shares, in whole or in part, but the repurchase price is ultimately to be paid to the holder entirely in cash because any of the conditions to payment of the repurchase price or portion of the repurchase price in our ordinary shares is not satisfied prior to the close of business on the last day prior to the repurchase date, as described below, whether the holder elects:</w:t>
      </w:r>
    </w:p>
    <w:p>
      <w:pPr>
        <w:sectPr>
          <w:pgSz w:w="11900" w:h="16838" w:orient="portrait"/>
          <w:cols w:equalWidth="0" w:num="1">
            <w:col w:w="10219"/>
          </w:cols>
          <w:pgMar w:left="240" w:top="312" w:right="1440" w:bottom="564" w:gutter="0" w:footer="0" w:header="0"/>
        </w:sectPr>
      </w:pP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564"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left="860" w:right="2319" w:hanging="220"/>
        <w:spacing w:after="0" w:line="235"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withdraw the repurchase notice as to some or all of the notes to which it relates, or</w:t>
      </w:r>
    </w:p>
    <w:p>
      <w:pPr>
        <w:spacing w:after="0" w:line="208" w:lineRule="exact"/>
        <w:rPr>
          <w:rFonts w:ascii="Courier New" w:cs="Courier New" w:eastAsia="Courier New" w:hAnsi="Courier New"/>
          <w:sz w:val="18"/>
          <w:szCs w:val="18"/>
          <w:color w:val="auto"/>
        </w:rPr>
      </w:pPr>
    </w:p>
    <w:p>
      <w:pPr>
        <w:ind w:left="860" w:right="1879" w:hanging="220"/>
        <w:spacing w:after="0" w:line="235"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receive cash in respect of the entire repurchase price for all notes or portions of notes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holder fails to indicate the holder's choice with respect to the election described in the final bullet point above, the holder will be deemed to have elected to receive cash in respect of the entire repurchase price for all notes subject to the repurchase notice in these circumstances. For a discussion of the tax treatment of a holder receiving cash instead of our ordinary shares, see "Certain U.S. Federal Income Tax Considerations".</w:t>
      </w:r>
    </w:p>
    <w:p>
      <w:pPr>
        <w:spacing w:after="0" w:line="210"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You may withdraw any repurchase notice by a written notice of withdrawal delivered to the paying agent prior to the close of business on the last day prior to the repurchase date. The notice of withdrawal must state:</w:t>
      </w:r>
    </w:p>
    <w:p>
      <w:pPr>
        <w:spacing w:after="0" w:line="173"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not certificated, your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which remains subject to the repurchase notice.</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we elect to pay the repurchase price, in whole or in part, in our ordinary shares, the number of shares to be delivered by us will be equal to the portion of the repurchase price to be paid in our ordinary shares divided by the market price of one ordinary share as determined by us in our repurchase notice. We will pay cash based on the market price for all fractional shares.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means the average of the sale price of our ordinary shares for the five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five trading day period and ending on the repurchase date, of some events that would result in an adjustment of the conversion rate with respect to our ordinary shares.</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"sale price" of our ordinary shares on any date means the closing per share sale price (or if no closing sale price is reported, the average of the bid and ask prices, or, if more than one in either case, the average of the average bid and the average asked prices) on that date as reported in composite transactions for the principal U.S. securities exchange on which our ordinary shares are traded or, if our ordinary shares are not listed on a U.S. national or regional securities exchange, as reported by the NASDAQ system.</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the market price of our ordinary shares is determined prior to the applicable repurchase date, holders of notes bear the market risk with respect to the value of our ordinary shares to be received from the date the market price is determined to the repurchase date. We may pay the repurchase price or any portion of the repurchase price in ordinary shares only if the information necessary to calculate the market price is published in a daily newspaper of national circulation.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determination of the actual number of ordinary shares to be paid upon redemption of the notes, we will disseminate a press release through Dow Jones &amp; Company, Inc. or Bloomberg Business News containing this information or publish the information on our website or through such other public medium as we may use at that time.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holder must either effect book-entry transfer or deliver the notes, together with necessary endorsements, to the office of the paying agent after delivery of the repurchase notice to receive payment of the repurchase price. You will receive payment on the repurchase date or the time of book-entry transfer or the delivery of the notes. If the paying agent holds money or securities</w:t>
      </w:r>
    </w:p>
    <w:p>
      <w:pPr>
        <w:sectPr>
          <w:pgSz w:w="11900" w:h="16838" w:orient="portrait"/>
          <w:cols w:equalWidth="0" w:num="1">
            <w:col w:w="10219"/>
          </w:cols>
          <w:pgMar w:left="240" w:top="312" w:right="1440" w:bottom="970"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97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sufficient to pay the repurchase price of the notes on the business day following the repurchase date, then:</w:t>
      </w:r>
    </w:p>
    <w:p>
      <w:pPr>
        <w:spacing w:after="0" w:line="203"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will cease to be outstanding;</w:t>
      </w:r>
    </w:p>
    <w:p>
      <w:pPr>
        <w:spacing w:after="0" w:line="206" w:lineRule="exact"/>
        <w:rPr>
          <w:rFonts w:ascii="Courier New" w:cs="Courier New" w:eastAsia="Courier New" w:hAnsi="Courier New"/>
          <w:sz w:val="18"/>
          <w:szCs w:val="18"/>
          <w:color w:val="auto"/>
        </w:rPr>
      </w:pPr>
    </w:p>
    <w:p>
      <w:pPr>
        <w:ind w:left="740" w:right="2519" w:hanging="205"/>
        <w:spacing w:after="0" w:line="290" w:lineRule="auto"/>
        <w:tabs>
          <w:tab w:leader="none" w:pos="7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including any interest payable pursuant to an interest adjustment (including any cash interest) will cease to accrue; and</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is made or whether or not the note is delivered to the paying agent.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which may be applicable at the time. We will file Schedule TO or any other schedule required in connection with any offer by us to repurchase the notes at your 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or after June 1, 2006, we may redeem the notes in whole or in part, at our option, at a redemption price of 100% of principal amount plus accrued interest to, but excluding, the redemption date.</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No sinking fund is provided for the notes, which means that the indenture does not require us to redeem or retire the notes periodically.</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may, to the extent permitted by applicable law, at any time purchase notes in the open market, by tender at any price or by private agreement. Any note that we purchase may, to the extent permitted by applicable law, be re-issued or resold or may, at our option, be surrendered to the trustee for cancellation. Any notes surrendered for cancellation may not be re-issued or resold and will be cancelled promptly.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CONVERSION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person in whose name the note, or any predecessor note, is registered at the close of business on May 15 or November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w:t>
      </w:r>
    </w:p>
    <w:p>
      <w:pPr>
        <w:spacing w:after="0" w:line="212" w:lineRule="exact"/>
        <w:rPr>
          <w:sz w:val="20"/>
          <w:szCs w:val="20"/>
          <w:color w:val="auto"/>
        </w:rPr>
      </w:pPr>
    </w:p>
    <w:p>
      <w:pPr>
        <w:ind w:left="740" w:right="2099" w:hanging="205"/>
        <w:spacing w:after="0" w:line="237"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209"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matter relating to the actions and practices of DTC, or any of its participants or indirect participants.</w:t>
      </w: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Notes may be surrendered for conversion at the Corporate Trust Office of the trustee in the Borough of Manhattan, New York. Notes surrendered for conversion must be accompanied by appropriate notices and any payments in respect of interest or taxes, as applicable, as described above under "-- Conversion Rights".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New York for surrender of notes for conversion. Notice of any termination or appointment and of any change in the office through which any paying agent or conversion agent will act will be given in accordance with "-- Notices" below.</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you will then look only to us for payment.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IN CONTROL</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If a "change in control" as defined below occurs, you will have the right, at your option, to require us to repurchase all of your notes not previously called for redemption, or any portion of the principal amount thereof, that is equal to $1,000 or an integral multiple of $1,000. The price we are required to pay is 100% of the principal amount of the notes to be repurchased, together with interest accrued to, but excluding, the repurchase date.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the repurchase price in our ordinary shares valued at 95% of the average of the closing prices of our ordinary shares for the five trading days immediately preceding and including the third trading day prior to the repurchase date. We may only pay the repurchase price in our ordinary shares if we satisfy conditions provided in the indenture.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Within 30 days after the occurrence of a change in control, we are obligated to give to you notice of the change in control and of the repurchase right arising as a result of the change in control. We must also deliver a copy of this notice to the trustee. To exercise the repurchase right, you must deliver on or before the 30th day after the date of our notice irrevocable written notice to the trustee of your exercise of your repurchase right, together with the notes with respect to which that right is being exercised. We are required to repurchase the notes on the date that is 45 days after the date of our notice.</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 change in control will be deemed to have occurred at the time after the notes are originally issued that any of the following occurs:</w:t>
      </w:r>
    </w:p>
    <w:p>
      <w:pPr>
        <w:spacing w:after="0" w:line="208" w:lineRule="exact"/>
        <w:rPr>
          <w:sz w:val="20"/>
          <w:szCs w:val="20"/>
          <w:color w:val="auto"/>
        </w:rPr>
      </w:pPr>
    </w:p>
    <w:p>
      <w:pPr>
        <w:ind w:left="740" w:right="1779" w:hanging="205"/>
        <w:spacing w:after="0" w:line="237"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defined below, acquires beneficial ownership, directly or indirectly, through a purchase, merger or other acquisition transaction or series of transactions, of shares of our capital stock entitling that person to exercise 50% or more of the total voting power of all shares of our capital stock that is entitled to vote generally in elections of directors, other than an acquisition by us, any of our subsidiaries or any of our employee benefit plans; or</w:t>
      </w:r>
    </w:p>
    <w:p>
      <w:pPr>
        <w:sectPr>
          <w:pgSz w:w="11900" w:h="16838" w:orient="portrait"/>
          <w:cols w:equalWidth="0" w:num="1">
            <w:col w:w="10219"/>
          </w:cols>
          <w:pgMar w:left="240" w:top="312" w:right="1440"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left="740" w:right="2099" w:hanging="205"/>
        <w:spacing w:after="0" w:line="237"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merge or consolidate with or into any other person, any merger of another person into us or we convey, sell, transfer or lease all or substantially all of our assets to another person, other than any such transaction:</w:t>
      </w:r>
    </w:p>
    <w:p>
      <w:pPr>
        <w:spacing w:after="0" w:line="207" w:lineRule="exact"/>
        <w:rPr>
          <w:rFonts w:ascii="Courier New" w:cs="Courier New" w:eastAsia="Courier New" w:hAnsi="Courier New"/>
          <w:sz w:val="18"/>
          <w:szCs w:val="18"/>
          <w:color w:val="auto"/>
        </w:rPr>
      </w:pPr>
    </w:p>
    <w:p>
      <w:pPr>
        <w:ind w:left="860" w:right="2099" w:hanging="220"/>
        <w:spacing w:after="0" w:line="235" w:lineRule="auto"/>
        <w:tabs>
          <w:tab w:leader="none" w:pos="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result in any reclassification, conversion, exchange or cancellation of outstanding shares of our capital stock;</w:t>
      </w:r>
    </w:p>
    <w:p>
      <w:pPr>
        <w:spacing w:after="0" w:line="208" w:lineRule="exact"/>
        <w:rPr>
          <w:rFonts w:ascii="Courier New" w:cs="Courier New" w:eastAsia="Courier New" w:hAnsi="Courier New"/>
          <w:sz w:val="18"/>
          <w:szCs w:val="18"/>
          <w:color w:val="auto"/>
        </w:rPr>
      </w:pPr>
    </w:p>
    <w:p>
      <w:pPr>
        <w:ind w:left="860" w:right="1999" w:hanging="220"/>
        <w:spacing w:after="0" w:line="237" w:lineRule="auto"/>
        <w:tabs>
          <w:tab w:leader="none" w:pos="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which the holders of 50% or more of the total voting power of all shares of our capital stock entitled to vote generally in elections of directors immediately prior to such transaction have the entitlement to exercise, directly or indirectly, 50% or more of the total voting power of all shares of capital stock entitled to vote generally in the election of directors of the continuing or surviving corporation immediately after such transaction; or</w:t>
      </w:r>
    </w:p>
    <w:p>
      <w:pPr>
        <w:spacing w:after="0" w:line="211" w:lineRule="exact"/>
        <w:rPr>
          <w:rFonts w:ascii="Courier New" w:cs="Courier New" w:eastAsia="Courier New" w:hAnsi="Courier New"/>
          <w:sz w:val="18"/>
          <w:szCs w:val="18"/>
          <w:color w:val="auto"/>
        </w:rPr>
      </w:pPr>
    </w:p>
    <w:p>
      <w:pPr>
        <w:ind w:left="860" w:right="1779" w:hanging="220"/>
        <w:spacing w:after="0" w:line="237" w:lineRule="auto"/>
        <w:tabs>
          <w:tab w:leader="none" w:pos="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effected solely to change our jurisdiction of incorporation and results in a reclassification, conversion or exchange of outstanding ordinary shares into solely ordinary shares or other common stock of the surviving entity.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However, a change in control will not be deemed to have occurred if either:</w:t>
      </w:r>
    </w:p>
    <w:p>
      <w:pPr>
        <w:spacing w:after="0" w:line="224" w:lineRule="exact"/>
        <w:rPr>
          <w:sz w:val="20"/>
          <w:szCs w:val="20"/>
          <w:color w:val="auto"/>
        </w:rPr>
      </w:pPr>
    </w:p>
    <w:p>
      <w:pPr>
        <w:ind w:left="740" w:right="1879" w:hanging="205"/>
        <w:spacing w:after="0" w:line="237"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per share of our ordinary shares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change in control relating to a merger, consolidation or asset sale, equals or exceeds 105% of the conversion price of the notes in effect on each of those five trading days; or</w:t>
      </w:r>
    </w:p>
    <w:p>
      <w:pPr>
        <w:spacing w:after="0" w:line="213"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consideration, excluding cash payments for fractional shares and cash payments made pursuant to dissenters' appraisal rights, in a merger or consolidation otherwise constituting a change in control under the first and second bullet points in the preceding paragraph above consists of ordinary shares or other common stock traded on a national securities exchange or quoted on the Nasdaq National Market, or will be so traded or quoted immediately following such merger or consolidation, and as a result of such merger or consolidation the notes become convertible solely into such ordinary shares or other common stock.</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purposes of these provisions:</w:t>
      </w:r>
    </w:p>
    <w:p>
      <w:pPr>
        <w:spacing w:after="0" w:line="201" w:lineRule="exact"/>
        <w:rPr>
          <w:sz w:val="20"/>
          <w:szCs w:val="20"/>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is equal to $1,000 divided by the conversion rate;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 person is a "beneficial owner" will be determined in accordance with Rule 13d-3 under the Exchange Act; and</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includes any syndicate or group that would be deemed to be a person under Section 13(d)(3) of the Exchange Act.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rules and regulations promulgated under the Exchange Act require the dissemination of prescribed information to security holders in the event of an issuer tender offer and may apply if the repurchase option becomes available to you. We will comply with these rules to the extent they apply to us at that time.</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definition of change in control includes a phrase relating to the conveyance, transfer, sale, lease or disposition of all or substantially all of our assets. There is no precise, established definition of the phrase "substantially all" under applicable law. Accordingly, your ability to require us to repurchase your notes as a result of conveyance, transfer, sale, lease or other disposition of less than all of our assets may be uncertain.</w:t>
      </w:r>
    </w:p>
    <w:p>
      <w:pPr>
        <w:spacing w:after="0" w:line="18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provide you with the protection if we are involved in a highly leveraged or other transaction that may adversely affect you.</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ability to repurchase notes upon the occurrence of a change in control is subject to important limitations. Some of the events constituting a change in control could result in an event of default under, or be prohibited or limited by, the terms of our then existing borrowing arrangements. Further, although we have the right to repurchase the notes with our ordinary shares, subject to certain conditions, we cannot assure you that we would have the financial resources, or would be able to arrange financing, to pay the repurchase price in cash for all the notes that might be delivered by holders of notes seeking to exercise the repurchase right. If we were to fail to repurchase the notes when required following a change in control, an event of default under the indenture would occur, whether or not such repurchase is permitted by the terms of our then existing borrowing arrangements. Any such default may, in turn, cause a default under our other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 AND SALES OF ASSETS BY AMDOCS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may not consolidate with or merge into any other person or convey, transfer, sell or lease our properties and assets substantially as an entirety to any person, and we may not permit any person to consolidate with or merge into us or convey, transfer, sell or lease such person's properties and assets substantially as an entirety to us unless:</w:t>
      </w:r>
    </w:p>
    <w:p>
      <w:pPr>
        <w:spacing w:after="0" w:line="209" w:lineRule="exact"/>
        <w:rPr>
          <w:sz w:val="20"/>
          <w:szCs w:val="20"/>
          <w:color w:val="auto"/>
        </w:rPr>
      </w:pPr>
    </w:p>
    <w:p>
      <w:pPr>
        <w:ind w:left="740" w:right="1779" w:hanging="205"/>
        <w:spacing w:after="0" w:line="268"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779" w:firstLine="5"/>
        <w:spacing w:after="0" w:line="270" w:lineRule="auto"/>
        <w:tabs>
          <w:tab w:leader="none" w:pos="116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of, premium, if any, and interest on the notes and the performance of our other covenants under the indenture;</w:t>
      </w:r>
    </w:p>
    <w:p>
      <w:pPr>
        <w:spacing w:after="0" w:line="187" w:lineRule="exact"/>
        <w:rPr>
          <w:rFonts w:ascii="Courier New" w:cs="Courier New" w:eastAsia="Courier New" w:hAnsi="Courier New"/>
          <w:sz w:val="16"/>
          <w:szCs w:val="16"/>
          <w:color w:val="auto"/>
        </w:rPr>
      </w:pPr>
    </w:p>
    <w:p>
      <w:pPr>
        <w:ind w:left="740" w:right="1779" w:hanging="205"/>
        <w:spacing w:after="0" w:line="279"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the transaction, no event of default, and no event that, after notice or lapse of time or both, would become an event of default, will have occurred and be continuing; and</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will be events of default under the indenture:</w:t>
      </w:r>
    </w:p>
    <w:p>
      <w:pPr>
        <w:spacing w:after="0" w:line="201" w:lineRule="exact"/>
        <w:rPr>
          <w:sz w:val="20"/>
          <w:szCs w:val="20"/>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of or premium, if any, on any note when due;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on any note when due, which failure continues for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notice of a change in control;</w:t>
      </w:r>
    </w:p>
    <w:p>
      <w:pPr>
        <w:spacing w:after="0" w:line="206"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perform any other covenant in the indenture, which failure continues for 60 days after written notice as provided in the indenture;</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under any bonds, debentures, notes or other evidences of indebtedness for money borrowed, or any guarantee thereof, by us or any of our significant subsidiaries in an aggregate principal amount in excess of $50 million is not paid when due either at its stated maturity or upon acceleration thereof, and such indebtedness is not discharged, or such acceleration is not rescinded or annulled, within a period of 30 days after notice as provided in the indenture; and</w:t>
      </w:r>
    </w:p>
    <w:p>
      <w:pPr>
        <w:spacing w:after="0" w:line="211"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bankruptcy, insolvency or reorganization involving us or any of our significant subsidiaries.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Subject to the provisions of the indenture relating to the duties of the trustee in case an event of default shall occur and be continuing, the trustee will be under no obligation to exercise any of its</w:t>
      </w:r>
    </w:p>
    <w:p>
      <w:pPr>
        <w:sectPr>
          <w:pgSz w:w="11900" w:h="16838" w:orient="portrait"/>
          <w:cols w:equalWidth="0" w:num="1">
            <w:col w:w="10219"/>
          </w:cols>
          <w:pgMar w:left="240" w:top="312" w:right="1440" w:bottom="564"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564"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rights or powers under the indenture at the request or direction of any holder, unless the holder shall have furnished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other than an event of default arising from events of insolvency, bankruptcy or reorganization occurs and is continuing, either the trustee or the holders of at least 25% in principal amount of the outstanding notes may accelerate the maturity of all notes. However, after such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 Meetings, Modification and Waiver" below.</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You will not have any right to institute any proceeding with respect to the indenture, or for any remedy under the indenture, unless:</w:t>
      </w:r>
    </w:p>
    <w:p>
      <w:pPr>
        <w:spacing w:after="0" w:line="203"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give the trustee written notice of a continuing event of default;</w:t>
      </w:r>
    </w:p>
    <w:p>
      <w:pPr>
        <w:spacing w:after="0" w:line="206"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aggregate principal amount of the outstanding notes have made written request and offered reasonable indemnity to the trustee to institute proceedings;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has not received from the holders of a majority in aggregate principal amount of the outstanding notes a direction inconsistent with the written request;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have failed to institute such proceeding within 60 days of the written request.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However, these limitations do not apply to a suit instituted by you for the enforcement of payment of the principal of, premium, if any, or interest on your note on or after the respective due dates expressed in your note or your right to convert your note in accordance with the indenture.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will be required to furnish to the trustee annually a statement as to our performance of certain of our obligations under the indenture and as to any default in such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WITHHOLDING TAXES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which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to a third party on behalf of, a person who is liable for such taxes, duties, levies, assessments or governmental charges in respect of such note by reason of his having some connection with (including, without limitation,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ectPr>
          <w:pgSz w:w="11900" w:h="16838" w:orient="portrait"/>
          <w:cols w:equalWidth="0" w:num="1">
            <w:col w:w="10219"/>
          </w:cols>
          <w:pgMar w:left="240" w:top="312" w:right="1440" w:bottom="362"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362"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transfer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become subject generally at any time to any taxing jurisdiction other than or in addition to Guernsey, references in this section to Guernsey shall be read and construed as references to such other jurisdiction(s) and/or to Guernsey.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discussion concerning withholding taxes, in the event that any deduction or withholding on account of tax be required to be made, or be made, in connection with any European Union directive on the taxation of savings implementing the conclusions of the ECOFIN Council meeting of November 26-27, 2000,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Proposed European Union Tax Directive".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which may be payable under this section. Unless the context otherwise requires, any reference in this section to "principal" shall include any premium payable in respect of a note, any redemption amount and any other amounts in the nature of principal payable pursuant to this section and "interest" shall include all amounts payable pursuant to this section and any other amounts in the nature of interest payable pursuant to this section.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indenture contains provisions for convening meetings of the holders of notes to consider matters affecting their interests.</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Certain limited modifications of the indenture may be made without the necessity of obtaining the consent of the holders of the notes. Other modifications and amendments of the indenture may be made, and certain past defaults by us may be waived, either:</w:t>
      </w:r>
    </w:p>
    <w:p>
      <w:pPr>
        <w:spacing w:after="0" w:line="207" w:lineRule="exact"/>
        <w:rPr>
          <w:sz w:val="20"/>
          <w:szCs w:val="20"/>
          <w:color w:val="auto"/>
        </w:rPr>
      </w:pPr>
    </w:p>
    <w:p>
      <w:pPr>
        <w:ind w:left="740" w:right="2099" w:hanging="205"/>
        <w:spacing w:after="0" w:line="290"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written consent of the holders of not less than a majority in aggregate principal amount of the notes at the time outstanding; or</w:t>
      </w:r>
    </w:p>
    <w:p>
      <w:pPr>
        <w:spacing w:after="0" w:line="169"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adoption of a resolution, at a meeting of holders of the notes at which a quorum is present, by the holders of at least 66 2/3% in aggregate principal amount of the notes represented at such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quorum at any meeting called to adopt a resolution will be persons holding or representing a majority in aggregate principal amount of the notes at the time outstanding and, at any reconvened meeting adjourned for lack of a quorum, 25% of such aggregate principal amount.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However, a modification or amendment requires the consent of the holder of each outstanding note affected if it would:</w:t>
      </w:r>
    </w:p>
    <w:p>
      <w:pPr>
        <w:spacing w:after="0" w:line="203" w:lineRule="exact"/>
        <w:rPr>
          <w:sz w:val="20"/>
          <w:szCs w:val="20"/>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or interest of a note;</w:t>
      </w: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or any premium or interest on, any note;</w:t>
      </w:r>
    </w:p>
    <w:p>
      <w:pPr>
        <w:sectPr>
          <w:pgSz w:w="11900" w:h="16838" w:orient="portrait"/>
          <w:cols w:equalWidth="0" w:num="1">
            <w:col w:w="10219"/>
          </w:cols>
          <w:pgMar w:left="240" w:top="312" w:right="1440" w:bottom="362" w:gutter="0" w:footer="0" w:header="0"/>
        </w:sectPr>
      </w:pP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362"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payable upon a redemption or mandatory repurchase;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provisions with respect to the repurchase rights of holders of notes in a manner adverse to the holders;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place or currency of payment on a note;</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our obligation to maintain an office or agency in New York City;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the notes;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above-stated percentage of the principal amount of the holders whose consent is needed to modify or amend the indenture;</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the principal amount of the holders whose consent is needed to waive compliance with certain provisions of the indenture or to waive certain defaults; or</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required for the adoption of a resolution or the quorum required at any meeting of holders of notes at which a resolution is adopted.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notes may waive compliance by us with certain restrictive provisions of the indenture by written consent. Holders of at least 66 2/3% in aggregate of the principal amount of notes represented at a meeting may also waive compliance by us with certain restrictive provisions of the indenture by the adoption of a resolution at the meeting if a quorum of holders are present and certain other conditions are met. The holders of a majority in aggregate principal amount of the outstanding notes also may waive by written consent any past default under the indenture, except a default in the payment of principal, premium, if any, or interest.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entered into a registration rights agreement with the initial purchaser (the "registration rights agreement"). Pursuant to the registration rights agreement we have filed, for the benefit of the holders of the notes and our ordinary shares issuable upon conversion of the notes (together, the "registrable securities"), shelf registration statement, of which this prospectus forms a part, with the SEC covering the registrable securities, and we will use our reasonable efforts to keep the registration statement effective until expiration of the "effectiveness period", which occurs on the earliest of:</w:t>
      </w:r>
    </w:p>
    <w:p>
      <w:pPr>
        <w:spacing w:after="0" w:line="186" w:lineRule="exact"/>
        <w:rPr>
          <w:sz w:val="20"/>
          <w:szCs w:val="20"/>
          <w:color w:val="auto"/>
        </w:rPr>
      </w:pPr>
    </w:p>
    <w:p>
      <w:pPr>
        <w:ind w:left="860" w:right="2319" w:hanging="220"/>
        <w:spacing w:after="0" w:line="235" w:lineRule="auto"/>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registrable securities under the shelf registration statement;</w:t>
      </w:r>
    </w:p>
    <w:p>
      <w:pPr>
        <w:spacing w:after="0" w:line="208" w:lineRule="exact"/>
        <w:rPr>
          <w:rFonts w:ascii="Courier New" w:cs="Courier New" w:eastAsia="Courier New" w:hAnsi="Courier New"/>
          <w:sz w:val="18"/>
          <w:szCs w:val="18"/>
          <w:color w:val="auto"/>
        </w:rPr>
      </w:pPr>
    </w:p>
    <w:p>
      <w:pPr>
        <w:ind w:left="860" w:right="1879" w:hanging="220"/>
        <w:spacing w:after="0" w:line="235" w:lineRule="auto"/>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Securities Act Rule 144(k) period with respect to all registrable securities held by non-affiliates of Amdocs; and</w:t>
      </w:r>
    </w:p>
    <w:p>
      <w:pPr>
        <w:spacing w:after="0" w:line="202"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effective date of the shelf registration statement.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provide to each holder of registrable securities copies of this prospectus, notify each holder that the shelf registration statement has become effective and take certain other actions required to permit public resales of the registrable securities. We may suspend the holder's use of the registration statement for a period not to exceed 30 days in any 90 day period, and not to exceed an aggregate of 90 days in any 360-day period, for reasons relating to the acquisition or divestiture of our assets, pending corporate developments and other events.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Liquidated damages will accrue if:</w:t>
      </w:r>
    </w:p>
    <w:p>
      <w:pPr>
        <w:spacing w:after="0" w:line="207" w:lineRule="exact"/>
        <w:rPr>
          <w:sz w:val="20"/>
          <w:szCs w:val="20"/>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ceases to be effective, or we otherwise prevent or restrict holders of registrable securities from making sales under the shelf registration statement, for more than 30 days, whether or not consecutive, during any 90-day period; or</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ectPr>
          <w:pgSz w:w="11900" w:h="16838" w:orient="portrait"/>
          <w:cols w:equalWidth="0" w:num="1">
            <w:col w:w="10219"/>
          </w:cols>
          <w:pgMar w:left="240" w:top="312" w:right="1440" w:bottom="0" w:gutter="0" w:footer="0" w:header="0"/>
        </w:sectPr>
      </w:pP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0"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either event, we will pay liquidated damages at a rate of 0.50% per annum from the 31st day of the 90-day period or the 91st day of the 12-month period. Liquidated damages will be paid semi-annually in arrears, with the first semi-annual payment due on the first interest payment date following the date on which the liquidated damages began to accrue. Liquidated damages for any day accrue either on the principal amount of the notes or based on the conversion price of ordinary shares issued upon conversion of the notes. The liquidated damages will continue to accrue until the earlier of the following:</w:t>
      </w:r>
    </w:p>
    <w:p>
      <w:pPr>
        <w:spacing w:after="0" w:line="212" w:lineRule="exact"/>
        <w:rPr>
          <w:sz w:val="20"/>
          <w:szCs w:val="20"/>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the shelf registration statement again becomes effective or the holders of registrable securities are again able to make sales under the shelf registration statement, depending on which event triggered the increase in interest rate;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the effectiveness period expires.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holder who elects to sell any registrable securities pursuant to the shelf registration statement will be required to be named as a selling security holder in this prospectus, may be required to deliver a prospectus to purchasers, may be subject to certain civil liability provisions under the Securities Act in connection with those sales and will be bound by the provisions of the registration rights agreement that apply to a holder making such an election, including certain indemnification provisions.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mailed the notice and questionnaire to the holders of registrable securities not less than 30 calendar days prior to the time we intend in good faith to have the shelf registration statement declared effective (the "effective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holder of registrable securities was not entitled to be named as a selling security holder in the shelf registration statement of which this prospectus forms part as of the effective time, and a holder of registrable securities is not entitled to use this prospectus for offers and resales of registrable securities at any time, unless such holder returned a completed and signed notice and questionnaire to us by the deadline for response set forth in the notice and questionnaire. Holders of registrable securities had, however, at least 20 business days from the date on which the notice and questionnaire was first mailed to them to return a completed and signed notice and questionnaire to us.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Beneficial owners of registrable securities who did not return a notice and questionnaire by the questionnaire deadline described above may receive another notice and questionnaire from us upon request. Following our receipt of a completed and signed notice and questionnaire, we will include the registrable securities covered thereby in the shelf registration statement, subject to restrictions on the timing and number of supplements to the shelf registration statement provided in the registration rights agreement.</w:t>
      </w: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New York Stock Exchange, Inc. authorized the listing of the ordinary shares issuable upon conversion of the notes on May 29, 2001.</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summary of certain provisions of the registration rights agreement may not contain all the information important to you. Holders may request from us a copy of the registration rights agreement by contacting us in writing.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Notice to holders of the registered notes will be given by mail to the addresses as they appear in the security register. Notices will be deemed to have been given on the date of such mailing.</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Notice of a redemption of notes will be given not less than 30 nor more than 60 days prior to the redemption date and will specify the redemption date. A notice of redemption of the notes will be irrevocable.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will replace any note that becomes mutilated, destroyed, stolen or lost at the expense of the holder upon delivery to the trustee of the mutilated notes or evidence of the loss, theft or destruction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satisfactory to us and the trustee. In the case of a lost, stolen or destroyed note, indemnity satisfactory to the trustee and us may be required at the expense of the holder of the note before a replacement note will be issued.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STAMP AND OTHER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all stamp and other duties, if any, that may be imposed by the United States or any political subdivision thereof or taxing authority thereof or therein with respect to the issuance of the notes or of ordinary shares upon conversion of the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indenture and the notes are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notes are represented by one or more global securities (each a "global security"). Each global security will be deposited with, or on behalf of, DTC and be registered in the name of a nominee of DTC. Except under circumstances described below, the notes will not be issued in definitive form.</w:t>
      </w:r>
    </w:p>
    <w:p>
      <w:pPr>
        <w:spacing w:after="0" w:line="18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DTC has credited on its book-entry registration and transfer system the accounts of persons designated by the initial purchaser with the respective principal amounts of the notes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is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So long as DTC or its nominee is the registered owner of a global security, DTC or its nominee, as the case may be, will be considered the sole owner or holder of the notes represented by that global security for all purposes under the indenture. Except as provided below, owners of beneficial interests in a global security will not be entitled to have the notes represented by that global security registered in their names, will not receive or be entitled to receive physical delivery of the notes in definitive form and will not be considered the owners or holders thereof under the Indenture. Principal and interest payments, if any, on the notes registered in the name of DTC or its nominee will be made to DTC or its nominee, as the case may be, as the registered owner of the relevant global security. Neither us, the trustee, any paying agent or the registrar for the notes will have any responsibility or liability for any aspect of the records relating to nor payments made on account of beneficial interests in a global security or for maintaining, supervising or reviewing any records relating to such beneficial interests.</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expect that DTC or its nominee, upon receipt of any payment of principal or interest, if any, will credit immediately participants' accounts with payments in amounts proportionate to their respective beneficial interests in the principal amount of the relevant global security as shown on the records of DTC or its nominee. We also expect that payments by participants to owners of beneficial interests in a global security held through these participants will be governed by standing instruc-</w:t>
      </w:r>
    </w:p>
    <w:p>
      <w:pPr>
        <w:sectPr>
          <w:pgSz w:w="11900" w:h="16838" w:orient="portrait"/>
          <w:cols w:equalWidth="0" w:num="1">
            <w:col w:w="10219"/>
          </w:cols>
          <w:pgMar w:left="240" w:top="312" w:right="1440"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tions and customary practices, as is the case with securities held for the accounts of customers in bearer form or registered in "street name", and will be the responsibility of the participants.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DTC is at any time unwilling or unable to continue as a depositary and a successor depositary is not appointed by us within 90 days, we will issue the notes in definitive form in exchange for the entire global security for the notes. In addition, we may at any time and in our sole discretion determine not to have the notes represented by a global security and, in such event, will issue the notes in definitive form in exchange for the entire global security relating to the notes. In any such instance, an owner of a beneficial interest in a global security will be entitled to physical delivery in definitive form of the notes represented by the global security equal in principal amount to the beneficial interest and to have the notes registered in its name. Notes so issued in definitive form will be issued as registered notes in denominations of $1,000 and integral multiples thereof, unless otherwise specified by us.</w:t>
      </w:r>
    </w:p>
    <w:p>
      <w:pPr>
        <w:spacing w:after="0" w:line="1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The rights, preferences and restrictions attaching to each class of the shares are as follows: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over classes of shares ranking junior to the preferred shares upon liquidation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215"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2199" w:hanging="205"/>
        <w:spacing w:after="0" w:line="268" w:lineRule="auto"/>
        <w:tabs>
          <w:tab w:leader="none" w:pos="7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upon any liquidation, dissolution or winding-up of the Company, the assets of the Company remaining after creditors and the holders of any preferred shares have been paid in full shall be</w:t>
      </w:r>
    </w:p>
    <w:p>
      <w:pPr>
        <w:spacing w:after="0" w:line="1" w:lineRule="exact"/>
        <w:rPr>
          <w:sz w:val="20"/>
          <w:szCs w:val="20"/>
          <w:color w:val="auto"/>
        </w:rPr>
      </w:pPr>
    </w:p>
    <w:p>
      <w:pPr>
        <w:ind w:left="740" w:right="2419"/>
        <w:spacing w:after="0" w:line="235" w:lineRule="auto"/>
        <w:rPr>
          <w:sz w:val="20"/>
          <w:szCs w:val="20"/>
          <w:color w:val="auto"/>
        </w:rPr>
      </w:pPr>
      <w:r>
        <w:rPr>
          <w:rFonts w:ascii="Courier New" w:cs="Courier New" w:eastAsia="Courier New" w:hAnsi="Courier New"/>
          <w:sz w:val="18"/>
          <w:szCs w:val="18"/>
          <w:color w:val="auto"/>
        </w:rPr>
        <w:t>distributed to the holders of voting ordinary shares and non-voting ordinary shares equally share for share.</w:t>
      </w: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564"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jc w:val="both"/>
        <w:ind w:left="420" w:right="2099" w:hanging="205"/>
        <w:spacing w:after="0" w:line="279" w:lineRule="auto"/>
        <w:tabs>
          <w:tab w:leader="none" w:pos="4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shareholders,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420" w:right="1879" w:hanging="205"/>
        <w:spacing w:after="0" w:line="237"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9899"/>
          </w:cols>
          <w:pgMar w:left="56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is based on the advice of Reboul, MacMurray, Hewitt, Maynard &amp; 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 See "Risk Factors -- The rights of shareholders of Guernsey corporations differ in some respects from those of shareholders of United States corporations".</w:t>
      </w:r>
    </w:p>
    <w:p>
      <w:pPr>
        <w:sectPr>
          <w:pgSz w:w="11900" w:h="16838" w:orient="portrait"/>
          <w:cols w:equalWidth="0" w:num="1">
            <w:col w:w="10219"/>
          </w:cols>
          <w:pgMar w:left="240" w:top="312" w:right="1440" w:bottom="564"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564"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TAXATION OF THE COMPANY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overall effective tax rate has historically been approximately 30% due to the various corporate income tax rates in the countries in which we operate and the relative magnitude of our activities in those countries. Our consolidated effective tax rate (calculated based on the income taxes out of the income before income taxes, excluding nonrecurring charges for write-offs of purchased in-process research and development and other indirect acquisition-related costs) for the nine months ended June 30, 2001 and for fiscal 2000 was 63% and 49%, respectively. This higher effective tax rate was attributable to amortization of goodwill related to our acquisitions of ITDS and Solect, much of which is not tax deductible. Excluding the impact of the ITDS and Solect acquisition-related charges, the effective tax rate for the nine months ended June 30, 2001 and for fiscal 2000 was 30%.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have been granted certain special tax benefits, discussed below, in Cyprus, Ireland and Israel. The loss of any such tax benefits could have an adverse effect on our effective tax rate.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CYPRUS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Cypriot subsidiary, Amdocs Development Ltd., operates a development center. Corporations resident in Cyprus currently are subject to a maximum 25% income tax rate. The Government of Cyprus has issued a permit to our Cypriot subsidiary pursuant to which the activities to be conducted by it will be deemed to be offshore activities for the purpose of Cyprus taxation. As a result, our Cypriot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IRISH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Irish subsidiary, Amdocs Software Systems Ltd., operates a development center. The corporation tax rate on its trading activities is 20% in 2001 and will decline to 16% in 2002, and finally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is subject to a corporation tax rate in Ireland of 10% with respect to its manufacturing activities. This tax rate on manufacturing activities will be available to our Irish subsidiary until December 31, 2002. As of January 1, 2003, our Irish subsidiary will be subject to a single corporation tax rate of 12.5% on all of its trading and manufacturing activities.</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312" w:right="1440" w:bottom="1440"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Our Israeli subsidiary, Amdocs (Israel) Limited, operates our largest development center. Discussed below are certain Israeli tax considerations relating to our Israeli subsidiary: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 CORPORATE TAXATION IN ISRAEL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LAW FOR THE ENCOURAGEMENT OF CAPITAL INVESTMENTS, 1959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8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208" w:lineRule="exact"/>
        <w:rPr>
          <w:sz w:val="20"/>
          <w:szCs w:val="20"/>
          <w:color w:val="auto"/>
        </w:rPr>
      </w:pPr>
    </w:p>
    <w:p>
      <w:pPr>
        <w:ind w:left="740" w:right="1779" w:hanging="205"/>
        <w:spacing w:after="0" w:line="236"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Israeli subsidiary has elected the alternative benefits with respect to its current Approved Enterprise and its enlargements, pursuant to which the Israeli subsidiary enjoys, in relation to its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CERTAIN U.S. FEDERAL INCOME TAX CONSIDERATIONS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following is a summary of certain U.S. federal income tax considerations relating to the purchase, ownership and disposition of the notes and ordinary shares into which notes may be converted, but does not purport to be a complete analysis of all the potential tax considerations relating thereto. This summary is based on laws, regulations, rulings and decisions now in effect, all of which are subject to change or differing interpretation possibly with retroactive effect. Except as specifically discussed below with regard to Non-U.S. Holders (as defined below), this summary applies only to U.S. Holders (as defined below) that are beneficial owners of notes and that will hold notes and, upon conversion, ordinary shares as "capital assets" (within the meaning of Section 1221 of the Internal Revenue Code of 1986, as amended (the "Code")). For purposes of this summary, "U.S. Holders" include (i) individual citizens or residents of the U.S., (ii) corporations, partnerships or other entities created or organized in or under the laws of the U.S. or of any political subdivision thereof (unless, in the case of a partnership, Treasury Regulations otherwise provide), (iii) estates, the incomes of which are subject to U.S. federal income taxation regardless of the source of such income or (iv) trusts subject to the primary supervision of a U.S. court and the control of one or more U.S. persons. Persons other than U.S. Holders ("Non-U.S. Holders") are subject to special U.S. federal income tax considerations, some of which are discussed below. This discussion does not address tax considerations applicable to an investor's particular circumstances or to investors that may be subject to special tax rules such as banks, holders subject to the alternative minimum tax, tax-exempt organizations, insurance companies, foreign persons or entities (except to the extent specifically set forth below), dealers in securities or currencies, persons that will hold notes as a position in a hedging transaction, "straddle" or "conversion transaction" for tax purposes or persons deemed to sell notes or ordinary shares under the constructive sale provisions of the Code. This summary discusses the tax considerations applicable to an initial purchaser of the notes who purchases the notes at their "issue price" as defined in Section 1273 of the Code and does not discuss the tax considerations applicable to subsequent purchasers of the notes. We have not sought any ruling from the Internal Revenue Service (the "IRS") or an opinion of counsel with respect to the statements made and the conclusions reached in the following summary, and there can be no assurance that the IRS will agree with such statements and conclusions. This summary does not consider the effect of the federal estate or gift tax laws or the tax laws of any applicable foreign, state, local or other jurisdiction.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INVESTORS CONSIDERING THE PURCHASE OF NOTES SHOULD CONSULT THEIR TAX ADVISORS WITH RESPECT TO THE APPLICATION OF THE UNITED STATES FEDERAL INCOME TAX LAWS TO THEIR PARTICULAR SITUATIONS AS WELL AS ANY TAX CONSEQUENCES ARISING UNDER THE FEDERAL ESTATE OR GIFT TAX RULES OR UNDER THE LAWS OF ANY STATE, LOCAL OR FOREIGN TAXING JURISDICTION OR UNDER ANY APPLICABLE TAX TREATY.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TAXATION OF INTEREST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Interest paid on the notes will be included in the income of a U.S. Holder as ordinary income at the time it is treated as received or accrued, in accordance with such holder's regular method of accounting for U.S. federal income tax purposes. Under Treasury Regulations, the possibility of an additional payment under a note may be disregarded for purposes of determining the amount of interest or original issue discount income to be recognized by a holder in respect of such note (or the timing of such recognition) if the likelihood of the payment, as of the date the notes are issued, is remote. Our failure to file or cause to be declared effective a shelf registration statement as described under "Description of the Notes -- Registration Rights" may result in the payment of predetermined liquidated damages in the manner described therein. In addition, a holder may require us to redeem any and all of his notes in the event of a fundamental change. We believe that the likelihood of a liquidated damages payment with respect to the notes is remote and do not intend</w:t>
      </w:r>
    </w:p>
    <w:p>
      <w:pPr>
        <w:sectPr>
          <w:pgSz w:w="11900" w:h="16838" w:orient="portrait"/>
          <w:cols w:equalWidth="0" w:num="1">
            <w:col w:w="10219"/>
          </w:cols>
          <w:pgMar w:left="240" w:top="312" w:right="1440" w:bottom="1440" w:gutter="0" w:footer="0" w:header="0"/>
        </w:sectPr>
      </w:pP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312" w:right="1440"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treat such possibility as affecting the yield to maturity of any note. Similarly, we intend to take the position that a "fundamental change" is remote under the Treasury Regulations, and likewise do not intend to treat the possibility of a "fundamental change" as affecting the yield to maturity of any note. In the event either contingency occurs, it would affect the amount and timing of the income that must be recognized by a U.S. Holder of notes. There can be no assurance that the IRS will agree with such positions.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SALE, EXCHANGE OR REDEMPTION OF THE NOTES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Upon the sale, exchange (other than a conversion) or redemption of a note, a U.S. Holder generally will recognize capital gain or loss equal to the difference between (i) the amount of cash proceeds and the fair market value of any property received on the sale, exchange or redemption (except to the extent such amount is attributable to accrued interest income not previously included in income, which will be taxable as ordinary income, or is attributable to accrued interest that was previously included in income which amount may be received without generating further income) and (ii) such holder's adjusted tax basis in the note. A U.S. Holder's adjusted tax basis in a note generally will equal the cost of the note to such holder. Such capital gain or loss will be long-term capital gain or loss if the U.S. Holder's holding period in the note is more than one year at the time of sale, exchange or redemption. Long-term capital gains recognized by certain noncorporate U.S. Holders, including individuals, will generally be subject to a maximum rate of tax of 20%. The deductibility of capital losses is subject to limitations.</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CONVERSION OF THE NOTES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U.S. Holder generally will not recognize any income, gain or loss upon conversion of a note into ordinary shares except with respect to cash received in lieu of a fractional ordinary share. A U.S. Holder's tax basis in the ordinary shares received on conversion of a note will be the same as such holder's adjusted tax basis in the note at the time of conversion (reduced by any basis allocable to a fractional share interest), and the holding period for the ordinary shares received on conversion will generally include the holding period of the note converted.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received in lieu of a fractional ordinary share upon conversion will be treated as a payment in exchange for the fractional ordinary share. Accordingly, the receipt of cash in lieu of a fractional ordinary share generally will result in capital gain or loss (measured by the difference between the cash received for the fractional share and the holder's adjusted tax basis in the fractional share).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SALE OR EXCHANGE OF ORDINARY SHARES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sale or exchange of ordinary shares, a U.S. Holder generally will recognize capital gain or loss equal to the difference between (i) the amount of cash and the fair market value of any property received upon the sale or exchange and (ii) such U.S. Holder's adjusted tax basis in the ordinary shares. Such capital gain or loss will be long-term capital gain or loss if the U.S. Holder's holding period in the ordinary shares is more than one year at the time of the sale or exchange. Long-term capital gains recognized by certain non-corporate U.S. Holders, including individuals, will generally be subject to a maximum rate of tax of 20%. A U.S. Holder's basis and holding period in ordinary shares received upon conversion of a note are determined as discussed above under "Conversion of the Notes". The deductibility of capital losses is subject to limitations.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Distributions, if any, made on the ordinary shares after a conversion generally will be included in the income of a U.S. Holder as ordinary dividend income to the extent of our current or accumulated earnings and profits. Distributions in excess of our current and accumulated earnings and profits will be treated as a return of capital to the extent of the U.S. Holder's basis in the ordinary shares and thereafter as capital gain.</w:t>
      </w:r>
    </w:p>
    <w:p>
      <w:pPr>
        <w:sectPr>
          <w:pgSz w:w="11900" w:h="16838" w:orient="portrait"/>
          <w:cols w:equalWidth="0" w:num="1">
            <w:col w:w="10219"/>
          </w:cols>
          <w:pgMar w:left="240" w:top="312" w:right="1440" w:bottom="1440"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312" w:right="1440" w:bottom="1440"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Holders of convertible debt instruments such as the notes may, in certain circumstances, be deemed to have received distributions of stock if the conversion price of such instruments is adjusted. Adjustments to the conversion price made pursuant to a bona fide reasonable adjustment formula which has the effect of preventing the dilution of the interest of the holders of the debt instruments, however, will generally not be considered to result in a constructive distribution of stock. Certain of the possible adjustments provided in the notes (including, without limitation, adjustments in respect of certain taxable dividends to our stockholders) will not qualify as being pursuant to a bona fide reasonable adjustment formula. If such adjustments are made, the U.S. Holders of the notes may be deemed to have received constructive distributions taxable as dividends to the extent of our current and accumulated earnings and profits even though they have not received any cash or property as a result of such adjustments.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31% if the recipient of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disposition of such notes and such ordinary shares. In addition, Guernsey would not impose a withholding tax on interest and dividends paid by us to the holders of such notes and such ordinary shares.</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EUROPEAN UNION TAX DIRECTIVE</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European Union is currently considering proposals for a new directive regarding the taxation of savings income. See "Description of the</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Notes -- Withholding Taxes". Subject to a number of important conditions being met, it is proposed that states that are members of the European Union ("Member States") be required to provide to the tax authorities of another Member State details of payments of interest or other similar income paid by an issuer within its jurisdiction to an individual resident in that other Member State, subject to the right of certain Member States to opt instead for a withholding tax system for a transitional period in relation to such payments. This directive contemplates that states that are not members of the European Union, such as Guernsey, will implement comparable information reporting or withholding tax arrangements. If Guernsey were to implement any such withholding tax arrangement, we would not make any additional payments to holders to compensate them for the amounts so withheld.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SELLING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were originally issued by us and sold by Goldman, Sachs &amp; Co., as the initial purchaser, in a transaction exempt from the registration requirements of the Securities Act to persons reasonably believed by the initial purchaser to be qualified institutional buyers. Selling holders, including their transferees, pledgees or donees or their successors, may from time to time offer and sell any or all the notes and ordinary shares issuable upon conversion of the notes.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as of September 24, 2001, information regarding the beneficial ownership of the notes and ordinary shares issuable upon conversion of the notes by the selling holders. The information is based on information provided by or on behalf of the selling holders.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selling holders may offer all, some or none of the notes or ordinary shares issuable upon conversion of the notes. Thus, we cannot estimate the amount of the notes or the ordinary shares issuable upon conversion of the notes that will be held by the selling holders upon termination of any sales. The column showing ownership after completion of the offering assumes that the selling holders will sell all of the securities offered by this prospectus. In addition, the selling holders identified below may have sold, transferred or otherwise disposed of all or a portion of their notes since the date on which they provided the information about their notes in transactions exempt from the registration requirements of the Securities Act. Except as indicated below, none of the selling 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OFFERING</w:t>
      </w:r>
    </w:p>
    <w:p>
      <w:pPr>
        <w:jc w:val="center"/>
        <w:ind w:right="8959"/>
        <w:spacing w:after="0"/>
        <w:rPr>
          <w:sz w:val="20"/>
          <w:szCs w:val="20"/>
          <w:color w:val="auto"/>
        </w:rPr>
      </w:pPr>
      <w:r>
        <w:rPr>
          <w:rFonts w:ascii="Courier New" w:cs="Courier New" w:eastAsia="Courier New" w:hAnsi="Courier New"/>
          <w:sz w:val="18"/>
          <w:szCs w:val="18"/>
          <w:color w:val="auto"/>
        </w:rPr>
        <w:t>OFFERED(1)</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w:t>
      </w:r>
    </w:p>
    <w:p>
      <w:pPr>
        <w:jc w:val="center"/>
        <w:ind w:right="8959"/>
        <w:spacing w:after="0"/>
        <w:rPr>
          <w:sz w:val="20"/>
          <w:szCs w:val="20"/>
          <w:color w:val="auto"/>
        </w:rPr>
      </w:pPr>
      <w:r>
        <w:rPr>
          <w:rFonts w:ascii="Courier New" w:cs="Courier New" w:eastAsia="Courier New" w:hAnsi="Courier New"/>
          <w:sz w:val="18"/>
          <w:szCs w:val="18"/>
          <w:color w:val="auto"/>
        </w:rPr>
        <w:t>PERCENT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39" w:hanging="4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AIG/National Union Fire Insurance $ 550,000</w:t>
      </w:r>
    </w:p>
    <w:p>
      <w:pPr>
        <w:sectPr>
          <w:pgSz w:w="11900" w:h="16838" w:orient="portrait"/>
          <w:cols w:equalWidth="0" w:num="1">
            <w:col w:w="10219"/>
          </w:cols>
          <w:pgMar w:left="240" w:top="312" w:right="1440" w:bottom="0" w:gutter="0" w:footer="0" w:header="0"/>
        </w:sectPr>
      </w:pPr>
    </w:p>
    <w:bookmarkStart w:id="54" w:name="page55"/>
    <w:bookmarkEnd w:id="54"/>
    <w:p>
      <w:pPr>
        <w:jc w:val="center"/>
        <w:ind w:right="8999"/>
        <w:spacing w:after="0"/>
        <w:rPr>
          <w:sz w:val="20"/>
          <w:szCs w:val="20"/>
          <w:color w:val="auto"/>
        </w:rPr>
      </w:pPr>
      <w:r>
        <w:rPr>
          <w:rFonts w:ascii="Courier New" w:cs="Courier New" w:eastAsia="Courier New" w:hAnsi="Courier New"/>
          <w:sz w:val="16"/>
          <w:szCs w:val="16"/>
          <w:color w:val="auto"/>
        </w:rPr>
        <w:t>5,972 5,972</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0 * c/o</w:t>
      </w:r>
    </w:p>
    <w:p>
      <w:pPr>
        <w:spacing w:after="0" w:line="238" w:lineRule="auto"/>
        <w:rPr>
          <w:sz w:val="20"/>
          <w:szCs w:val="20"/>
          <w:color w:val="auto"/>
        </w:rPr>
      </w:pPr>
      <w:r>
        <w:rPr>
          <w:rFonts w:ascii="Courier New" w:cs="Courier New" w:eastAsia="Courier New" w:hAnsi="Courier New"/>
          <w:sz w:val="18"/>
          <w:szCs w:val="18"/>
          <w:color w:val="auto"/>
        </w:rPr>
        <w:t>Froley Revy</w:t>
      </w:r>
    </w:p>
    <w:p>
      <w:pPr>
        <w:ind w:left="40"/>
        <w:spacing w:after="0"/>
        <w:rPr>
          <w:sz w:val="20"/>
          <w:szCs w:val="20"/>
          <w:color w:val="auto"/>
        </w:rPr>
      </w:pPr>
      <w:r>
        <w:rPr>
          <w:rFonts w:ascii="Courier New" w:cs="Courier New" w:eastAsia="Courier New" w:hAnsi="Courier New"/>
          <w:sz w:val="18"/>
          <w:szCs w:val="18"/>
          <w:color w:val="auto"/>
        </w:rPr>
        <w:t>Investment</w:t>
      </w:r>
    </w:p>
    <w:p>
      <w:pPr>
        <w:ind w:left="160"/>
        <w:spacing w:after="0" w:line="237" w:lineRule="auto"/>
        <w:rPr>
          <w:sz w:val="20"/>
          <w:szCs w:val="20"/>
          <w:color w:val="auto"/>
        </w:rPr>
      </w:pPr>
      <w:r>
        <w:rPr>
          <w:rFonts w:ascii="Courier New" w:cs="Courier New" w:eastAsia="Courier New" w:hAnsi="Courier New"/>
          <w:sz w:val="18"/>
          <w:szCs w:val="18"/>
          <w:color w:val="auto"/>
        </w:rPr>
        <w:t>Company,</w:t>
      </w:r>
    </w:p>
    <w:p>
      <w:pPr>
        <w:ind w:left="40"/>
        <w:spacing w:after="0" w:line="238" w:lineRule="auto"/>
        <w:rPr>
          <w:sz w:val="20"/>
          <w:szCs w:val="20"/>
          <w:color w:val="auto"/>
        </w:rPr>
      </w:pPr>
      <w:r>
        <w:rPr>
          <w:rFonts w:ascii="Courier New" w:cs="Courier New" w:eastAsia="Courier New" w:hAnsi="Courier New"/>
          <w:sz w:val="18"/>
          <w:szCs w:val="18"/>
          <w:color w:val="auto"/>
        </w:rPr>
        <w:t>Inc. 10900</w:t>
      </w:r>
    </w:p>
    <w:p>
      <w:pPr>
        <w:ind w:left="160"/>
        <w:spacing w:after="0"/>
        <w:rPr>
          <w:sz w:val="20"/>
          <w:szCs w:val="20"/>
          <w:color w:val="auto"/>
        </w:rPr>
      </w:pPr>
      <w:r>
        <w:rPr>
          <w:rFonts w:ascii="Courier New" w:cs="Courier New" w:eastAsia="Courier New" w:hAnsi="Courier New"/>
          <w:sz w:val="18"/>
          <w:szCs w:val="18"/>
          <w:color w:val="auto"/>
        </w:rPr>
        <w:t>Wilshire</w:t>
      </w:r>
    </w:p>
    <w:p>
      <w:pPr>
        <w:ind w:left="100"/>
        <w:spacing w:after="0" w:line="237" w:lineRule="auto"/>
        <w:rPr>
          <w:sz w:val="20"/>
          <w:szCs w:val="20"/>
          <w:color w:val="auto"/>
        </w:rPr>
      </w:pPr>
      <w:r>
        <w:rPr>
          <w:rFonts w:ascii="Courier New" w:cs="Courier New" w:eastAsia="Courier New" w:hAnsi="Courier New"/>
          <w:sz w:val="18"/>
          <w:szCs w:val="18"/>
          <w:color w:val="auto"/>
        </w:rPr>
        <w:t>Blvd. Ste</w:t>
      </w:r>
    </w:p>
    <w:p>
      <w:pPr>
        <w:ind w:left="620" w:hanging="413"/>
        <w:spacing w:after="0"/>
        <w:tabs>
          <w:tab w:leader="none" w:pos="6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Angeles, CA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90024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Amaranth</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LLC</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2,500,000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27,146</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27,146 0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Two</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w:t>
      </w:r>
    </w:p>
    <w:p>
      <w:pPr>
        <w:ind w:left="3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Lane</w:t>
      </w:r>
    </w:p>
    <w:p>
      <w:pPr>
        <w:spacing w:after="0" w:line="4" w:lineRule="exact"/>
        <w:rPr>
          <w:rFonts w:ascii="Courier New" w:cs="Courier New" w:eastAsia="Courier New" w:hAnsi="Courier New"/>
          <w:sz w:val="18"/>
          <w:szCs w:val="18"/>
          <w:color w:val="auto"/>
        </w:rPr>
      </w:pPr>
    </w:p>
    <w:p>
      <w:pPr>
        <w:jc w:val="center"/>
        <w:ind w:left="100" w:right="905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Greenwich, CT 06836-2571 Arkansas</w:t>
      </w:r>
    </w:p>
    <w:p>
      <w:pPr>
        <w:ind w:left="3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1,200,000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13,030</w:t>
      </w:r>
    </w:p>
    <w:p>
      <w:pPr>
        <w:spacing w:after="0" w:line="4" w:lineRule="exact"/>
        <w:rPr>
          <w:rFonts w:ascii="Courier New" w:cs="Courier New" w:eastAsia="Courier New" w:hAnsi="Courier New"/>
          <w:sz w:val="18"/>
          <w:szCs w:val="18"/>
          <w:color w:val="auto"/>
        </w:rPr>
      </w:pPr>
    </w:p>
    <w:p>
      <w:pPr>
        <w:jc w:val="center"/>
        <w:ind w:left="4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13,030 0 * c/o Froley Revy Investment Company, Inc. 10900 Wilshire Blvd. Ste</w:t>
      </w:r>
    </w:p>
    <w:p>
      <w:pPr>
        <w:ind w:left="620" w:hanging="413"/>
        <w:spacing w:after="0" w:line="238" w:lineRule="auto"/>
        <w:tabs>
          <w:tab w:leader="none" w:pos="6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Angeles, CA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90024</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159"/>
          </w:cols>
          <w:pgMar w:left="300" w:top="14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OFFERING</w:t>
      </w:r>
    </w:p>
    <w:p>
      <w:pPr>
        <w:jc w:val="center"/>
        <w:ind w:right="8959"/>
        <w:spacing w:after="0"/>
        <w:rPr>
          <w:sz w:val="20"/>
          <w:szCs w:val="20"/>
          <w:color w:val="auto"/>
        </w:rPr>
      </w:pPr>
      <w:r>
        <w:rPr>
          <w:rFonts w:ascii="Courier New" w:cs="Courier New" w:eastAsia="Courier New" w:hAnsi="Courier New"/>
          <w:sz w:val="18"/>
          <w:szCs w:val="18"/>
          <w:color w:val="auto"/>
        </w:rPr>
        <w:t>OFFERED(1)</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w:t>
      </w:r>
    </w:p>
    <w:p>
      <w:pPr>
        <w:jc w:val="center"/>
        <w:ind w:right="8959"/>
        <w:spacing w:after="0"/>
        <w:rPr>
          <w:sz w:val="20"/>
          <w:szCs w:val="20"/>
          <w:color w:val="auto"/>
        </w:rPr>
      </w:pPr>
      <w:r>
        <w:rPr>
          <w:rFonts w:ascii="Courier New" w:cs="Courier New" w:eastAsia="Courier New" w:hAnsi="Courier New"/>
          <w:sz w:val="18"/>
          <w:szCs w:val="18"/>
          <w:color w:val="auto"/>
        </w:rPr>
        <w:t>PERCENT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AXP Bond</w:t>
      </w:r>
    </w:p>
    <w:p>
      <w:pPr>
        <w:jc w:val="center"/>
        <w:ind w:right="8959"/>
        <w:spacing w:after="0"/>
        <w:rPr>
          <w:sz w:val="20"/>
          <w:szCs w:val="20"/>
          <w:color w:val="auto"/>
        </w:rPr>
      </w:pPr>
      <w:r>
        <w:rPr>
          <w:rFonts w:ascii="Courier New" w:cs="Courier New" w:eastAsia="Courier New" w:hAnsi="Courier New"/>
          <w:sz w:val="18"/>
          <w:szCs w:val="18"/>
          <w:color w:val="auto"/>
        </w:rPr>
        <w:t>Fund, 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$ 4,750,000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51,578</w:t>
      </w:r>
    </w:p>
    <w:p>
      <w:pPr>
        <w:jc w:val="center"/>
        <w:ind w:right="8959"/>
        <w:spacing w:after="0"/>
        <w:rPr>
          <w:sz w:val="20"/>
          <w:szCs w:val="20"/>
          <w:color w:val="auto"/>
        </w:rPr>
      </w:pPr>
      <w:r>
        <w:rPr>
          <w:rFonts w:ascii="Courier New" w:cs="Courier New" w:eastAsia="Courier New" w:hAnsi="Courier New"/>
          <w:sz w:val="18"/>
          <w:szCs w:val="18"/>
          <w:color w:val="auto"/>
        </w:rPr>
        <w:t>51,578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w:t>
      </w:r>
    </w:p>
    <w:p>
      <w:pPr>
        <w:jc w:val="center"/>
        <w:ind w:right="8959"/>
        <w:spacing w:after="0"/>
        <w:rPr>
          <w:sz w:val="20"/>
          <w:szCs w:val="20"/>
          <w:color w:val="auto"/>
        </w:rPr>
      </w:pPr>
      <w:r>
        <w:rPr>
          <w:rFonts w:ascii="Courier New" w:cs="Courier New" w:eastAsia="Courier New" w:hAnsi="Courier New"/>
          <w:sz w:val="18"/>
          <w:szCs w:val="18"/>
          <w:color w:val="auto"/>
        </w:rPr>
        <w:t>American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Express</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Advisors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50592 AXP</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Center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Minneapolis,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MN 55474</w:t>
      </w:r>
    </w:p>
    <w:p>
      <w:pPr>
        <w:jc w:val="center"/>
        <w:ind w:right="8959"/>
        <w:spacing w:after="0" w:line="238" w:lineRule="auto"/>
        <w:rPr>
          <w:sz w:val="20"/>
          <w:szCs w:val="20"/>
          <w:color w:val="auto"/>
        </w:rPr>
      </w:pPr>
      <w:r>
        <w:rPr>
          <w:rFonts w:ascii="Courier New" w:cs="Courier New" w:eastAsia="Courier New" w:hAnsi="Courier New"/>
          <w:sz w:val="18"/>
          <w:szCs w:val="18"/>
          <w:color w:val="auto"/>
        </w:rPr>
        <w:t>AXP</w:t>
      </w:r>
    </w:p>
    <w:p>
      <w:pPr>
        <w:jc w:val="center"/>
        <w:ind w:right="8959"/>
        <w:spacing w:after="0"/>
        <w:rPr>
          <w:sz w:val="20"/>
          <w:szCs w:val="20"/>
          <w:color w:val="auto"/>
        </w:rPr>
      </w:pPr>
      <w:r>
        <w:rPr>
          <w:rFonts w:ascii="Courier New" w:cs="Courier New" w:eastAsia="Courier New" w:hAnsi="Courier New"/>
          <w:sz w:val="18"/>
          <w:szCs w:val="18"/>
          <w:color w:val="auto"/>
        </w:rPr>
        <w:t>Variable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Portfolio -</w:t>
      </w:r>
    </w:p>
    <w:p>
      <w:pPr>
        <w:spacing w:after="0" w:line="5" w:lineRule="exact"/>
        <w:rPr>
          <w:sz w:val="20"/>
          <w:szCs w:val="20"/>
          <w:color w:val="auto"/>
        </w:rPr>
      </w:pPr>
    </w:p>
    <w:p>
      <w:pPr>
        <w:jc w:val="both"/>
        <w:ind w:left="380" w:right="9259" w:hanging="60"/>
        <w:spacing w:after="0" w:line="268" w:lineRule="auto"/>
        <w:tabs>
          <w:tab w:leader="none" w:pos="53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 Fund,</w:t>
      </w:r>
    </w:p>
    <w:p>
      <w:pPr>
        <w:jc w:val="center"/>
        <w:ind w:right="8959"/>
        <w:spacing w:after="0" w:line="233" w:lineRule="auto"/>
        <w:rPr>
          <w:sz w:val="20"/>
          <w:szCs w:val="20"/>
          <w:color w:val="auto"/>
        </w:rPr>
      </w:pPr>
      <w:r>
        <w:rPr>
          <w:rFonts w:ascii="Courier New" w:cs="Courier New" w:eastAsia="Courier New" w:hAnsi="Courier New"/>
          <w:sz w:val="18"/>
          <w:szCs w:val="18"/>
          <w:color w:val="auto"/>
        </w:rPr>
        <w:t>1,955,000</w:t>
      </w:r>
    </w:p>
    <w:p>
      <w:pPr>
        <w:jc w:val="center"/>
        <w:ind w:right="8959"/>
        <w:spacing w:after="0"/>
        <w:rPr>
          <w:sz w:val="20"/>
          <w:szCs w:val="20"/>
          <w:color w:val="auto"/>
        </w:rPr>
      </w:pPr>
      <w:r>
        <w:rPr>
          <w:rFonts w:ascii="Courier New" w:cs="Courier New" w:eastAsia="Courier New" w:hAnsi="Courier New"/>
          <w:sz w:val="18"/>
          <w:szCs w:val="18"/>
          <w:color w:val="auto"/>
        </w:rPr>
        <w:t>21,228</w:t>
      </w:r>
    </w:p>
    <w:p>
      <w:pPr>
        <w:ind w:left="100"/>
        <w:spacing w:after="0" w:line="237" w:lineRule="auto"/>
        <w:rPr>
          <w:sz w:val="20"/>
          <w:szCs w:val="20"/>
          <w:color w:val="auto"/>
        </w:rPr>
      </w:pPr>
      <w:r>
        <w:rPr>
          <w:rFonts w:ascii="Courier New" w:cs="Courier New" w:eastAsia="Courier New" w:hAnsi="Courier New"/>
          <w:sz w:val="18"/>
          <w:szCs w:val="18"/>
          <w:color w:val="auto"/>
        </w:rPr>
        <w:t>21,228 0 *</w:t>
      </w:r>
    </w:p>
    <w:p>
      <w:pPr>
        <w:ind w:left="60"/>
        <w:spacing w:after="0"/>
        <w:rPr>
          <w:sz w:val="20"/>
          <w:szCs w:val="20"/>
          <w:color w:val="auto"/>
        </w:rPr>
      </w:pPr>
      <w:r>
        <w:rPr>
          <w:rFonts w:ascii="Courier New" w:cs="Courier New" w:eastAsia="Courier New" w:hAnsi="Courier New"/>
          <w:sz w:val="18"/>
          <w:szCs w:val="18"/>
          <w:color w:val="auto"/>
        </w:rPr>
        <w:t>a series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AXP</w:t>
      </w:r>
    </w:p>
    <w:p>
      <w:pPr>
        <w:jc w:val="center"/>
        <w:ind w:right="8959"/>
        <w:spacing w:after="0"/>
        <w:rPr>
          <w:sz w:val="20"/>
          <w:szCs w:val="20"/>
          <w:color w:val="auto"/>
        </w:rPr>
      </w:pPr>
      <w:r>
        <w:rPr>
          <w:rFonts w:ascii="Courier New" w:cs="Courier New" w:eastAsia="Courier New" w:hAnsi="Courier New"/>
          <w:sz w:val="18"/>
          <w:szCs w:val="18"/>
          <w:color w:val="auto"/>
        </w:rPr>
        <w:t>Variable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Portfolio</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8959"/>
        <w:spacing w:after="0"/>
        <w:rPr>
          <w:sz w:val="20"/>
          <w:szCs w:val="20"/>
          <w:color w:val="auto"/>
        </w:rPr>
      </w:pPr>
      <w:r>
        <w:rPr>
          <w:rFonts w:ascii="Courier New" w:cs="Courier New" w:eastAsia="Courier New" w:hAnsi="Courier New"/>
          <w:sz w:val="18"/>
          <w:szCs w:val="18"/>
          <w:color w:val="auto"/>
        </w:rPr>
        <w:t>Series,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c/o</w:t>
      </w:r>
    </w:p>
    <w:p>
      <w:pPr>
        <w:jc w:val="center"/>
        <w:ind w:right="8959"/>
        <w:spacing w:after="0"/>
        <w:rPr>
          <w:sz w:val="20"/>
          <w:szCs w:val="20"/>
          <w:color w:val="auto"/>
        </w:rPr>
      </w:pPr>
      <w:r>
        <w:rPr>
          <w:rFonts w:ascii="Courier New" w:cs="Courier New" w:eastAsia="Courier New" w:hAnsi="Courier New"/>
          <w:sz w:val="18"/>
          <w:szCs w:val="18"/>
          <w:color w:val="auto"/>
        </w:rPr>
        <w:t>American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Express</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Advisors</w:t>
      </w:r>
    </w:p>
    <w:p>
      <w:pPr>
        <w:jc w:val="center"/>
        <w:ind w:right="8959"/>
        <w:spacing w:after="0"/>
        <w:rPr>
          <w:sz w:val="20"/>
          <w:szCs w:val="20"/>
          <w:color w:val="auto"/>
        </w:rPr>
      </w:pPr>
      <w:r>
        <w:rPr>
          <w:rFonts w:ascii="Courier New" w:cs="Courier New" w:eastAsia="Courier New" w:hAnsi="Courier New"/>
          <w:sz w:val="18"/>
          <w:szCs w:val="18"/>
          <w:color w:val="auto"/>
        </w:rPr>
        <w:t>50592 AXP</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Center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Minneapolis,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MN 55474</w:t>
      </w:r>
    </w:p>
    <w:p>
      <w:pPr>
        <w:jc w:val="center"/>
        <w:ind w:right="8959"/>
        <w:spacing w:after="0" w:line="238" w:lineRule="auto"/>
        <w:rPr>
          <w:sz w:val="20"/>
          <w:szCs w:val="20"/>
          <w:color w:val="auto"/>
        </w:rPr>
      </w:pPr>
      <w:r>
        <w:rPr>
          <w:rFonts w:ascii="Courier New" w:cs="Courier New" w:eastAsia="Courier New" w:hAnsi="Courier New"/>
          <w:sz w:val="18"/>
          <w:szCs w:val="18"/>
          <w:color w:val="auto"/>
        </w:rPr>
        <w:t>AXP</w:t>
      </w:r>
    </w:p>
    <w:p>
      <w:pPr>
        <w:jc w:val="center"/>
        <w:ind w:right="8959"/>
        <w:spacing w:after="0"/>
        <w:rPr>
          <w:sz w:val="20"/>
          <w:szCs w:val="20"/>
          <w:color w:val="auto"/>
        </w:rPr>
      </w:pPr>
      <w:r>
        <w:rPr>
          <w:rFonts w:ascii="Courier New" w:cs="Courier New" w:eastAsia="Courier New" w:hAnsi="Courier New"/>
          <w:sz w:val="18"/>
          <w:szCs w:val="18"/>
          <w:color w:val="auto"/>
        </w:rPr>
        <w:t>Variable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Portfolio -</w:t>
      </w:r>
    </w:p>
    <w:p>
      <w:pPr>
        <w:spacing w:after="0" w:line="5" w:lineRule="exact"/>
        <w:rPr>
          <w:sz w:val="20"/>
          <w:szCs w:val="20"/>
          <w:color w:val="auto"/>
        </w:rPr>
      </w:pPr>
    </w:p>
    <w:p>
      <w:pPr>
        <w:jc w:val="both"/>
        <w:ind w:left="160" w:right="9099" w:firstLine="2"/>
        <w:spacing w:after="0" w:line="268" w:lineRule="auto"/>
        <w:tabs>
          <w:tab w:leader="none" w:pos="37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1,460,000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15,853</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15,853 0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Fund, a</w:t>
      </w:r>
    </w:p>
    <w:p>
      <w:pPr>
        <w:sectPr>
          <w:pgSz w:w="11900" w:h="16838" w:orient="portrait"/>
          <w:cols w:equalWidth="0" w:num="1">
            <w:col w:w="10219"/>
          </w:cols>
          <w:pgMar w:left="240" w:top="312" w:right="1440" w:bottom="0" w:gutter="0" w:footer="0" w:header="0"/>
        </w:sectPr>
      </w:pPr>
    </w:p>
    <w:bookmarkStart w:id="56" w:name="page57"/>
    <w:bookmarkEnd w:id="56"/>
    <w:p>
      <w:pPr>
        <w:jc w:val="center"/>
        <w:ind w:right="8959"/>
        <w:spacing w:after="0"/>
        <w:rPr>
          <w:sz w:val="20"/>
          <w:szCs w:val="20"/>
          <w:color w:val="auto"/>
        </w:rPr>
      </w:pPr>
      <w:r>
        <w:rPr>
          <w:rFonts w:ascii="Courier New" w:cs="Courier New" w:eastAsia="Courier New" w:hAnsi="Courier New"/>
          <w:sz w:val="18"/>
          <w:szCs w:val="18"/>
          <w:color w:val="auto"/>
        </w:rPr>
        <w:t>series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AXP</w:t>
      </w:r>
    </w:p>
    <w:p>
      <w:pPr>
        <w:jc w:val="center"/>
        <w:ind w:right="8959"/>
        <w:spacing w:after="0"/>
        <w:rPr>
          <w:sz w:val="20"/>
          <w:szCs w:val="20"/>
          <w:color w:val="auto"/>
        </w:rPr>
      </w:pPr>
      <w:r>
        <w:rPr>
          <w:rFonts w:ascii="Courier New" w:cs="Courier New" w:eastAsia="Courier New" w:hAnsi="Courier New"/>
          <w:sz w:val="18"/>
          <w:szCs w:val="18"/>
          <w:color w:val="auto"/>
        </w:rPr>
        <w:t>Variable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Portfolio</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8959"/>
        <w:spacing w:after="0"/>
        <w:rPr>
          <w:sz w:val="20"/>
          <w:szCs w:val="20"/>
          <w:color w:val="auto"/>
        </w:rPr>
      </w:pPr>
      <w:r>
        <w:rPr>
          <w:rFonts w:ascii="Courier New" w:cs="Courier New" w:eastAsia="Courier New" w:hAnsi="Courier New"/>
          <w:sz w:val="18"/>
          <w:szCs w:val="18"/>
          <w:color w:val="auto"/>
        </w:rPr>
        <w:t>Series,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c/o</w:t>
      </w:r>
    </w:p>
    <w:p>
      <w:pPr>
        <w:jc w:val="center"/>
        <w:ind w:right="8959"/>
        <w:spacing w:after="0"/>
        <w:rPr>
          <w:sz w:val="20"/>
          <w:szCs w:val="20"/>
          <w:color w:val="auto"/>
        </w:rPr>
      </w:pPr>
      <w:r>
        <w:rPr>
          <w:rFonts w:ascii="Courier New" w:cs="Courier New" w:eastAsia="Courier New" w:hAnsi="Courier New"/>
          <w:sz w:val="18"/>
          <w:szCs w:val="18"/>
          <w:color w:val="auto"/>
        </w:rPr>
        <w:t>American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Express</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Advisors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50592 AXP</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Center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Minneapolis,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MN 55474</w:t>
      </w:r>
    </w:p>
    <w:p>
      <w:pPr>
        <w:jc w:val="center"/>
        <w:ind w:right="8959"/>
        <w:spacing w:after="0" w:line="238" w:lineRule="auto"/>
        <w:rPr>
          <w:sz w:val="20"/>
          <w:szCs w:val="20"/>
          <w:color w:val="auto"/>
        </w:rPr>
      </w:pPr>
      <w:r>
        <w:rPr>
          <w:rFonts w:ascii="Courier New" w:cs="Courier New" w:eastAsia="Courier New" w:hAnsi="Courier New"/>
          <w:sz w:val="18"/>
          <w:szCs w:val="18"/>
          <w:color w:val="auto"/>
        </w:rPr>
        <w:t>Bank</w:t>
      </w:r>
    </w:p>
    <w:p>
      <w:pPr>
        <w:jc w:val="center"/>
        <w:ind w:right="8959"/>
        <w:spacing w:after="0"/>
        <w:rPr>
          <w:sz w:val="20"/>
          <w:szCs w:val="20"/>
          <w:color w:val="auto"/>
        </w:rPr>
      </w:pPr>
      <w:r>
        <w:rPr>
          <w:rFonts w:ascii="Courier New" w:cs="Courier New" w:eastAsia="Courier New" w:hAnsi="Courier New"/>
          <w:sz w:val="18"/>
          <w:szCs w:val="18"/>
          <w:color w:val="auto"/>
        </w:rPr>
        <w:t>Austria</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Cayman</w:t>
      </w:r>
    </w:p>
    <w:p>
      <w:pPr>
        <w:jc w:val="center"/>
        <w:ind w:right="8959"/>
        <w:spacing w:after="0" w:line="238" w:lineRule="auto"/>
        <w:rPr>
          <w:sz w:val="20"/>
          <w:szCs w:val="20"/>
          <w:color w:val="auto"/>
        </w:rPr>
      </w:pPr>
      <w:r>
        <w:rPr>
          <w:rFonts w:ascii="Courier New" w:cs="Courier New" w:eastAsia="Courier New" w:hAnsi="Courier New"/>
          <w:sz w:val="18"/>
          <w:szCs w:val="18"/>
          <w:color w:val="auto"/>
        </w:rPr>
        <w:t>Islands,</w:t>
      </w: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7" w:lineRule="auto"/>
        <w:rPr>
          <w:sz w:val="20"/>
          <w:szCs w:val="20"/>
          <w:color w:val="auto"/>
        </w:rPr>
      </w:pPr>
      <w:r>
        <w:rPr>
          <w:rFonts w:ascii="Courier New" w:cs="Courier New" w:eastAsia="Courier New" w:hAnsi="Courier New"/>
          <w:sz w:val="18"/>
          <w:szCs w:val="18"/>
          <w:color w:val="auto"/>
        </w:rPr>
        <w:t>8,000,000</w:t>
      </w:r>
    </w:p>
    <w:p>
      <w:pPr>
        <w:jc w:val="center"/>
        <w:ind w:right="8959"/>
        <w:spacing w:after="0"/>
        <w:rPr>
          <w:sz w:val="20"/>
          <w:szCs w:val="20"/>
          <w:color w:val="auto"/>
        </w:rPr>
      </w:pPr>
      <w:r>
        <w:rPr>
          <w:rFonts w:ascii="Courier New" w:cs="Courier New" w:eastAsia="Courier New" w:hAnsi="Courier New"/>
          <w:sz w:val="18"/>
          <w:szCs w:val="18"/>
          <w:color w:val="auto"/>
        </w:rPr>
        <w:t>86,869</w:t>
      </w:r>
    </w:p>
    <w:p>
      <w:pPr>
        <w:jc w:val="center"/>
        <w:ind w:right="8959"/>
        <w:spacing w:after="0" w:line="237" w:lineRule="auto"/>
        <w:rPr>
          <w:sz w:val="20"/>
          <w:szCs w:val="20"/>
          <w:color w:val="auto"/>
        </w:rPr>
      </w:pPr>
      <w:r>
        <w:rPr>
          <w:rFonts w:ascii="Courier New" w:cs="Courier New" w:eastAsia="Courier New" w:hAnsi="Courier New"/>
          <w:sz w:val="18"/>
          <w:szCs w:val="18"/>
          <w:color w:val="auto"/>
        </w:rPr>
        <w:t>86,869 0 *</w:t>
      </w:r>
    </w:p>
    <w:p>
      <w:pPr>
        <w:spacing w:after="0" w:line="5" w:lineRule="exact"/>
        <w:rPr>
          <w:sz w:val="20"/>
          <w:szCs w:val="20"/>
          <w:color w:val="auto"/>
        </w:rPr>
      </w:pPr>
    </w:p>
    <w:p>
      <w:pPr>
        <w:ind w:left="60" w:right="8999" w:firstLine="102"/>
        <w:spacing w:after="0" w:line="268" w:lineRule="auto"/>
        <w:tabs>
          <w:tab w:leader="none" w:pos="58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Avenue 26th Floor New</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10019 Bank</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Hapoalim</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B.M.</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70,000,000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760,109</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760,109 0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1177 Avenue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Americas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York,</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10036</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Bay County</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150,000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1,628 1,628</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 c/o</w:t>
      </w:r>
    </w:p>
    <w:p>
      <w:pPr>
        <w:spacing w:after="0" w:line="4" w:lineRule="exact"/>
        <w:rPr>
          <w:rFonts w:ascii="Courier New" w:cs="Courier New" w:eastAsia="Courier New" w:hAnsi="Courier New"/>
          <w:sz w:val="16"/>
          <w:szCs w:val="16"/>
          <w:color w:val="auto"/>
        </w:rPr>
      </w:pPr>
    </w:p>
    <w:p>
      <w:pPr>
        <w:jc w:val="center"/>
        <w:ind w:right="8939" w:firstLine="4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10900 Wilshire Blvd. Ste 900 Los Angeles, CA 90024 Boilermakers Blacksmith Pension Trust 1,550,000 16,830 16,830 0 * c/o Froley Revy Investment Company, Inc. 10900 Wilshire Blvd. Ste 900 Los Angeles, CA 90024 Circlet (IMA) Limited 500,000 5,429 5,429 0 * c/o Camden Asset Management, LP 2049 Century</w:t>
      </w:r>
    </w:p>
    <w:p>
      <w:pPr>
        <w:sectPr>
          <w:pgSz w:w="11900" w:h="16838" w:orient="portrait"/>
          <w:cols w:equalWidth="0" w:num="1">
            <w:col w:w="10219"/>
          </w:cols>
          <w:pgMar w:left="240" w:top="136" w:right="1440" w:bottom="1124" w:gutter="0" w:footer="0" w:header="0"/>
        </w:sectPr>
      </w:pPr>
    </w:p>
    <w:bookmarkStart w:id="57" w:name="page58"/>
    <w:bookmarkEnd w:id="57"/>
    <w:p>
      <w:pPr>
        <w:jc w:val="center"/>
        <w:ind w:right="8999"/>
        <w:spacing w:after="0"/>
        <w:rPr>
          <w:sz w:val="20"/>
          <w:szCs w:val="20"/>
          <w:color w:val="auto"/>
        </w:rPr>
      </w:pPr>
      <w:r>
        <w:rPr>
          <w:rFonts w:ascii="Courier New" w:cs="Courier New" w:eastAsia="Courier New" w:hAnsi="Courier New"/>
          <w:sz w:val="18"/>
          <w:szCs w:val="18"/>
          <w:color w:val="auto"/>
        </w:rPr>
        <w:t>Park East,</w:t>
      </w:r>
    </w:p>
    <w:p>
      <w:pPr>
        <w:jc w:val="center"/>
        <w:ind w:right="8999"/>
        <w:spacing w:after="0" w:line="238" w:lineRule="auto"/>
        <w:rPr>
          <w:sz w:val="20"/>
          <w:szCs w:val="20"/>
          <w:color w:val="auto"/>
        </w:rPr>
      </w:pPr>
      <w:r>
        <w:rPr>
          <w:rFonts w:ascii="Courier New" w:cs="Courier New" w:eastAsia="Courier New" w:hAnsi="Courier New"/>
          <w:sz w:val="18"/>
          <w:szCs w:val="18"/>
          <w:color w:val="auto"/>
        </w:rPr>
        <w:t>Suite 330</w:t>
      </w:r>
    </w:p>
    <w:p>
      <w:pPr>
        <w:jc w:val="center"/>
        <w:ind w:right="8999"/>
        <w:spacing w:after="0"/>
        <w:rPr>
          <w:sz w:val="20"/>
          <w:szCs w:val="20"/>
          <w:color w:val="auto"/>
        </w:rPr>
      </w:pPr>
      <w:r>
        <w:rPr>
          <w:rFonts w:ascii="Courier New" w:cs="Courier New" w:eastAsia="Courier New" w:hAnsi="Courier New"/>
          <w:sz w:val="18"/>
          <w:szCs w:val="18"/>
          <w:color w:val="auto"/>
        </w:rPr>
        <w:t>Los</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Angeles, CA</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90067</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Commerzbank</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AG</w:t>
      </w:r>
    </w:p>
    <w:p>
      <w:pPr>
        <w:jc w:val="center"/>
        <w:ind w:right="8999"/>
        <w:spacing w:after="0" w:line="238" w:lineRule="auto"/>
        <w:rPr>
          <w:sz w:val="20"/>
          <w:szCs w:val="20"/>
          <w:color w:val="auto"/>
        </w:rPr>
      </w:pPr>
      <w:r>
        <w:rPr>
          <w:rFonts w:ascii="Courier New" w:cs="Courier New" w:eastAsia="Courier New" w:hAnsi="Courier New"/>
          <w:sz w:val="18"/>
          <w:szCs w:val="18"/>
          <w:color w:val="auto"/>
        </w:rPr>
        <w:t>21,000,000</w:t>
      </w:r>
    </w:p>
    <w:p>
      <w:pPr>
        <w:jc w:val="center"/>
        <w:ind w:right="8999"/>
        <w:spacing w:after="0"/>
        <w:rPr>
          <w:sz w:val="20"/>
          <w:szCs w:val="20"/>
          <w:color w:val="auto"/>
        </w:rPr>
      </w:pPr>
      <w:r>
        <w:rPr>
          <w:rFonts w:ascii="Courier New" w:cs="Courier New" w:eastAsia="Courier New" w:hAnsi="Courier New"/>
          <w:sz w:val="18"/>
          <w:szCs w:val="18"/>
          <w:color w:val="auto"/>
        </w:rPr>
        <w:t>228,032</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228,032 0 *</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Corporate</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Actions 2nd</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Floor,</w:t>
      </w:r>
    </w:p>
    <w:p>
      <w:pPr>
        <w:ind w:left="40"/>
        <w:spacing w:after="0" w:line="238" w:lineRule="auto"/>
        <w:rPr>
          <w:sz w:val="20"/>
          <w:szCs w:val="20"/>
          <w:color w:val="auto"/>
        </w:rPr>
      </w:pPr>
      <w:r>
        <w:rPr>
          <w:rFonts w:ascii="Courier New" w:cs="Courier New" w:eastAsia="Courier New" w:hAnsi="Courier New"/>
          <w:sz w:val="18"/>
          <w:szCs w:val="18"/>
          <w:color w:val="auto"/>
        </w:rPr>
        <w:t>Sherbourne</w:t>
      </w:r>
    </w:p>
    <w:p>
      <w:pPr>
        <w:spacing w:after="0"/>
        <w:rPr>
          <w:sz w:val="20"/>
          <w:szCs w:val="20"/>
          <w:color w:val="auto"/>
        </w:rPr>
      </w:pPr>
      <w:r>
        <w:rPr>
          <w:rFonts w:ascii="Courier New" w:cs="Courier New" w:eastAsia="Courier New" w:hAnsi="Courier New"/>
          <w:sz w:val="18"/>
          <w:szCs w:val="18"/>
          <w:color w:val="auto"/>
        </w:rPr>
        <w:t>House, 119-</w:t>
      </w:r>
    </w:p>
    <w:p>
      <w:pPr>
        <w:spacing w:after="0" w:line="3" w:lineRule="exact"/>
        <w:rPr>
          <w:sz w:val="20"/>
          <w:szCs w:val="20"/>
          <w:color w:val="auto"/>
        </w:rPr>
      </w:pPr>
    </w:p>
    <w:p>
      <w:pPr>
        <w:ind w:left="40" w:right="9059" w:firstLine="9"/>
        <w:spacing w:after="0" w:line="279" w:lineRule="auto"/>
        <w:tabs>
          <w:tab w:leader="none" w:pos="46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Cannon St. London EC4N 5AT</w:t>
      </w:r>
    </w:p>
    <w:p>
      <w:pPr>
        <w:spacing w:after="0" w:line="37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159"/>
          </w:cols>
          <w:pgMar w:left="300" w:top="136" w:right="1440" w:bottom="1440" w:gutter="0" w:footer="0" w:header="0"/>
        </w:sectPr>
      </w:pPr>
    </w:p>
    <w:bookmarkStart w:id="58" w:name="page59"/>
    <w:bookmarkEnd w:id="58"/>
    <w:p>
      <w:pPr>
        <w:ind w:left="262"/>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PRINCIPAL</w:t>
      </w:r>
    </w:p>
    <w:p>
      <w:pPr>
        <w:jc w:val="center"/>
        <w:ind w:right="8897"/>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97"/>
        <w:spacing w:after="0"/>
        <w:rPr>
          <w:sz w:val="20"/>
          <w:szCs w:val="20"/>
          <w:color w:val="auto"/>
        </w:rPr>
      </w:pPr>
      <w:r>
        <w:rPr>
          <w:rFonts w:ascii="Courier New" w:cs="Courier New" w:eastAsia="Courier New" w:hAnsi="Courier New"/>
          <w:sz w:val="18"/>
          <w:szCs w:val="18"/>
          <w:color w:val="auto"/>
        </w:rPr>
        <w:t>ORDINARY</w:t>
      </w:r>
    </w:p>
    <w:p>
      <w:pPr>
        <w:jc w:val="center"/>
        <w:ind w:right="8897"/>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897"/>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897"/>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OWNED</w:t>
      </w:r>
    </w:p>
    <w:p>
      <w:pPr>
        <w:jc w:val="center"/>
        <w:ind w:right="8897"/>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97"/>
        <w:spacing w:after="0"/>
        <w:rPr>
          <w:sz w:val="20"/>
          <w:szCs w:val="20"/>
          <w:color w:val="auto"/>
        </w:rPr>
      </w:pPr>
      <w:r>
        <w:rPr>
          <w:rFonts w:ascii="Courier New" w:cs="Courier New" w:eastAsia="Courier New" w:hAnsi="Courier New"/>
          <w:sz w:val="18"/>
          <w:szCs w:val="18"/>
          <w:color w:val="auto"/>
        </w:rPr>
        <w:t>OFFERING</w:t>
      </w:r>
    </w:p>
    <w:p>
      <w:pPr>
        <w:jc w:val="center"/>
        <w:ind w:right="8897"/>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897"/>
        <w:spacing w:after="0" w:line="238" w:lineRule="auto"/>
        <w:rPr>
          <w:sz w:val="20"/>
          <w:szCs w:val="20"/>
          <w:color w:val="auto"/>
        </w:rPr>
      </w:pPr>
      <w:r>
        <w:rPr>
          <w:rFonts w:ascii="Courier New" w:cs="Courier New" w:eastAsia="Courier New" w:hAnsi="Courier New"/>
          <w:sz w:val="18"/>
          <w:szCs w:val="18"/>
          <w:color w:val="auto"/>
        </w:rPr>
        <w:t>BEFORE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SHARES -----</w:t>
      </w:r>
    </w:p>
    <w:p>
      <w:pPr>
        <w:spacing w:after="0" w:line="16"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w:t>
      </w:r>
    </w:p>
    <w:p>
      <w:pPr>
        <w:jc w:val="center"/>
        <w:ind w:right="8897"/>
        <w:spacing w:after="0" w:line="238" w:lineRule="auto"/>
        <w:rPr>
          <w:sz w:val="20"/>
          <w:szCs w:val="20"/>
          <w:color w:val="auto"/>
        </w:rPr>
      </w:pPr>
      <w:r>
        <w:rPr>
          <w:rFonts w:ascii="Courier New" w:cs="Courier New" w:eastAsia="Courier New" w:hAnsi="Courier New"/>
          <w:sz w:val="18"/>
          <w:szCs w:val="18"/>
          <w:color w:val="auto"/>
        </w:rPr>
        <w:t>NAME AND</w:t>
      </w:r>
    </w:p>
    <w:p>
      <w:pPr>
        <w:jc w:val="center"/>
        <w:ind w:right="8897"/>
        <w:spacing w:after="0"/>
        <w:rPr>
          <w:sz w:val="20"/>
          <w:szCs w:val="20"/>
          <w:color w:val="auto"/>
        </w:rPr>
      </w:pPr>
      <w:r>
        <w:rPr>
          <w:rFonts w:ascii="Courier New" w:cs="Courier New" w:eastAsia="Courier New" w:hAnsi="Courier New"/>
          <w:sz w:val="18"/>
          <w:szCs w:val="18"/>
          <w:color w:val="auto"/>
        </w:rPr>
        <w:t>ADDRESS</w:t>
      </w:r>
    </w:p>
    <w:p>
      <w:pPr>
        <w:jc w:val="center"/>
        <w:ind w:right="8897"/>
        <w:spacing w:after="0" w:line="237" w:lineRule="auto"/>
        <w:rPr>
          <w:sz w:val="20"/>
          <w:szCs w:val="20"/>
          <w:color w:val="auto"/>
        </w:rPr>
      </w:pPr>
      <w:r>
        <w:rPr>
          <w:rFonts w:ascii="Courier New" w:cs="Courier New" w:eastAsia="Courier New" w:hAnsi="Courier New"/>
          <w:sz w:val="18"/>
          <w:szCs w:val="18"/>
          <w:color w:val="auto"/>
        </w:rPr>
        <w:t>OFFERED</w:t>
      </w:r>
    </w:p>
    <w:p>
      <w:pPr>
        <w:jc w:val="center"/>
        <w:ind w:right="8897"/>
        <w:spacing w:after="0" w:line="238" w:lineRule="auto"/>
        <w:rPr>
          <w:sz w:val="20"/>
          <w:szCs w:val="20"/>
          <w:color w:val="auto"/>
        </w:rPr>
      </w:pPr>
      <w:r>
        <w:rPr>
          <w:rFonts w:ascii="Courier New" w:cs="Courier New" w:eastAsia="Courier New" w:hAnsi="Courier New"/>
          <w:sz w:val="18"/>
          <w:szCs w:val="18"/>
          <w:color w:val="auto"/>
        </w:rPr>
        <w:t>OFFERING</w:t>
      </w:r>
    </w:p>
    <w:p>
      <w:pPr>
        <w:jc w:val="center"/>
        <w:ind w:right="8897"/>
        <w:spacing w:after="0"/>
        <w:rPr>
          <w:sz w:val="20"/>
          <w:szCs w:val="20"/>
          <w:color w:val="auto"/>
        </w:rPr>
      </w:pPr>
      <w:r>
        <w:rPr>
          <w:rFonts w:ascii="Courier New" w:cs="Courier New" w:eastAsia="Courier New" w:hAnsi="Courier New"/>
          <w:sz w:val="18"/>
          <w:szCs w:val="18"/>
          <w:color w:val="auto"/>
        </w:rPr>
        <w:t>OFFERED(1)</w:t>
      </w:r>
    </w:p>
    <w:p>
      <w:pPr>
        <w:jc w:val="center"/>
        <w:ind w:right="8897"/>
        <w:spacing w:after="0" w:line="237" w:lineRule="auto"/>
        <w:rPr>
          <w:sz w:val="20"/>
          <w:szCs w:val="20"/>
          <w:color w:val="auto"/>
        </w:rPr>
      </w:pPr>
      <w:r>
        <w:rPr>
          <w:rFonts w:ascii="Courier New" w:cs="Courier New" w:eastAsia="Courier New" w:hAnsi="Courier New"/>
          <w:sz w:val="18"/>
          <w:szCs w:val="18"/>
          <w:color w:val="auto"/>
        </w:rPr>
        <w:t>AMOUNT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PERCENT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2" w:hanging="642"/>
        <w:spacing w:after="0"/>
        <w:tabs>
          <w:tab w:leader="none" w:pos="64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left="162" w:right="899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Deutsche Banc Alex</w:t>
      </w:r>
    </w:p>
    <w:p>
      <w:pPr>
        <w:jc w:val="center"/>
        <w:ind w:right="8897"/>
        <w:spacing w:after="0"/>
        <w:rPr>
          <w:sz w:val="20"/>
          <w:szCs w:val="20"/>
          <w:color w:val="auto"/>
        </w:rPr>
      </w:pPr>
      <w:r>
        <w:rPr>
          <w:rFonts w:ascii="Courier New" w:cs="Courier New" w:eastAsia="Courier New" w:hAnsi="Courier New"/>
          <w:sz w:val="16"/>
          <w:szCs w:val="16"/>
          <w:color w:val="auto"/>
        </w:rPr>
        <w:t>Brown Inc. $</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50,250,000</w:t>
      </w:r>
    </w:p>
    <w:p>
      <w:pPr>
        <w:jc w:val="center"/>
        <w:ind w:right="8897"/>
        <w:spacing w:after="0" w:line="238" w:lineRule="auto"/>
        <w:rPr>
          <w:sz w:val="20"/>
          <w:szCs w:val="20"/>
          <w:color w:val="auto"/>
        </w:rPr>
      </w:pPr>
      <w:r>
        <w:rPr>
          <w:rFonts w:ascii="Courier New" w:cs="Courier New" w:eastAsia="Courier New" w:hAnsi="Courier New"/>
          <w:sz w:val="18"/>
          <w:szCs w:val="18"/>
          <w:color w:val="auto"/>
        </w:rPr>
        <w:t>545,649</w:t>
      </w:r>
    </w:p>
    <w:p>
      <w:pPr>
        <w:jc w:val="center"/>
        <w:ind w:right="8897"/>
        <w:spacing w:after="0"/>
        <w:rPr>
          <w:sz w:val="20"/>
          <w:szCs w:val="20"/>
          <w:color w:val="auto"/>
        </w:rPr>
      </w:pPr>
      <w:r>
        <w:rPr>
          <w:rFonts w:ascii="Courier New" w:cs="Courier New" w:eastAsia="Courier New" w:hAnsi="Courier New"/>
          <w:sz w:val="18"/>
          <w:szCs w:val="18"/>
          <w:color w:val="auto"/>
        </w:rPr>
        <w:t>545,649 0 *</w:t>
      </w:r>
    </w:p>
    <w:p>
      <w:pPr>
        <w:jc w:val="center"/>
        <w:ind w:right="8897"/>
        <w:spacing w:after="0" w:line="237" w:lineRule="auto"/>
        <w:rPr>
          <w:sz w:val="20"/>
          <w:szCs w:val="20"/>
          <w:color w:val="auto"/>
        </w:rPr>
      </w:pPr>
      <w:r>
        <w:rPr>
          <w:rFonts w:ascii="Courier New" w:cs="Courier New" w:eastAsia="Courier New" w:hAnsi="Courier New"/>
          <w:sz w:val="18"/>
          <w:szCs w:val="18"/>
          <w:color w:val="auto"/>
        </w:rPr>
        <w:t>1251 Avenue</w:t>
      </w:r>
    </w:p>
    <w:p>
      <w:pPr>
        <w:jc w:val="center"/>
        <w:ind w:right="8897"/>
        <w:spacing w:after="0" w:line="238" w:lineRule="auto"/>
        <w:rPr>
          <w:sz w:val="20"/>
          <w:szCs w:val="20"/>
          <w:color w:val="auto"/>
        </w:rPr>
      </w:pPr>
      <w:r>
        <w:rPr>
          <w:rFonts w:ascii="Courier New" w:cs="Courier New" w:eastAsia="Courier New" w:hAnsi="Courier New"/>
          <w:sz w:val="18"/>
          <w:szCs w:val="18"/>
          <w:color w:val="auto"/>
        </w:rPr>
        <w:t>of the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Americas New</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York, NY</w:t>
      </w:r>
    </w:p>
    <w:p>
      <w:pPr>
        <w:jc w:val="center"/>
        <w:ind w:right="8897"/>
        <w:spacing w:after="0" w:line="238" w:lineRule="auto"/>
        <w:rPr>
          <w:sz w:val="20"/>
          <w:szCs w:val="20"/>
          <w:color w:val="auto"/>
        </w:rPr>
      </w:pPr>
      <w:r>
        <w:rPr>
          <w:rFonts w:ascii="Courier New" w:cs="Courier New" w:eastAsia="Courier New" w:hAnsi="Courier New"/>
          <w:sz w:val="18"/>
          <w:szCs w:val="18"/>
          <w:color w:val="auto"/>
        </w:rPr>
        <w:t>10020 First</w:t>
      </w:r>
    </w:p>
    <w:p>
      <w:pPr>
        <w:jc w:val="center"/>
        <w:ind w:right="8897"/>
        <w:spacing w:after="0"/>
        <w:rPr>
          <w:sz w:val="20"/>
          <w:szCs w:val="20"/>
          <w:color w:val="auto"/>
        </w:rPr>
      </w:pPr>
      <w:r>
        <w:rPr>
          <w:rFonts w:ascii="Courier New" w:cs="Courier New" w:eastAsia="Courier New" w:hAnsi="Courier New"/>
          <w:sz w:val="18"/>
          <w:szCs w:val="18"/>
          <w:color w:val="auto"/>
        </w:rPr>
        <w:t>Union</w:t>
      </w:r>
    </w:p>
    <w:p>
      <w:pPr>
        <w:jc w:val="center"/>
        <w:ind w:right="8897"/>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897"/>
        <w:spacing w:after="0" w:line="238" w:lineRule="auto"/>
        <w:rPr>
          <w:sz w:val="20"/>
          <w:szCs w:val="20"/>
          <w:color w:val="auto"/>
        </w:rPr>
      </w:pPr>
      <w:r>
        <w:rPr>
          <w:rFonts w:ascii="Courier New" w:cs="Courier New" w:eastAsia="Courier New" w:hAnsi="Courier New"/>
          <w:sz w:val="18"/>
          <w:szCs w:val="18"/>
          <w:color w:val="auto"/>
        </w:rPr>
        <w:t>Bank</w:t>
      </w:r>
    </w:p>
    <w:p>
      <w:pPr>
        <w:jc w:val="center"/>
        <w:ind w:right="8897"/>
        <w:spacing w:after="0"/>
        <w:rPr>
          <w:sz w:val="20"/>
          <w:szCs w:val="20"/>
          <w:color w:val="auto"/>
        </w:rPr>
      </w:pPr>
      <w:r>
        <w:rPr>
          <w:rFonts w:ascii="Courier New" w:cs="Courier New" w:eastAsia="Courier New" w:hAnsi="Courier New"/>
          <w:sz w:val="18"/>
          <w:szCs w:val="18"/>
          <w:color w:val="auto"/>
        </w:rPr>
        <w:t>31,600,000</w:t>
      </w:r>
    </w:p>
    <w:p>
      <w:pPr>
        <w:jc w:val="center"/>
        <w:ind w:right="8897"/>
        <w:spacing w:after="0" w:line="237" w:lineRule="auto"/>
        <w:rPr>
          <w:sz w:val="20"/>
          <w:szCs w:val="20"/>
          <w:color w:val="auto"/>
        </w:rPr>
      </w:pPr>
      <w:r>
        <w:rPr>
          <w:rFonts w:ascii="Courier New" w:cs="Courier New" w:eastAsia="Courier New" w:hAnsi="Courier New"/>
          <w:sz w:val="18"/>
          <w:szCs w:val="18"/>
          <w:color w:val="auto"/>
        </w:rPr>
        <w:t>343,134</w:t>
      </w:r>
    </w:p>
    <w:p>
      <w:pPr>
        <w:jc w:val="center"/>
        <w:ind w:right="8897"/>
        <w:spacing w:after="0"/>
        <w:rPr>
          <w:sz w:val="20"/>
          <w:szCs w:val="20"/>
          <w:color w:val="auto"/>
        </w:rPr>
      </w:pPr>
      <w:r>
        <w:rPr>
          <w:rFonts w:ascii="Courier New" w:cs="Courier New" w:eastAsia="Courier New" w:hAnsi="Courier New"/>
          <w:sz w:val="18"/>
          <w:szCs w:val="18"/>
          <w:color w:val="auto"/>
        </w:rPr>
        <w:t>343,134 0 *</w:t>
      </w:r>
    </w:p>
    <w:p>
      <w:pPr>
        <w:jc w:val="center"/>
        <w:ind w:right="8897"/>
        <w:spacing w:after="0" w:line="237" w:lineRule="auto"/>
        <w:rPr>
          <w:sz w:val="20"/>
          <w:szCs w:val="20"/>
          <w:color w:val="auto"/>
        </w:rPr>
      </w:pPr>
      <w:r>
        <w:rPr>
          <w:rFonts w:ascii="Courier New" w:cs="Courier New" w:eastAsia="Courier New" w:hAnsi="Courier New"/>
          <w:sz w:val="18"/>
          <w:szCs w:val="18"/>
          <w:color w:val="auto"/>
        </w:rPr>
        <w:t>8739</w:t>
      </w:r>
    </w:p>
    <w:p>
      <w:pPr>
        <w:jc w:val="center"/>
        <w:ind w:right="8897"/>
        <w:spacing w:after="0"/>
        <w:rPr>
          <w:sz w:val="20"/>
          <w:szCs w:val="20"/>
          <w:color w:val="auto"/>
        </w:rPr>
      </w:pPr>
      <w:r>
        <w:rPr>
          <w:rFonts w:ascii="Courier New" w:cs="Courier New" w:eastAsia="Courier New" w:hAnsi="Courier New"/>
          <w:sz w:val="18"/>
          <w:szCs w:val="18"/>
          <w:color w:val="auto"/>
        </w:rPr>
        <w:t>Research</w:t>
      </w:r>
    </w:p>
    <w:p>
      <w:pPr>
        <w:jc w:val="center"/>
        <w:ind w:right="8897"/>
        <w:spacing w:after="0" w:line="237" w:lineRule="auto"/>
        <w:rPr>
          <w:sz w:val="20"/>
          <w:szCs w:val="20"/>
          <w:color w:val="auto"/>
        </w:rPr>
      </w:pPr>
      <w:r>
        <w:rPr>
          <w:rFonts w:ascii="Courier New" w:cs="Courier New" w:eastAsia="Courier New" w:hAnsi="Courier New"/>
          <w:sz w:val="18"/>
          <w:szCs w:val="18"/>
          <w:color w:val="auto"/>
        </w:rPr>
        <w:t>Drive</w:t>
      </w:r>
    </w:p>
    <w:p>
      <w:pPr>
        <w:jc w:val="center"/>
        <w:ind w:right="8897"/>
        <w:spacing w:after="0" w:line="238" w:lineRule="auto"/>
        <w:rPr>
          <w:sz w:val="20"/>
          <w:szCs w:val="20"/>
          <w:color w:val="auto"/>
        </w:rPr>
      </w:pPr>
      <w:r>
        <w:rPr>
          <w:rFonts w:ascii="Courier New" w:cs="Courier New" w:eastAsia="Courier New" w:hAnsi="Courier New"/>
          <w:sz w:val="18"/>
          <w:szCs w:val="18"/>
          <w:color w:val="auto"/>
        </w:rPr>
        <w:t>Charlotte,</w:t>
      </w:r>
    </w:p>
    <w:p>
      <w:pPr>
        <w:jc w:val="center"/>
        <w:ind w:right="8897"/>
        <w:spacing w:after="0"/>
        <w:rPr>
          <w:sz w:val="20"/>
          <w:szCs w:val="20"/>
          <w:color w:val="auto"/>
        </w:rPr>
      </w:pPr>
      <w:r>
        <w:rPr>
          <w:rFonts w:ascii="Courier New" w:cs="Courier New" w:eastAsia="Courier New" w:hAnsi="Courier New"/>
          <w:sz w:val="18"/>
          <w:szCs w:val="18"/>
          <w:color w:val="auto"/>
        </w:rPr>
        <w:t>NC 28262-</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0675 Goldman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Sachs and</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897"/>
        <w:spacing w:after="0"/>
        <w:rPr>
          <w:sz w:val="20"/>
          <w:szCs w:val="20"/>
          <w:color w:val="auto"/>
        </w:rPr>
      </w:pPr>
      <w:r>
        <w:rPr>
          <w:rFonts w:ascii="Courier New" w:cs="Courier New" w:eastAsia="Courier New" w:hAnsi="Courier New"/>
          <w:sz w:val="18"/>
          <w:szCs w:val="18"/>
          <w:color w:val="auto"/>
        </w:rPr>
        <w:t>22,500,000</w:t>
      </w:r>
    </w:p>
    <w:p>
      <w:pPr>
        <w:jc w:val="center"/>
        <w:ind w:right="8897"/>
        <w:spacing w:after="0" w:line="237" w:lineRule="auto"/>
        <w:rPr>
          <w:sz w:val="20"/>
          <w:szCs w:val="20"/>
          <w:color w:val="auto"/>
        </w:rPr>
      </w:pPr>
      <w:r>
        <w:rPr>
          <w:rFonts w:ascii="Courier New" w:cs="Courier New" w:eastAsia="Courier New" w:hAnsi="Courier New"/>
          <w:sz w:val="18"/>
          <w:szCs w:val="18"/>
          <w:color w:val="auto"/>
        </w:rPr>
        <w:t>244,320</w:t>
      </w:r>
    </w:p>
    <w:p>
      <w:pPr>
        <w:jc w:val="center"/>
        <w:ind w:right="8897"/>
        <w:spacing w:after="0" w:line="238" w:lineRule="auto"/>
        <w:rPr>
          <w:sz w:val="20"/>
          <w:szCs w:val="20"/>
          <w:color w:val="auto"/>
        </w:rPr>
      </w:pPr>
      <w:r>
        <w:rPr>
          <w:rFonts w:ascii="Courier New" w:cs="Courier New" w:eastAsia="Courier New" w:hAnsi="Courier New"/>
          <w:sz w:val="18"/>
          <w:szCs w:val="18"/>
          <w:color w:val="auto"/>
        </w:rPr>
        <w:t>244,320 0 *</w:t>
      </w:r>
    </w:p>
    <w:p>
      <w:pPr>
        <w:ind w:left="522" w:hanging="417"/>
        <w:spacing w:after="0"/>
        <w:tabs>
          <w:tab w:leader="none" w:pos="52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Maiden</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Lane 8th</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Floor New</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York, NY</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10038 Income</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Portfolio, a</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series of</w:t>
      </w:r>
    </w:p>
    <w:p>
      <w:pPr>
        <w:jc w:val="center"/>
        <w:ind w:right="8897"/>
        <w:spacing w:after="0" w:line="238" w:lineRule="auto"/>
        <w:rPr>
          <w:sz w:val="20"/>
          <w:szCs w:val="20"/>
          <w:color w:val="auto"/>
        </w:rPr>
      </w:pPr>
      <w:r>
        <w:rPr>
          <w:rFonts w:ascii="Courier New" w:cs="Courier New" w:eastAsia="Courier New" w:hAnsi="Courier New"/>
          <w:sz w:val="18"/>
          <w:szCs w:val="18"/>
          <w:color w:val="auto"/>
        </w:rPr>
        <w:t>IDS Life</w:t>
      </w:r>
    </w:p>
    <w:p>
      <w:pPr>
        <w:jc w:val="center"/>
        <w:ind w:right="8897"/>
        <w:spacing w:after="0"/>
        <w:rPr>
          <w:sz w:val="20"/>
          <w:szCs w:val="20"/>
          <w:color w:val="auto"/>
        </w:rPr>
      </w:pPr>
      <w:r>
        <w:rPr>
          <w:rFonts w:ascii="Courier New" w:cs="Courier New" w:eastAsia="Courier New" w:hAnsi="Courier New"/>
          <w:sz w:val="18"/>
          <w:szCs w:val="18"/>
          <w:color w:val="auto"/>
        </w:rPr>
        <w:t>110,000</w:t>
      </w:r>
    </w:p>
    <w:p>
      <w:pPr>
        <w:jc w:val="center"/>
        <w:ind w:right="8897"/>
        <w:spacing w:after="0" w:line="237" w:lineRule="auto"/>
        <w:rPr>
          <w:sz w:val="20"/>
          <w:szCs w:val="20"/>
          <w:color w:val="auto"/>
        </w:rPr>
      </w:pPr>
      <w:r>
        <w:rPr>
          <w:rFonts w:ascii="Courier New" w:cs="Courier New" w:eastAsia="Courier New" w:hAnsi="Courier New"/>
          <w:sz w:val="18"/>
          <w:szCs w:val="18"/>
          <w:color w:val="auto"/>
        </w:rPr>
        <w:t>1,194 1,194</w:t>
      </w:r>
    </w:p>
    <w:p>
      <w:pPr>
        <w:jc w:val="center"/>
        <w:ind w:right="8897"/>
        <w:spacing w:after="0" w:line="238" w:lineRule="auto"/>
        <w:rPr>
          <w:sz w:val="20"/>
          <w:szCs w:val="20"/>
          <w:color w:val="auto"/>
        </w:rPr>
      </w:pPr>
      <w:r>
        <w:rPr>
          <w:rFonts w:ascii="Courier New" w:cs="Courier New" w:eastAsia="Courier New" w:hAnsi="Courier New"/>
          <w:sz w:val="18"/>
          <w:szCs w:val="18"/>
          <w:color w:val="auto"/>
        </w:rPr>
        <w:t>0 * Series</w:t>
      </w:r>
    </w:p>
    <w:p>
      <w:pPr>
        <w:jc w:val="center"/>
        <w:ind w:right="8897"/>
        <w:spacing w:after="0"/>
        <w:rPr>
          <w:sz w:val="20"/>
          <w:szCs w:val="20"/>
          <w:color w:val="auto"/>
        </w:rPr>
      </w:pPr>
      <w:r>
        <w:rPr>
          <w:rFonts w:ascii="Courier New" w:cs="Courier New" w:eastAsia="Courier New" w:hAnsi="Courier New"/>
          <w:sz w:val="18"/>
          <w:szCs w:val="18"/>
          <w:color w:val="auto"/>
        </w:rPr>
        <w:t>Fund, Inc.</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 American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Express</w:t>
      </w:r>
    </w:p>
    <w:p>
      <w:pPr>
        <w:jc w:val="center"/>
        <w:ind w:right="8897"/>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97"/>
        <w:spacing w:after="0"/>
        <w:rPr>
          <w:sz w:val="20"/>
          <w:szCs w:val="20"/>
          <w:color w:val="auto"/>
        </w:rPr>
      </w:pPr>
      <w:r>
        <w:rPr>
          <w:rFonts w:ascii="Courier New" w:cs="Courier New" w:eastAsia="Courier New" w:hAnsi="Courier New"/>
          <w:sz w:val="18"/>
          <w:szCs w:val="18"/>
          <w:color w:val="auto"/>
        </w:rPr>
        <w:t>Advisors</w:t>
      </w:r>
    </w:p>
    <w:p>
      <w:pPr>
        <w:jc w:val="center"/>
        <w:ind w:right="8897"/>
        <w:spacing w:after="0" w:line="237" w:lineRule="auto"/>
        <w:rPr>
          <w:sz w:val="20"/>
          <w:szCs w:val="20"/>
          <w:color w:val="auto"/>
        </w:rPr>
      </w:pPr>
      <w:r>
        <w:rPr>
          <w:rFonts w:ascii="Courier New" w:cs="Courier New" w:eastAsia="Courier New" w:hAnsi="Courier New"/>
          <w:sz w:val="18"/>
          <w:szCs w:val="18"/>
          <w:color w:val="auto"/>
        </w:rPr>
        <w:t>50592 AXP</w:t>
      </w:r>
    </w:p>
    <w:p>
      <w:pPr>
        <w:jc w:val="center"/>
        <w:ind w:right="8897"/>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97"/>
        <w:spacing w:after="0"/>
        <w:rPr>
          <w:sz w:val="20"/>
          <w:szCs w:val="20"/>
          <w:color w:val="auto"/>
        </w:rPr>
      </w:pPr>
      <w:r>
        <w:rPr>
          <w:rFonts w:ascii="Courier New" w:cs="Courier New" w:eastAsia="Courier New" w:hAnsi="Courier New"/>
          <w:sz w:val="18"/>
          <w:szCs w:val="18"/>
          <w:color w:val="auto"/>
        </w:rPr>
        <w:t>Center</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Minneapolis,</w:t>
      </w:r>
    </w:p>
    <w:p>
      <w:pPr>
        <w:sectPr>
          <w:pgSz w:w="11900" w:h="16838" w:orient="portrait"/>
          <w:cols w:equalWidth="0" w:num="1">
            <w:col w:w="10161"/>
          </w:cols>
          <w:pgMar w:left="298" w:top="312" w:right="1440" w:bottom="0" w:gutter="0" w:footer="0" w:header="0"/>
        </w:sectPr>
      </w:pPr>
    </w:p>
    <w:bookmarkStart w:id="59" w:name="page60"/>
    <w:bookmarkEnd w:id="59"/>
    <w:p>
      <w:pPr>
        <w:jc w:val="center"/>
        <w:ind w:right="8839"/>
        <w:spacing w:after="0"/>
        <w:rPr>
          <w:sz w:val="20"/>
          <w:szCs w:val="20"/>
          <w:color w:val="auto"/>
        </w:rPr>
      </w:pPr>
      <w:r>
        <w:rPr>
          <w:rFonts w:ascii="Courier New" w:cs="Courier New" w:eastAsia="Courier New" w:hAnsi="Courier New"/>
          <w:sz w:val="18"/>
          <w:szCs w:val="18"/>
          <w:color w:val="auto"/>
        </w:rPr>
        <w:t>MN 55474</w:t>
      </w:r>
    </w:p>
    <w:p>
      <w:pPr>
        <w:jc w:val="center"/>
        <w:ind w:right="8839"/>
        <w:spacing w:after="0" w:line="238" w:lineRule="auto"/>
        <w:rPr>
          <w:sz w:val="20"/>
          <w:szCs w:val="20"/>
          <w:color w:val="auto"/>
        </w:rPr>
      </w:pPr>
      <w:r>
        <w:rPr>
          <w:rFonts w:ascii="Courier New" w:cs="Courier New" w:eastAsia="Courier New" w:hAnsi="Courier New"/>
          <w:sz w:val="18"/>
          <w:szCs w:val="18"/>
          <w:color w:val="auto"/>
        </w:rPr>
        <w:t>Jersey (IMA)</w:t>
      </w:r>
    </w:p>
    <w:p>
      <w:pPr>
        <w:jc w:val="center"/>
        <w:ind w:right="8839"/>
        <w:spacing w:after="0"/>
        <w:rPr>
          <w:sz w:val="20"/>
          <w:szCs w:val="20"/>
          <w:color w:val="auto"/>
        </w:rPr>
      </w:pPr>
      <w:r>
        <w:rPr>
          <w:rFonts w:ascii="Courier New" w:cs="Courier New" w:eastAsia="Courier New" w:hAnsi="Courier New"/>
          <w:sz w:val="18"/>
          <w:szCs w:val="18"/>
          <w:color w:val="auto"/>
        </w:rPr>
        <w:t>LTD.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1,000,000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10,858</w:t>
      </w:r>
    </w:p>
    <w:p>
      <w:pPr>
        <w:jc w:val="center"/>
        <w:ind w:right="8839"/>
        <w:spacing w:after="0"/>
        <w:rPr>
          <w:sz w:val="20"/>
          <w:szCs w:val="20"/>
          <w:color w:val="auto"/>
        </w:rPr>
      </w:pPr>
      <w:r>
        <w:rPr>
          <w:rFonts w:ascii="Courier New" w:cs="Courier New" w:eastAsia="Courier New" w:hAnsi="Courier New"/>
          <w:sz w:val="18"/>
          <w:szCs w:val="18"/>
          <w:color w:val="auto"/>
        </w:rPr>
        <w:t>10,858 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jc w:val="center"/>
        <w:ind w:right="8839"/>
        <w:spacing w:after="0"/>
        <w:rPr>
          <w:sz w:val="20"/>
          <w:szCs w:val="20"/>
          <w:color w:val="auto"/>
        </w:rPr>
      </w:pPr>
      <w:r>
        <w:rPr>
          <w:rFonts w:ascii="Courier New" w:cs="Courier New" w:eastAsia="Courier New" w:hAnsi="Courier New"/>
          <w:sz w:val="18"/>
          <w:szCs w:val="18"/>
          <w:color w:val="auto"/>
        </w:rPr>
        <w:t>LibertyView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 101</w:t>
      </w:r>
    </w:p>
    <w:p>
      <w:pPr>
        <w:jc w:val="center"/>
        <w:ind w:right="8839"/>
        <w:spacing w:after="0"/>
        <w:rPr>
          <w:sz w:val="20"/>
          <w:szCs w:val="20"/>
          <w:color w:val="auto"/>
        </w:rPr>
      </w:pPr>
      <w:r>
        <w:rPr>
          <w:rFonts w:ascii="Courier New" w:cs="Courier New" w:eastAsia="Courier New" w:hAnsi="Courier New"/>
          <w:sz w:val="18"/>
          <w:szCs w:val="18"/>
          <w:color w:val="auto"/>
        </w:rPr>
        <w:t>Hudson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Street Suite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3700 Jersey</w:t>
      </w:r>
    </w:p>
    <w:p>
      <w:pPr>
        <w:jc w:val="center"/>
        <w:ind w:right="8839"/>
        <w:spacing w:after="0"/>
        <w:rPr>
          <w:sz w:val="20"/>
          <w:szCs w:val="20"/>
          <w:color w:val="auto"/>
        </w:rPr>
      </w:pPr>
      <w:r>
        <w:rPr>
          <w:rFonts w:ascii="Courier New" w:cs="Courier New" w:eastAsia="Courier New" w:hAnsi="Courier New"/>
          <w:sz w:val="18"/>
          <w:szCs w:val="18"/>
          <w:color w:val="auto"/>
        </w:rPr>
        <w:t>City, NJ</w:t>
      </w:r>
    </w:p>
    <w:p>
      <w:pPr>
        <w:jc w:val="center"/>
        <w:ind w:right="8839"/>
        <w:spacing w:after="0" w:line="237" w:lineRule="auto"/>
        <w:rPr>
          <w:sz w:val="20"/>
          <w:szCs w:val="20"/>
          <w:color w:val="auto"/>
        </w:rPr>
      </w:pPr>
      <w:r>
        <w:rPr>
          <w:rFonts w:ascii="Courier New" w:cs="Courier New" w:eastAsia="Courier New" w:hAnsi="Courier New"/>
          <w:sz w:val="18"/>
          <w:szCs w:val="18"/>
          <w:color w:val="auto"/>
        </w:rPr>
        <w:t>07302 KBC</w:t>
      </w:r>
    </w:p>
    <w:p>
      <w:pPr>
        <w:jc w:val="center"/>
        <w:ind w:right="8839"/>
        <w:spacing w:after="0"/>
        <w:rPr>
          <w:sz w:val="20"/>
          <w:szCs w:val="20"/>
          <w:color w:val="auto"/>
        </w:rPr>
      </w:pPr>
      <w:r>
        <w:rPr>
          <w:rFonts w:ascii="Courier New" w:cs="Courier New" w:eastAsia="Courier New" w:hAnsi="Courier New"/>
          <w:sz w:val="18"/>
          <w:szCs w:val="18"/>
          <w:color w:val="auto"/>
        </w:rPr>
        <w:t>Financial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Products USA</w:t>
      </w:r>
    </w:p>
    <w:p>
      <w:pPr>
        <w:jc w:val="center"/>
        <w:ind w:right="8839"/>
        <w:spacing w:after="0"/>
        <w:rPr>
          <w:sz w:val="20"/>
          <w:szCs w:val="20"/>
          <w:color w:val="auto"/>
        </w:rPr>
      </w:pPr>
      <w:r>
        <w:rPr>
          <w:rFonts w:ascii="Courier New" w:cs="Courier New" w:eastAsia="Courier New" w:hAnsi="Courier New"/>
          <w:sz w:val="18"/>
          <w:szCs w:val="18"/>
          <w:color w:val="auto"/>
        </w:rPr>
        <w:t>5,000,000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54,293</w:t>
      </w:r>
    </w:p>
    <w:p>
      <w:pPr>
        <w:jc w:val="center"/>
        <w:ind w:right="8839"/>
        <w:spacing w:after="0" w:line="238" w:lineRule="auto"/>
        <w:rPr>
          <w:sz w:val="20"/>
          <w:szCs w:val="20"/>
          <w:color w:val="auto"/>
        </w:rPr>
      </w:pPr>
      <w:r>
        <w:rPr>
          <w:rFonts w:ascii="Courier New" w:cs="Courier New" w:eastAsia="Courier New" w:hAnsi="Courier New"/>
          <w:sz w:val="18"/>
          <w:szCs w:val="18"/>
          <w:color w:val="auto"/>
        </w:rPr>
        <w:t>54,293 0 *</w:t>
      </w:r>
    </w:p>
    <w:p>
      <w:pPr>
        <w:jc w:val="center"/>
        <w:ind w:right="8839"/>
        <w:spacing w:after="0"/>
        <w:rPr>
          <w:sz w:val="20"/>
          <w:szCs w:val="20"/>
          <w:color w:val="auto"/>
        </w:rPr>
      </w:pPr>
      <w:r>
        <w:rPr>
          <w:rFonts w:ascii="Courier New" w:cs="Courier New" w:eastAsia="Courier New" w:hAnsi="Courier New"/>
          <w:sz w:val="18"/>
          <w:szCs w:val="18"/>
          <w:color w:val="auto"/>
        </w:rPr>
        <w:t>140 East 45</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Street 2</w:t>
      </w:r>
    </w:p>
    <w:p>
      <w:pPr>
        <w:jc w:val="center"/>
        <w:ind w:right="8839"/>
        <w:spacing w:after="0"/>
        <w:rPr>
          <w:sz w:val="20"/>
          <w:szCs w:val="20"/>
          <w:color w:val="auto"/>
        </w:rPr>
      </w:pPr>
      <w:r>
        <w:rPr>
          <w:rFonts w:ascii="Courier New" w:cs="Courier New" w:eastAsia="Courier New" w:hAnsi="Courier New"/>
          <w:sz w:val="18"/>
          <w:szCs w:val="18"/>
          <w:color w:val="auto"/>
        </w:rPr>
        <w:t>Grand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Central</w:t>
      </w:r>
    </w:p>
    <w:p>
      <w:pPr>
        <w:jc w:val="center"/>
        <w:ind w:right="8839"/>
        <w:spacing w:after="0"/>
        <w:rPr>
          <w:sz w:val="20"/>
          <w:szCs w:val="20"/>
          <w:color w:val="auto"/>
        </w:rPr>
      </w:pPr>
      <w:r>
        <w:rPr>
          <w:rFonts w:ascii="Courier New" w:cs="Courier New" w:eastAsia="Courier New" w:hAnsi="Courier New"/>
          <w:sz w:val="18"/>
          <w:szCs w:val="18"/>
          <w:color w:val="auto"/>
        </w:rPr>
        <w:t>Tower -- 42</w:t>
      </w:r>
    </w:p>
    <w:p>
      <w:pPr>
        <w:jc w:val="center"/>
        <w:ind w:right="8839"/>
        <w:spacing w:after="0" w:line="237" w:lineRule="auto"/>
        <w:rPr>
          <w:sz w:val="20"/>
          <w:szCs w:val="20"/>
          <w:color w:val="auto"/>
        </w:rPr>
      </w:pPr>
      <w:r>
        <w:rPr>
          <w:rFonts w:ascii="Courier New" w:cs="Courier New" w:eastAsia="Courier New" w:hAnsi="Courier New"/>
          <w:sz w:val="18"/>
          <w:szCs w:val="18"/>
          <w:color w:val="auto"/>
        </w:rPr>
        <w:t>Floor New</w:t>
      </w:r>
    </w:p>
    <w:p>
      <w:pPr>
        <w:jc w:val="center"/>
        <w:ind w:right="8839"/>
        <w:spacing w:after="0"/>
        <w:rPr>
          <w:sz w:val="20"/>
          <w:szCs w:val="20"/>
          <w:color w:val="auto"/>
        </w:rPr>
      </w:pPr>
      <w:r>
        <w:rPr>
          <w:rFonts w:ascii="Courier New" w:cs="Courier New" w:eastAsia="Courier New" w:hAnsi="Courier New"/>
          <w:sz w:val="18"/>
          <w:szCs w:val="18"/>
          <w:color w:val="auto"/>
        </w:rPr>
        <w:t>York, 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10017-3144</w:t>
      </w:r>
    </w:p>
    <w:p>
      <w:pPr>
        <w:jc w:val="center"/>
        <w:ind w:right="8839"/>
        <w:spacing w:after="0" w:line="238" w:lineRule="auto"/>
        <w:rPr>
          <w:sz w:val="20"/>
          <w:szCs w:val="20"/>
          <w:color w:val="auto"/>
        </w:rPr>
      </w:pPr>
      <w:r>
        <w:rPr>
          <w:rFonts w:ascii="Courier New" w:cs="Courier New" w:eastAsia="Courier New" w:hAnsi="Courier New"/>
          <w:sz w:val="18"/>
          <w:szCs w:val="18"/>
          <w:color w:val="auto"/>
        </w:rPr>
        <w:t>KD Offshore</w:t>
      </w:r>
    </w:p>
    <w:p>
      <w:pPr>
        <w:jc w:val="center"/>
        <w:ind w:right="8839"/>
        <w:spacing w:after="0"/>
        <w:rPr>
          <w:sz w:val="20"/>
          <w:szCs w:val="20"/>
          <w:color w:val="auto"/>
        </w:rPr>
      </w:pPr>
      <w:r>
        <w:rPr>
          <w:rFonts w:ascii="Courier New" w:cs="Courier New" w:eastAsia="Courier New" w:hAnsi="Courier New"/>
          <w:sz w:val="18"/>
          <w:szCs w:val="18"/>
          <w:color w:val="auto"/>
        </w:rPr>
        <w:t>Fund CV</w:t>
      </w:r>
    </w:p>
    <w:p>
      <w:pPr>
        <w:jc w:val="center"/>
        <w:ind w:right="8839"/>
        <w:spacing w:after="0" w:line="237" w:lineRule="auto"/>
        <w:rPr>
          <w:sz w:val="20"/>
          <w:szCs w:val="20"/>
          <w:color w:val="auto"/>
        </w:rPr>
      </w:pPr>
      <w:r>
        <w:rPr>
          <w:rFonts w:ascii="Courier New" w:cs="Courier New" w:eastAsia="Courier New" w:hAnsi="Courier New"/>
          <w:sz w:val="18"/>
          <w:szCs w:val="18"/>
          <w:color w:val="auto"/>
        </w:rPr>
        <w:t>500,000</w:t>
      </w:r>
    </w:p>
    <w:p>
      <w:pPr>
        <w:jc w:val="center"/>
        <w:ind w:right="8839"/>
        <w:spacing w:after="0"/>
        <w:rPr>
          <w:sz w:val="20"/>
          <w:szCs w:val="20"/>
          <w:color w:val="auto"/>
        </w:rPr>
      </w:pPr>
      <w:r>
        <w:rPr>
          <w:rFonts w:ascii="Courier New" w:cs="Courier New" w:eastAsia="Courier New" w:hAnsi="Courier New"/>
          <w:sz w:val="18"/>
          <w:szCs w:val="18"/>
          <w:color w:val="auto"/>
        </w:rPr>
        <w:t>5,429 5,429</w:t>
      </w:r>
    </w:p>
    <w:p>
      <w:pPr>
        <w:jc w:val="center"/>
        <w:ind w:right="8839"/>
        <w:spacing w:after="0" w:line="237" w:lineRule="auto"/>
        <w:rPr>
          <w:sz w:val="20"/>
          <w:szCs w:val="20"/>
          <w:color w:val="auto"/>
        </w:rPr>
      </w:pPr>
      <w:r>
        <w:rPr>
          <w:rFonts w:ascii="Courier New" w:cs="Courier New" w:eastAsia="Courier New" w:hAnsi="Courier New"/>
          <w:sz w:val="18"/>
          <w:szCs w:val="18"/>
          <w:color w:val="auto"/>
        </w:rPr>
        <w:t>0 * c/o</w:t>
      </w:r>
    </w:p>
    <w:p>
      <w:pPr>
        <w:jc w:val="center"/>
        <w:ind w:right="8839"/>
        <w:spacing w:after="0"/>
        <w:rPr>
          <w:sz w:val="20"/>
          <w:szCs w:val="20"/>
          <w:color w:val="auto"/>
        </w:rPr>
      </w:pPr>
      <w:r>
        <w:rPr>
          <w:rFonts w:ascii="Courier New" w:cs="Courier New" w:eastAsia="Courier New" w:hAnsi="Courier New"/>
          <w:sz w:val="18"/>
          <w:szCs w:val="18"/>
          <w:color w:val="auto"/>
        </w:rPr>
        <w:t>Kellner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DiLeo &amp; Co.</w:t>
      </w:r>
    </w:p>
    <w:p>
      <w:pPr>
        <w:ind w:left="640" w:hanging="424"/>
        <w:spacing w:after="0" w:line="238" w:lineRule="auto"/>
        <w:tabs>
          <w:tab w:leader="none" w:pos="6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Avenue Suite</w:t>
      </w:r>
    </w:p>
    <w:p>
      <w:pPr>
        <w:spacing w:after="0" w:line="4" w:lineRule="exact"/>
        <w:rPr>
          <w:rFonts w:ascii="Courier New" w:cs="Courier New" w:eastAsia="Courier New" w:hAnsi="Courier New"/>
          <w:sz w:val="18"/>
          <w:szCs w:val="18"/>
          <w:color w:val="auto"/>
        </w:rPr>
      </w:pPr>
    </w:p>
    <w:p>
      <w:pPr>
        <w:jc w:val="center"/>
        <w:ind w:right="8839" w:firstLine="261"/>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1000 New York, NY 10022 Kellner, DiLeo &amp; Co. 500,000 5,429 5,429 0 * 900 Third Avenue Suite 1000 New York, NY 10022 Kentfield Trading, Ltd. 15,018,000 163,075 163,075 0 * 101 Glacier Point Road Suite D San Rafael, CA 94901 Lakeshore International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3"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LTD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21,717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21,717 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Carlson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Parkway</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Suite 200</w:t>
      </w:r>
    </w:p>
    <w:p>
      <w:pPr>
        <w:spacing w:after="0" w:line="4" w:lineRule="exact"/>
        <w:rPr>
          <w:rFonts w:ascii="Courier New" w:cs="Courier New" w:eastAsia="Courier New" w:hAnsi="Courier New"/>
          <w:sz w:val="18"/>
          <w:szCs w:val="18"/>
          <w:color w:val="auto"/>
        </w:rPr>
      </w:pPr>
    </w:p>
    <w:p>
      <w:pPr>
        <w:jc w:val="center"/>
        <w:ind w:left="60" w:right="8899" w:firstLine="5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Minnetonka, MN 55305 LDG Limited 500,000 5,429 5,429 0 * 48 Par-La-Ville Road Suite 780 Hamilton, HM 11 Bermuda</w:t>
      </w:r>
    </w:p>
    <w:p>
      <w:pPr>
        <w:sectPr>
          <w:pgSz w:w="11900" w:h="16838" w:orient="portrait"/>
          <w:cols w:equalWidth="0" w:num="1">
            <w:col w:w="10219"/>
          </w:cols>
          <w:pgMar w:left="240" w:top="136" w:right="1440" w:bottom="514" w:gutter="0" w:footer="0" w:header="0"/>
        </w:sectPr>
      </w:pPr>
    </w:p>
    <w:bookmarkStart w:id="60" w:name="page61"/>
    <w:bookmarkEnd w:id="60"/>
    <w:p>
      <w:pPr>
        <w:ind w:left="3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9019"/>
          </w:cols>
          <w:pgMar w:left="1440" w:top="136"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 NAME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ADDRESS</w:t>
      </w:r>
    </w:p>
    <w:p>
      <w:pPr>
        <w:jc w:val="center"/>
        <w:ind w:right="8959"/>
        <w:spacing w:after="0"/>
        <w:rPr>
          <w:sz w:val="20"/>
          <w:szCs w:val="20"/>
          <w:color w:val="auto"/>
        </w:rPr>
      </w:pPr>
      <w:r>
        <w:rPr>
          <w:rFonts w:ascii="Courier New" w:cs="Courier New" w:eastAsia="Courier New" w:hAnsi="Courier New"/>
          <w:sz w:val="18"/>
          <w:szCs w:val="18"/>
          <w:color w:val="auto"/>
        </w:rPr>
        <w:t>OFFERED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LibertyView Fund LLC $ 500,000 5,429 5,429 0 * c/o LibertyView Capital 101 Hudson Street Suite 3700 Jersey City, NJ 07302 LibertyView Funds L.P. 2,000,000 21,717 21,717 0 * c/o LibertyView Capital 101 Hudson Street Suite 3700 Jersey City, NJ 07302 LibertyView Global Volatility Fund 1,500,000 16,288 16,288 0 * L.P. c/o LibertyView Capital 101 Hudson Street Suite 3700 Jersey City, NJ 07302 MFS Total Return Fund 5,000,000 54,293</w:t>
      </w:r>
    </w:p>
    <w:p>
      <w:pPr>
        <w:sectPr>
          <w:pgSz w:w="11900" w:h="16838" w:orient="portrait"/>
          <w:cols w:equalWidth="0" w:num="1">
            <w:col w:w="10219"/>
          </w:cols>
          <w:pgMar w:left="240" w:top="312" w:right="1440" w:bottom="365" w:gutter="0" w:footer="0" w:header="0"/>
        </w:sectPr>
      </w:pPr>
    </w:p>
    <w:bookmarkStart w:id="62" w:name="page63"/>
    <w:bookmarkEnd w:id="62"/>
    <w:p>
      <w:pPr>
        <w:jc w:val="center"/>
        <w:ind w:right="8999"/>
        <w:spacing w:after="0"/>
        <w:rPr>
          <w:sz w:val="20"/>
          <w:szCs w:val="20"/>
          <w:color w:val="auto"/>
        </w:rPr>
      </w:pPr>
      <w:r>
        <w:rPr>
          <w:rFonts w:ascii="Courier New" w:cs="Courier New" w:eastAsia="Courier New" w:hAnsi="Courier New"/>
          <w:sz w:val="18"/>
          <w:szCs w:val="18"/>
          <w:color w:val="auto"/>
        </w:rPr>
        <w:t>54,293 0 *</w:t>
      </w:r>
    </w:p>
    <w:p>
      <w:pPr>
        <w:jc w:val="center"/>
        <w:ind w:right="8999"/>
        <w:spacing w:after="0" w:line="238" w:lineRule="auto"/>
        <w:rPr>
          <w:sz w:val="20"/>
          <w:szCs w:val="20"/>
          <w:color w:val="auto"/>
        </w:rPr>
      </w:pPr>
      <w:r>
        <w:rPr>
          <w:rFonts w:ascii="Courier New" w:cs="Courier New" w:eastAsia="Courier New" w:hAnsi="Courier New"/>
          <w:sz w:val="18"/>
          <w:szCs w:val="18"/>
          <w:color w:val="auto"/>
        </w:rPr>
        <w:t>c/o MFS</w:t>
      </w:r>
    </w:p>
    <w:p>
      <w:pPr>
        <w:jc w:val="center"/>
        <w:ind w:right="8999"/>
        <w:spacing w:after="0"/>
        <w:rPr>
          <w:sz w:val="20"/>
          <w:szCs w:val="20"/>
          <w:color w:val="auto"/>
        </w:rPr>
      </w:pPr>
      <w:r>
        <w:rPr>
          <w:rFonts w:ascii="Courier New" w:cs="Courier New" w:eastAsia="Courier New" w:hAnsi="Courier New"/>
          <w:sz w:val="18"/>
          <w:szCs w:val="18"/>
          <w:color w:val="auto"/>
        </w:rPr>
        <w:t>Investment</w:t>
      </w:r>
    </w:p>
    <w:p>
      <w:pPr>
        <w:jc w:val="center"/>
        <w:ind w:right="899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999"/>
        <w:spacing w:after="0" w:line="238" w:lineRule="auto"/>
        <w:rPr>
          <w:sz w:val="20"/>
          <w:szCs w:val="20"/>
          <w:color w:val="auto"/>
        </w:rPr>
      </w:pPr>
      <w:r>
        <w:rPr>
          <w:rFonts w:ascii="Courier New" w:cs="Courier New" w:eastAsia="Courier New" w:hAnsi="Courier New"/>
          <w:sz w:val="18"/>
          <w:szCs w:val="18"/>
          <w:color w:val="auto"/>
        </w:rPr>
        <w:t>600</w:t>
      </w:r>
    </w:p>
    <w:p>
      <w:pPr>
        <w:jc w:val="center"/>
        <w:ind w:right="8999"/>
        <w:spacing w:after="0"/>
        <w:rPr>
          <w:sz w:val="20"/>
          <w:szCs w:val="20"/>
          <w:color w:val="auto"/>
        </w:rPr>
      </w:pPr>
      <w:r>
        <w:rPr>
          <w:rFonts w:ascii="Courier New" w:cs="Courier New" w:eastAsia="Courier New" w:hAnsi="Courier New"/>
          <w:sz w:val="18"/>
          <w:szCs w:val="18"/>
          <w:color w:val="auto"/>
        </w:rPr>
        <w:t>Boylston</w:t>
      </w:r>
    </w:p>
    <w:p>
      <w:pPr>
        <w:jc w:val="center"/>
        <w:ind w:right="8999"/>
        <w:spacing w:after="0" w:line="237" w:lineRule="auto"/>
        <w:rPr>
          <w:sz w:val="20"/>
          <w:szCs w:val="20"/>
          <w:color w:val="auto"/>
        </w:rPr>
      </w:pPr>
      <w:r>
        <w:rPr>
          <w:rFonts w:ascii="Courier New" w:cs="Courier New" w:eastAsia="Courier New" w:hAnsi="Courier New"/>
          <w:sz w:val="18"/>
          <w:szCs w:val="18"/>
          <w:color w:val="auto"/>
        </w:rPr>
        <w:t>Street</w:t>
      </w:r>
    </w:p>
    <w:p>
      <w:pPr>
        <w:jc w:val="center"/>
        <w:ind w:right="8999"/>
        <w:spacing w:after="0"/>
        <w:rPr>
          <w:sz w:val="20"/>
          <w:szCs w:val="20"/>
          <w:color w:val="auto"/>
        </w:rPr>
      </w:pPr>
      <w:r>
        <w:rPr>
          <w:rFonts w:ascii="Courier New" w:cs="Courier New" w:eastAsia="Courier New" w:hAnsi="Courier New"/>
          <w:sz w:val="18"/>
          <w:szCs w:val="18"/>
          <w:color w:val="auto"/>
        </w:rPr>
        <w:t>Boston, MA</w:t>
      </w:r>
    </w:p>
    <w:p>
      <w:pPr>
        <w:jc w:val="center"/>
        <w:ind w:right="8999"/>
        <w:spacing w:after="0" w:line="237" w:lineRule="auto"/>
        <w:rPr>
          <w:sz w:val="20"/>
          <w:szCs w:val="20"/>
          <w:color w:val="auto"/>
        </w:rPr>
      </w:pPr>
      <w:r>
        <w:rPr>
          <w:rFonts w:ascii="Courier New" w:cs="Courier New" w:eastAsia="Courier New" w:hAnsi="Courier New"/>
          <w:sz w:val="18"/>
          <w:szCs w:val="18"/>
          <w:color w:val="auto"/>
        </w:rPr>
        <w:t>02116</w:t>
      </w:r>
    </w:p>
    <w:p>
      <w:pPr>
        <w:jc w:val="center"/>
        <w:ind w:right="8999"/>
        <w:spacing w:after="0"/>
        <w:rPr>
          <w:sz w:val="20"/>
          <w:szCs w:val="20"/>
          <w:color w:val="auto"/>
        </w:rPr>
      </w:pPr>
      <w:r>
        <w:rPr>
          <w:rFonts w:ascii="Courier New" w:cs="Courier New" w:eastAsia="Courier New" w:hAnsi="Courier New"/>
          <w:sz w:val="18"/>
          <w:szCs w:val="18"/>
          <w:color w:val="auto"/>
        </w:rPr>
        <w:t>Morgan</w:t>
      </w:r>
    </w:p>
    <w:p>
      <w:pPr>
        <w:jc w:val="center"/>
        <w:ind w:right="8999"/>
        <w:spacing w:after="0" w:line="237" w:lineRule="auto"/>
        <w:rPr>
          <w:sz w:val="20"/>
          <w:szCs w:val="20"/>
          <w:color w:val="auto"/>
        </w:rPr>
      </w:pPr>
      <w:r>
        <w:rPr>
          <w:rFonts w:ascii="Courier New" w:cs="Courier New" w:eastAsia="Courier New" w:hAnsi="Courier New"/>
          <w:sz w:val="18"/>
          <w:szCs w:val="18"/>
          <w:color w:val="auto"/>
        </w:rPr>
        <w:t>Stanley &amp;</w:t>
      </w:r>
    </w:p>
    <w:p>
      <w:pPr>
        <w:jc w:val="center"/>
        <w:ind w:right="8999"/>
        <w:spacing w:after="0" w:line="238" w:lineRule="auto"/>
        <w:rPr>
          <w:sz w:val="20"/>
          <w:szCs w:val="20"/>
          <w:color w:val="auto"/>
        </w:rPr>
      </w:pPr>
      <w:r>
        <w:rPr>
          <w:rFonts w:ascii="Courier New" w:cs="Courier New" w:eastAsia="Courier New" w:hAnsi="Courier New"/>
          <w:sz w:val="18"/>
          <w:szCs w:val="18"/>
          <w:color w:val="auto"/>
        </w:rPr>
        <w:t>Co.</w:t>
      </w:r>
    </w:p>
    <w:p>
      <w:pPr>
        <w:jc w:val="center"/>
        <w:ind w:right="8999"/>
        <w:spacing w:after="0"/>
        <w:rPr>
          <w:sz w:val="20"/>
          <w:szCs w:val="20"/>
          <w:color w:val="auto"/>
        </w:rPr>
      </w:pPr>
      <w:r>
        <w:rPr>
          <w:rFonts w:ascii="Courier New" w:cs="Courier New" w:eastAsia="Courier New" w:hAnsi="Courier New"/>
          <w:sz w:val="18"/>
          <w:szCs w:val="18"/>
          <w:color w:val="auto"/>
        </w:rPr>
        <w:t>10,000,000</w:t>
      </w:r>
    </w:p>
    <w:p>
      <w:pPr>
        <w:jc w:val="center"/>
        <w:ind w:right="8999"/>
        <w:spacing w:after="0" w:line="237" w:lineRule="auto"/>
        <w:rPr>
          <w:sz w:val="20"/>
          <w:szCs w:val="20"/>
          <w:color w:val="auto"/>
        </w:rPr>
      </w:pPr>
      <w:r>
        <w:rPr>
          <w:rFonts w:ascii="Courier New" w:cs="Courier New" w:eastAsia="Courier New" w:hAnsi="Courier New"/>
          <w:sz w:val="18"/>
          <w:szCs w:val="18"/>
          <w:color w:val="auto"/>
        </w:rPr>
        <w:t>108,587</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108,587 0 *</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1585</w:t>
      </w:r>
    </w:p>
    <w:p>
      <w:pPr>
        <w:jc w:val="center"/>
        <w:ind w:right="8999"/>
        <w:spacing w:after="0" w:line="238" w:lineRule="auto"/>
        <w:rPr>
          <w:sz w:val="20"/>
          <w:szCs w:val="20"/>
          <w:color w:val="auto"/>
        </w:rPr>
      </w:pPr>
      <w:r>
        <w:rPr>
          <w:rFonts w:ascii="Courier New" w:cs="Courier New" w:eastAsia="Courier New" w:hAnsi="Courier New"/>
          <w:sz w:val="18"/>
          <w:szCs w:val="18"/>
          <w:color w:val="auto"/>
        </w:rPr>
        <w:t>Broadway</w:t>
      </w:r>
    </w:p>
    <w:p>
      <w:pPr>
        <w:jc w:val="center"/>
        <w:ind w:right="8999"/>
        <w:spacing w:after="0"/>
        <w:rPr>
          <w:sz w:val="20"/>
          <w:szCs w:val="20"/>
          <w:color w:val="auto"/>
        </w:rPr>
      </w:pPr>
      <w:r>
        <w:rPr>
          <w:rFonts w:ascii="Courier New" w:cs="Courier New" w:eastAsia="Courier New" w:hAnsi="Courier New"/>
          <w:sz w:val="18"/>
          <w:szCs w:val="18"/>
          <w:color w:val="auto"/>
        </w:rPr>
        <w:t>New York,</w:t>
      </w:r>
    </w:p>
    <w:p>
      <w:pPr>
        <w:jc w:val="center"/>
        <w:ind w:right="8999"/>
        <w:spacing w:after="0" w:line="237" w:lineRule="auto"/>
        <w:rPr>
          <w:sz w:val="20"/>
          <w:szCs w:val="20"/>
          <w:color w:val="auto"/>
        </w:rPr>
      </w:pPr>
      <w:r>
        <w:rPr>
          <w:rFonts w:ascii="Courier New" w:cs="Courier New" w:eastAsia="Courier New" w:hAnsi="Courier New"/>
          <w:sz w:val="18"/>
          <w:szCs w:val="18"/>
          <w:color w:val="auto"/>
        </w:rPr>
        <w:t>NY 10036</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Ondeo Nalco</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150,000</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1,628 1,628</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0 * c/o</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Froley Revy</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Investment</w:t>
      </w:r>
    </w:p>
    <w:p>
      <w:pPr>
        <w:jc w:val="center"/>
        <w:ind w:right="899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99"/>
        <w:spacing w:after="0"/>
        <w:rPr>
          <w:sz w:val="20"/>
          <w:szCs w:val="20"/>
          <w:color w:val="auto"/>
        </w:rPr>
      </w:pPr>
      <w:r>
        <w:rPr>
          <w:rFonts w:ascii="Courier New" w:cs="Courier New" w:eastAsia="Courier New" w:hAnsi="Courier New"/>
          <w:sz w:val="18"/>
          <w:szCs w:val="18"/>
          <w:color w:val="auto"/>
        </w:rPr>
        <w:t>Inc. 10900</w:t>
      </w:r>
    </w:p>
    <w:p>
      <w:pPr>
        <w:jc w:val="center"/>
        <w:ind w:right="8999"/>
        <w:spacing w:after="0" w:line="237" w:lineRule="auto"/>
        <w:rPr>
          <w:sz w:val="20"/>
          <w:szCs w:val="20"/>
          <w:color w:val="auto"/>
        </w:rPr>
      </w:pPr>
      <w:r>
        <w:rPr>
          <w:rFonts w:ascii="Courier New" w:cs="Courier New" w:eastAsia="Courier New" w:hAnsi="Courier New"/>
          <w:sz w:val="18"/>
          <w:szCs w:val="18"/>
          <w:color w:val="auto"/>
        </w:rPr>
        <w:t>Wilshire</w:t>
      </w:r>
    </w:p>
    <w:p>
      <w:pPr>
        <w:jc w:val="center"/>
        <w:ind w:right="8999"/>
        <w:spacing w:after="0" w:line="238" w:lineRule="auto"/>
        <w:rPr>
          <w:sz w:val="20"/>
          <w:szCs w:val="20"/>
          <w:color w:val="auto"/>
        </w:rPr>
      </w:pPr>
      <w:r>
        <w:rPr>
          <w:rFonts w:ascii="Courier New" w:cs="Courier New" w:eastAsia="Courier New" w:hAnsi="Courier New"/>
          <w:sz w:val="18"/>
          <w:szCs w:val="18"/>
          <w:color w:val="auto"/>
        </w:rPr>
        <w:t>Blvd. Ste</w:t>
      </w:r>
    </w:p>
    <w:p>
      <w:pPr>
        <w:ind w:left="620" w:hanging="413"/>
        <w:spacing w:after="0"/>
        <w:tabs>
          <w:tab w:leader="none" w:pos="6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Angeles, CA</w:t>
      </w:r>
    </w:p>
    <w:p>
      <w:pPr>
        <w:spacing w:after="0" w:line="16"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90024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Paloma</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L.L.C.</w:t>
      </w:r>
    </w:p>
    <w:p>
      <w:pPr>
        <w:ind w:left="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15,000,000</w:t>
      </w: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162,880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162,880 0 *</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Two</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w:t>
      </w:r>
    </w:p>
    <w:p>
      <w:pPr>
        <w:ind w:left="3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Lane</w:t>
      </w:r>
    </w:p>
    <w:p>
      <w:pPr>
        <w:spacing w:after="0" w:line="4" w:lineRule="exact"/>
        <w:rPr>
          <w:rFonts w:ascii="Courier New" w:cs="Courier New" w:eastAsia="Courier New" w:hAnsi="Courier New"/>
          <w:sz w:val="18"/>
          <w:szCs w:val="18"/>
          <w:color w:val="auto"/>
        </w:rPr>
      </w:pPr>
    </w:p>
    <w:p>
      <w:pPr>
        <w:jc w:val="center"/>
        <w:ind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Greenwich, CT 06836-2571 RCG Latitude Master Fund 2,000,000 21,717 21,717 0 * 666 Third Avenue 26th Floor New York, NY 10019 SG Cowen Securities Corp. 10,500,000 114,016 114,016 0 * Financial Square New York, NY 10005 St. Albans Partner Ltd. 2,500,000 27,146 27,146 0 * c/o Camden Asset Management, LP 2049 Century Park East, Suite 330 Los Angeles, CA 90067 Starvest</w:t>
      </w:r>
    </w:p>
    <w:p>
      <w:pPr>
        <w:sectPr>
          <w:pgSz w:w="11900" w:h="16838" w:orient="portrait"/>
          <w:cols w:equalWidth="0" w:num="1">
            <w:col w:w="10159"/>
          </w:cols>
          <w:pgMar w:left="300" w:top="136" w:right="1440" w:bottom="135" w:gutter="0" w:footer="0" w:header="0"/>
        </w:sectPr>
      </w:pPr>
    </w:p>
    <w:bookmarkStart w:id="63" w:name="page64"/>
    <w:bookmarkEnd w:id="63"/>
    <w:p>
      <w:pPr>
        <w:jc w:val="center"/>
        <w:ind w:right="8999"/>
        <w:spacing w:after="0"/>
        <w:rPr>
          <w:sz w:val="20"/>
          <w:szCs w:val="20"/>
          <w:color w:val="auto"/>
        </w:rPr>
      </w:pPr>
      <w:r>
        <w:rPr>
          <w:rFonts w:ascii="Courier New" w:cs="Courier New" w:eastAsia="Courier New" w:hAnsi="Courier New"/>
          <w:sz w:val="18"/>
          <w:szCs w:val="18"/>
          <w:color w:val="auto"/>
        </w:rPr>
        <w:t>Combined</w:t>
      </w:r>
    </w:p>
    <w:p>
      <w:pPr>
        <w:jc w:val="center"/>
        <w:ind w:right="8999"/>
        <w:spacing w:after="0" w:line="238" w:lineRule="auto"/>
        <w:rPr>
          <w:sz w:val="20"/>
          <w:szCs w:val="20"/>
          <w:color w:val="auto"/>
        </w:rPr>
      </w:pPr>
      <w:r>
        <w:rPr>
          <w:rFonts w:ascii="Courier New" w:cs="Courier New" w:eastAsia="Courier New" w:hAnsi="Courier New"/>
          <w:sz w:val="18"/>
          <w:szCs w:val="18"/>
          <w:color w:val="auto"/>
        </w:rPr>
        <w:t>Portfolio</w:t>
      </w:r>
    </w:p>
    <w:p>
      <w:pPr>
        <w:jc w:val="center"/>
        <w:ind w:right="8999"/>
        <w:spacing w:after="0"/>
        <w:rPr>
          <w:sz w:val="20"/>
          <w:szCs w:val="20"/>
          <w:color w:val="auto"/>
        </w:rPr>
      </w:pPr>
      <w:r>
        <w:rPr>
          <w:rFonts w:ascii="Courier New" w:cs="Courier New" w:eastAsia="Courier New" w:hAnsi="Courier New"/>
          <w:sz w:val="18"/>
          <w:szCs w:val="18"/>
          <w:color w:val="auto"/>
        </w:rPr>
        <w:t>600,000</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6,515 6,515</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0 * c/o</w:t>
      </w:r>
    </w:p>
    <w:p>
      <w:pPr>
        <w:spacing w:after="0" w:line="238" w:lineRule="auto"/>
        <w:rPr>
          <w:sz w:val="20"/>
          <w:szCs w:val="20"/>
          <w:color w:val="auto"/>
        </w:rPr>
      </w:pPr>
      <w:r>
        <w:rPr>
          <w:rFonts w:ascii="Courier New" w:cs="Courier New" w:eastAsia="Courier New" w:hAnsi="Courier New"/>
          <w:sz w:val="18"/>
          <w:szCs w:val="18"/>
          <w:color w:val="auto"/>
        </w:rPr>
        <w:t>Froley Revy</w:t>
      </w:r>
    </w:p>
    <w:p>
      <w:pPr>
        <w:ind w:left="40"/>
        <w:spacing w:after="0"/>
        <w:rPr>
          <w:sz w:val="20"/>
          <w:szCs w:val="20"/>
          <w:color w:val="auto"/>
        </w:rPr>
      </w:pPr>
      <w:r>
        <w:rPr>
          <w:rFonts w:ascii="Courier New" w:cs="Courier New" w:eastAsia="Courier New" w:hAnsi="Courier New"/>
          <w:sz w:val="18"/>
          <w:szCs w:val="18"/>
          <w:color w:val="auto"/>
        </w:rPr>
        <w:t>Investment</w:t>
      </w:r>
    </w:p>
    <w:p>
      <w:pPr>
        <w:ind w:left="160"/>
        <w:spacing w:after="0" w:line="237" w:lineRule="auto"/>
        <w:rPr>
          <w:sz w:val="20"/>
          <w:szCs w:val="20"/>
          <w:color w:val="auto"/>
        </w:rPr>
      </w:pPr>
      <w:r>
        <w:rPr>
          <w:rFonts w:ascii="Courier New" w:cs="Courier New" w:eastAsia="Courier New" w:hAnsi="Courier New"/>
          <w:sz w:val="18"/>
          <w:szCs w:val="18"/>
          <w:color w:val="auto"/>
        </w:rPr>
        <w:t>Company,</w:t>
      </w:r>
    </w:p>
    <w:p>
      <w:pPr>
        <w:ind w:left="40"/>
        <w:spacing w:after="0" w:line="238" w:lineRule="auto"/>
        <w:rPr>
          <w:sz w:val="20"/>
          <w:szCs w:val="20"/>
          <w:color w:val="auto"/>
        </w:rPr>
      </w:pPr>
      <w:r>
        <w:rPr>
          <w:rFonts w:ascii="Courier New" w:cs="Courier New" w:eastAsia="Courier New" w:hAnsi="Courier New"/>
          <w:sz w:val="18"/>
          <w:szCs w:val="18"/>
          <w:color w:val="auto"/>
        </w:rPr>
        <w:t>Inc. 10900</w:t>
      </w:r>
    </w:p>
    <w:p>
      <w:pPr>
        <w:ind w:left="160"/>
        <w:spacing w:after="0"/>
        <w:rPr>
          <w:sz w:val="20"/>
          <w:szCs w:val="20"/>
          <w:color w:val="auto"/>
        </w:rPr>
      </w:pPr>
      <w:r>
        <w:rPr>
          <w:rFonts w:ascii="Courier New" w:cs="Courier New" w:eastAsia="Courier New" w:hAnsi="Courier New"/>
          <w:sz w:val="18"/>
          <w:szCs w:val="18"/>
          <w:color w:val="auto"/>
        </w:rPr>
        <w:t>Wilshire</w:t>
      </w:r>
    </w:p>
    <w:p>
      <w:pPr>
        <w:ind w:left="100"/>
        <w:spacing w:after="0" w:line="237" w:lineRule="auto"/>
        <w:rPr>
          <w:sz w:val="20"/>
          <w:szCs w:val="20"/>
          <w:color w:val="auto"/>
        </w:rPr>
      </w:pPr>
      <w:r>
        <w:rPr>
          <w:rFonts w:ascii="Courier New" w:cs="Courier New" w:eastAsia="Courier New" w:hAnsi="Courier New"/>
          <w:sz w:val="18"/>
          <w:szCs w:val="18"/>
          <w:color w:val="auto"/>
        </w:rPr>
        <w:t>Blvd. Ste</w:t>
      </w:r>
    </w:p>
    <w:p>
      <w:pPr>
        <w:ind w:left="620" w:hanging="413"/>
        <w:spacing w:after="0"/>
        <w:tabs>
          <w:tab w:leader="none" w:pos="6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Angeles, CA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90024</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159"/>
          </w:cols>
          <w:pgMar w:left="300" w:top="136"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OFFERED</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OFFERING</w:t>
      </w:r>
    </w:p>
    <w:p>
      <w:pPr>
        <w:jc w:val="center"/>
        <w:ind w:right="8959"/>
        <w:spacing w:after="0"/>
        <w:rPr>
          <w:sz w:val="20"/>
          <w:szCs w:val="20"/>
          <w:color w:val="auto"/>
        </w:rPr>
      </w:pPr>
      <w:r>
        <w:rPr>
          <w:rFonts w:ascii="Courier New" w:cs="Courier New" w:eastAsia="Courier New" w:hAnsi="Courier New"/>
          <w:sz w:val="18"/>
          <w:szCs w:val="18"/>
          <w:color w:val="auto"/>
        </w:rPr>
        <w:t>OFFERED(1)</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w:t>
      </w:r>
    </w:p>
    <w:p>
      <w:pPr>
        <w:jc w:val="center"/>
        <w:ind w:right="8959"/>
        <w:spacing w:after="0"/>
        <w:rPr>
          <w:sz w:val="20"/>
          <w:szCs w:val="20"/>
          <w:color w:val="auto"/>
        </w:rPr>
      </w:pPr>
      <w:r>
        <w:rPr>
          <w:rFonts w:ascii="Courier New" w:cs="Courier New" w:eastAsia="Courier New" w:hAnsi="Courier New"/>
          <w:sz w:val="18"/>
          <w:szCs w:val="18"/>
          <w:color w:val="auto"/>
        </w:rPr>
        <w:t>PERCENT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Starvest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80" w:hanging="413"/>
        <w:spacing w:after="0"/>
        <w:tabs>
          <w:tab w:leader="none" w:pos="6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w:t>
      </w:r>
    </w:p>
    <w:p>
      <w:pPr>
        <w:spacing w:after="0" w:line="4" w:lineRule="exact"/>
        <w:rPr>
          <w:rFonts w:ascii="Courier New" w:cs="Courier New" w:eastAsia="Courier New" w:hAnsi="Courier New"/>
          <w:sz w:val="18"/>
          <w:szCs w:val="18"/>
          <w:color w:val="auto"/>
        </w:rPr>
      </w:pPr>
    </w:p>
    <w:p>
      <w:pPr>
        <w:jc w:val="both"/>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Angeles, CA 90024 State of Oregon -</w:t>
      </w:r>
    </w:p>
    <w:p>
      <w:pPr>
        <w:jc w:val="both"/>
        <w:ind w:left="160" w:right="9099" w:firstLine="55"/>
        <w:spacing w:after="0" w:line="268" w:lineRule="auto"/>
        <w:tabs>
          <w:tab w:leader="none" w:pos="42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5,500,000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59,722</w:t>
      </w:r>
    </w:p>
    <w:p>
      <w:pPr>
        <w:spacing w:after="0" w:line="4" w:lineRule="exact"/>
        <w:rPr>
          <w:rFonts w:ascii="Courier New" w:cs="Courier New" w:eastAsia="Courier New" w:hAnsi="Courier New"/>
          <w:sz w:val="16"/>
          <w:szCs w:val="16"/>
          <w:color w:val="auto"/>
        </w:rPr>
      </w:pPr>
    </w:p>
    <w:p>
      <w:pPr>
        <w:jc w:val="center"/>
        <w:ind w:left="10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59,722 0 * c/o Froley Revy Investment Company, Inc. 10900 Wilshire Blvd. Ste</w:t>
      </w:r>
    </w:p>
    <w:p>
      <w:pPr>
        <w:ind w:left="680" w:hanging="413"/>
        <w:spacing w:after="0" w:line="238" w:lineRule="auto"/>
        <w:tabs>
          <w:tab w:leader="none" w:pos="6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Angeles, CA</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90024 TD</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Securities (USA) Inc. 38,500,000 418,059 418,059 0 *</w:t>
      </w:r>
    </w:p>
    <w:p>
      <w:pPr>
        <w:ind w:left="580" w:hanging="313"/>
        <w:spacing w:after="0" w:line="238" w:lineRule="auto"/>
        <w:tabs>
          <w:tab w:leader="none" w:pos="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West</w:t>
      </w:r>
    </w:p>
    <w:p>
      <w:pPr>
        <w:spacing w:after="0" w:line="4" w:lineRule="exact"/>
        <w:rPr>
          <w:rFonts w:ascii="Courier New" w:cs="Courier New" w:eastAsia="Courier New" w:hAnsi="Courier New"/>
          <w:sz w:val="18"/>
          <w:szCs w:val="18"/>
          <w:color w:val="auto"/>
        </w:rPr>
      </w:pPr>
    </w:p>
    <w:p>
      <w:pPr>
        <w:jc w:val="center"/>
        <w:ind w:left="60" w:right="8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52nd Street 21st Floor New York, NY 10019 Total Return Portfolio, a series of 1,725,000 18,731 18,731 0 * Growth and</w:t>
      </w:r>
    </w:p>
    <w:p>
      <w:pPr>
        <w:sectPr>
          <w:pgSz w:w="11900" w:h="16838" w:orient="portrait"/>
          <w:cols w:equalWidth="0" w:num="1">
            <w:col w:w="10219"/>
          </w:cols>
          <w:pgMar w:left="240" w:top="312" w:right="1440" w:bottom="0" w:gutter="0" w:footer="0" w:header="0"/>
        </w:sectPr>
      </w:pPr>
    </w:p>
    <w:bookmarkStart w:id="65" w:name="page66"/>
    <w:bookmarkEnd w:id="65"/>
    <w:p>
      <w:pPr>
        <w:jc w:val="center"/>
        <w:ind w:right="8959"/>
        <w:spacing w:after="0"/>
        <w:rPr>
          <w:sz w:val="20"/>
          <w:szCs w:val="20"/>
          <w:color w:val="auto"/>
        </w:rPr>
      </w:pPr>
      <w:r>
        <w:rPr>
          <w:rFonts w:ascii="Courier New" w:cs="Courier New" w:eastAsia="Courier New" w:hAnsi="Courier New"/>
          <w:sz w:val="18"/>
          <w:szCs w:val="18"/>
          <w:color w:val="auto"/>
        </w:rPr>
        <w:t>Income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 c/o</w:t>
      </w:r>
    </w:p>
    <w:p>
      <w:pPr>
        <w:jc w:val="center"/>
        <w:ind w:right="8959"/>
        <w:spacing w:after="0"/>
        <w:rPr>
          <w:sz w:val="20"/>
          <w:szCs w:val="20"/>
          <w:color w:val="auto"/>
        </w:rPr>
      </w:pPr>
      <w:r>
        <w:rPr>
          <w:rFonts w:ascii="Courier New" w:cs="Courier New" w:eastAsia="Courier New" w:hAnsi="Courier New"/>
          <w:sz w:val="18"/>
          <w:szCs w:val="18"/>
          <w:color w:val="auto"/>
        </w:rPr>
        <w:t>American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Express</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rPr>
          <w:sz w:val="20"/>
          <w:szCs w:val="20"/>
          <w:color w:val="auto"/>
        </w:rPr>
      </w:pPr>
      <w:r>
        <w:rPr>
          <w:rFonts w:ascii="Courier New" w:cs="Courier New" w:eastAsia="Courier New" w:hAnsi="Courier New"/>
          <w:sz w:val="18"/>
          <w:szCs w:val="18"/>
          <w:color w:val="auto"/>
        </w:rPr>
        <w:t>Advisors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50592 AXP</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Center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Minneapolis,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MN 55474</w:t>
      </w:r>
    </w:p>
    <w:p>
      <w:pPr>
        <w:jc w:val="center"/>
        <w:ind w:right="8959"/>
        <w:spacing w:after="0" w:line="238" w:lineRule="auto"/>
        <w:rPr>
          <w:sz w:val="20"/>
          <w:szCs w:val="20"/>
          <w:color w:val="auto"/>
        </w:rPr>
      </w:pPr>
      <w:r>
        <w:rPr>
          <w:rFonts w:ascii="Courier New" w:cs="Courier New" w:eastAsia="Courier New" w:hAnsi="Courier New"/>
          <w:sz w:val="18"/>
          <w:szCs w:val="18"/>
          <w:color w:val="auto"/>
        </w:rPr>
        <w:t>TQA Master</w:t>
      </w:r>
    </w:p>
    <w:p>
      <w:pPr>
        <w:jc w:val="center"/>
        <w:ind w:right="8959"/>
        <w:spacing w:after="0"/>
        <w:rPr>
          <w:sz w:val="20"/>
          <w:szCs w:val="20"/>
          <w:color w:val="auto"/>
        </w:rPr>
      </w:pPr>
      <w:r>
        <w:rPr>
          <w:rFonts w:ascii="Courier New" w:cs="Courier New" w:eastAsia="Courier New" w:hAnsi="Courier New"/>
          <w:sz w:val="18"/>
          <w:szCs w:val="18"/>
          <w:color w:val="auto"/>
        </w:rPr>
        <w:t>Fund, LTD.</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3,000,000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32,576</w:t>
      </w:r>
    </w:p>
    <w:p>
      <w:pPr>
        <w:jc w:val="center"/>
        <w:ind w:right="8959"/>
        <w:spacing w:after="0"/>
        <w:rPr>
          <w:sz w:val="20"/>
          <w:szCs w:val="20"/>
          <w:color w:val="auto"/>
        </w:rPr>
      </w:pPr>
      <w:r>
        <w:rPr>
          <w:rFonts w:ascii="Courier New" w:cs="Courier New" w:eastAsia="Courier New" w:hAnsi="Courier New"/>
          <w:sz w:val="18"/>
          <w:szCs w:val="18"/>
          <w:color w:val="auto"/>
        </w:rPr>
        <w:t>32,576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405</w:t>
      </w:r>
    </w:p>
    <w:p>
      <w:pPr>
        <w:jc w:val="center"/>
        <w:ind w:right="8959"/>
        <w:spacing w:after="0"/>
        <w:rPr>
          <w:sz w:val="20"/>
          <w:szCs w:val="20"/>
          <w:color w:val="auto"/>
        </w:rPr>
      </w:pPr>
      <w:r>
        <w:rPr>
          <w:rFonts w:ascii="Courier New" w:cs="Courier New" w:eastAsia="Courier New" w:hAnsi="Courier New"/>
          <w:sz w:val="18"/>
          <w:szCs w:val="18"/>
          <w:color w:val="auto"/>
        </w:rPr>
        <w:t>Lexington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Avenue 45th</w:t>
      </w:r>
    </w:p>
    <w:p>
      <w:pPr>
        <w:jc w:val="center"/>
        <w:ind w:right="8959"/>
        <w:spacing w:after="0"/>
        <w:rPr>
          <w:sz w:val="20"/>
          <w:szCs w:val="20"/>
          <w:color w:val="auto"/>
        </w:rPr>
      </w:pPr>
      <w:r>
        <w:rPr>
          <w:rFonts w:ascii="Courier New" w:cs="Courier New" w:eastAsia="Courier New" w:hAnsi="Courier New"/>
          <w:sz w:val="18"/>
          <w:szCs w:val="18"/>
          <w:color w:val="auto"/>
        </w:rPr>
        <w:t>Floor New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York, 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10174 TQA</w:t>
      </w:r>
    </w:p>
    <w:p>
      <w:pPr>
        <w:jc w:val="center"/>
        <w:ind w:right="8959"/>
        <w:spacing w:after="0"/>
        <w:rPr>
          <w:sz w:val="20"/>
          <w:szCs w:val="20"/>
          <w:color w:val="auto"/>
        </w:rPr>
      </w:pPr>
      <w:r>
        <w:rPr>
          <w:rFonts w:ascii="Courier New" w:cs="Courier New" w:eastAsia="Courier New" w:hAnsi="Courier New"/>
          <w:sz w:val="18"/>
          <w:szCs w:val="18"/>
          <w:color w:val="auto"/>
        </w:rPr>
        <w:t>Master Plus</w:t>
      </w:r>
    </w:p>
    <w:p>
      <w:pPr>
        <w:jc w:val="center"/>
        <w:ind w:right="8959"/>
        <w:spacing w:after="0" w:line="237" w:lineRule="auto"/>
        <w:rPr>
          <w:sz w:val="20"/>
          <w:szCs w:val="20"/>
          <w:color w:val="auto"/>
        </w:rPr>
      </w:pPr>
      <w:r>
        <w:rPr>
          <w:rFonts w:ascii="Courier New" w:cs="Courier New" w:eastAsia="Courier New" w:hAnsi="Courier New"/>
          <w:sz w:val="18"/>
          <w:szCs w:val="18"/>
          <w:color w:val="auto"/>
        </w:rPr>
        <w:t>Fund, LTD.</w:t>
      </w:r>
    </w:p>
    <w:p>
      <w:pPr>
        <w:jc w:val="center"/>
        <w:ind w:right="8959"/>
        <w:spacing w:after="0"/>
        <w:rPr>
          <w:sz w:val="20"/>
          <w:szCs w:val="20"/>
          <w:color w:val="auto"/>
        </w:rPr>
      </w:pPr>
      <w:r>
        <w:rPr>
          <w:rFonts w:ascii="Courier New" w:cs="Courier New" w:eastAsia="Courier New" w:hAnsi="Courier New"/>
          <w:sz w:val="18"/>
          <w:szCs w:val="18"/>
          <w:color w:val="auto"/>
        </w:rPr>
        <w:t>7,500,000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81,440</w:t>
      </w:r>
    </w:p>
    <w:p>
      <w:pPr>
        <w:jc w:val="center"/>
        <w:ind w:right="8959"/>
        <w:spacing w:after="0"/>
        <w:rPr>
          <w:sz w:val="20"/>
          <w:szCs w:val="20"/>
          <w:color w:val="auto"/>
        </w:rPr>
      </w:pPr>
      <w:r>
        <w:rPr>
          <w:rFonts w:ascii="Courier New" w:cs="Courier New" w:eastAsia="Courier New" w:hAnsi="Courier New"/>
          <w:sz w:val="18"/>
          <w:szCs w:val="18"/>
          <w:color w:val="auto"/>
        </w:rPr>
        <w:t>81,440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405</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Lexington</w:t>
      </w:r>
    </w:p>
    <w:p>
      <w:pPr>
        <w:jc w:val="center"/>
        <w:ind w:right="8959"/>
        <w:spacing w:after="0"/>
        <w:rPr>
          <w:sz w:val="20"/>
          <w:szCs w:val="20"/>
          <w:color w:val="auto"/>
        </w:rPr>
      </w:pPr>
      <w:r>
        <w:rPr>
          <w:rFonts w:ascii="Courier New" w:cs="Courier New" w:eastAsia="Courier New" w:hAnsi="Courier New"/>
          <w:sz w:val="18"/>
          <w:szCs w:val="18"/>
          <w:color w:val="auto"/>
        </w:rPr>
        <w:t>Avenue 45th</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10174 UBS</w:t>
      </w:r>
    </w:p>
    <w:p>
      <w:pPr>
        <w:jc w:val="center"/>
        <w:ind w:right="8959"/>
        <w:spacing w:after="0"/>
        <w:rPr>
          <w:sz w:val="20"/>
          <w:szCs w:val="20"/>
          <w:color w:val="auto"/>
        </w:rPr>
      </w:pPr>
      <w:r>
        <w:rPr>
          <w:rFonts w:ascii="Courier New" w:cs="Courier New" w:eastAsia="Courier New" w:hAnsi="Courier New"/>
          <w:sz w:val="18"/>
          <w:szCs w:val="18"/>
          <w:color w:val="auto"/>
        </w:rPr>
        <w:t>AG London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Branch</w:t>
      </w:r>
    </w:p>
    <w:p>
      <w:pPr>
        <w:jc w:val="center"/>
        <w:ind w:right="8959"/>
        <w:spacing w:after="0"/>
        <w:rPr>
          <w:sz w:val="20"/>
          <w:szCs w:val="20"/>
          <w:color w:val="auto"/>
        </w:rPr>
      </w:pPr>
      <w:r>
        <w:rPr>
          <w:rFonts w:ascii="Courier New" w:cs="Courier New" w:eastAsia="Courier New" w:hAnsi="Courier New"/>
          <w:sz w:val="18"/>
          <w:szCs w:val="18"/>
          <w:color w:val="auto"/>
        </w:rPr>
        <w:t>24,600,000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267,124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267,124 0 *</w:t>
      </w:r>
    </w:p>
    <w:p>
      <w:pPr>
        <w:jc w:val="center"/>
        <w:ind w:right="8959"/>
        <w:spacing w:after="0"/>
        <w:rPr>
          <w:sz w:val="20"/>
          <w:szCs w:val="20"/>
          <w:color w:val="auto"/>
        </w:rPr>
      </w:pPr>
      <w:r>
        <w:rPr>
          <w:rFonts w:ascii="Courier New" w:cs="Courier New" w:eastAsia="Courier New" w:hAnsi="Courier New"/>
          <w:sz w:val="18"/>
          <w:szCs w:val="18"/>
          <w:color w:val="auto"/>
        </w:rPr>
        <w:t>c/o</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BONY/UBS</w:t>
      </w:r>
    </w:p>
    <w:p>
      <w:pPr>
        <w:jc w:val="center"/>
        <w:ind w:right="8959"/>
        <w:spacing w:after="0"/>
        <w:rPr>
          <w:sz w:val="20"/>
          <w:szCs w:val="20"/>
          <w:color w:val="auto"/>
        </w:rPr>
      </w:pPr>
      <w:r>
        <w:rPr>
          <w:rFonts w:ascii="Courier New" w:cs="Courier New" w:eastAsia="Courier New" w:hAnsi="Courier New"/>
          <w:sz w:val="18"/>
          <w:szCs w:val="18"/>
          <w:color w:val="auto"/>
        </w:rPr>
        <w:t>Warburg A/C</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2029 100</w:t>
      </w:r>
    </w:p>
    <w:p>
      <w:pPr>
        <w:jc w:val="center"/>
        <w:ind w:right="8959"/>
        <w:spacing w:after="0"/>
        <w:rPr>
          <w:sz w:val="20"/>
          <w:szCs w:val="20"/>
          <w:color w:val="auto"/>
        </w:rPr>
      </w:pPr>
      <w:r>
        <w:rPr>
          <w:rFonts w:ascii="Courier New" w:cs="Courier New" w:eastAsia="Courier New" w:hAnsi="Courier New"/>
          <w:sz w:val="18"/>
          <w:szCs w:val="18"/>
          <w:color w:val="auto"/>
        </w:rPr>
        <w:t>Liverpool</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Street</w:t>
      </w:r>
    </w:p>
    <w:p>
      <w:pPr>
        <w:ind w:left="60"/>
        <w:spacing w:after="0" w:line="238" w:lineRule="auto"/>
        <w:rPr>
          <w:sz w:val="20"/>
          <w:szCs w:val="20"/>
          <w:color w:val="auto"/>
        </w:rPr>
      </w:pPr>
      <w:r>
        <w:rPr>
          <w:rFonts w:ascii="Courier New" w:cs="Courier New" w:eastAsia="Courier New" w:hAnsi="Courier New"/>
          <w:sz w:val="18"/>
          <w:szCs w:val="18"/>
          <w:color w:val="auto"/>
        </w:rPr>
        <w:t>London EC2M</w:t>
      </w:r>
    </w:p>
    <w:p>
      <w:pPr>
        <w:ind w:left="60"/>
        <w:spacing w:after="0"/>
        <w:rPr>
          <w:sz w:val="20"/>
          <w:szCs w:val="20"/>
          <w:color w:val="auto"/>
        </w:rPr>
      </w:pPr>
      <w:r>
        <w:rPr>
          <w:rFonts w:ascii="Courier New" w:cs="Courier New" w:eastAsia="Courier New" w:hAnsi="Courier New"/>
          <w:sz w:val="18"/>
          <w:szCs w:val="18"/>
          <w:color w:val="auto"/>
        </w:rPr>
        <w:t>2RH England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UBS</w:t>
      </w:r>
    </w:p>
    <w:p>
      <w:pPr>
        <w:jc w:val="center"/>
        <w:ind w:right="8959"/>
        <w:spacing w:after="0"/>
        <w:rPr>
          <w:sz w:val="20"/>
          <w:szCs w:val="20"/>
          <w:color w:val="auto"/>
        </w:rPr>
      </w:pPr>
      <w:r>
        <w:rPr>
          <w:rFonts w:ascii="Courier New" w:cs="Courier New" w:eastAsia="Courier New" w:hAnsi="Courier New"/>
          <w:sz w:val="18"/>
          <w:szCs w:val="18"/>
          <w:color w:val="auto"/>
        </w:rPr>
        <w:t>O'Connor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 F/B/O</w:t>
      </w:r>
    </w:p>
    <w:p>
      <w:pPr>
        <w:jc w:val="center"/>
        <w:ind w:right="8959"/>
        <w:spacing w:after="0"/>
        <w:rPr>
          <w:sz w:val="20"/>
          <w:szCs w:val="20"/>
          <w:color w:val="auto"/>
        </w:rPr>
      </w:pPr>
      <w:r>
        <w:rPr>
          <w:rFonts w:ascii="Courier New" w:cs="Courier New" w:eastAsia="Courier New" w:hAnsi="Courier New"/>
          <w:sz w:val="18"/>
          <w:szCs w:val="18"/>
          <w:color w:val="auto"/>
        </w:rPr>
        <w:t>UBS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15,000,000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162,880</w:t>
      </w:r>
    </w:p>
    <w:p>
      <w:pPr>
        <w:jc w:val="center"/>
        <w:ind w:right="8959"/>
        <w:spacing w:after="0"/>
        <w:rPr>
          <w:sz w:val="20"/>
          <w:szCs w:val="20"/>
          <w:color w:val="auto"/>
        </w:rPr>
      </w:pPr>
      <w:r>
        <w:rPr>
          <w:rFonts w:ascii="Courier New" w:cs="Courier New" w:eastAsia="Courier New" w:hAnsi="Courier New"/>
          <w:sz w:val="18"/>
          <w:szCs w:val="18"/>
          <w:color w:val="auto"/>
        </w:rPr>
        <w:t>162,880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Global</w:t>
      </w:r>
    </w:p>
    <w:p>
      <w:pPr>
        <w:jc w:val="center"/>
        <w:ind w:right="8959"/>
        <w:spacing w:after="0"/>
        <w:rPr>
          <w:sz w:val="20"/>
          <w:szCs w:val="20"/>
          <w:color w:val="auto"/>
        </w:rPr>
      </w:pPr>
      <w:r>
        <w:rPr>
          <w:rFonts w:ascii="Courier New" w:cs="Courier New" w:eastAsia="Courier New" w:hAnsi="Courier New"/>
          <w:sz w:val="18"/>
          <w:szCs w:val="18"/>
          <w:color w:val="auto"/>
        </w:rPr>
        <w:t>Equity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Arbitrage</w:t>
      </w:r>
    </w:p>
    <w:p>
      <w:pPr>
        <w:jc w:val="center"/>
        <w:ind w:right="8959"/>
        <w:spacing w:after="0"/>
        <w:rPr>
          <w:sz w:val="20"/>
          <w:szCs w:val="20"/>
          <w:color w:val="auto"/>
        </w:rPr>
      </w:pPr>
      <w:r>
        <w:rPr>
          <w:rFonts w:ascii="Courier New" w:cs="Courier New" w:eastAsia="Courier New" w:hAnsi="Courier New"/>
          <w:sz w:val="18"/>
          <w:szCs w:val="18"/>
          <w:color w:val="auto"/>
        </w:rPr>
        <w:t>Master Ltd.</w:t>
      </w:r>
    </w:p>
    <w:p>
      <w:pPr>
        <w:spacing w:after="0" w:line="3" w:lineRule="exact"/>
        <w:rPr>
          <w:sz w:val="20"/>
          <w:szCs w:val="20"/>
          <w:color w:val="auto"/>
        </w:rPr>
      </w:pPr>
    </w:p>
    <w:p>
      <w:pPr>
        <w:jc w:val="right"/>
        <w:ind w:left="260" w:right="9219" w:firstLine="60"/>
        <w:spacing w:after="0" w:line="268" w:lineRule="auto"/>
        <w:tabs>
          <w:tab w:leader="none" w:pos="73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 Jackson</w:t>
      </w:r>
    </w:p>
    <w:p>
      <w:pPr>
        <w:jc w:val="center"/>
        <w:ind w:right="8959"/>
        <w:spacing w:after="0" w:line="233" w:lineRule="auto"/>
        <w:rPr>
          <w:sz w:val="20"/>
          <w:szCs w:val="20"/>
          <w:color w:val="auto"/>
        </w:rPr>
      </w:pPr>
      <w:r>
        <w:rPr>
          <w:rFonts w:ascii="Courier New" w:cs="Courier New" w:eastAsia="Courier New" w:hAnsi="Courier New"/>
          <w:sz w:val="18"/>
          <w:szCs w:val="18"/>
          <w:color w:val="auto"/>
        </w:rPr>
        <w:t>Blvd -- 7th</w:t>
      </w:r>
    </w:p>
    <w:p>
      <w:pPr>
        <w:jc w:val="center"/>
        <w:ind w:right="8959"/>
        <w:spacing w:after="0"/>
        <w:rPr>
          <w:sz w:val="20"/>
          <w:szCs w:val="20"/>
          <w:color w:val="auto"/>
        </w:rPr>
      </w:pPr>
      <w:r>
        <w:rPr>
          <w:rFonts w:ascii="Courier New" w:cs="Courier New" w:eastAsia="Courier New" w:hAnsi="Courier New"/>
          <w:sz w:val="18"/>
          <w:szCs w:val="18"/>
          <w:color w:val="auto"/>
        </w:rPr>
        <w:t>Floor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Chicago, IL</w:t>
      </w:r>
    </w:p>
    <w:p>
      <w:pPr>
        <w:jc w:val="center"/>
        <w:ind w:right="8959"/>
        <w:spacing w:after="0"/>
        <w:rPr>
          <w:sz w:val="20"/>
          <w:szCs w:val="20"/>
          <w:color w:val="auto"/>
        </w:rPr>
      </w:pPr>
      <w:r>
        <w:rPr>
          <w:rFonts w:ascii="Courier New" w:cs="Courier New" w:eastAsia="Courier New" w:hAnsi="Courier New"/>
          <w:sz w:val="18"/>
          <w:szCs w:val="18"/>
          <w:color w:val="auto"/>
        </w:rPr>
        <w:t>60604 White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6,000,000</w:t>
      </w:r>
    </w:p>
    <w:p>
      <w:pPr>
        <w:jc w:val="center"/>
        <w:ind w:right="8959"/>
        <w:spacing w:after="0"/>
        <w:rPr>
          <w:sz w:val="20"/>
          <w:szCs w:val="20"/>
          <w:color w:val="auto"/>
        </w:rPr>
      </w:pPr>
      <w:r>
        <w:rPr>
          <w:rFonts w:ascii="Courier New" w:cs="Courier New" w:eastAsia="Courier New" w:hAnsi="Courier New"/>
          <w:sz w:val="18"/>
          <w:szCs w:val="18"/>
          <w:color w:val="auto"/>
        </w:rPr>
        <w:t>65,152</w:t>
      </w:r>
    </w:p>
    <w:p>
      <w:pPr>
        <w:jc w:val="center"/>
        <w:ind w:right="8959"/>
        <w:spacing w:after="0" w:line="237" w:lineRule="auto"/>
        <w:rPr>
          <w:sz w:val="20"/>
          <w:szCs w:val="20"/>
          <w:color w:val="auto"/>
        </w:rPr>
      </w:pPr>
      <w:r>
        <w:rPr>
          <w:rFonts w:ascii="Courier New" w:cs="Courier New" w:eastAsia="Courier New" w:hAnsi="Courier New"/>
          <w:sz w:val="18"/>
          <w:szCs w:val="18"/>
          <w:color w:val="auto"/>
        </w:rPr>
        <w:t>65,152 0 *</w:t>
      </w:r>
    </w:p>
    <w:p>
      <w:pPr>
        <w:spacing w:after="0" w:line="5" w:lineRule="exact"/>
        <w:rPr>
          <w:sz w:val="20"/>
          <w:szCs w:val="20"/>
          <w:color w:val="auto"/>
        </w:rPr>
      </w:pPr>
    </w:p>
    <w:p>
      <w:pPr>
        <w:jc w:val="both"/>
        <w:ind w:left="100" w:right="9059" w:firstLine="115"/>
        <w:spacing w:after="0" w:line="268" w:lineRule="auto"/>
        <w:tabs>
          <w:tab w:leader="none" w:pos="62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Park Avenue -- 13th Floor</w:t>
      </w:r>
    </w:p>
    <w:p>
      <w:pPr>
        <w:ind w:left="60"/>
        <w:spacing w:after="0" w:line="233" w:lineRule="auto"/>
        <w:rPr>
          <w:sz w:val="20"/>
          <w:szCs w:val="20"/>
          <w:color w:val="auto"/>
        </w:rPr>
      </w:pPr>
      <w:r>
        <w:rPr>
          <w:rFonts w:ascii="Courier New" w:cs="Courier New" w:eastAsia="Courier New" w:hAnsi="Courier New"/>
          <w:sz w:val="18"/>
          <w:szCs w:val="18"/>
          <w:color w:val="auto"/>
        </w:rPr>
        <w:t>Global Fund</w:t>
      </w:r>
    </w:p>
    <w:p>
      <w:pPr>
        <w:ind w:left="100"/>
        <w:spacing w:after="0"/>
        <w:rPr>
          <w:sz w:val="20"/>
          <w:szCs w:val="20"/>
          <w:color w:val="auto"/>
        </w:rPr>
      </w:pPr>
      <w:r>
        <w:rPr>
          <w:rFonts w:ascii="Courier New" w:cs="Courier New" w:eastAsia="Courier New" w:hAnsi="Courier New"/>
          <w:sz w:val="18"/>
          <w:szCs w:val="18"/>
          <w:color w:val="auto"/>
        </w:rPr>
        <w:t>Management</w:t>
      </w:r>
    </w:p>
    <w:p>
      <w:pPr>
        <w:ind w:left="160"/>
        <w:spacing w:after="0" w:line="237" w:lineRule="auto"/>
        <w:rPr>
          <w:sz w:val="20"/>
          <w:szCs w:val="20"/>
          <w:color w:val="auto"/>
        </w:rPr>
      </w:pPr>
      <w:r>
        <w:rPr>
          <w:rFonts w:ascii="Courier New" w:cs="Courier New" w:eastAsia="Courier New" w:hAnsi="Courier New"/>
          <w:sz w:val="18"/>
          <w:szCs w:val="18"/>
          <w:color w:val="auto"/>
        </w:rPr>
        <w:t>New York,</w:t>
      </w:r>
    </w:p>
    <w:p>
      <w:pPr>
        <w:ind w:left="220"/>
        <w:spacing w:after="0"/>
        <w:rPr>
          <w:sz w:val="20"/>
          <w:szCs w:val="20"/>
          <w:color w:val="auto"/>
        </w:rPr>
      </w:pPr>
      <w:r>
        <w:rPr>
          <w:rFonts w:ascii="Courier New" w:cs="Courier New" w:eastAsia="Courier New" w:hAnsi="Courier New"/>
          <w:sz w:val="18"/>
          <w:szCs w:val="18"/>
          <w:color w:val="auto"/>
        </w:rPr>
        <w:t>NY 10167</w:t>
      </w:r>
    </w:p>
    <w:p>
      <w:pPr>
        <w:sectPr>
          <w:pgSz w:w="11900" w:h="16838" w:orient="portrait"/>
          <w:cols w:equalWidth="0" w:num="1">
            <w:col w:w="10219"/>
          </w:cols>
          <w:pgMar w:left="240" w:top="136" w:right="1440" w:bottom="13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136" w:right="1440" w:bottom="132" w:gutter="0" w:footer="0" w:header="0"/>
          <w:type w:val="continuous"/>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PRINCIPAL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ORDINARY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rPr>
          <w:sz w:val="20"/>
          <w:szCs w:val="20"/>
          <w:color w:val="auto"/>
        </w:rPr>
      </w:pPr>
      <w:r>
        <w:rPr>
          <w:rFonts w:ascii="Courier New" w:cs="Courier New" w:eastAsia="Courier New" w:hAnsi="Courier New"/>
          <w:sz w:val="18"/>
          <w:szCs w:val="18"/>
          <w:color w:val="auto"/>
        </w:rPr>
        <w:t>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rPr>
          <w:sz w:val="20"/>
          <w:szCs w:val="20"/>
          <w:color w:val="auto"/>
        </w:rPr>
      </w:pPr>
      <w:r>
        <w:rPr>
          <w:rFonts w:ascii="Courier New" w:cs="Courier New" w:eastAsia="Courier New" w:hAnsi="Courier New"/>
          <w:sz w:val="18"/>
          <w:szCs w:val="18"/>
          <w:color w:val="auto"/>
        </w:rPr>
        <w:t>OWNED AFTER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839"/>
        <w:spacing w:after="0"/>
        <w:rPr>
          <w:sz w:val="20"/>
          <w:szCs w:val="20"/>
          <w:color w:val="auto"/>
        </w:rPr>
      </w:pPr>
      <w:r>
        <w:rPr>
          <w:rFonts w:ascii="Courier New" w:cs="Courier New" w:eastAsia="Courier New" w:hAnsi="Courier New"/>
          <w:sz w:val="18"/>
          <w:szCs w:val="18"/>
          <w:color w:val="auto"/>
        </w:rPr>
        <w:t>ORDINARY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839"/>
        <w:spacing w:after="0"/>
        <w:rPr>
          <w:sz w:val="20"/>
          <w:szCs w:val="20"/>
          <w:color w:val="auto"/>
        </w:rPr>
      </w:pPr>
      <w:r>
        <w:rPr>
          <w:rFonts w:ascii="Courier New" w:cs="Courier New" w:eastAsia="Courier New" w:hAnsi="Courier New"/>
          <w:sz w:val="18"/>
          <w:szCs w:val="18"/>
          <w:color w:val="auto"/>
        </w:rPr>
        <w:t>OWNED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839"/>
        <w:spacing w:after="0"/>
        <w:rPr>
          <w:sz w:val="20"/>
          <w:szCs w:val="20"/>
          <w:color w:val="auto"/>
        </w:rPr>
      </w:pPr>
      <w:r>
        <w:rPr>
          <w:rFonts w:ascii="Courier New" w:cs="Courier New" w:eastAsia="Courier New" w:hAnsi="Courier New"/>
          <w:sz w:val="18"/>
          <w:szCs w:val="18"/>
          <w:color w:val="auto"/>
        </w:rPr>
        <w:t>SHARES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NAME AND</w:t>
      </w:r>
    </w:p>
    <w:p>
      <w:pPr>
        <w:jc w:val="center"/>
        <w:ind w:right="8839"/>
        <w:spacing w:after="0"/>
        <w:rPr>
          <w:sz w:val="20"/>
          <w:szCs w:val="20"/>
          <w:color w:val="auto"/>
        </w:rPr>
      </w:pPr>
      <w:r>
        <w:rPr>
          <w:rFonts w:ascii="Courier New" w:cs="Courier New" w:eastAsia="Courier New" w:hAnsi="Courier New"/>
          <w:sz w:val="18"/>
          <w:szCs w:val="18"/>
          <w:color w:val="auto"/>
        </w:rPr>
        <w:t>ADDRESS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OFFERED</w:t>
      </w:r>
    </w:p>
    <w:p>
      <w:pPr>
        <w:jc w:val="center"/>
        <w:ind w:right="8839"/>
        <w:spacing w:after="0"/>
        <w:rPr>
          <w:sz w:val="20"/>
          <w:szCs w:val="20"/>
          <w:color w:val="auto"/>
        </w:rPr>
      </w:pPr>
      <w:r>
        <w:rPr>
          <w:rFonts w:ascii="Courier New" w:cs="Courier New" w:eastAsia="Courier New" w:hAnsi="Courier New"/>
          <w:sz w:val="18"/>
          <w:szCs w:val="18"/>
          <w:color w:val="auto"/>
        </w:rPr>
        <w:t>OFFERING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839"/>
        <w:spacing w:after="0"/>
        <w:rPr>
          <w:sz w:val="20"/>
          <w:szCs w:val="20"/>
          <w:color w:val="auto"/>
        </w:rPr>
      </w:pPr>
      <w:r>
        <w:rPr>
          <w:rFonts w:ascii="Courier New" w:cs="Courier New" w:eastAsia="Courier New" w:hAnsi="Courier New"/>
          <w:sz w:val="18"/>
          <w:szCs w:val="18"/>
          <w:color w:val="auto"/>
        </w:rPr>
        <w:t>AMOUNT</w:t>
      </w:r>
    </w:p>
    <w:p>
      <w:pPr>
        <w:ind w:left="60"/>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700" w:hanging="642"/>
        <w:spacing w:after="0" w:line="237" w:lineRule="auto"/>
        <w:tabs>
          <w:tab w:leader="none" w:pos="70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Zurich</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Institutional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Benchmarks</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Master $</w:t>
      </w:r>
    </w:p>
    <w:p>
      <w:pPr>
        <w:jc w:val="center"/>
        <w:ind w:right="8839"/>
        <w:spacing w:after="0"/>
        <w:rPr>
          <w:sz w:val="20"/>
          <w:szCs w:val="20"/>
          <w:color w:val="auto"/>
        </w:rPr>
      </w:pPr>
      <w:r>
        <w:rPr>
          <w:rFonts w:ascii="Courier New" w:cs="Courier New" w:eastAsia="Courier New" w:hAnsi="Courier New"/>
          <w:sz w:val="18"/>
          <w:szCs w:val="18"/>
          <w:color w:val="auto"/>
        </w:rPr>
        <w:t>500,000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5,429 5,429</w:t>
      </w:r>
    </w:p>
    <w:p>
      <w:pPr>
        <w:jc w:val="center"/>
        <w:ind w:right="8839"/>
        <w:spacing w:after="0" w:line="238" w:lineRule="auto"/>
        <w:rPr>
          <w:sz w:val="20"/>
          <w:szCs w:val="20"/>
          <w:color w:val="auto"/>
        </w:rPr>
      </w:pPr>
      <w:r>
        <w:rPr>
          <w:rFonts w:ascii="Courier New" w:cs="Courier New" w:eastAsia="Courier New" w:hAnsi="Courier New"/>
          <w:sz w:val="18"/>
          <w:szCs w:val="18"/>
          <w:color w:val="auto"/>
        </w:rPr>
        <w:t>0 * Fund</w:t>
      </w:r>
    </w:p>
    <w:p>
      <w:pPr>
        <w:jc w:val="center"/>
        <w:ind w:right="8839"/>
        <w:spacing w:after="0"/>
        <w:rPr>
          <w:sz w:val="20"/>
          <w:szCs w:val="20"/>
          <w:color w:val="auto"/>
        </w:rPr>
      </w:pPr>
      <w:r>
        <w:rPr>
          <w:rFonts w:ascii="Courier New" w:cs="Courier New" w:eastAsia="Courier New" w:hAnsi="Courier New"/>
          <w:sz w:val="18"/>
          <w:szCs w:val="18"/>
          <w:color w:val="auto"/>
        </w:rPr>
        <w:t>Limited One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w:t>
      </w:r>
    </w:p>
    <w:p>
      <w:pPr>
        <w:jc w:val="center"/>
        <w:ind w:right="8839"/>
        <w:spacing w:after="0"/>
        <w:rPr>
          <w:sz w:val="20"/>
          <w:szCs w:val="20"/>
          <w:color w:val="auto"/>
        </w:rPr>
      </w:pPr>
      <w:r>
        <w:rPr>
          <w:rFonts w:ascii="Courier New" w:cs="Courier New" w:eastAsia="Courier New" w:hAnsi="Courier New"/>
          <w:sz w:val="18"/>
          <w:szCs w:val="18"/>
          <w:color w:val="auto"/>
        </w:rPr>
        <w:t>Manhattan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Plaza 44th</w:t>
      </w:r>
    </w:p>
    <w:p>
      <w:pPr>
        <w:jc w:val="center"/>
        <w:ind w:right="8839"/>
        <w:spacing w:after="0"/>
        <w:rPr>
          <w:sz w:val="20"/>
          <w:szCs w:val="20"/>
          <w:color w:val="auto"/>
        </w:rPr>
      </w:pPr>
      <w:r>
        <w:rPr>
          <w:rFonts w:ascii="Courier New" w:cs="Courier New" w:eastAsia="Courier New" w:hAnsi="Courier New"/>
          <w:sz w:val="18"/>
          <w:szCs w:val="18"/>
          <w:color w:val="auto"/>
        </w:rPr>
        <w:t>Floor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10005 Any</w:t>
      </w:r>
    </w:p>
    <w:p>
      <w:pPr>
        <w:jc w:val="center"/>
        <w:ind w:right="8839"/>
        <w:spacing w:after="0"/>
        <w:rPr>
          <w:sz w:val="20"/>
          <w:szCs w:val="20"/>
          <w:color w:val="auto"/>
        </w:rPr>
      </w:pPr>
      <w:r>
        <w:rPr>
          <w:rFonts w:ascii="Courier New" w:cs="Courier New" w:eastAsia="Courier New" w:hAnsi="Courier New"/>
          <w:sz w:val="18"/>
          <w:szCs w:val="18"/>
          <w:color w:val="auto"/>
        </w:rPr>
        <w:t>other 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notes or</w:t>
      </w:r>
    </w:p>
    <w:p>
      <w:pPr>
        <w:jc w:val="center"/>
        <w:ind w:right="8839"/>
        <w:spacing w:after="0"/>
        <w:rPr>
          <w:sz w:val="20"/>
          <w:szCs w:val="20"/>
          <w:color w:val="auto"/>
        </w:rPr>
      </w:pPr>
      <w:r>
        <w:rPr>
          <w:rFonts w:ascii="Courier New" w:cs="Courier New" w:eastAsia="Courier New" w:hAnsi="Courier New"/>
          <w:sz w:val="18"/>
          <w:szCs w:val="18"/>
          <w:color w:val="auto"/>
        </w:rPr>
        <w:t>future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transferee,</w:t>
      </w:r>
    </w:p>
    <w:p>
      <w:pPr>
        <w:jc w:val="center"/>
        <w:ind w:right="8839"/>
        <w:spacing w:after="0"/>
        <w:rPr>
          <w:sz w:val="20"/>
          <w:szCs w:val="20"/>
          <w:color w:val="auto"/>
        </w:rPr>
      </w:pPr>
      <w:r>
        <w:rPr>
          <w:rFonts w:ascii="Courier New" w:cs="Courier New" w:eastAsia="Courier New" w:hAnsi="Courier New"/>
          <w:sz w:val="18"/>
          <w:szCs w:val="18"/>
          <w:color w:val="auto"/>
        </w:rPr>
        <w:t>pledgee,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donee 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successor of</w:t>
      </w:r>
    </w:p>
    <w:p>
      <w:pPr>
        <w:jc w:val="center"/>
        <w:ind w:right="8839"/>
        <w:spacing w:after="0"/>
        <w:rPr>
          <w:sz w:val="20"/>
          <w:szCs w:val="20"/>
          <w:color w:val="auto"/>
        </w:rPr>
      </w:pPr>
      <w:r>
        <w:rPr>
          <w:rFonts w:ascii="Courier New" w:cs="Courier New" w:eastAsia="Courier New" w:hAnsi="Courier New"/>
          <w:sz w:val="18"/>
          <w:szCs w:val="18"/>
          <w:color w:val="auto"/>
        </w:rPr>
        <w:t>any 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w:t>
      </w:r>
    </w:p>
    <w:p>
      <w:pPr>
        <w:jc w:val="center"/>
        <w:ind w:right="8839"/>
        <w:spacing w:after="0"/>
        <w:rPr>
          <w:sz w:val="20"/>
          <w:szCs w:val="20"/>
          <w:color w:val="auto"/>
        </w:rPr>
      </w:pPr>
      <w:r>
        <w:rPr>
          <w:rFonts w:ascii="Courier New" w:cs="Courier New" w:eastAsia="Courier New" w:hAnsi="Courier New"/>
          <w:sz w:val="18"/>
          <w:szCs w:val="18"/>
          <w:color w:val="auto"/>
        </w:rPr>
        <w:t>105,262,000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1,143,030</w:t>
      </w:r>
    </w:p>
    <w:p>
      <w:pPr>
        <w:jc w:val="center"/>
        <w:ind w:right="8839"/>
        <w:spacing w:after="0"/>
        <w:rPr>
          <w:sz w:val="20"/>
          <w:szCs w:val="20"/>
          <w:color w:val="auto"/>
        </w:rPr>
      </w:pPr>
      <w:r>
        <w:rPr>
          <w:rFonts w:ascii="Courier New" w:cs="Courier New" w:eastAsia="Courier New" w:hAnsi="Courier New"/>
          <w:sz w:val="18"/>
          <w:szCs w:val="18"/>
          <w:color w:val="auto"/>
        </w:rPr>
        <w:t>1,143,030 0</w:t>
      </w:r>
    </w:p>
    <w:p>
      <w:pPr>
        <w:ind w:left="260" w:hanging="202"/>
        <w:spacing w:after="0" w:line="237" w:lineRule="auto"/>
        <w:tabs>
          <w:tab w:leader="none" w:pos="2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$500,000,000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5,429,350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5,429,350 0</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36"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the holder's notes at a conversion rate of 10.8587 ordinary shares per each $1,000 principal amount of the notes and resale of all ordinary shares offered hereby.</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holders will be set forth in prospectus supplements, if required.</w:t>
      </w:r>
    </w:p>
    <w:p>
      <w:pPr>
        <w:sectPr>
          <w:pgSz w:w="11900" w:h="16838" w:orient="portrait"/>
          <w:cols w:equalWidth="0" w:num="1">
            <w:col w:w="10219"/>
          </w:cols>
          <w:pgMar w:left="240" w:top="312" w:right="1440" w:bottom="0" w:gutter="0" w:footer="0" w:header="0"/>
        </w:sectPr>
      </w:pPr>
    </w:p>
    <w:bookmarkStart w:id="67" w:name="page68"/>
    <w:bookmarkEnd w:id="67"/>
    <w:p>
      <w:pPr>
        <w:ind w:left="420" w:right="1779" w:hanging="412"/>
        <w:spacing w:after="0" w:line="237"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any other holders of notes, or any future transferees, pledgees, donees or successors of or from any other holders of notes, do not beneficially own any ordinary shares other than the ordinary shares issuable upon conversion of the notes at the initial conversion rate.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Information concerning the selling holders may change from time to time and any changed information will be set forth in supplements to this prospectus if necessary.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344"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holders and any of their pledgees, assignees, donees, other transferees and successors-in-interest may, from time to time, sell any or all of their notes or ordinary shares issuable upon conversion of the notes at fixed prices, at prevailing market prices at the time of sale, at prices related to such prevailing market prices, at varying prices determined at the time of sale or at negotiated prices. These sales may be effected in transactions on any national securities exchange or quotation service on which the notes or the ordinary shares issuable upon conversion of the notes may be listed or quoted at the time of the sale. The selling holders may use any one or more of the following methods when selling the notes or the ordinary shares issuable upon conversion of the notes.:</w:t>
      </w:r>
    </w:p>
    <w:p>
      <w:pPr>
        <w:spacing w:after="0" w:line="216" w:lineRule="exact"/>
        <w:rPr>
          <w:sz w:val="20"/>
          <w:szCs w:val="20"/>
          <w:color w:val="auto"/>
        </w:rPr>
      </w:pPr>
    </w:p>
    <w:p>
      <w:pPr>
        <w:ind w:left="740" w:right="303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broker-dealer solicits purchasers;</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will attempt to sell the notes or the ordinary shares as agent but may position and resell a portion of the block as principal to facilitate the transaction;</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by a broker-dealer as principal and resale by the broker-dealer for its account;</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applicable exchange;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sales;</w:t>
      </w:r>
    </w:p>
    <w:p>
      <w:pPr>
        <w:spacing w:after="0" w:line="206"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may agree with the selling holders to sell a specified number of ordinary shares at a stipulated price per share;</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of any such methods of sale;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method permitted pursuant to applicable law.</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selling holders may also sell notes or ordinary shares issuable upon conversion of the notes under Rule 144A of the Securities Act, if available, rather than under the prospectus.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holders may also engage in short sales against the box, puts and calls and other transactions in our securities or derivatives of our securities and may sell or deliver shares in connection with these trades. The selling holders may pledge their notes or ordinary shares to their brokers under the margin provisions of customer agreements. If a selling holder defaults on a margin loan, the broker, may, from time to time, offer and sell the pledged notes or ordinary shares.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ordinary shares are listed for trading on the New York Stock Exchange. While the notes are eligible for trading in the PORTAL market, we do not expect the notes to remain eligible for trading on that market. We do not intend to list the notes for trading on any national securities exchange or on the NASDAQ National Market. We cannot assure you that a trading market for the notes will develop. If a trading market for the notes fails to develop, the trading price of the notes may decline.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Broker-dealers engaged by the selling holders may arrange for other broker-dealers to participate in sales. Broker-dealers may receive commissions or discounts from the selling holders (or, if any broker-dealer acts as agent for the purchaser of notes or ordinary shares, from the purchaser) in amounts to be negotiated.</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selling holders and any broker-dealers or agents that are involved in selling the notes or the ordinary shares issuable upon conversion of the notes may be deemed to be "underwriters" within the meaning of the Securities Act of 1933 in connection with the sales. In such event, any commissions received by such broker-dealers or agents and any profit on the resale of the notes or ordinary shares issuable upon conversion of the notes purchased by them may be deemed to be underwriting commissions or discounts under the Securities Act.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required to pay all fees and expenses incident to the registration of the notes and the ordinary shares issuable upon conversion of the notes, except that all selling commissions and fees and other expenses incurred by the selling holders will be borne by such holders.</w:t>
      </w:r>
    </w:p>
    <w:p>
      <w:pPr>
        <w:sectPr>
          <w:pgSz w:w="11900" w:h="16838" w:orient="portrait"/>
          <w:cols w:equalWidth="0" w:num="1">
            <w:col w:w="10219"/>
          </w:cols>
          <w:pgMar w:left="240" w:top="312" w:right="1440" w:bottom="0" w:gutter="0" w:footer="0" w:header="0"/>
        </w:sectPr>
      </w:pP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312" w:right="1440" w:bottom="0" w:gutter="0" w:footer="0" w:header="0"/>
          <w:type w:val="continuous"/>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validity of the notes and the ordinary shares issuable upon conversion of the notes were passed upon for us by Carey Langlois, Island of Guernsey. Certain legal matters in connection with the offering have passed upon for us by Reboul, MacMurray, Hewitt, Maynard &amp; Kristol, New York, New York.</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Consolidated Financial Statements and Schedule of Amdocs as set forth in their report included in our Annual Report on Form 20-F/A for the year ended September 30, 2000, which is incorporated by reference in this prospectus. The Consolidated Financial Statements and Schedule of Amdocs Limited are incorporated by reference in reliance on Ernst &amp; Young LLP's report, given on their authority as experts in accounting and auditing.</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Ernst &amp; Young LLP, independent auditors, have audited the Financial Statements and Schedules of ITDS as set forth in their report included in our Registration Statement on Form F-3/A (No. 333-86609) dated October 4, 1999 and incorporated herein by reference in this prospectus from our Report of Foreign Private Issuer on Form 6-K dated December 13, 1999. The Financial Statements and Schedule of ITDS are incorporated by reference in reliance on Ernst &amp; Young LLP's report, given on their authority as experts in accounting and auditing.</w:t>
      </w:r>
    </w:p>
    <w:p>
      <w:pPr>
        <w:spacing w:after="0" w:line="188"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the Consolidated Financial Statements of Solect as set forth in their report included in our Report of Foreign Private Issuer on Form 6-K/A dated June 8, 2000, which is incorporated by reference in this prospectus. The Consolidated Financial Statements of Solect are incorporated by reference in reliance on Ernst &amp; Young LLP's report, given on their authority as experts in accounting and auditing.</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informational requirements of the Exchange Act and in accordance therewith file reports and other information with the SEC.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w:t>
      </w:r>
    </w:p>
    <w:p>
      <w:pPr>
        <w:sectPr>
          <w:pgSz w:w="11900" w:h="16838" w:orient="portrait"/>
          <w:cols w:equalWidth="0" w:num="1">
            <w:col w:w="10219"/>
          </w:cols>
          <w:pgMar w:left="240" w:top="312" w:right="1440" w:bottom="1440" w:gutter="0" w:footer="0" w:header="0"/>
        </w:sectPr>
      </w:pP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312" w:right="1440" w:bottom="1440" w:gutter="0" w:footer="0" w:header="0"/>
          <w:type w:val="continuous"/>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59</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jurisdiction (according to the rules of private international law currently prevailing in Guernsey) which recognizes and enforces similar Guernsey judgments, provided that:</w:t>
      </w:r>
    </w:p>
    <w:p>
      <w:pPr>
        <w:spacing w:after="0" w:line="209" w:lineRule="exact"/>
        <w:rPr>
          <w:sz w:val="20"/>
          <w:szCs w:val="20"/>
          <w:color w:val="auto"/>
        </w:rPr>
      </w:pPr>
    </w:p>
    <w:p>
      <w:pPr>
        <w:ind w:left="740" w:right="177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 service of process has been effected and the defendant has had a reasonable opportunity to be heard;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judgments or the enforcement thereof are not contrary to the law, public policy, security or sovereignty of Guernsey;</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judgments were not obtained by fraudulent means and do not conflict with any other valid judgment in the same matter between the same parties; and</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an action between the same parties in the same matter is not pending in any Guernsey court at the time the lawsuit is instituted in the foreign court.</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decimal"/>
      <w:start w:val="2"/>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
    </w:lvl>
    <w:lvl w:ilvl="1">
      <w:lvlJc w:val="left"/>
      <w:lvlText w:val="(%2)"/>
      <w:numFmt w:val="lowerRoman"/>
      <w:start w:val="2"/>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1)"/>
      <w:numFmt w:val="decimal"/>
      <w:start w:val="2"/>
    </w:lvl>
  </w:abstractNum>
  <w:abstractNum w:abstractNumId="22">
    <w:nsid w:val="4F4EF005"/>
    <w:multiLevelType w:val="hybridMultilevel"/>
    <w:lvl w:ilvl="0">
      <w:lvlJc w:val="left"/>
      <w:lvlText w:val="(%1)"/>
      <w:numFmt w:val="decimal"/>
      <w:start w:val="3"/>
    </w:lvl>
  </w:abstractNum>
  <w:abstractNum w:abstractNumId="23">
    <w:nsid w:val="23F9C13C"/>
    <w:multiLevelType w:val="hybridMultilevel"/>
    <w:lvl w:ilvl="0">
      <w:lvlJc w:val="left"/>
      <w:lvlText w:val="%1"/>
      <w:numFmt w:val="upperLetter"/>
      <w:start w:val="1"/>
    </w:lvl>
    <w:lvl w:ilvl="1">
      <w:lvlJc w:val="left"/>
      <w:lvlText w:val="(%2)"/>
      <w:numFmt w:val="decimal"/>
      <w:start w:val="4"/>
    </w:lvl>
  </w:abstractNum>
  <w:abstractNum w:abstractNumId="24">
    <w:nsid w:val="649BB77C"/>
    <w:multiLevelType w:val="hybridMultilevel"/>
    <w:lvl w:ilvl="0">
      <w:lvlJc w:val="left"/>
      <w:lvlText w:val="(%1)"/>
      <w:numFmt w:val="upperLetter"/>
      <w:start w:val="2"/>
    </w:lvl>
    <w:lvl w:ilvl="1">
      <w:lvlJc w:val="left"/>
      <w:lvlText w:val="%2"/>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2"/>
    </w:lvl>
  </w:abstractNum>
  <w:abstractNum w:abstractNumId="27">
    <w:nsid w:val="1CF10FD8"/>
    <w:multiLevelType w:val="hybridMultilevel"/>
    <w:lvl w:ilvl="0">
      <w:lvlJc w:val="left"/>
      <w:lvlText w:val="(%1)"/>
      <w:numFmt w:val="decimal"/>
      <w:start w:val="3"/>
    </w:lvl>
  </w:abstractNum>
  <w:abstractNum w:abstractNumId="28">
    <w:nsid w:val="180115BE"/>
    <w:multiLevelType w:val="hybridMultilevel"/>
    <w:lvl w:ilvl="0">
      <w:lvlJc w:val="left"/>
      <w:lvlText w:val="%1"/>
      <w:numFmt w:val="upperLetter"/>
      <w:start w:val="1"/>
    </w:lvl>
    <w:lvl w:ilvl="1">
      <w:lvlJc w:val="left"/>
      <w:lvlText w:val="(%2)"/>
      <w:numFmt w:val="decimal"/>
      <w:start w:val="4"/>
    </w:lvl>
  </w:abstractNum>
  <w:abstractNum w:abstractNumId="29">
    <w:nsid w:val="235BA861"/>
    <w:multiLevelType w:val="hybridMultilevel"/>
    <w:lvl w:ilvl="0">
      <w:lvlJc w:val="left"/>
      <w:lvlText w:val="(%1)"/>
      <w:numFmt w:val="upperLetter"/>
      <w:start w:val="3"/>
    </w:lvl>
    <w:lvl w:ilvl="1">
      <w:lvlJc w:val="left"/>
      <w:lvlText w:val="%2"/>
      <w:numFmt w:val="decimal"/>
      <w:start w:val="1"/>
    </w:lvl>
  </w:abstractNum>
  <w:abstractNum w:abstractNumId="30">
    <w:nsid w:val="47398C89"/>
    <w:multiLevelType w:val="hybridMultilevel"/>
    <w:lvl w:ilvl="0">
      <w:lvlJc w:val="left"/>
      <w:lvlText w:val="-"/>
      <w:numFmt w:val="bullet"/>
      <w:start w:val="1"/>
    </w:lvl>
    <w:lvl w:ilvl="1">
      <w:lvlJc w:val="left"/>
      <w:lvlText w:val="(%2)"/>
      <w:numFmt w:val="decimal"/>
      <w:start w:val="1"/>
    </w:lvl>
  </w:abstractNum>
  <w:abstractNum w:abstractNumId="31">
    <w:nsid w:val="354FE9F9"/>
    <w:multiLevelType w:val="hybridMultilevel"/>
    <w:lvl w:ilvl="0">
      <w:lvlJc w:val="left"/>
      <w:lvlText w:val="-"/>
      <w:numFmt w:val="bullet"/>
      <w:start w:val="1"/>
    </w:lvl>
    <w:lvl w:ilvl="1">
      <w:lvlJc w:val="left"/>
      <w:lvlText w:val="(%2)"/>
      <w:numFmt w:val="decimal"/>
      <w:start w:val="1"/>
    </w:lvl>
  </w:abstractNum>
  <w:abstractNum w:abstractNumId="32">
    <w:nsid w:val="15B5AF5C"/>
    <w:multiLevelType w:val="hybridMultilevel"/>
    <w:lvl w:ilvl="0">
      <w:lvlJc w:val="left"/>
      <w:lvlText w:val="-"/>
      <w:numFmt w:val="bullet"/>
      <w:start w:val="1"/>
    </w:lvl>
    <w:lvl w:ilvl="1">
      <w:lvlJc w:val="left"/>
      <w:lvlText w:val="(%2)"/>
      <w:numFmt w:val="decimal"/>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lvl w:ilvl="1">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lvl w:ilvl="1">
      <w:lvlJc w:val="left"/>
      <w:lvlText w:val="(%2)"/>
      <w:numFmt w:val="decimal"/>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lvl w:ilvl="1">
      <w:lvlJc w:val="left"/>
      <w:lvlText w:val="--"/>
      <w:numFmt w:val="bullet"/>
      <w:start w:val="1"/>
    </w:lvl>
  </w:abstractNum>
  <w:abstractNum w:abstractNumId="60">
    <w:nsid w:val="661E3F1E"/>
    <w:multiLevelType w:val="hybridMultilevel"/>
    <w:lvl w:ilvl="0">
      <w:lvlJc w:val="left"/>
      <w:lvlText w:val="%1"/>
      <w:numFmt w:val="decimal"/>
      <w:start w:val="900"/>
    </w:lvl>
  </w:abstractNum>
  <w:abstractNum w:abstractNumId="61">
    <w:nsid w:val="5DC79EA8"/>
    <w:multiLevelType w:val="hybridMultilevel"/>
    <w:lvl w:ilvl="0">
      <w:lvlJc w:val="left"/>
      <w:lvlText w:val="%1"/>
      <w:numFmt w:val="decimal"/>
      <w:start w:val="900"/>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lvl w:ilvl="1">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1"/>
      <w:numFmt w:val="decimal"/>
      <w:start w:val="666"/>
    </w:lvl>
  </w:abstractNum>
  <w:abstractNum w:abstractNumId="67">
    <w:nsid w:val="11447B73"/>
    <w:multiLevelType w:val="hybridMultilevel"/>
    <w:lvl w:ilvl="0">
      <w:lvlJc w:val="left"/>
      <w:lvlText w:val="%1"/>
      <w:numFmt w:val="decimal"/>
      <w:start w:val="12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1"/>
      <w:numFmt w:val="decimal"/>
      <w:start w:val="180"/>
    </w:lvl>
  </w:abstractNum>
  <w:abstractNum w:abstractNumId="70">
    <w:nsid w:val="8F2B15E"/>
    <w:multiLevelType w:val="hybridMultilevel"/>
    <w:lvl w:ilvl="0">
      <w:lvlJc w:val="left"/>
      <w:lvlText w:val="%1"/>
      <w:numFmt w:val="decimal"/>
      <w:start w:val="900"/>
    </w:lvl>
  </w:abstractNum>
  <w:abstractNum w:abstractNumId="71">
    <w:nsid w:val="1A32234B"/>
    <w:multiLevelType w:val="hybridMultilevel"/>
    <w:lvl w:ilvl="0">
      <w:lvlJc w:val="left"/>
      <w:lvlText w:val="--"/>
      <w:numFmt w:val="bullet"/>
      <w:start w:val="1"/>
    </w:lvl>
    <w:lvl w:ilvl="1">
      <w:lvlJc w:val="left"/>
      <w:lvlText w:val="--"/>
      <w:numFmt w:val="bullet"/>
      <w:start w:val="1"/>
    </w:lvl>
  </w:abstractNum>
  <w:abstractNum w:abstractNumId="72">
    <w:nsid w:val="3B0FD379"/>
    <w:multiLevelType w:val="hybridMultilevel"/>
    <w:lvl w:ilvl="0">
      <w:lvlJc w:val="left"/>
      <w:lvlText w:val="%1"/>
      <w:numFmt w:val="decimal"/>
      <w:start w:val="900"/>
    </w:lvl>
  </w:abstractNum>
  <w:abstractNum w:abstractNumId="73">
    <w:nsid w:val="68EB2F63"/>
    <w:multiLevelType w:val="hybridMultilevel"/>
    <w:lvl w:ilvl="0">
      <w:lvlJc w:val="left"/>
      <w:lvlText w:val="%1"/>
      <w:numFmt w:val="decimal"/>
      <w:start w:val="900"/>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lvl w:ilvl="1">
      <w:lvlJc w:val="left"/>
      <w:lvlText w:val="--"/>
      <w:numFmt w:val="bullet"/>
      <w:start w:val="1"/>
    </w:lvl>
  </w:abstractNum>
  <w:abstractNum w:abstractNumId="76">
    <w:nsid w:val="6A5EE64"/>
    <w:multiLevelType w:val="hybridMultilevel"/>
    <w:lvl w:ilvl="0">
      <w:lvlJc w:val="left"/>
      <w:lvlText w:val="-"/>
      <w:numFmt w:val="bullet"/>
      <w:start w:val="1"/>
    </w:lvl>
    <w:lvl w:ilvl="1">
      <w:lvlJc w:val="left"/>
      <w:lvlText w:val="%2"/>
      <w:numFmt w:val="decimal"/>
      <w:start w:val="900"/>
    </w:lvl>
  </w:abstractNum>
  <w:abstractNum w:abstractNumId="77">
    <w:nsid w:val="14330624"/>
    <w:multiLevelType w:val="hybridMultilevel"/>
    <w:lvl w:ilvl="0">
      <w:lvlJc w:val="left"/>
      <w:lvlText w:val="-"/>
      <w:numFmt w:val="bullet"/>
      <w:start w:val="1"/>
    </w:lvl>
    <w:lvl w:ilvl="1">
      <w:lvlJc w:val="left"/>
      <w:lvlText w:val="%2"/>
      <w:numFmt w:val="decimal"/>
      <w:start w:val="31"/>
    </w:lvl>
  </w:abstractNum>
  <w:abstractNum w:abstractNumId="78">
    <w:nsid w:val="7FFFCA11"/>
    <w:multiLevelType w:val="hybridMultilevel"/>
    <w:lvl w:ilvl="0">
      <w:lvlJc w:val="left"/>
      <w:lvlText w:val="%1"/>
      <w:numFmt w:val="decimal"/>
      <w:start w:val="141"/>
    </w:lvl>
  </w:abstractNum>
  <w:abstractNum w:abstractNumId="79">
    <w:nsid w:val="1A27709E"/>
    <w:multiLevelType w:val="hybridMultilevel"/>
    <w:lvl w:ilvl="0">
      <w:lvlJc w:val="left"/>
      <w:lvlText w:val="%1"/>
      <w:numFmt w:val="decimal"/>
      <w:start w:val="245"/>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3"/>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2019-12-14T19:40:02Z</dcterms:created>
  <dcterms:modified xsi:type="dcterms:W3CDTF">2019-12-14T19:40:02Z</dcterms:modified>
</cp:coreProperties>
</file>