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4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625 Maryville Centre Drive, Suite 200</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Saint Louis, Missouri 63141</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92"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92"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0"/>
          </w:cols>
          <w:pgMar w:left="440" w:top="382" w:right="899" w:bottom="1440" w:gutter="0" w:footer="0" w:header="0"/>
        </w:sectPr>
      </w:pPr>
    </w:p>
    <w:bookmarkStart w:id="1" w:name="page2"/>
    <w:bookmarkEnd w:id="1"/>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TO BE HELD ON FRIDAY, JANUARY 27, 2023</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the Shareholders:</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annual general meeting of shareholders of Amdocs Limited will be held at 11:00 a.m., local time, on Friday, January 27, 2023, at the Amdocs offices at 185 Hudson Street, floor no. 27, Suite 2700, Jersey City, NJ 07311, for the following purposes:</w:t>
      </w:r>
    </w:p>
    <w:p>
      <w:pPr>
        <w:spacing w:after="0" w:line="170" w:lineRule="exact"/>
        <w:rPr>
          <w:sz w:val="20"/>
          <w:szCs w:val="20"/>
          <w:color w:val="auto"/>
        </w:rPr>
      </w:pPr>
    </w:p>
    <w:p>
      <w:pPr>
        <w:ind w:left="4" w:right="320" w:hanging="4"/>
        <w:spacing w:after="0" w:line="342" w:lineRule="auto"/>
        <w:tabs>
          <w:tab w:leader="none" w:pos="18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Yvette Kanouff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Sarah Ruth Davis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Amos Genish</w:t>
      </w:r>
    </w:p>
    <w:p>
      <w:pPr>
        <w:spacing w:after="0" w:line="103" w:lineRule="exact"/>
        <w:rPr>
          <w:sz w:val="20"/>
          <w:szCs w:val="20"/>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Amdocs Limited 2023 Employee Share Purchase Plan (Proposal II);</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$0.395 per share to $0.435 per share (Proposal III);</w:t>
      </w:r>
    </w:p>
    <w:p>
      <w:pPr>
        <w:spacing w:after="0" w:line="140" w:lineRule="exact"/>
        <w:rPr>
          <w:rFonts w:ascii="Arial" w:cs="Arial" w:eastAsia="Arial" w:hAnsi="Arial"/>
          <w:sz w:val="16"/>
          <w:szCs w:val="16"/>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2022 (Proposal IV); and</w:t>
      </w:r>
    </w:p>
    <w:p>
      <w:pPr>
        <w:spacing w:after="0" w:line="117" w:lineRule="exact"/>
        <w:rPr>
          <w:rFonts w:ascii="Arial" w:cs="Arial" w:eastAsia="Arial" w:hAnsi="Arial"/>
          <w:sz w:val="18"/>
          <w:szCs w:val="18"/>
          <w:color w:val="auto"/>
        </w:rPr>
      </w:pPr>
    </w:p>
    <w:p>
      <w:pPr>
        <w:ind w:left="4" w:hanging="4"/>
        <w:spacing w:after="0" w:line="286" w:lineRule="auto"/>
        <w:tabs>
          <w:tab w:leader="none" w:pos="184"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ratify and approve the appointment of Ernst &amp; Young LLP as our independent registered public accounting firm for the fiscal year ending September 30, 2023,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Board of Directors has fixed the close of business on November 30, 2022 as the record date for the determination of our shareholders entitled to notice of, and to vote on the matters proposed at, the annual general meeting and any adjournments thereof.</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4"/>
        <w:spacing w:after="0"/>
        <w:tabs>
          <w:tab w:leader="none" w:pos="752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ectPr>
          <w:pgSz w:w="11900" w:h="16838" w:orient="portrait"/>
          <w:cols w:equalWidth="0" w:num="1">
            <w:col w:w="10884"/>
          </w:cols>
          <w:pgMar w:left="436" w:top="270"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VOTE IS IMPORTANT</w:t>
      </w:r>
    </w:p>
    <w:p>
      <w:pPr>
        <w:spacing w:after="0" w:line="270" w:lineRule="exact"/>
        <w:rPr>
          <w:sz w:val="20"/>
          <w:szCs w:val="20"/>
          <w:color w:val="auto"/>
        </w:rPr>
      </w:pPr>
    </w:p>
    <w:p>
      <w:pPr>
        <w:ind w:left="260" w:right="400"/>
        <w:spacing w:after="0" w:line="254" w:lineRule="auto"/>
        <w:rPr>
          <w:sz w:val="20"/>
          <w:szCs w:val="20"/>
          <w:color w:val="auto"/>
        </w:rPr>
      </w:pPr>
      <w:r>
        <w:rPr>
          <w:rFonts w:ascii="Arial" w:cs="Arial" w:eastAsia="Arial" w:hAnsi="Arial"/>
          <w:sz w:val="18"/>
          <w:szCs w:val="18"/>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-972820</wp:posOffset>
            </wp:positionV>
            <wp:extent cx="6926580"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977265"/>
                    </a:xfrm>
                    <a:prstGeom prst="rect">
                      <a:avLst/>
                    </a:prstGeom>
                    <a:noFill/>
                  </pic:spPr>
                </pic:pic>
              </a:graphicData>
            </a:graphic>
          </wp:anchor>
        </w:drawing>
      </w:r>
    </w:p>
    <w:p>
      <w:pPr>
        <w:spacing w:after="0" w:line="80" w:lineRule="exact"/>
        <w:rPr>
          <w:sz w:val="20"/>
          <w:szCs w:val="20"/>
          <w:color w:val="auto"/>
        </w:rPr>
      </w:pPr>
    </w:p>
    <w:p>
      <w:pPr>
        <w:ind w:left="-40" w:right="140" w:firstLine="436"/>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2022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78" w:lineRule="exact"/>
        <w:rPr>
          <w:rFonts w:ascii="Arial" w:cs="Arial" w:eastAsia="Arial" w:hAnsi="Arial"/>
          <w:sz w:val="18"/>
          <w:szCs w:val="18"/>
          <w:color w:val="auto"/>
        </w:rPr>
      </w:pPr>
    </w:p>
    <w:p>
      <w:pPr>
        <w:ind w:left="-40" w:right="360" w:firstLine="436"/>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75" w:lineRule="exact"/>
        <w:rPr>
          <w:rFonts w:ascii="Arial" w:cs="Arial" w:eastAsia="Arial" w:hAnsi="Arial"/>
          <w:sz w:val="18"/>
          <w:szCs w:val="18"/>
          <w:color w:val="auto"/>
        </w:rPr>
      </w:pPr>
    </w:p>
    <w:p>
      <w:pPr>
        <w:ind w:left="-40" w:firstLine="436"/>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84" w:lineRule="exact"/>
        <w:rPr>
          <w:rFonts w:ascii="Arial" w:cs="Arial" w:eastAsia="Arial" w:hAnsi="Arial"/>
          <w:sz w:val="18"/>
          <w:szCs w:val="18"/>
          <w:color w:val="auto"/>
        </w:rPr>
      </w:pPr>
    </w:p>
    <w:p>
      <w:pPr>
        <w:ind w:left="580" w:hanging="184"/>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0920"/>
          </w:cols>
          <w:pgMar w:left="480" w:top="270" w:right="4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FRIDAY, JANUARY 27, 2023</w:t>
      </w:r>
    </w:p>
    <w:p>
      <w:pPr>
        <w:spacing w:after="0" w:line="21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70"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January 27, 2023, at the Amdocs offices at 185 Hudson Street, floor no. 27, Suite 2700, Jersey City, NJ 07311, or at any adjournments thereof (the “General Meeting”).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Proxy Statement and the accompanying proxy are first being mailed or delivered to our shareholders on or about December 21, 2022.</w:t>
      </w:r>
    </w:p>
    <w:p>
      <w:pPr>
        <w:spacing w:after="0" w:line="23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At the General Meeting, the holders of our ordinary shares as of the close of business on November 30, 2022 (the “Record Date”) will be asked to take the following actions:</w:t>
      </w:r>
    </w:p>
    <w:p>
      <w:pPr>
        <w:spacing w:after="0" w:line="62" w:lineRule="exact"/>
        <w:rPr>
          <w:sz w:val="20"/>
          <w:szCs w:val="20"/>
          <w:color w:val="auto"/>
        </w:rPr>
      </w:pPr>
    </w:p>
    <w:p>
      <w:pPr>
        <w:ind w:right="200" w:firstLine="436"/>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10 directors to serve until the next annual general meeting of shareholders or until their earlier resignation or removal or successors are elected and qualified (Proposal I);</w:t>
      </w:r>
    </w:p>
    <w:p>
      <w:pPr>
        <w:spacing w:after="0" w:line="62" w:lineRule="exact"/>
        <w:rPr>
          <w:rFonts w:ascii="Arial" w:cs="Arial" w:eastAsia="Arial" w:hAnsi="Arial"/>
          <w:sz w:val="18"/>
          <w:szCs w:val="18"/>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Amdocs Limited 2023 Employee Share Purchase Plan (Proposal II);</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$0.395 per share to $0.435 per share (Proposal III);</w:t>
      </w:r>
    </w:p>
    <w:p>
      <w:pPr>
        <w:spacing w:after="0" w:line="140" w:lineRule="exact"/>
        <w:rPr>
          <w:rFonts w:ascii="Arial" w:cs="Arial" w:eastAsia="Arial" w:hAnsi="Arial"/>
          <w:sz w:val="16"/>
          <w:szCs w:val="16"/>
          <w:color w:val="auto"/>
        </w:rPr>
      </w:pPr>
    </w:p>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2022 (Proposal IV); and</w:t>
      </w:r>
    </w:p>
    <w:p>
      <w:pPr>
        <w:spacing w:after="0" w:line="117" w:lineRule="exact"/>
        <w:rPr>
          <w:rFonts w:ascii="Arial" w:cs="Arial" w:eastAsia="Arial" w:hAnsi="Arial"/>
          <w:sz w:val="18"/>
          <w:szCs w:val="18"/>
          <w:color w:val="auto"/>
        </w:rPr>
      </w:pPr>
    </w:p>
    <w:p>
      <w:pPr>
        <w:ind w:right="60" w:firstLine="436"/>
        <w:spacing w:after="0" w:line="286"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and approve the appointment of Ernst &amp; Young LLP as our independent registered public accounting firm for the fiscal year ending September 30, 2023,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6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As of the Record Date, Amdocs had outstanding 120,816,602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92"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Approval of Proposals I, II, III, IV and V requires the affirmative vote of a majority of our ordinary shares voted in person or by proxy at the General Meeting.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70" w:right="519" w:bottom="1440" w:gutter="0" w:footer="0" w:header="0"/>
        </w:sectPr>
      </w:pPr>
    </w:p>
    <w:bookmarkStart w:id="4" w:name="page5"/>
    <w:bookmarkEnd w:id="4"/>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71"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64"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27, 2023. We strongly encourage our shareholders to use the enclosed proxy card or to authorize the voting of their shares over the internet or by telephone as provided in the instructions set forth in the enclosed proxy card.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960" w:hanging="532"/>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92"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REGARDING THE AVAILABILITY OF PROXY MATERIALS FOR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JANUARY 27, 2023</w:t>
      </w:r>
    </w:p>
    <w:p>
      <w:pPr>
        <w:spacing w:after="0" w:line="229" w:lineRule="exact"/>
        <w:rPr>
          <w:sz w:val="20"/>
          <w:szCs w:val="20"/>
          <w:color w:val="auto"/>
        </w:rPr>
      </w:pPr>
    </w:p>
    <w:p>
      <w:pPr>
        <w:ind w:right="1740" w:firstLine="440"/>
        <w:spacing w:after="0" w:line="277" w:lineRule="auto"/>
        <w:rPr>
          <w:sz w:val="20"/>
          <w:szCs w:val="20"/>
          <w:color w:val="auto"/>
        </w:rPr>
      </w:pPr>
      <w:r>
        <w:rPr>
          <w:rFonts w:ascii="Arial" w:cs="Arial" w:eastAsia="Arial" w:hAnsi="Arial"/>
          <w:sz w:val="18"/>
          <w:szCs w:val="18"/>
          <w:color w:val="auto"/>
        </w:rPr>
        <w:t>This proxy statement and the 2022 Annual Report to Shareholders are available for viewing, printing and downloading at www.amdocs.com/proxy.</w:t>
      </w:r>
    </w:p>
    <w:p>
      <w:pPr>
        <w:spacing w:after="0" w:line="170"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You may also request a copy of the materials relating to our annual general meeting, including this proxy statement and form of proxy for our annual general meeting, and our Annual Report on Form 20-F for the fiscal year ended September 30, 2022 by contacting our investor relations department by telephone at (314) 212-8328 or by e-mail at dox_info@amdocs.com.</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0" w:firstLine="440"/>
        <w:spacing w:after="0" w:line="279" w:lineRule="auto"/>
        <w:rPr>
          <w:sz w:val="20"/>
          <w:szCs w:val="20"/>
          <w:color w:val="auto"/>
        </w:rPr>
      </w:pPr>
      <w:r>
        <w:rPr>
          <w:rFonts w:ascii="Arial" w:cs="Arial" w:eastAsia="Arial" w:hAnsi="Arial"/>
          <w:sz w:val="17"/>
          <w:szCs w:val="17"/>
          <w:color w:val="auto"/>
        </w:rPr>
        <w:t>Eleven (11) directors currently serve on our Board of Directors. As set forth below, the Board of Directors has nominated ten (10) individuals as nominees for election as directors at the General Meeting, nine (9) of whom are incumbent directors and one of whom is a new nominee.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7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w:t>
      </w:r>
    </w:p>
    <w:p>
      <w:pPr>
        <w:spacing w:after="0" w:line="19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ten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or she became a director of Amdocs.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Robert A. Minicucci</w:t>
            </w:r>
          </w:p>
        </w:tc>
        <w:tc>
          <w:tcPr>
            <w:tcW w:w="60" w:type="dxa"/>
            <w:vAlign w:val="bottom"/>
          </w:tcPr>
          <w:p>
            <w:pPr>
              <w:spacing w:after="0"/>
              <w:rPr>
                <w:sz w:val="15"/>
                <w:szCs w:val="15"/>
                <w:color w:val="auto"/>
              </w:rPr>
            </w:pPr>
          </w:p>
        </w:tc>
        <w:tc>
          <w:tcPr>
            <w:tcW w:w="2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2"/>
              </w:rPr>
              <w:t>Mr. Minicucci has been Chairman of the Board of Directors of Amdocs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since 2011 and a director since 1997. Mr. Minicucci joined Welsh,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Carson, Anderson &amp; Stowe, or WCAS, in 1993. Mr. Minicucci has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served as a managing member of the general partners of certain funds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affiliated with WCAS and has focused on the information and business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services industry. Until 2003, investment partnerships affiliated with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WCAS had been among our largest shareholders. From 1992 to 1993,</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Mr. Minicucci served as Senior Vice President and Chief Financial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Officer of First Data Corporation, a provider of information processing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and related services for credit card and other payment transactions.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From 1991 to 1992, he served as Senior Vice President and Treasurer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of the American Express Company. He served for 12 years with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Lehman Brothers (and its predecessors) until his resignation as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Managing Director in 1991. Mr. Minicucci was a director of one other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publicly-held company, Alliance Data Systems, Inc. until June 2020.</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He is also a director of several private companies. Mr. Minicucci’s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career in information technology investing, including as a director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more than 20 different public and private companies, and his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experience as chief financial officer to a public company and treasurer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of another public company, has provided him with strong business</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acumen and strategic and financial expertise.</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Gardner has been a director of Amdocs since 1998 and is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Audit Committee. Mr. Gardner serves as Chief</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Operating Officer of Stonehage Fleming Family &amp; Partners Limited,</w:t>
            </w:r>
          </w:p>
        </w:tc>
      </w:tr>
      <w:tr>
        <w:trPr>
          <w:trHeight w:val="365"/>
        </w:trPr>
        <w:tc>
          <w:tcPr>
            <w:tcW w:w="5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8"/>
              </w:rPr>
              <w:t>an international Multi-Family Office business, since October 2019.</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Mr. Gardner has served as a member of the Audit &amp; Risk Committee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Worcester College, Oxford University since May 2017 and as its chair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since June 2022. From 2016 to 2019, Mr. Gardner served as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Financial Officer of Ipes Holdings Limited, a provider of outsourced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services to private equity firms. From 2014 to September 2016,</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Mr. Gardner served as Chief Financial Officer of International Personal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Finance plc, an international home credit business. Mr. Gardner was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Chief Financial Officer and a director of RSM Tenon Group PLC,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London-based accounting and advisory firm from 2011 until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acquisition in 2013 of its operating subsidiaries by Baker Tilly UK</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Holdings Limited, since renamed RSM UK Limited. Mr. Gardner was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of PA Consulting Group, a London-based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business consulting firm from 2007 to 2011. Mr. Gardner was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Financial Officer and a director of ProStrakan Group plc,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pharmaceuticals company based in the United Kingdom and listed 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the London Stock Exchange, from 2002 until 2007. Prior to joining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ProStrakan, he was a Managing Director of Lazard LLC, based in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London, where he worked with technology and telecommunications-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related companies. Prior to joining Lazard in 1989, Mr. Gardner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qualified as a chartered accountant with Price Waterhouse (now</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PricewaterhouseCoopers). Mr. Gardner’s extensive experience as an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accountant, technology investment banker and chief financial officer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enables him to make valuable contributions to our strategic and</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financial affairs.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240" w:type="dxa"/>
            <w:vAlign w:val="bottom"/>
          </w:tcPr>
          <w:p>
            <w:pPr>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Mr. Rafael de la Vega has been a director of Amdocs since January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2018 and is Chairman of the Management Resources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Compensation Committee. Since 2017, he has served as the Chairman</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and Founder of the De La Vega Group, a consultancy and advisory</w:t>
            </w:r>
          </w:p>
        </w:tc>
      </w:tr>
    </w:tbl>
    <w:p>
      <w:pPr>
        <w:ind w:left="5860"/>
        <w:spacing w:after="0"/>
        <w:rPr>
          <w:sz w:val="20"/>
          <w:szCs w:val="20"/>
          <w:color w:val="auto"/>
        </w:rPr>
      </w:pPr>
      <w:r>
        <w:rPr>
          <w:rFonts w:ascii="Arial" w:cs="Arial" w:eastAsia="Arial" w:hAnsi="Arial"/>
          <w:sz w:val="16"/>
          <w:szCs w:val="16"/>
          <w:color w:val="auto"/>
        </w:rPr>
        <w:t>services firm. From February 2016 to December 2016, Mr. de la Vega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served as the Vice Chairman of AT&amp;T Inc. and CEO of Business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Solutions &amp; International. From 2014 to 2016, Mr. de la Vega served as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President and CEO of AT&amp;T Mobile and Business Solutions and from</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2007 to 2014 he served as the President and CEO of AT&amp;T Mobility.</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Mr. de la Vega also held various positions at several</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telecommunications companies, including Cingular Wireless and Bell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South Latin America. During his time at Cingular Wireless, he was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responsible for the integration of AT&amp;T Wireless and Cingular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Wireless. He also serves on the boards of American Express Company</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and New York Life Insurance Company. He served on the Executive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Committee of the Boy Scouts of America until May 2018 and served as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of the 2017 Boy Scouts Jamboree. He is the former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Chairman of Junior Achievement Worldwide and continues to serve on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its board of directors. In June 2018, Mr. de la Vega joined as the Vice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Chairman of the Board of Directors of Ubicquia LLC. In September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2018 he joined the Board of Advisors of RapidSOS. Mr. de la Vega</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5"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4"/>
              </w:rPr>
              <w:t>also recently joined Forté Ventures as a Limited Partner. We believe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Mr. de la Vega’s qualifications to sit on our Board of Directors include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his extensive experience and leadership in the telecommunications</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240" w:type="dxa"/>
            <w:vAlign w:val="bottom"/>
          </w:tcPr>
          <w:p>
            <w:pPr>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Mr. Gelman has been a director of Amdocs since 2002. Since January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2019, Mr. Gelman serves as the chairman of the Executive Council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Tel Aviv University. Mr. Gelman served as our President and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Executive Officer from 2010 to September 30, 2018. From 2010 until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2013, Mr. Gelman served as a director of Retalix, a global software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company, and during 2010, he also served as its Chairman. From 2008</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to 2010, Mr. Gelman devoted his time to charitable matters focused 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youth education. He served as Executive Vice President of Amdocs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Management Limited from 2002 until 2008 and as our Chief Operating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Officer from 2006 until 2008. Prior to 2002, he was a Senior Vice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President, where he headed our U.S. sales and marketing operations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and helped spearhead our entry into the customer care and billing</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systems market. Before that, Mr. Gelman was an account manager for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our major European and North American installations, and has led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several major software development projects. Before joining Amdocs,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Mr. Gelman was involved in the development of real-time software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systems for communications networks and software projects for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NASA. Mr. Gelman’s qualifications to serve on our Board of Directors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include his more than two decades of service to Amdocs and its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customers, including as our Chief Operating Officer and President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Chief Executive Officer. With more than 30 years of experience in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software industry, he possesses a vast institutional knowledge and</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strategic understanding of our organization and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240" w:type="dxa"/>
            <w:vAlign w:val="bottom"/>
          </w:tcPr>
          <w:p>
            <w:pPr>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Mr. LeFave has been a director of Amdocs since 2011 and is the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Chairman of the Nominating and Corporate Governance Committee.</w:t>
            </w:r>
          </w:p>
        </w:tc>
      </w:tr>
    </w:tbl>
    <w:p>
      <w:pPr>
        <w:ind w:left="5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2008, Mr. LeFave has been a Principal at D&amp;L Partners, LLC, an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information technology consulting firm. Mr. LeFave served as Chief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Information Officer for Nextel Communications, a telecommunications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company, from 1999 until its merger with Sprint Corporation in 2005,</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after which he served as Chief Information Officer for Sprint Nextel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Corporation until 2008. From 1995 to 1999, Mr. LeFave served as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Information Officer for Southern New England Telephone</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Company, a provider of communications products and services.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Mr. LeFave has held the Chief Information Officer position including</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CISO duties for a U.S.-based manufacturing firm and attended Harvard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Business School (“HBS”) courses in Board Compensation and Audit</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Committee strategies and completed his HBS Corporate Director</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Certificate. We believe Mr. LeFave’s qualifications to sit on our board</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include his extensive experience and leadership in the information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technology and telecommunications industry.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65"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John A. MacDonald</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rPr>
              <w:t>Mr. MacDonald has been a director of Amdocs since 2019.</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Mr. MacDonald is an experienced senior executive who has worked at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some of Canada’s largest technology organizations and serves as a</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board member of BookJane Inc. From 2012 to 2021, Mr. MacDonald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served as a board member of Rogers Communications Inc. From 2003</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to 2008, Mr. MacDonald served as the President, Enterprise Division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of MTS Allstream. Before that, between 2002 to 2003, Mr. MacDonald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was a President and Chief Operating Officer AT&amp;T Canada. AT&amp;T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Canada was re-branded Allstream in 2003 and was subsequently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acquired by MTS the following year. In 1994 Mr. MacDonald joined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Bell Canada as its Chief Technology Officer and retired from Bell</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Canada in 1999 as its President and Chief Operating Officer.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1977 to 1994 Mr. MacDonald worked at NBTel, where he became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in 1994. We believe Mr. MacDonald’s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qualifications to sit on our Board of Directors include his extensive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experience and leadership in the telecommunications industry.</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Sheffer is a director and has been our President and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Executive Officer since October 1, 2018. Mr. Sheffer previously served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as Senior Vice President and President of the Global Business Group</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from October 2013 to September 30, 2018. Mr. Sheffer served as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Executive Officer of Retalix Ltd., a global software company, from</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2009 until its acquisition by NCR Corporation in 2013. Following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acquisition, he served as a General Manager of Retalix through</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September 2013. From 1986 to 2009, Mr. Sheffer served at various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managerial positions at Amdocs, most recently as President of the</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Emerging Markets Divisions.</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Yvette Kanouff</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Ms. Kanouff has been a director of Amdocs since 2020. Since August</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2018, Ms. Kanouff has served as a director of Sprinklr CXM, which</w:t>
            </w:r>
          </w:p>
        </w:tc>
      </w:tr>
    </w:tbl>
    <w:p>
      <w:pPr>
        <w:ind w:left="5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became a public company in June 2021. Since August 2019,</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Ms. Kanouff has served as a director of Science Applications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International Corporation (SAIC). Since February 2021, Ms. Kanouff</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has served as a director of Entegris ENTG. Ms. Kanouff is currently a</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partner and chief technology officer at Silicon Valley-based venture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capital and private equity firm JC2 Ventures where Ms. Kanouff is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responsible for technology strategy and engineering relationships</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within JC2 Ventures investment companies, partners, and customers.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Prior to that, Ms. Kanouff served as a senior vice president and general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manager for Cisco’s Service Provider Business where she was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responsible for more than $7 billion in direct revenue and more than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6,000 employees globally. Previously, Ms. Kanouff held leadership</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positions for numerous companies, including Cablevision, SeaChange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International, and Time Warner. Ms. Kanouff holds a bachelor’s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degree, a master’s degree in mathematics from the University of</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Central Florida and completed her HBS Corporate Director Certificate.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Ms. Kanouff is also a director and executive advisor of several private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technology companies.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5"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160" w:type="dxa"/>
            <w:vAlign w:val="bottom"/>
            <w:tcBorders>
              <w:bottom w:val="single" w:sz="8" w:color="auto"/>
            </w:tcBorders>
          </w:tcPr>
          <w:p>
            <w:pPr>
              <w:spacing w:after="0"/>
              <w:rPr>
                <w:sz w:val="16"/>
                <w:szCs w:val="16"/>
                <w:color w:val="auto"/>
              </w:rPr>
            </w:pPr>
          </w:p>
        </w:tc>
      </w:tr>
      <w:tr>
        <w:trPr>
          <w:trHeight w:val="175"/>
        </w:trPr>
        <w:tc>
          <w:tcPr>
            <w:tcW w:w="5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Sarah Ruth Davis</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5"/>
                <w:szCs w:val="15"/>
                <w:color w:val="auto"/>
              </w:rPr>
            </w:pPr>
          </w:p>
        </w:tc>
        <w:tc>
          <w:tcPr>
            <w:tcW w:w="5160" w:type="dxa"/>
            <w:vAlign w:val="bottom"/>
          </w:tcPr>
          <w:p>
            <w:pPr>
              <w:spacing w:after="0" w:line="176" w:lineRule="exact"/>
              <w:rPr>
                <w:sz w:val="20"/>
                <w:szCs w:val="20"/>
                <w:color w:val="auto"/>
              </w:rPr>
            </w:pPr>
            <w:r>
              <w:rPr>
                <w:rFonts w:ascii="Arial" w:cs="Arial" w:eastAsia="Arial" w:hAnsi="Arial"/>
                <w:sz w:val="18"/>
                <w:szCs w:val="18"/>
                <w:color w:val="auto"/>
                <w:w w:val="95"/>
              </w:rPr>
              <w:t>Ms. Davis has been a director of Amdocs since 2021. From 2007 to</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May 2021, Ms. Davis served in various executive roles at Loblaw</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Companies Limited, Canada’s largest retailer and the nation’s food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pharmacy leader. From 2017 until May 2021, Ms. Davis served as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of Loblaw Companies Limited. From 2014 until 2017,</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Ms. Davis served as the chief administrative officer of Loblaw. Before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0"/>
              </w:rPr>
              <w:t>being appointed as the chief administrative officer, Ms. Davis served as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Loblaw’s chief financial officer from 2010 until 2014. Prior to her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appointment as chief financial officer, Ms. Davis served as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financial controller between 2007 to 2010. From 2005 until 2007, she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was the controller and vice president of finance of Rogers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Communications, Inc. Between 1996 to 2005, Ms. Davis served in</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various finance and accounting roles with Bell Canada, including chief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financial officer of Bell Nexxia and the vice president of complex bids</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at BCE Emergis Inc., a Bell spin-off that owned an array of media and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8"/>
              </w:rPr>
              <w:t>e-commerce companies. Since 2014 Ms. Davis also serves on the board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of directors of AGF Management Limited, an investment manager</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traded on the Toronto Stock Exchange. Between 2010 and 2021</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1"/>
              </w:rPr>
              <w:t>Ms. Davis served on the board of directors of President’s Choice Bank.</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From 2017 until 2021, Ms. Davis served as the chairman of T&amp;T</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9"/>
              </w:rPr>
              <w:t>Supermarket Inc. In August 2021, Ms. Davis joined the boards of</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8"/>
              </w:rPr>
              <w:t>directors of Victoria’s Secret &amp; Co., a company traded on the New</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York Stock Exchange, and Pet Valu Holdings Ltd., a pet supply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9"/>
              </w:rPr>
              <w:t>company traded on the Toronto Stock Exchange. Ms. Davis was named</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one of Canada’s Most Powerful Women: Top 100 in 2011 by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Women’s Executive Network and was the executive sponsor of the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Women@Loblaw network. Ms. Davis holds a Bachelor of Commerce,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2"/>
              </w:rPr>
              <w:t>honors degree from Queen’s University and is a chartered accountant</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and Fellow of the CPA.</w:t>
            </w:r>
          </w:p>
        </w:tc>
      </w:tr>
      <w:tr>
        <w:trPr>
          <w:trHeight w:val="310"/>
        </w:trPr>
        <w:tc>
          <w:tcPr>
            <w:tcW w:w="5400" w:type="dxa"/>
            <w:vAlign w:val="bottom"/>
            <w:gridSpan w:val="2"/>
          </w:tcPr>
          <w:p>
            <w:pPr>
              <w:spacing w:after="0"/>
              <w:rPr>
                <w:sz w:val="20"/>
                <w:szCs w:val="20"/>
                <w:color w:val="auto"/>
              </w:rPr>
            </w:pPr>
            <w:r>
              <w:rPr>
                <w:rFonts w:ascii="Arial" w:cs="Arial" w:eastAsia="Arial" w:hAnsi="Arial"/>
                <w:sz w:val="18"/>
                <w:szCs w:val="18"/>
                <w:color w:val="auto"/>
              </w:rPr>
              <w:t>Amos Genish</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Mr. Genish is a nominee for director of Amdocs. Since May</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88"/>
              </w:rPr>
              <w:t>2019, Mr. Genish has served as a senior partner at BTG Pactual, a large</w:t>
            </w:r>
          </w:p>
        </w:tc>
      </w:tr>
      <w:tr>
        <w:trPr>
          <w:trHeight w:val="216"/>
        </w:trPr>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5"/>
              </w:rPr>
              <w:t>investment bank in Brazil, where he led the Digital Retail Bank from</w:t>
            </w:r>
          </w:p>
        </w:tc>
      </w:tr>
      <w:tr>
        <w:trPr>
          <w:trHeight w:val="230"/>
        </w:trPr>
        <w:tc>
          <w:tcPr>
            <w:tcW w:w="5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May 2019 until the end of 2021, and from January 2022 Mr. Genish</w:t>
            </w:r>
          </w:p>
        </w:tc>
      </w:tr>
    </w:tbl>
    <w:p>
      <w:pPr>
        <w:ind w:left="5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served as the executive chairman of V.tal, a large fiber operator in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Brazil. Between 2017 and 2018, Mr. Genish served as chief executive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officer of Telecom Italia. From 2015 until the end of 2016, Mr. Genish</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served as president and chief executive officer of Telefonica Brasil</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(Vivo). Before joining Vivo he was chief executive officer of GVT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from 2009 to 2014, a Brazilian telecom and Pay TV operator that he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co-founded in 1999, which went public on the Brazilian stock</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exchange in 2007 and was later sold to Vivendi in 2009. After the sale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of GVT to Vivendi, Mr. Genish was appointed to Vivendi’s</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management board, and in 2014 he led the negotiations for GVT’s sale</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to Telefonica for the amount of 7.5 billion euros. In 1989, Mr. Genish</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served as CFO for Edunetics, a start-up company that developed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curriculum multimedia-based systems primarily for the US school</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65" w:right="439" w:bottom="1440" w:gutter="0" w:footer="0" w:header="0"/>
        </w:sectPr>
      </w:pPr>
    </w:p>
    <w:bookmarkStart w:id="11" w:name="page12"/>
    <w:bookmarkEnd w:id="11"/>
    <w:p>
      <w:pPr>
        <w:spacing w:after="0"/>
        <w:tabs>
          <w:tab w:leader="none" w:pos="53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w:t>
      </w:r>
      <w:r>
        <w:rPr>
          <w:sz w:val="20"/>
          <w:szCs w:val="20"/>
          <w:color w:val="auto"/>
        </w:rPr>
        <w:tab/>
      </w: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market, and he helped lead the company’s IPO on NASDAQ in 1992</w:t>
      </w:r>
    </w:p>
    <w:p>
      <w:pPr>
        <w:spacing w:after="0" w:line="3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and was appointed its chief executive officer in 1995. Between 1986</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and 1989, Mr. Genish worked at Somech Chaikin (now KPMG</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Somech Chaikin), and helped large holding companies with tax and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audit matters. He currently also serves as chairman of the board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of the Israeli on-demand mobility company Gett. From June 2020 until</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June 2021, Mr. Genish served as a board member of VEON Ltd.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(NASDAQ: VEON), and was the chairman of its telecommunications</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committee. From April 2017 to April 2019, Mr Genish served as a</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board member at Itaú Unibanco (NYSE: ITUB), the largest private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sector bank in Brazil. Mr. Genish holds a BA in economics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accounting from Tel Aviv University.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acts on and reports to the Board of Directors with respect to various auditing and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Mr. Gardner (Chair), Mr. LeFave, Mr. Minicucci and Ms. Davis to serve as members of the Audit Committee, all of whom are independent directors (including under the heightened independence requirements for members of the Audit Committee),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LeFave,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with CISO responsibilities for over five years provides a foundation of cyber awareness to the Audit Committee and also believe that Mr. LeFave’s post-graduate training at HBS in Audit Committee best practices as part of his HBS Corporate Director Certificate provides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Arial" w:cs="Arial" w:eastAsia="Arial" w:hAnsi="Arial"/>
          <w:sz w:val="16"/>
          <w:szCs w:val="16"/>
          <w:i w:val="1"/>
          <w:iCs w:val="1"/>
          <w:color w:val="auto"/>
        </w:rPr>
        <w:t>www.amdocs.com.</w:t>
      </w:r>
    </w:p>
    <w:p>
      <w:pPr>
        <w:spacing w:after="0" w:line="3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identifies individuals qualified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Subject to their election, the Board of Directors has appointed Messrs. LeFave (Chair), McDonald and Minicucci to serve as members of the Nominating and Corporate Governance Committee, all of whom are independent directors, as required by the Nasdaq listing standards, and pursuant to the categorical director independence standards adopted by our Board of Directors. The Nominating and Corporate Governance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65" w:right="479" w:bottom="1440" w:gutter="0" w:footer="0" w:header="0"/>
        </w:sectPr>
      </w:pPr>
    </w:p>
    <w:bookmarkStart w:id="12" w:name="page13"/>
    <w:bookmarkEnd w:id="12"/>
    <w:p>
      <w:pPr>
        <w:jc w:val="both"/>
        <w:ind w:right="5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Committee written charter is available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 xml:space="preserve">. The Nominating and Corporate Governance Committee has approved corporate governance guidelines that are also available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 You may request a copy of the corporate governance guidelines, at no cost, by writing to us at the address listed below under the heading “Annual Report on Form 20-F.”</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Management Resources and Compensation Committee</w:t>
      </w:r>
      <w:r>
        <w:rPr>
          <w:rFonts w:ascii="Arial" w:cs="Arial" w:eastAsia="Arial" w:hAnsi="Arial"/>
          <w:sz w:val="17"/>
          <w:szCs w:val="17"/>
          <w:color w:val="auto"/>
        </w:rPr>
        <w:t>. The Management Resources and Compensation Committee discharges the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Minicucci and MacDonald to serve as members of the Management Resources and Compensation Committee, all of whom are independent directors, as defined by the rules of Nasdaq, and pursuant to the categorical director independence standards adopted by our Board of Directors. Amongst its responsibilities, the Management Resources and Compensation Committee:</w:t>
      </w:r>
    </w:p>
    <w:p>
      <w:pPr>
        <w:spacing w:after="0" w:line="83" w:lineRule="exact"/>
        <w:rPr>
          <w:sz w:val="20"/>
          <w:szCs w:val="20"/>
          <w:color w:val="auto"/>
        </w:rPr>
      </w:pPr>
    </w:p>
    <w:p>
      <w:pPr>
        <w:ind w:left="960" w:right="400" w:hanging="424"/>
        <w:spacing w:after="0" w:line="277" w:lineRule="auto"/>
        <w:tabs>
          <w:tab w:leader="none" w:pos="9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retains, on an annual basis, an independent compensation consultant to assist in its evaluation of executive compensation according to industry benchmarks and best practice;</w:t>
      </w:r>
    </w:p>
    <w:p>
      <w:pPr>
        <w:spacing w:after="0" w:line="75" w:lineRule="exact"/>
        <w:rPr>
          <w:rFonts w:ascii="MS PGothic" w:cs="MS PGothic" w:eastAsia="MS PGothic" w:hAnsi="MS PGothic"/>
          <w:sz w:val="18"/>
          <w:szCs w:val="18"/>
          <w:color w:val="auto"/>
        </w:rPr>
      </w:pPr>
    </w:p>
    <w:p>
      <w:pPr>
        <w:ind w:left="960" w:hanging="424"/>
        <w:spacing w:after="0"/>
        <w:tabs>
          <w:tab w:leader="none" w:pos="9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periodically reviews the relevant peer groups used for compensation benchmarks;</w:t>
      </w:r>
    </w:p>
    <w:p>
      <w:pPr>
        <w:spacing w:after="0" w:line="130" w:lineRule="exact"/>
        <w:rPr>
          <w:rFonts w:ascii="MS PGothic" w:cs="MS PGothic" w:eastAsia="MS PGothic" w:hAnsi="MS PGothic"/>
          <w:sz w:val="18"/>
          <w:szCs w:val="18"/>
          <w:color w:val="auto"/>
        </w:rPr>
      </w:pPr>
    </w:p>
    <w:p>
      <w:pPr>
        <w:ind w:left="960" w:hanging="424"/>
        <w:spacing w:after="0"/>
        <w:tabs>
          <w:tab w:leader="none" w:pos="9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periodically reviews the implementation of our compensation philosophy and programs;</w:t>
      </w:r>
    </w:p>
    <w:p>
      <w:pPr>
        <w:spacing w:after="0" w:line="130" w:lineRule="exact"/>
        <w:rPr>
          <w:rFonts w:ascii="MS PGothic" w:cs="MS PGothic" w:eastAsia="MS PGothic" w:hAnsi="MS PGothic"/>
          <w:sz w:val="18"/>
          <w:szCs w:val="18"/>
          <w:color w:val="auto"/>
        </w:rPr>
      </w:pPr>
    </w:p>
    <w:p>
      <w:pPr>
        <w:ind w:left="960" w:right="340" w:hanging="424"/>
        <w:spacing w:after="0" w:line="277" w:lineRule="auto"/>
        <w:tabs>
          <w:tab w:leader="none" w:pos="9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administers our 1998 Stock Option and Incentive Plan, as amended, and any other stock option or equity incentive plans in accordance with their terms; and</w:t>
      </w:r>
    </w:p>
    <w:p>
      <w:pPr>
        <w:spacing w:after="0" w:line="75" w:lineRule="exact"/>
        <w:rPr>
          <w:rFonts w:ascii="MS PGothic" w:cs="MS PGothic" w:eastAsia="MS PGothic" w:hAnsi="MS PGothic"/>
          <w:sz w:val="18"/>
          <w:szCs w:val="18"/>
          <w:color w:val="auto"/>
        </w:rPr>
      </w:pPr>
    </w:p>
    <w:p>
      <w:pPr>
        <w:ind w:left="960" w:hanging="424"/>
        <w:spacing w:after="0"/>
        <w:tabs>
          <w:tab w:leader="none" w:pos="9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reviews executive compensation in consideration of clawback provisions, in line with its charter.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Management Resources and Compensation Committee written charter is available on our website at </w:t>
      </w:r>
      <w:r>
        <w:rPr>
          <w:rFonts w:ascii="Arial" w:cs="Arial" w:eastAsia="Arial" w:hAnsi="Arial"/>
          <w:sz w:val="18"/>
          <w:szCs w:val="18"/>
          <w:i w:val="1"/>
          <w:iCs w:val="1"/>
          <w:color w:val="auto"/>
        </w:rPr>
        <w:t>www.amdocs.com.</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i w:val="1"/>
          <w:iCs w:val="1"/>
          <w:color w:val="auto"/>
        </w:rPr>
        <w:t>Technology and Innovation Committee</w:t>
      </w:r>
      <w:r>
        <w:rPr>
          <w:rFonts w:ascii="Arial" w:cs="Arial" w:eastAsia="Arial" w:hAnsi="Arial"/>
          <w:sz w:val="18"/>
          <w:szCs w:val="18"/>
          <w:color w:val="auto"/>
        </w:rPr>
        <w:t>. The Technology and Innovation Committee was established to assist the Board of Directors in reviewing</w:t>
      </w:r>
      <w:r>
        <w:rPr>
          <w:rFonts w:ascii="Arial" w:cs="Arial" w:eastAsia="Arial" w:hAnsi="Arial"/>
          <w:sz w:val="18"/>
          <w:szCs w:val="18"/>
          <w:i w:val="1"/>
          <w:iCs w:val="1"/>
          <w:color w:val="auto"/>
        </w:rPr>
        <w:t xml:space="preserve"> </w:t>
      </w:r>
      <w:r>
        <w:rPr>
          <w:rFonts w:ascii="Arial" w:cs="Arial" w:eastAsia="Arial" w:hAnsi="Arial"/>
          <w:sz w:val="18"/>
          <w:szCs w:val="18"/>
          <w:color w:val="auto"/>
        </w:rPr>
        <w:t>our technological development, opportunities and innovation, in connection with the current and future business and markets. Subject to their election, the Board of Directors has appointed Mr. Gelman (Chair), Ms. Kanouff, Mr. MacDonald and Mr. Genish to serve as members of the Technology and Innovation Committee.</w:t>
      </w:r>
    </w:p>
    <w:p>
      <w:pPr>
        <w:spacing w:after="0" w:line="18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Our non-employee directors (“Non-Employee Directors”) receive no compensation from us, except in connection with their membership on the Board of Directors and its committees as described below regarding Non-Employee Directors under the heading “Compensation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During the past fiscal year 2022, the Board of Directors held eight meetings. In addition, the Audit Committee held six meetings, the Management Resources and Compensation Committee held three meetings, the Nominating and Corporate Governance Committee held four meetings and the Technology and Innovation Committee held three meetings in the 2022 fiscal year. During fiscal 2022,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 During fiscal 2022,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Shareholders who wish to send communications on any topic to the Board of Directors or to our independent or presiding directors should address such communications c/o Corporate Secretary, Amdocs Inc., 625 Maryville Centre Drive, Suite 200, Saint Louis, Missouri 63141.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 Standards</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Sheffer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Minicucci, Gardner, de la Vega, Gelman, LeFave, MacDonald and Genish, Ms. Kanouff and Ms. Davis.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 The code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xml:space="preserve"> and you may request a copy of our code of ethics, at no cost, by writing to or telephoning us at the address or telephone number listed below under the heading “Annual Report on Form 20-F.” We intend to post on our website within five business days all disclosures that are required by law or Nasdaq rules concerning any amendments to, or waivers from, any provision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w:t>
      </w:r>
    </w:p>
    <w:p>
      <w:pPr>
        <w:spacing w:after="0" w:line="24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 w:name="page15"/>
    <w:bookmarkEnd w:id="14"/>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table summarizes our compensation philosophy for our directors and executive management – “What we do?” and “What we don’t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do?”:</w:t>
      </w:r>
    </w:p>
    <w:p>
      <w:pPr>
        <w:sectPr>
          <w:pgSz w:w="11900" w:h="16838" w:orient="portrait"/>
          <w:cols w:equalWidth="0" w:num="1">
            <w:col w:w="10944"/>
          </w:cols>
          <w:pgMar w:left="436" w:top="274" w:right="519" w:bottom="1440" w:gutter="0" w:footer="0" w:header="0"/>
        </w:sectPr>
      </w:pPr>
    </w:p>
    <w:p>
      <w:pPr>
        <w:spacing w:after="0" w:line="234" w:lineRule="exact"/>
        <w:rPr>
          <w:sz w:val="20"/>
          <w:szCs w:val="20"/>
          <w:color w:val="auto"/>
        </w:rPr>
      </w:pPr>
    </w:p>
    <w:p>
      <w:pPr>
        <w:ind w:left="2464"/>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111" w:lineRule="exact"/>
        <w:rPr>
          <w:sz w:val="20"/>
          <w:szCs w:val="20"/>
          <w:color w:val="auto"/>
        </w:rPr>
      </w:pPr>
    </w:p>
    <w:p>
      <w:pPr>
        <w:sectPr>
          <w:pgSz w:w="11900" w:h="16838" w:orient="portrait"/>
          <w:cols w:equalWidth="0" w:num="2">
            <w:col w:w="7084" w:space="720"/>
            <w:col w:w="3140"/>
          </w:cols>
          <w:pgMar w:left="436" w:top="274" w:right="519" w:bottom="1440" w:gutter="0" w:footer="0" w:header="0"/>
          <w:type w:val="continuous"/>
        </w:sectPr>
      </w:pPr>
    </w:p>
    <w:p>
      <w:pPr>
        <w:ind w:left="4"/>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seek to provide an appropriate mix of short and long-term incentives</w:t>
      </w:r>
    </w:p>
    <w:p>
      <w:pPr>
        <w:spacing w:after="0" w:line="20" w:lineRule="exact"/>
        <w:rPr>
          <w:sz w:val="20"/>
          <w:szCs w:val="20"/>
          <w:color w:val="auto"/>
        </w:rPr>
      </w:pPr>
      <w:r>
        <w:rPr>
          <w:sz w:val="20"/>
          <w:szCs w:val="20"/>
          <w:color w:val="auto"/>
        </w:rPr>
        <w:br w:type="column"/>
      </w:r>
    </w:p>
    <w:p>
      <w:pPr>
        <w:ind w:right="340" w:hanging="282"/>
        <w:spacing w:after="0" w:line="21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minimum guaranteed vesting for performance-based equity awards</w:t>
      </w:r>
    </w:p>
    <w:p>
      <w:pPr>
        <w:spacing w:after="0" w:line="62" w:lineRule="exact"/>
        <w:rPr>
          <w:sz w:val="20"/>
          <w:szCs w:val="20"/>
          <w:color w:val="auto"/>
        </w:rPr>
      </w:pPr>
    </w:p>
    <w:p>
      <w:pPr>
        <w:sectPr>
          <w:pgSz w:w="11900" w:h="16838" w:orient="portrait"/>
          <w:cols w:equalWidth="0" w:num="3">
            <w:col w:w="144" w:space="240"/>
            <w:col w:w="4960" w:space="720"/>
            <w:col w:w="4880"/>
          </w:cols>
          <w:pgMar w:left="436" w:top="274" w:right="519" w:bottom="1440" w:gutter="0" w:footer="0" w:header="0"/>
          <w:type w:val="continuous"/>
        </w:sectPr>
      </w:pPr>
    </w:p>
    <w:p>
      <w:pPr>
        <w:ind w:left="4"/>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We target at least 50-70% of executive management compensation to</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No guaranteed performance bonuses</w:t>
      </w:r>
    </w:p>
    <w:p>
      <w:pPr>
        <w:spacing w:after="0" w:line="77" w:lineRule="exact"/>
        <w:rPr>
          <w:sz w:val="20"/>
          <w:szCs w:val="20"/>
          <w:color w:val="auto"/>
        </w:rPr>
      </w:pPr>
    </w:p>
    <w:p>
      <w:pPr>
        <w:sectPr>
          <w:pgSz w:w="11900" w:h="16838" w:orient="portrait"/>
          <w:cols w:equalWidth="0" w:num="4">
            <w:col w:w="144" w:space="240"/>
            <w:col w:w="4980" w:space="420"/>
            <w:col w:w="140" w:space="140"/>
            <w:col w:w="4880"/>
          </w:cols>
          <w:pgMar w:left="436" w:top="274" w:right="519" w:bottom="1440" w:gutter="0" w:footer="0" w:header="0"/>
          <w:type w:val="continuous"/>
        </w:sectPr>
      </w:pPr>
    </w:p>
    <w:p>
      <w:pPr>
        <w:ind w:left="384"/>
        <w:spacing w:after="0"/>
        <w:rPr>
          <w:sz w:val="20"/>
          <w:szCs w:val="20"/>
          <w:color w:val="auto"/>
        </w:rPr>
      </w:pPr>
      <w:r>
        <w:rPr>
          <w:rFonts w:ascii="Arial" w:cs="Arial" w:eastAsia="Arial" w:hAnsi="Arial"/>
          <w:sz w:val="16"/>
          <w:szCs w:val="16"/>
          <w:color w:val="auto"/>
        </w:rPr>
        <w:t>be performance-contingent</w:t>
      </w:r>
    </w:p>
    <w:p>
      <w:pPr>
        <w:sectPr>
          <w:pgSz w:w="11900" w:h="16838" w:orient="portrait"/>
          <w:cols w:equalWidth="0" w:num="1">
            <w:col w:w="10944"/>
          </w:cols>
          <w:pgMar w:left="436" w:top="274" w:right="519" w:bottom="1440" w:gutter="0" w:footer="0" w:header="0"/>
          <w:type w:val="continuous"/>
        </w:sectPr>
      </w:pPr>
    </w:p>
    <w:p>
      <w:pPr>
        <w:spacing w:after="0" w:line="73" w:lineRule="exact"/>
        <w:rPr>
          <w:sz w:val="20"/>
          <w:szCs w:val="20"/>
          <w:color w:val="auto"/>
        </w:rPr>
      </w:pPr>
    </w:p>
    <w:p>
      <w:pPr>
        <w:ind w:left="4"/>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strive to align executive management compensation with shareholders return through equity incentive awards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60" w:hanging="282"/>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executive contracts with multi-year guaranteed salary increases or nonperformance bonus arrangements</w:t>
      </w:r>
    </w:p>
    <w:p>
      <w:pPr>
        <w:spacing w:after="0" w:line="62" w:lineRule="exact"/>
        <w:rPr>
          <w:sz w:val="20"/>
          <w:szCs w:val="20"/>
          <w:color w:val="auto"/>
        </w:rPr>
      </w:pPr>
    </w:p>
    <w:p>
      <w:pPr>
        <w:sectPr>
          <w:pgSz w:w="11900" w:h="16838" w:orient="portrait"/>
          <w:cols w:equalWidth="0" w:num="3">
            <w:col w:w="144" w:space="240"/>
            <w:col w:w="4960" w:space="720"/>
            <w:col w:w="4880"/>
          </w:cols>
          <w:pgMar w:left="436" w:top="274" w:right="519" w:bottom="1440" w:gutter="0" w:footer="0" w:header="0"/>
          <w:type w:val="continuous"/>
        </w:sectPr>
      </w:pPr>
    </w:p>
    <w:p>
      <w:pPr>
        <w:ind w:left="4"/>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We set performance objectives, which we believe will drive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No loans to executives or directors</w:t>
      </w:r>
    </w:p>
    <w:p>
      <w:pPr>
        <w:spacing w:after="0" w:line="66" w:lineRule="exact"/>
        <w:rPr>
          <w:sz w:val="20"/>
          <w:szCs w:val="20"/>
          <w:color w:val="auto"/>
        </w:rPr>
      </w:pPr>
    </w:p>
    <w:p>
      <w:pPr>
        <w:sectPr>
          <w:pgSz w:w="11900" w:h="16838" w:orient="portrait"/>
          <w:cols w:equalWidth="0" w:num="4">
            <w:col w:w="144" w:space="240"/>
            <w:col w:w="4680" w:space="720"/>
            <w:col w:w="140" w:space="140"/>
            <w:col w:w="4880"/>
          </w:cols>
          <w:pgMar w:left="436" w:top="274" w:right="519" w:bottom="1440" w:gutter="0" w:footer="0" w:header="0"/>
          <w:type w:val="continuous"/>
        </w:sectPr>
      </w:pPr>
    </w:p>
    <w:p>
      <w:pPr>
        <w:ind w:left="384"/>
        <w:spacing w:after="0"/>
        <w:rPr>
          <w:sz w:val="20"/>
          <w:szCs w:val="20"/>
          <w:color w:val="auto"/>
        </w:rPr>
      </w:pPr>
      <w:r>
        <w:rPr>
          <w:rFonts w:ascii="Arial" w:cs="Arial" w:eastAsia="Arial" w:hAnsi="Arial"/>
          <w:sz w:val="16"/>
          <w:szCs w:val="16"/>
          <w:color w:val="auto"/>
        </w:rPr>
        <w:t>shareholder returns</w:t>
      </w:r>
    </w:p>
    <w:p>
      <w:pPr>
        <w:sectPr>
          <w:pgSz w:w="11900" w:h="16838" w:orient="portrait"/>
          <w:cols w:equalWidth="0" w:num="1">
            <w:col w:w="10944"/>
          </w:cols>
          <w:pgMar w:left="436" w:top="274" w:right="519" w:bottom="1440" w:gutter="0" w:footer="0" w:header="0"/>
          <w:type w:val="continuous"/>
        </w:sectPr>
      </w:pPr>
    </w:p>
    <w:p>
      <w:pPr>
        <w:spacing w:after="0" w:line="106" w:lineRule="exact"/>
        <w:rPr>
          <w:sz w:val="20"/>
          <w:szCs w:val="20"/>
          <w:color w:val="auto"/>
        </w:rPr>
      </w:pPr>
    </w:p>
    <w:p>
      <w:pPr>
        <w:ind w:left="384" w:right="5960" w:hanging="384"/>
        <w:spacing w:after="0" w:line="259" w:lineRule="auto"/>
        <w:tabs>
          <w:tab w:leader="none" w:pos="38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We use a combination of performance metrics, such as total shareholder return (TSR), earnings per share (EPS) and revenue growth, to ensure that no single measure affects compensation disproportionately</w:t>
      </w:r>
    </w:p>
    <w:p>
      <w:pPr>
        <w:spacing w:after="0" w:line="78" w:lineRule="exact"/>
        <w:rPr>
          <w:rFonts w:ascii="MS PGothic" w:cs="MS PGothic" w:eastAsia="MS PGothic" w:hAnsi="MS PGothic"/>
          <w:sz w:val="18"/>
          <w:szCs w:val="18"/>
          <w:color w:val="auto"/>
        </w:rPr>
      </w:pPr>
    </w:p>
    <w:p>
      <w:pPr>
        <w:ind w:left="384" w:right="5560" w:hanging="384"/>
        <w:spacing w:after="0" w:line="259" w:lineRule="auto"/>
        <w:tabs>
          <w:tab w:leader="none" w:pos="38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We generally subject equity grants to vesting periods of three to four years to motivate long-term performance, align the interests of executive management and shareholders and provide an incentive for retention</w:t>
      </w:r>
    </w:p>
    <w:p>
      <w:pPr>
        <w:spacing w:after="0" w:line="78" w:lineRule="exact"/>
        <w:rPr>
          <w:rFonts w:ascii="MS PGothic" w:cs="MS PGothic" w:eastAsia="MS PGothic" w:hAnsi="MS PGothic"/>
          <w:sz w:val="18"/>
          <w:szCs w:val="18"/>
          <w:color w:val="auto"/>
        </w:rPr>
      </w:pPr>
    </w:p>
    <w:p>
      <w:pPr>
        <w:ind w:left="384" w:right="6280" w:hanging="384"/>
        <w:spacing w:after="0" w:line="277" w:lineRule="auto"/>
        <w:tabs>
          <w:tab w:leader="none" w:pos="38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We established stock ownership requirements for executive management and non-employee directors</w:t>
      </w:r>
    </w:p>
    <w:p>
      <w:pPr>
        <w:spacing w:after="0" w:line="62" w:lineRule="exact"/>
        <w:rPr>
          <w:rFonts w:ascii="MS PGothic" w:cs="MS PGothic" w:eastAsia="MS PGothic" w:hAnsi="MS PGothic"/>
          <w:sz w:val="18"/>
          <w:szCs w:val="18"/>
          <w:color w:val="auto"/>
        </w:rPr>
      </w:pPr>
    </w:p>
    <w:p>
      <w:pPr>
        <w:ind w:left="384" w:hanging="384"/>
        <w:spacing w:after="0"/>
        <w:tabs>
          <w:tab w:leader="none" w:pos="38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We include a clawback policy for cash and equity incentive awards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left="4" w:right="200" w:firstLine="440"/>
        <w:spacing w:after="0" w:line="271" w:lineRule="auto"/>
        <w:rPr>
          <w:sz w:val="20"/>
          <w:szCs w:val="20"/>
          <w:color w:val="auto"/>
        </w:rPr>
      </w:pPr>
      <w:r>
        <w:rPr>
          <w:rFonts w:ascii="Arial" w:cs="Arial" w:eastAsia="Arial" w:hAnsi="Arial"/>
          <w:sz w:val="17"/>
          <w:szCs w:val="17"/>
          <w:color w:val="auto"/>
        </w:rPr>
        <w:t>Our Board of Directors has decided not to raise director compensation for fiscal year 2023, making fiscal year 2023 the third consecutive fiscal year they have not done so. As such, continuing into fiscal 2023,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4" w:right="519" w:bottom="1440" w:gutter="0" w:footer="0" w:header="0"/>
          <w:type w:val="continuous"/>
        </w:sectPr>
      </w:pPr>
    </w:p>
    <w:bookmarkStart w:id="15" w:name="page16"/>
    <w:bookmarkEnd w:id="1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Governance and Technology and Innovation Committees each receive an annual cash payment of $27,500. Each Non-Employee Director receives an annual grant of ordinary shares at a total value of $255,000. The Chairman of the Board of Directors receives an additional annual amount equal to $200,000 awarded in the form of ordinary shares. All ordinary share awards to our Non-Employee Directors vest in four equal installments of 25% each on the first day of the month following the end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w:t>
      </w:r>
    </w:p>
    <w:p>
      <w:pPr>
        <w:spacing w:after="0" w:line="17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76"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of Directors – 6X over annual cash retainer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CEO – 6X over annual base salary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CFO / COO and top executives – 2X-4X over annual base salary</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8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During the 2022 fiscal year, we granted to the 10 Non-Employee Directors that served in at least part of the 2022 fiscal year an aggregate of 36,332 shares at a weighted average price of $75.70 per share, which vested quarterly.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It is proposed that each of the following 10 individuals be elected to serve as a director of Amdocs Limited until the next annual general meeting of shareholders or until his or her earlier resignation or removal or until his or her respective successor is elected and qualified:</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Robert A. Minicucci</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Rafael de la Vega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John A. MacDonald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Shuky Sheffer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Yvette Kanouff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Sarah Ruth Davis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Amos Genish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7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OWNERSHIP OF CERTAIN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BENEFICIAL OWNERS AND MANAGEMENT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2022 of</w:t>
      </w:r>
    </w:p>
    <w:p>
      <w:pPr>
        <w:spacing w:after="0" w:line="46" w:lineRule="exact"/>
        <w:rPr>
          <w:sz w:val="20"/>
          <w:szCs w:val="20"/>
          <w:color w:val="auto"/>
        </w:rPr>
      </w:pPr>
    </w:p>
    <w:p>
      <w:pPr>
        <w:ind w:left="4" w:hanging="4"/>
        <w:spacing w:after="0" w:line="252"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120,816,602 ordinary shares outstanding as of November 30, 2022, net of shares held in treasury. Information concerning shareholders other than our directors and officers is based on periodic public filings made by such shareholders and may not necessarily be accurate as of November 30, 2022. None of our major shareholders have voting rights that are different from those of any other shareholder.</w:t>
      </w:r>
    </w:p>
    <w:p>
      <w:pPr>
        <w:spacing w:after="0" w:line="19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00" w:type="dxa"/>
            <w:vAlign w:val="bottom"/>
            <w:vMerge w:val="restart"/>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5800" w:type="dxa"/>
            <w:vAlign w:val="bottom"/>
            <w:vMerge w:val="continue"/>
          </w:tcPr>
          <w:p>
            <w:pPr>
              <w:spacing w:after="0"/>
              <w:rPr>
                <w:sz w:val="13"/>
                <w:szCs w:val="13"/>
                <w:color w:val="auto"/>
              </w:rPr>
            </w:pPr>
          </w:p>
        </w:tc>
        <w:tc>
          <w:tcPr>
            <w:tcW w:w="13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6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16,303,174</w:t>
            </w:r>
          </w:p>
        </w:tc>
        <w:tc>
          <w:tcPr>
            <w:tcW w:w="4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7,185,211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 Financial Services Company(3)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6,303,951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2,145,405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line="286"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Schedule 13G/A filed by FMR LLC, or FMR, with the SEC on February 9, 2022, as of December 31, 2021, FMR had sole power to vote or direct the vote over 1,743,053 shares and sole power to dispose or direct the disposition of 16,303,174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1" w:lineRule="exact"/>
        <w:rPr>
          <w:rFonts w:ascii="Arial" w:cs="Arial" w:eastAsia="Arial" w:hAnsi="Arial"/>
          <w:sz w:val="16"/>
          <w:szCs w:val="16"/>
          <w:color w:val="auto"/>
        </w:rPr>
      </w:pPr>
    </w:p>
    <w:p>
      <w:pPr>
        <w:ind w:left="424" w:hanging="424"/>
        <w:spacing w:after="0" w:line="265"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a Schedule 13G/A filed by Janus Henderson Group plc, or Janus Henderson, with the SEC on February 10, 2022, as of December 31, 2021, 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6,965,869 shares or 5.6%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1" w:lineRule="exact"/>
        <w:rPr>
          <w:rFonts w:ascii="Arial" w:cs="Arial" w:eastAsia="Arial" w:hAnsi="Arial"/>
          <w:sz w:val="17"/>
          <w:szCs w:val="17"/>
          <w:color w:val="auto"/>
        </w:rPr>
      </w:pPr>
    </w:p>
    <w:p>
      <w:pPr>
        <w:ind w:left="424" w:right="40" w:hanging="424"/>
        <w:spacing w:after="0" w:line="281"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 Schedule 13G filed by Massachusetts Financial Services Company, or MFS, with the SEC on February 2, 2022, as of December 31, 2021, MFS had sole power to vote or direct the vote over 5,622,052 shares and sole power to dispose or direct the disposition of 6,303,951 shares.</w:t>
      </w:r>
    </w:p>
    <w:p>
      <w:pPr>
        <w:spacing w:after="0" w:line="1" w:lineRule="exact"/>
        <w:rPr>
          <w:rFonts w:ascii="Arial" w:cs="Arial" w:eastAsia="Arial" w:hAnsi="Arial"/>
          <w:sz w:val="16"/>
          <w:szCs w:val="16"/>
          <w:color w:val="auto"/>
        </w:rPr>
      </w:pPr>
    </w:p>
    <w:p>
      <w:pPr>
        <w:ind w:left="424" w:right="10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2022. As of such date, none of our directors or executive officers beneficially owned 1% or more of our outstanding ordinary shares.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COMMITTEE MATTERS</w:t>
      </w:r>
    </w:p>
    <w:p>
      <w:pPr>
        <w:spacing w:after="0" w:line="229"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76"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2022 and has discussed these financial statements with our management and independent registered public accounting firm.</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7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130"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75"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70"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88" w:lineRule="exact"/>
        <w:rPr>
          <w:sz w:val="20"/>
          <w:szCs w:val="20"/>
          <w:color w:val="auto"/>
        </w:rPr>
      </w:pPr>
    </w:p>
    <w:p>
      <w:pPr>
        <w:jc w:val="both"/>
        <w:ind w:right="520" w:firstLine="440"/>
        <w:spacing w:after="0" w:line="31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2022, our Audit Committee approved all of the services provided by Ernst &amp; Young.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8" w:name="page19"/>
    <w:bookmarkEnd w:id="1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ADOPTION OF AMDOCS LIMITED 2023 EMPLOYEE SHARE PURCHASE PLAN</w:t>
      </w:r>
    </w:p>
    <w:p>
      <w:pPr>
        <w:spacing w:after="0" w:line="211" w:lineRule="exact"/>
        <w:rPr>
          <w:sz w:val="20"/>
          <w:szCs w:val="20"/>
          <w:color w:val="auto"/>
        </w:rPr>
      </w:pPr>
    </w:p>
    <w:p>
      <w:pPr>
        <w:ind w:left="4" w:right="220" w:firstLine="440"/>
        <w:spacing w:after="0" w:line="255" w:lineRule="auto"/>
        <w:rPr>
          <w:sz w:val="20"/>
          <w:szCs w:val="20"/>
          <w:color w:val="auto"/>
        </w:rPr>
      </w:pPr>
      <w:r>
        <w:rPr>
          <w:rFonts w:ascii="Arial" w:cs="Arial" w:eastAsia="Arial" w:hAnsi="Arial"/>
          <w:sz w:val="18"/>
          <w:szCs w:val="18"/>
          <w:color w:val="auto"/>
        </w:rPr>
        <w:t>On November 8, 2022, the Board of Directors adopted, subject to approval by our shareholders, the Amdocs Limited 2023 Employee Share Purchase Plan (the “ESPP”). The ESPP is designed to provide eligible employees of Amdocs and its participating subsidiaries with the opportunity to purchase our ordinary shares at a discount to fair market value using their accumulated payroll deductions during specified purchase periods. If approved by our shareholders, the maximum number of our ordinary shares that may be issued under the ESPP will not exceed in the aggregate 2,400,000 ordinary shares. Further, if approved, the ESPP would become effective upon the filing of a Form S-8 Registration Statement with the U.S. Securities and Exchange Commission.</w:t>
      </w:r>
    </w:p>
    <w:p>
      <w:pPr>
        <w:spacing w:after="0" w:line="192"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Board of Directors believes that the adoption of a broad-based ESPP will serve as an additional powerful and effective tool in our total reward strategy for Amdocs employees. The ESPP will provide employees with an opportunity to become stakeholders in Amdocs at favorable prices, thereby aligning employees’ interests with those of our shareholders.</w:t>
      </w:r>
    </w:p>
    <w:p>
      <w:pPr>
        <w:spacing w:after="0" w:line="184"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Based on 120,816,602 ordinary shares outstanding as of November 30, 2022, which is the Record Date, the 2,400,000 ordinary shares reserved for issuance under the ESPP represented approximately 2% of our ordinary shares outstanding. The Board of Directors believes that this share reserve represents an appropriate amount of potential equity dilution in light of the purposes of the ESPP, which are further described below.</w:t>
      </w:r>
    </w:p>
    <w:p>
      <w:pPr>
        <w:spacing w:after="0" w:line="14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following table summarizes information, as of November 30, 2022, regarding our equity compensation plans. The table does not include the additional shares that may be issuable pursuant to the ESPP that are the subject of this Proposal II.</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94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As of November 30, 2022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300" w:type="dxa"/>
            <w:vAlign w:val="bottom"/>
            <w:tcBorders>
              <w:top w:val="single" w:sz="8" w:color="auto"/>
            </w:tcBorders>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6"/>
              </w:rPr>
              <w:t>Number of Ordinary</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 Ordinary</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Shares to Be Issued</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3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3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Warrants and Rights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Plans(1)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2,744,042(2)</w:t>
            </w:r>
          </w:p>
        </w:tc>
        <w:tc>
          <w:tcPr>
            <w:tcW w:w="9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4,221,211(3)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2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2,744,042(4)</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right="200" w:hanging="424"/>
        <w:spacing w:after="0" w:line="258"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the shares listed under the column heading “Number of Ordinary Shares to Be Issued upon Exercise of Outstanding Options, Warrants and Rights.”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options to purchase 2,310,540 ordinary shares and 433,502 restricted stock units.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1998 Stock Option and Incentive Plan, as amended.</w:t>
      </w:r>
    </w:p>
    <w:p>
      <w:pPr>
        <w:spacing w:after="0" w:line="9" w:lineRule="exact"/>
        <w:rPr>
          <w:rFonts w:ascii="Arial" w:cs="Arial" w:eastAsia="Arial" w:hAnsi="Arial"/>
          <w:sz w:val="18"/>
          <w:szCs w:val="18"/>
          <w:color w:val="auto"/>
        </w:rPr>
      </w:pPr>
    </w:p>
    <w:p>
      <w:pPr>
        <w:ind w:left="424" w:right="520" w:hanging="424"/>
        <w:spacing w:after="0" w:line="323"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Of the 2,744,042 ordinary shares reflected, 2,310,540 are ordinary shares to be issued upon exercise of outstanding options with a weighted average exercise price of $62.62 and a weighted average remaining life of 5.69 years and 433,502 are restricted stock units.</w:t>
      </w:r>
    </w:p>
    <w:p>
      <w:pPr>
        <w:spacing w:after="0" w:line="138"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7"/>
          <w:szCs w:val="17"/>
          <w:color w:val="auto"/>
        </w:rPr>
        <w:t>The Board of Directors believes that the adoption of the ESPP described below is in the best interests of the Company and its shareholders.</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the 2023 Amdocs Limited Employee Stock Purchase Plan</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following is a description of the material terms of the ESPP. The summary below does not contain a complete description of all provisions of the ESPP and is qualified in its entirety by reference to the ESPP, a copy of which is attached to this report as Appendix B.</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19" w:name="page20"/>
    <w:bookmarkEnd w:id="19"/>
    <w:p>
      <w:pPr>
        <w:ind w:right="220" w:firstLine="44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w:t>
      </w:r>
      <w:r>
        <w:rPr>
          <w:rFonts w:ascii="Arial" w:cs="Arial" w:eastAsia="Arial" w:hAnsi="Arial"/>
          <w:sz w:val="18"/>
          <w:szCs w:val="18"/>
          <w:color w:val="auto"/>
        </w:rPr>
        <w:t>. The purpose of the ESPP is to provide eligible employees of Amdocs and each participating subsidiary with opportunities to acquire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interest in Amdocs through the purchase of our ordinary shares.</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i w:val="1"/>
          <w:iCs w:val="1"/>
          <w:color w:val="auto"/>
        </w:rPr>
        <w:t xml:space="preserve">Ordinary Shares. </w:t>
      </w:r>
      <w:r>
        <w:rPr>
          <w:rFonts w:ascii="Arial" w:cs="Arial" w:eastAsia="Arial" w:hAnsi="Arial"/>
          <w:sz w:val="18"/>
          <w:szCs w:val="18"/>
          <w:color w:val="auto"/>
        </w:rPr>
        <w:t>The maximum number of our ordinary shares that are reserved and available for issuance under the ESPP will not exceed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2,400,000 ordinary shares (subject to adjustment as described below). If any purchase of ordinary shares under the ESPP is not completed, the ordinary shares not purchased will again become available for issuance under the ESPP.</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ESPP will consist of a “423 Component,” which is intended to qualify as an “employee stock purchase plan” under Section 423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Internal Revenue Code of 1986, as amended (the “Code”), and a “non-423 Component,” which will not qualify as an “employee stock purchase plan” and will be maintained for participants outside the United States.</w:t>
      </w:r>
    </w:p>
    <w:p>
      <w:pPr>
        <w:spacing w:after="0" w:line="184"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ESPP will be administered by the Management Resources and Compensation Committee (the “MRCC”),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by the Board of Directors to administer the ESPP. The MRCC has the authority to administer the ESPP and to exercise all powers and authorities necessary or advisable in the administration of the ESPP. The MRCC may delegate to one or more of its members or to one or more agents such administrative duties as it may deem advisable, including the adoption of special rules or sub-plans applicable to employees of a particular participating subsidiary. All interpretations and decisions of the MRCC will be binding on all persons, including Amdocs and all participants in the ESPP.</w:t>
      </w:r>
    </w:p>
    <w:p>
      <w:pPr>
        <w:spacing w:after="0" w:line="19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Unless otherwise determined by the MRCC, all individuals classified as employees on our payroll records and who are customarily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for more than five months in any calendar year are eligible to participate in the ESPP.</w:t>
      </w:r>
    </w:p>
    <w:p>
      <w:pPr>
        <w:spacing w:after="0" w:line="170"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i w:val="1"/>
          <w:iCs w:val="1"/>
          <w:color w:val="auto"/>
        </w:rPr>
        <w:t>Purchase Periods</w:t>
      </w:r>
      <w:r>
        <w:rPr>
          <w:rFonts w:ascii="Arial" w:cs="Arial" w:eastAsia="Arial" w:hAnsi="Arial"/>
          <w:sz w:val="17"/>
          <w:szCs w:val="17"/>
          <w:color w:val="auto"/>
        </w:rPr>
        <w:t>. The ESPP will be implemented through a series of purchase periods, each of which will have a duration of six months, unless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otherwise by the MRCC, with the MRCC (or its delegate) establishing the dates on which purchase periods will commence.</w:t>
      </w:r>
    </w:p>
    <w:p>
      <w:pPr>
        <w:spacing w:after="0" w:line="14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Employee Contributions</w:t>
      </w:r>
      <w:r>
        <w:rPr>
          <w:rFonts w:ascii="Arial" w:cs="Arial" w:eastAsia="Arial" w:hAnsi="Arial"/>
          <w:sz w:val="18"/>
          <w:szCs w:val="18"/>
          <w:color w:val="auto"/>
        </w:rPr>
        <w:t>. Each eligible employee may participate in an offering under the ESPP by submitting an enrollment form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of a purchase period stating the employee’s percentage of eligible compensation to be deducted from payroll during the purchase period. An eligible employee may authorize payroll deductions at a minimum of 1% and up to a maximum of 10% of his or her eligible compensation for each pay period. Participants may not increase or decrease their payroll deduction percentages during a purchase period, unless determined otherwise by the MRCC (or its delegate).</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i w:val="1"/>
          <w:iCs w:val="1"/>
          <w:color w:val="auto"/>
        </w:rPr>
        <w:t>Grant of Options</w:t>
      </w:r>
      <w:r>
        <w:rPr>
          <w:rFonts w:ascii="Arial" w:cs="Arial" w:eastAsia="Arial" w:hAnsi="Arial"/>
          <w:sz w:val="17"/>
          <w:szCs w:val="17"/>
          <w:color w:val="auto"/>
        </w:rPr>
        <w:t>. On the first trading day of each purchase period, each participant will receive an option to purchase, on the last trading day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purchase period, a number of ordinary shares equal to the lower of (a) such number determined by dividing the employee’s accumulated payroll deductions (without interest) on such date by the applicable purchase price (as described below) and (b) 600 shares (unless a different maximum number of shares is established by the MRCC). Unless otherwise determined by the MRCC, the purchase price for each ordinary share will equal 85% of the fair market value of the ordinary shares at either the beginning of the purchase period or the end of the purchase period, whichever is less. No employee may be granted an option under the ESPP if he or she, immediately after the option was granted, would be treated as owning shares possessing 5% or more of the total combined voting power or value of all classes of our ordinary shares (or shares of any parent or subsidiary). In addition, no employee may be granted an option under the 423 Component of the ESPP which would permit them to accrue the right to purchase ordinary shares in excess of $25,000 of the fair market value of such ordinary shares (as determined on the first trading day of the purchase period) for each calendar year in which such option is outstanding at any time.</w:t>
      </w:r>
    </w:p>
    <w:p>
      <w:pPr>
        <w:spacing w:after="0" w:line="18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i w:val="1"/>
          <w:iCs w:val="1"/>
          <w:color w:val="auto"/>
        </w:rPr>
        <w:t>Exercise of Options and Purchase of Shares</w:t>
      </w:r>
      <w:r>
        <w:rPr>
          <w:rFonts w:ascii="Arial" w:cs="Arial" w:eastAsia="Arial" w:hAnsi="Arial"/>
          <w:sz w:val="18"/>
          <w:szCs w:val="18"/>
          <w:color w:val="auto"/>
        </w:rPr>
        <w:t>. On the last trading day of a purchase period, each participant will purchase a number of whole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based on his or her accumulated payroll deductions (without interest). Unless otherwise determined by the MRCC (or its delegate), any remaining amount in the participant’s account will be refunded (without interest) as soon as practically possible after the completion of the purchase period.</w:t>
      </w:r>
    </w:p>
    <w:p>
      <w:pPr>
        <w:spacing w:after="0" w:line="187"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i w:val="1"/>
          <w:iCs w:val="1"/>
          <w:color w:val="auto"/>
        </w:rPr>
        <w:t>Withdrawal</w:t>
      </w:r>
      <w:r>
        <w:rPr>
          <w:rFonts w:ascii="Arial" w:cs="Arial" w:eastAsia="Arial" w:hAnsi="Arial"/>
          <w:sz w:val="18"/>
          <w:szCs w:val="18"/>
          <w:color w:val="auto"/>
        </w:rPr>
        <w:t>. An employee may withdraw from the ESPP or a purchase period by delivering a written notice of withdrawal prior to the end of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period. The employee’s entire account balance under the ESPP will be refunded (without interest) as soon as practically possible after his or her withdrawal. No partial withdrawals are allowed.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ind w:right="60" w:firstLine="440"/>
        <w:spacing w:after="0" w:line="30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Termination of Employment. </w:t>
      </w:r>
      <w:r>
        <w:rPr>
          <w:rFonts w:ascii="Arial" w:cs="Arial" w:eastAsia="Arial" w:hAnsi="Arial"/>
          <w:sz w:val="17"/>
          <w:szCs w:val="17"/>
          <w:color w:val="auto"/>
        </w:rPr>
        <w:t>If a participant’s employment is terminated for any reason before the last trading day of a purchase period, the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in his or her account will be refunded (without interest) as soon as practically possible following his or her termination.</w:t>
      </w:r>
    </w:p>
    <w:p>
      <w:pPr>
        <w:spacing w:after="0" w:line="14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If any change is made to our ordinary shares without the receipt of consideration by Amdocs (such as through merger, consolidation,</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dividend or other similar transaction), the ESPP will be appropriately adjusted in the class(es) and maximum number of ordinary shares subject to the ESPP and the outstanding options will be appropriately adjusted in the class(es), number of shares, purchase price and share limitations of outstanding options. In addition, in the event of any corporate transaction as described in Section 424 of the Code, the Board of Directors may make such adjustment it deems appropriate to the shares and options subject to the ESPP to prevent dilution or enlargement of rights in the number or class of ordinary shares that may be delivered under the ESPP.</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MRCC may amend the ESPP at any time in its discretion, except that shareholder approval will be required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amendment to increase the number of ordinary shares available under the ESPP or to make any other change that would require shareholder approval in order for the ESPP to qualify as an “employee stock purchase plan” under Section 423 of the Code. The ESPP may be terminated at any time by our Board of Directors.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ESPP and all options and actions taken thereunder will be governed by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“RESOLVED, that the Amdocs Limited 2023 Employee Share Purchase Plan, attached to this Proxy Statement as Appendix B, be and hereby is approved.”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affirmative vote of holders of a majority of our ordinary shares represented in person or by proxy at the General Meeting is necessary for the approval of the ordinary resolution to approve the adoption of the ESPP. If Proposal II is not approved by the shareholders, the ESPP will not become effective and the Board of Directors will evaluate other alternatives for achieving the purposes of the plan.</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ESPP AS SET FORTH IN APPENDIX B ATTACHED HERETO.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2012, our shareholders approved the institution of a quarterly cash dividend program at the quarterly rate of $0.13 per ordinary share.</w:t>
      </w:r>
    </w:p>
    <w:p>
      <w:pPr>
        <w:spacing w:after="0" w:line="23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2019, our shareholders approved an increase to $0.285 per share; in 2020, our shareholders approved an increase to $0.3275 per share; in 2021, our shareholders approved an increase to $0.36 per share; and in 2022, our shareholders approved an increase to $0.395 per share.</w:t>
      </w:r>
    </w:p>
    <w:p>
      <w:pPr>
        <w:spacing w:after="0" w:line="176"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In November 2022, our Board of Directors approved an increase in the quarterly cash dividend rate to $0.435 per ordinary share. In order to permit us to implement this dividend rate increase, our Board of Directors proposes that our shareholders approve the ordinary resolution set forth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$360.9 million, $680.0 million and $508.5 million (excluding broker and transaction fees) of our ordinary shares during the fiscal years ended September 30, 2020, 2021 and 2022,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2022 guideline to return to shareholders a majority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2022 set forth in our Annual Report on Form 20-F filed on December 13, 2022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If our shareholders approve the proposal, our Board of Directors will continue to consider on a quarterly basis whether to declare and pay, if any, a dividend in accordance with the terms of the dividend program and in accordance with applicable Guernsey law and based on several factors including our financial performance, outlook and liquidity.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shareholder approval, we expect to begin paying the dividend at the increased rate commencing in April 2023.</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shareholder approval is not obtained, the quarterly dividend rate will remain at $0.395 per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121"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The following discussion describes certain U.S. federal income tax consequences of the receipt of cash distributions on our ordinary shares to a U.S. holder. For purposes of this discussion, a U.S. holder is a person that is subject to U.S. federal income tax on a net basis, and that for U.S. federal income tax purposes (i) is a beneficial owner of our ordinary shares, (ii) holds our ordinary shares as capital assets, (iii) is not a partnership and (iv) is not treated as tax resident or otherwise subject to net income tax in any jurisdiction outside the United States. This discussion is general in nature and does not address all aspects of U.S. federal income taxation that may be relevant to a U.S. holder in light of its particular circumstances, nor does it address any alternative minimum or Medicare contribution tax consequences.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Except as described below, the following discussion assumes that we are not a passive foreign investment company (a “PFIC”) for any taxable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6"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non-U.S.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tax rate if we are, for the tax year in which the dividends are paid, or were, for the preceding tax year, a PFIC, as described below. Non-corporate U.S. holders should consult their tax advisors regarding the availability of these preferential rates in their particular circumstances.</w:t>
      </w:r>
    </w:p>
    <w:p>
      <w:pPr>
        <w:spacing w:after="0" w:line="16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Dividends paid by us generally will be classified as foreign source “passive category income” or, in certain cases, “general category income” for U.S. foreign tax credit purposes.</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We will be a PFIC for any taxable year in which (i) 75% or more of our gross income is “passive” (e.g., dividends, interest, certain royalties and gains from financial investments), or (ii) 50% or more of the average value of our assets including goodwill (generally determined on a quarterly basis) consists of assets that produce, or are held for the production of, passive income.</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believe that we were not a PFIC for our taxable year ended September 30, 2022. Although we do not expect to be a PFIC for the current taxable year, we cannot give assurance in this regard because our PFIC status for the current taxable year will depend on the composition of our income and assets and the average value of our assets for the year, and thus could be determined only after the end of the taxable year. U.S. holders should refer to the section “</w:t>
      </w:r>
      <w:r>
        <w:rPr>
          <w:rFonts w:ascii="Arial" w:cs="Arial" w:eastAsia="Arial" w:hAnsi="Arial"/>
          <w:sz w:val="18"/>
          <w:szCs w:val="18"/>
          <w:i w:val="1"/>
          <w:iCs w:val="1"/>
          <w:color w:val="auto"/>
        </w:rPr>
        <w:t>Taxation of Holders of Ordinary Shares – Certain United States Federal Income Tax Considerations – Passive Foreign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Considerations</w:t>
      </w:r>
      <w:r>
        <w:rPr>
          <w:rFonts w:ascii="Arial" w:cs="Arial" w:eastAsia="Arial" w:hAnsi="Arial"/>
          <w:sz w:val="18"/>
          <w:szCs w:val="18"/>
          <w:color w:val="auto"/>
        </w:rPr>
        <w:t>” in our Annual Report on Form 20-F for a discussion of the consequences that may apply to the receipt of certain excess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if we are a PFIC for any taxable year.</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40" w:top="274" w:right="539" w:bottom="1440" w:gutter="0" w:footer="0" w:header="0"/>
        </w:sectPr>
      </w:pPr>
    </w:p>
    <w:bookmarkStart w:id="23" w:name="page24"/>
    <w:bookmarkEnd w:id="2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88"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U.S. holders are urged to consult their tax advisors regarding the tax treatment of any distributions received by such holder in respect of ordinary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an increase in the dividend rate under Amdocs Limited’s quarterly cash dividend program from $0.395 per share to $0.435 per share be, and hereby is, approved.”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40" w:top="274" w:right="5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2022</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Our Annual Report for the fiscal year ended September 30, 2022 is available on our website at https://www.amdocs.com/news-press/annual-report-2022. Our Consolidated Financial Statements for the fiscal year ended September 30, 2022 are included in our Annual Report. At the General Meeting, we will review the Operating and Financial Review and Prospects section of our Annual Report and will answer appropriate questions related thereto.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“RESOLVED, that the Consolidated Financial Statements of Amdocs Limited for the fiscal year ended September 30, 2022 be, and the same hereby are, approved.”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66"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440" w:top="270" w:right="579" w:bottom="1440" w:gutter="0" w:footer="0" w:header="0"/>
        </w:sectPr>
      </w:pPr>
    </w:p>
    <w:bookmarkStart w:id="25" w:name="page26"/>
    <w:bookmarkEnd w:id="2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V</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RATIFICATION AND APPROVAL OF INDEPENDENT REGISTERED PUBLIC ACCOUNTING FIRM</w:t>
      </w:r>
    </w:p>
    <w:p>
      <w:pPr>
        <w:spacing w:after="0" w:line="211" w:lineRule="exact"/>
        <w:rPr>
          <w:sz w:val="20"/>
          <w:szCs w:val="20"/>
          <w:color w:val="auto"/>
        </w:rPr>
      </w:pPr>
    </w:p>
    <w:p>
      <w:pPr>
        <w:ind w:left="4" w:right="140" w:firstLine="440"/>
        <w:spacing w:after="0" w:line="254" w:lineRule="auto"/>
        <w:rPr>
          <w:sz w:val="20"/>
          <w:szCs w:val="20"/>
          <w:color w:val="auto"/>
        </w:rPr>
      </w:pPr>
      <w:r>
        <w:rPr>
          <w:rFonts w:ascii="Arial" w:cs="Arial" w:eastAsia="Arial" w:hAnsi="Arial"/>
          <w:sz w:val="18"/>
          <w:szCs w:val="18"/>
          <w:color w:val="auto"/>
        </w:rPr>
        <w:t>The Audit Committee of the Board of Directors has selected the firm of Ernst &amp; Young LLP to continue to serve as our independent registered public accounting firm for the fiscal year ending September 30, 2023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2022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5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Fees(1)</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$3,500,000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$1,400,000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$2,500,000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$1,100,000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40" w:hanging="424"/>
        <w:spacing w:after="0" w:line="258"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1"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Audit-related services principally include Statement on the System and Organization Controls Report (SOC 1 Report) issuances and due diligence examinations.</w:t>
      </w: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“RESOLVED, that (i) the appointment of Ernst &amp; Young LLP as Amdocs Limited’s independent registered public accounting firm for the fiscal year ending September 30, 2023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Required Affirmative Vote</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80" w:lineRule="exact"/>
        <w:rPr>
          <w:sz w:val="20"/>
          <w:szCs w:val="20"/>
          <w:color w:val="auto"/>
        </w:rPr>
      </w:pPr>
    </w:p>
    <w:p>
      <w:pPr>
        <w:ind w:left="4" w:right="40"/>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0" w:right="4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 Requests for copies of our Annual Report on Form 20-F should be provided to our principal U.S. subsidiary at:</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Telephone: 314-212-8328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dox_info@amdocs.com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2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tabs>
          <w:tab w:leader="none" w:pos="756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CATEGORICAL STANDARDS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54" w:lineRule="exact"/>
        <w:rPr>
          <w:sz w:val="20"/>
          <w:szCs w:val="20"/>
          <w:color w:val="auto"/>
        </w:rPr>
      </w:pPr>
    </w:p>
    <w:p>
      <w:pPr>
        <w:ind w:left="960" w:right="8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Charitable Contributions. </w:t>
      </w:r>
      <w:r>
        <w:rPr>
          <w:rFonts w:ascii="Arial" w:cs="Arial" w:eastAsia="Arial" w:hAnsi="Arial"/>
          <w:sz w:val="18"/>
          <w:szCs w:val="18"/>
          <w:color w:val="auto"/>
        </w:rPr>
        <w:t>The director, or an immediate family member of the director, has served as an executive officer of a charitable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receives payments from the Company in an amount which, in any single fiscal year since the determination date, exceeds the greater of $200,000, or 5% of such charitable organization’s revenues; or</w:t>
      </w:r>
    </w:p>
    <w:p>
      <w:pPr>
        <w:spacing w:after="0" w:line="89" w:lineRule="exact"/>
        <w:rPr>
          <w:rFonts w:ascii="Arial" w:cs="Arial" w:eastAsia="Arial" w:hAnsi="Arial"/>
          <w:sz w:val="18"/>
          <w:szCs w:val="18"/>
          <w:color w:val="auto"/>
        </w:rPr>
      </w:pPr>
    </w:p>
    <w:p>
      <w:pPr>
        <w:jc w:val="both"/>
        <w:ind w:left="960" w:right="220" w:hanging="532"/>
        <w:spacing w:after="0" w:line="25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The director or an immediate family member of the director has served, as an executive officer of another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87"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EMPLOYEE SHARE PURCHASE PLAN</w:t>
      </w:r>
    </w:p>
    <w:p>
      <w:pPr>
        <w:spacing w:after="0" w:line="225"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color w:val="auto"/>
        </w:rPr>
        <w:t>The purpose of the Amdocs Limited 2023 Employee Share Purchase Plan (the “</w:t>
      </w:r>
      <w:r>
        <w:rPr>
          <w:rFonts w:ascii="Arial" w:cs="Arial" w:eastAsia="Arial" w:hAnsi="Arial"/>
          <w:sz w:val="18"/>
          <w:szCs w:val="18"/>
          <w:b w:val="1"/>
          <w:bCs w:val="1"/>
          <w:color w:val="auto"/>
        </w:rPr>
        <w:t>Plan</w:t>
      </w:r>
      <w:r>
        <w:rPr>
          <w:rFonts w:ascii="Arial" w:cs="Arial" w:eastAsia="Arial" w:hAnsi="Arial"/>
          <w:sz w:val="18"/>
          <w:szCs w:val="18"/>
          <w:color w:val="auto"/>
        </w:rPr>
        <w:t>”) is to provide eligible employees of Amdocs Limited (the “</w:t>
      </w:r>
      <w:r>
        <w:rPr>
          <w:rFonts w:ascii="Arial" w:cs="Arial" w:eastAsia="Arial" w:hAnsi="Arial"/>
          <w:sz w:val="18"/>
          <w:szCs w:val="18"/>
          <w:b w:val="1"/>
          <w:bCs w:val="1"/>
          <w:color w:val="auto"/>
        </w:rPr>
        <w:t>Company</w:t>
      </w:r>
      <w:r>
        <w:rPr>
          <w:rFonts w:ascii="Arial" w:cs="Arial" w:eastAsia="Arial" w:hAnsi="Arial"/>
          <w:sz w:val="18"/>
          <w:szCs w:val="18"/>
          <w:color w:val="auto"/>
        </w:rPr>
        <w:t>”) and each Designated Subsidiary (as defined in Section 11) with opportunities to acquire a proprietary interest in the Company through the purchase of Ordinary Shares (as defined in Section 11)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The maximum number of Shares reserved and available for issuance under the Plan shall not exceed in the aggregate 2,400,000 Shares, subject to adjustment as provided in Section 17. If any purchase of Shares pursuant to an Option (as defined in Section 8) under the Plan is not consummated, the Shares not purchased will again become available for issuance under the Plan.</w:t>
      </w:r>
    </w:p>
    <w:p>
      <w:pPr>
        <w:spacing w:after="0" w:line="187"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color w:val="auto"/>
        </w:rPr>
        <w:t>The Plan includes two components: (a) one component (the “</w:t>
      </w:r>
      <w:r>
        <w:rPr>
          <w:rFonts w:ascii="Arial" w:cs="Arial" w:eastAsia="Arial" w:hAnsi="Arial"/>
          <w:sz w:val="17"/>
          <w:szCs w:val="17"/>
          <w:b w:val="1"/>
          <w:bCs w:val="1"/>
          <w:color w:val="auto"/>
        </w:rPr>
        <w:t>423 Component</w:t>
      </w:r>
      <w:r>
        <w:rPr>
          <w:rFonts w:ascii="Arial" w:cs="Arial" w:eastAsia="Arial" w:hAnsi="Arial"/>
          <w:sz w:val="17"/>
          <w:szCs w:val="17"/>
          <w:color w:val="auto"/>
        </w:rPr>
        <w:t>”) which is intended to constitute an “employee stock purchase plan” within the meaning of Section 423(b)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shall be interpreted in accordance with that intent, and (b) another component (the “</w:t>
      </w:r>
      <w:r>
        <w:rPr>
          <w:rFonts w:ascii="Arial" w:cs="Arial" w:eastAsia="Arial" w:hAnsi="Arial"/>
          <w:sz w:val="17"/>
          <w:szCs w:val="17"/>
          <w:b w:val="1"/>
          <w:bCs w:val="1"/>
          <w:color w:val="auto"/>
        </w:rPr>
        <w:t>Non-423 Component</w:t>
      </w:r>
      <w:r>
        <w:rPr>
          <w:rFonts w:ascii="Arial" w:cs="Arial" w:eastAsia="Arial" w:hAnsi="Arial"/>
          <w:sz w:val="17"/>
          <w:szCs w:val="17"/>
          <w:color w:val="auto"/>
        </w:rPr>
        <w:t>”), which does not qualify as an “employee stock purchase plan” within the meaning of Section 423(b) of the Code, and under which Options will be granted pursuant to rules, procedures or sub-plans adopted by the Administrator (as defined in Section 1) designed to achieve tax, securities laws or other objectives for eligible employees. Except as otherwise provided herein, the Non-423 Component will operate and be administered in the same manner as the 423 Component.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defined herein, capitalized terms in the Plan shall have the meaning ascribed to them in Section 11.</w:t>
      </w:r>
    </w:p>
    <w:p>
      <w:pPr>
        <w:spacing w:after="0" w:line="221" w:lineRule="exact"/>
        <w:rPr>
          <w:sz w:val="20"/>
          <w:szCs w:val="20"/>
          <w:color w:val="auto"/>
        </w:rPr>
      </w:pPr>
    </w:p>
    <w:p>
      <w:pPr>
        <w:ind w:right="80" w:firstLine="436"/>
        <w:spacing w:after="0" w:line="261"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a committee (the “</w:t>
      </w:r>
      <w:r>
        <w:rPr>
          <w:rFonts w:ascii="Arial" w:cs="Arial" w:eastAsia="Arial" w:hAnsi="Arial"/>
          <w:sz w:val="18"/>
          <w:szCs w:val="18"/>
          <w:b w:val="1"/>
          <w:bCs w:val="1"/>
          <w:color w:val="auto"/>
        </w:rPr>
        <w:t>Administrator</w:t>
      </w:r>
      <w:r>
        <w:rPr>
          <w:rFonts w:ascii="Arial" w:cs="Arial" w:eastAsia="Arial" w:hAnsi="Arial"/>
          <w:sz w:val="18"/>
          <w:szCs w:val="18"/>
          <w:color w:val="auto"/>
        </w:rPr>
        <w:t>”) appointed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for such purpose. The Administrator has authority, in its discretion, subject to and not inconsistent with the express provisions of the Plan, to administer the Plan and to exercise all powers and authorities either specifically granted to it under the Plan or necessary or advisable in the administration of the Plan, including, without limitation:</w:t>
      </w:r>
    </w:p>
    <w:p>
      <w:pPr>
        <w:spacing w:after="0" w:line="184" w:lineRule="exact"/>
        <w:rPr>
          <w:sz w:val="20"/>
          <w:szCs w:val="20"/>
          <w:color w:val="auto"/>
        </w:rPr>
      </w:pPr>
    </w:p>
    <w:p>
      <w:pPr>
        <w:ind w:left="680" w:hanging="24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Offerings;</w:t>
      </w:r>
    </w:p>
    <w:p>
      <w:pPr>
        <w:spacing w:after="0" w:line="225"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 alter and repeal such rules, guidelines and practices for the administration of the Plan and for its own acts and proceedings as it shall deem advisable;</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interpret the terms and provisions of the Plan;</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correct any defect or supply any omission or reconcile any inconsistency or ambiguity in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29" w:name="page30"/>
    <w:bookmarkEnd w:id="29"/>
    <w:p>
      <w:pPr>
        <w:ind w:right="300" w:firstLine="436"/>
        <w:spacing w:after="0" w:line="277" w:lineRule="auto"/>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all determinations it deems advisable for the administration of the Plan, including to accommodate the specific requirements of local laws, regulations and procedures; and</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supervise the administration of the Plan.</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Administrator may delegate to one or more of its members or to one or more agents such administrative duties as it may deem advisable, and the Administrator or any person to whom it has delegated duties as aforesaid may employ one or more persons to render advice with respect to any responsibility the Administrator or such person may have under the Plan. All interpretations and decisions of the Administrator shall be binding on all persons, including the Company and the Participants. No member of the Board or the committee administering the Plan or any individual exercising administrative authority with respect to the Plan shall be liable for any action or determination made in good faith with respect to the Plan or any Option granted hereunder.</w:t>
      </w:r>
    </w:p>
    <w:p>
      <w:pPr>
        <w:spacing w:after="0" w:line="192" w:lineRule="exact"/>
        <w:rPr>
          <w:sz w:val="20"/>
          <w:szCs w:val="20"/>
          <w:color w:val="auto"/>
        </w:rPr>
      </w:pPr>
    </w:p>
    <w:p>
      <w:pPr>
        <w:ind w:right="20" w:firstLine="436"/>
        <w:spacing w:after="0" w:line="296" w:lineRule="auto"/>
        <w:tabs>
          <w:tab w:leader="none" w:pos="93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xml:space="preserve">. The Company will make one or more Offerings to eligible employees to purchase Shares under the Plan consisting of a series of Purchase Periods. Unless otherwise determined by the Administrator, each Purchase Period shall have a duration of six (6) months, with new Purchase Periods commencing on such dates as established by the Administrator (or its delegate). Prior to the commencement of any Purchase Period, the Administrator (or its delegate) may, in its discretion, designate a different period for any Purchase Period, including by changing the duration, start date or end date for any Purchase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Purchase Period shall exceed twenty-seven (27) months in duration.</w:t>
      </w:r>
    </w:p>
    <w:p>
      <w:pPr>
        <w:spacing w:after="0" w:line="161" w:lineRule="exact"/>
        <w:rPr>
          <w:rFonts w:ascii="Arial" w:cs="Arial" w:eastAsia="Arial" w:hAnsi="Arial"/>
          <w:sz w:val="16"/>
          <w:szCs w:val="16"/>
          <w:color w:val="auto"/>
        </w:rPr>
      </w:pPr>
    </w:p>
    <w:p>
      <w:pPr>
        <w:ind w:left="940" w:hanging="50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5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determined by the Administrator, all individuals classified as employees on the payroll records of the Company and each Designated Subsidiary and who are customarily employed for more than five (5) months in any calendar year are eligible to participate in any one or more of the Offerings under the Plan. For the sake of clarity, an employee is customarily employed for more than five (5) months in any calendar year if the expectation of their position is that they will be employed for more than five (5) months in such calendar year (and not that their tenure has been for more than five (5) months in such calendar year).</w:t>
      </w:r>
    </w:p>
    <w:p>
      <w:pPr>
        <w:spacing w:after="0" w:line="187" w:lineRule="exact"/>
        <w:rPr>
          <w:rFonts w:ascii="Arial" w:cs="Arial" w:eastAsia="Arial" w:hAnsi="Arial"/>
          <w:sz w:val="18"/>
          <w:szCs w:val="18"/>
          <w:color w:val="auto"/>
        </w:rPr>
      </w:pPr>
    </w:p>
    <w:p>
      <w:pPr>
        <w:ind w:right="20" w:firstLine="436"/>
        <w:spacing w:after="0" w:line="253"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Unless otherwise determined by the Administrator in its discretion (or its delegate), in the event any such individuals are reclassified as eligible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unless such individuals are required to be eligible to participate in the Plan pursuant to applicable law. Notwithstanding the foregoing, participation in the 423 Component of the Plan will neither be permitted nor be denied contrary to the requirements of the Code.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0"/>
          </w:cols>
          <w:pgMar w:left="440" w:top="274" w:right="499" w:bottom="1440" w:gutter="0" w:footer="0" w:header="0"/>
        </w:sectPr>
      </w:pPr>
    </w:p>
    <w:bookmarkStart w:id="30" w:name="page31"/>
    <w:bookmarkEnd w:id="30"/>
    <w:p>
      <w:pPr>
        <w:ind w:left="940" w:hanging="50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An eligible employee may participate in an Offering by submitting an enrollment form (which may be in electronic format) to his or her appropriate payroll location no earlier than forty-five (45) days before the Offering Date for the next Purchase Period and no later than seven (7) days before such Offering Date, unless a different deadline is established by the Administrator (or its delegate). The enrollment form will:</w:t>
      </w:r>
    </w:p>
    <w:p>
      <w:pPr>
        <w:spacing w:after="0" w:line="165" w:lineRule="exact"/>
        <w:rPr>
          <w:sz w:val="20"/>
          <w:szCs w:val="20"/>
          <w:color w:val="auto"/>
        </w:rPr>
      </w:pPr>
    </w:p>
    <w:p>
      <w:pPr>
        <w:ind w:left="680" w:hanging="244"/>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state a whole percentage or the amount to be deducted from an eligible employee’s Compensation per pay period (as set forth in Section 5);</w:t>
      </w:r>
    </w:p>
    <w:p>
      <w:pPr>
        <w:spacing w:after="0" w:line="248" w:lineRule="exact"/>
        <w:rPr>
          <w:rFonts w:ascii="Arial" w:cs="Arial" w:eastAsia="Arial" w:hAnsi="Arial"/>
          <w:sz w:val="16"/>
          <w:szCs w:val="16"/>
          <w:color w:val="auto"/>
        </w:rPr>
      </w:pPr>
    </w:p>
    <w:p>
      <w:pPr>
        <w:ind w:left="700" w:hanging="264"/>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authorize the Company to make such deductions from the eligible employee’s Compensation in accordance with the employee’s instructions;</w:t>
      </w:r>
    </w:p>
    <w:p>
      <w:pPr>
        <w:spacing w:after="0" w:line="248" w:lineRule="exact"/>
        <w:rPr>
          <w:rFonts w:ascii="Arial" w:cs="Arial" w:eastAsia="Arial" w:hAnsi="Arial"/>
          <w:sz w:val="16"/>
          <w:szCs w:val="16"/>
          <w:color w:val="auto"/>
        </w:rPr>
      </w:pPr>
    </w:p>
    <w:p>
      <w:pPr>
        <w:ind w:left="680" w:hanging="244"/>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purchase of Shares in each Purchase Period in accordance with the terms of the Plan; and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 the requirements set forth in Section 26.</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An eligible employee who does not enroll in accordance with these procedures will be deemed to have waived the right to participate. Each Participant will be required to file a new enrollment form prior to the commencement of each Purchase Period under the Plan, provided he or she remains eligible, pursuant to the requirements set forth in this Section 4, unless the Administrator (or its delegate) determines that Participant’s deductions and purchases will continue at the same percentage of amount of Compensation for future Purchase Periods absent a new enrollment form (subject to a Participant’s withdrawal from the Plan (in accordance with Section 7) or termination of employment (in accordance with Section 21). Notwithstanding the foregoing, participation in the 423 Component of the Plan will neither be permitted nor be denied contrary to the requirements of the Code.</w:t>
      </w:r>
    </w:p>
    <w:p>
      <w:pPr>
        <w:spacing w:after="0" w:line="195" w:lineRule="exact"/>
        <w:rPr>
          <w:sz w:val="20"/>
          <w:szCs w:val="20"/>
          <w:color w:val="auto"/>
        </w:rPr>
      </w:pPr>
    </w:p>
    <w:p>
      <w:pPr>
        <w:ind w:firstLine="436"/>
        <w:spacing w:after="0" w:line="272" w:lineRule="auto"/>
        <w:tabs>
          <w:tab w:leader="none" w:pos="93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Employee Contributions</w:t>
      </w:r>
      <w:r>
        <w:rPr>
          <w:rFonts w:ascii="Arial" w:cs="Arial" w:eastAsia="Arial" w:hAnsi="Arial"/>
          <w:sz w:val="17"/>
          <w:szCs w:val="17"/>
          <w:color w:val="auto"/>
        </w:rPr>
        <w:t>. Each eligible employee may authorize payroll deductions at a minimum of one percent (1%) and up to a maximum of ten percent (10%) of such employee’s Compensation for each pay period. The Company will maintain book accounts showing the amount of payroll deductions made by each Participant for each Purchase Period. No interest will accrue or be paid on payroll deductions, except as may be required by applicable law. If payroll deductions for purposes of the Plan are prohibited or otherwise problematic under applicable law (as determined by the Administrator (or its delegate) in its discretion), the Administrator (or its delegate) may require Participants to contribute to the Plan by such other means as determined by the Administrator (or its delegate). Any reference to “payroll deductions” in this Section 5 (or in any other section of the Plan) will similarly cover contributions by other means made pursuant to this Section 5.</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00"/>
          </w:cols>
          <w:pgMar w:left="440" w:top="274" w:right="559" w:bottom="1440" w:gutter="0" w:footer="0" w:header="0"/>
        </w:sectPr>
      </w:pPr>
    </w:p>
    <w:bookmarkStart w:id="31" w:name="page32"/>
    <w:bookmarkEnd w:id="31"/>
    <w:p>
      <w:pPr>
        <w:ind w:left="4" w:right="20" w:firstLine="436"/>
        <w:spacing w:after="0" w:line="287" w:lineRule="auto"/>
        <w:tabs>
          <w:tab w:leader="none" w:pos="939"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 Changes</w:t>
      </w:r>
      <w:r>
        <w:rPr>
          <w:rFonts w:ascii="Arial" w:cs="Arial" w:eastAsia="Arial" w:hAnsi="Arial"/>
          <w:sz w:val="16"/>
          <w:szCs w:val="16"/>
          <w:color w:val="auto"/>
        </w:rPr>
        <w:t>. Except as may be determined by the Administrator (or its delegate) in advance of a Purchase Period, a Participant may not increase or decrease his or her payroll deduction percentage during any Purchase Period, but may increase or decrease his or her payroll deduction percentage with respect to the next Purchase Period (subject to the limitations of Section 5) by filing a new enrollment form no earlier than forty-five</w:t>
      </w:r>
    </w:p>
    <w:p>
      <w:pPr>
        <w:spacing w:after="0" w:line="2" w:lineRule="exact"/>
        <w:rPr>
          <w:rFonts w:ascii="Arial" w:cs="Arial" w:eastAsia="Arial" w:hAnsi="Arial"/>
          <w:sz w:val="16"/>
          <w:szCs w:val="16"/>
          <w:color w:val="auto"/>
        </w:rPr>
      </w:pPr>
    </w:p>
    <w:p>
      <w:pPr>
        <w:ind w:left="4" w:right="40" w:hanging="4"/>
        <w:spacing w:after="0" w:line="277" w:lineRule="auto"/>
        <w:tabs>
          <w:tab w:leader="none" w:pos="3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days before the Offering Date for such Purchase Period and no later than seven (7) days before such Offering Date, unless a different deadline is established by the Administrator (or its delegate). The Administrator (or its delegate) may, in advance of any Purchase Period, establish rules permitting a Participant to increase, decrease or terminate his or her payroll deduction during a Purchase Period.</w:t>
      </w:r>
    </w:p>
    <w:p>
      <w:pPr>
        <w:spacing w:after="0" w:line="172" w:lineRule="exact"/>
        <w:rPr>
          <w:rFonts w:ascii="Arial" w:cs="Arial" w:eastAsia="Arial" w:hAnsi="Arial"/>
          <w:sz w:val="17"/>
          <w:szCs w:val="17"/>
          <w:color w:val="auto"/>
        </w:rPr>
      </w:pPr>
    </w:p>
    <w:p>
      <w:pPr>
        <w:ind w:left="4" w:firstLine="436"/>
        <w:spacing w:after="0" w:line="272" w:lineRule="auto"/>
        <w:tabs>
          <w:tab w:leader="none" w:pos="939"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from participation in the Plan or a Purchase Period by delivering a written notice of withdrawal to the Company in accordance with such procedures as may be established by no later than forty (40) days prior to the end of a Purchase Period, unless a different deadline or window is established by the Administrator (or its delegate). The Participant’s withdrawal will be effective as of the next business day. Following a Participant’s withdrawal, the Company will as soon as practically possible refund such individual’s entire account balance under the Plan (without interest) to him or her (after payment for any Shares purchased before the effective date of withdrawal). Partial withdrawals are not permitted. Such an employee may not begin participation again during the remainder of the Purchase Period, but may enroll in a subsequent Purchase Period by submitting a new enrollment form in accordance with Section 4.</w:t>
      </w:r>
    </w:p>
    <w:p>
      <w:pPr>
        <w:spacing w:after="0" w:line="177" w:lineRule="exact"/>
        <w:rPr>
          <w:rFonts w:ascii="Arial" w:cs="Arial" w:eastAsia="Arial" w:hAnsi="Arial"/>
          <w:sz w:val="17"/>
          <w:szCs w:val="17"/>
          <w:color w:val="auto"/>
        </w:rPr>
      </w:pPr>
    </w:p>
    <w:p>
      <w:pPr>
        <w:ind w:left="944" w:hanging="504"/>
        <w:spacing w:after="0"/>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w:t>
      </w:r>
    </w:p>
    <w:p>
      <w:pPr>
        <w:spacing w:after="0" w:line="113" w:lineRule="exact"/>
        <w:rPr>
          <w:sz w:val="20"/>
          <w:szCs w:val="20"/>
          <w:color w:val="auto"/>
        </w:rPr>
      </w:pPr>
    </w:p>
    <w:p>
      <w:pPr>
        <w:ind w:left="4" w:right="20" w:firstLine="436"/>
        <w:spacing w:after="0" w:line="270" w:lineRule="auto"/>
        <w:tabs>
          <w:tab w:leader="none" w:pos="689"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each Offering Date, each eligible employee who is then a Participant in the Plan will receive an option (“</w:t>
      </w:r>
      <w:r>
        <w:rPr>
          <w:rFonts w:ascii="Arial" w:cs="Arial" w:eastAsia="Arial" w:hAnsi="Arial"/>
          <w:sz w:val="17"/>
          <w:szCs w:val="17"/>
          <w:b w:val="1"/>
          <w:bCs w:val="1"/>
          <w:color w:val="auto"/>
        </w:rPr>
        <w:t>Option</w:t>
      </w:r>
      <w:r>
        <w:rPr>
          <w:rFonts w:ascii="Arial" w:cs="Arial" w:eastAsia="Arial" w:hAnsi="Arial"/>
          <w:sz w:val="17"/>
          <w:szCs w:val="17"/>
          <w:color w:val="auto"/>
        </w:rPr>
        <w:t>”) to purchase on the last trading day of a Purchase Period (the “</w:t>
      </w:r>
      <w:r>
        <w:rPr>
          <w:rFonts w:ascii="Arial" w:cs="Arial" w:eastAsia="Arial" w:hAnsi="Arial"/>
          <w:sz w:val="17"/>
          <w:szCs w:val="17"/>
          <w:b w:val="1"/>
          <w:bCs w:val="1"/>
          <w:color w:val="auto"/>
        </w:rPr>
        <w:t>Exercise Date</w:t>
      </w:r>
      <w:r>
        <w:rPr>
          <w:rFonts w:ascii="Arial" w:cs="Arial" w:eastAsia="Arial" w:hAnsi="Arial"/>
          <w:sz w:val="17"/>
          <w:szCs w:val="17"/>
          <w:color w:val="auto"/>
        </w:rPr>
        <w:t xml:space="preserve">”), at the Option Price hereinafter provided for, the lower of (a) a number of Shares determined by dividing such Participant’s accumulated payroll deductions (without interest) on such Exercise Date by the Option Price (as defined herein) and (b) such maximum number of Shares as shall have been established by the Administrator in advance of the Offering (which, if no maximum is established in advance of any Purchase Period, shall be 600 Shares);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Option shall be subject to the limitations set forth below. Each Participant’s Option shall be exercisable only to the extent of such Participant’s accumulated payroll deductions (without interest) on the Exercise Date (with payroll deductions withheld in a currency other than U.S. dollars converted into U.S. dollars using such exchange ratio as the Administrator (or its delegate) may establish in its good faith discretion). Unless otherwise determined by the Administrator in advance of a Purchase Period, the purchase price for each Share purchased under each Option (the “</w:t>
      </w:r>
      <w:r>
        <w:rPr>
          <w:rFonts w:ascii="Arial" w:cs="Arial" w:eastAsia="Arial" w:hAnsi="Arial"/>
          <w:sz w:val="17"/>
          <w:szCs w:val="17"/>
          <w:b w:val="1"/>
          <w:bCs w:val="1"/>
          <w:color w:val="auto"/>
        </w:rPr>
        <w:t>Option Price</w:t>
      </w:r>
      <w:r>
        <w:rPr>
          <w:rFonts w:ascii="Arial" w:cs="Arial" w:eastAsia="Arial" w:hAnsi="Arial"/>
          <w:sz w:val="17"/>
          <w:szCs w:val="17"/>
          <w:color w:val="auto"/>
        </w:rPr>
        <w:t>”) will be eighty-five percent (85%) of the Fair Market Value of the Shares on the Offering Date or the Exercise Date, whichever is less.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84"/>
          </w:cols>
          <w:pgMar w:left="436" w:top="274" w:right="479" w:bottom="1440" w:gutter="0" w:footer="0" w:header="0"/>
        </w:sectPr>
      </w:pPr>
    </w:p>
    <w:bookmarkStart w:id="32" w:name="page33"/>
    <w:bookmarkEnd w:id="32"/>
    <w:p>
      <w:pPr>
        <w:ind w:right="80" w:firstLine="436"/>
        <w:spacing w:after="0" w:line="25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no Participant may be granted an Option hereunder if such Participant, immediately after the Option was granted, would be treated as owning Shares possessing five percent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w:t>
      </w:r>
    </w:p>
    <w:p>
      <w:pPr>
        <w:spacing w:after="0" w:line="187" w:lineRule="exact"/>
        <w:rPr>
          <w:rFonts w:ascii="Arial" w:cs="Arial" w:eastAsia="Arial" w:hAnsi="Arial"/>
          <w:sz w:val="18"/>
          <w:szCs w:val="18"/>
          <w:color w:val="auto"/>
        </w:rPr>
      </w:pPr>
    </w:p>
    <w:p>
      <w:pPr>
        <w:ind w:firstLine="436"/>
        <w:spacing w:after="0" w:line="257"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Participant may be granted an Option under the 423 Component which permits his or her rights to purchase Shares under the Plan, and any other employee share purchase plan of the Company and its Designated Subsidiaries, to accrue at a rate which exceeds twenty-five thousand U.S. dollars (US$25,000) of the fair market value of such Shares (determined on the applicable Offering Date)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8" w:lineRule="exact"/>
        <w:rPr>
          <w:sz w:val="20"/>
          <w:szCs w:val="20"/>
          <w:color w:val="auto"/>
        </w:rPr>
      </w:pPr>
    </w:p>
    <w:p>
      <w:pPr>
        <w:ind w:right="40" w:firstLine="436"/>
        <w:spacing w:after="0" w:line="272" w:lineRule="auto"/>
        <w:tabs>
          <w:tab w:leader="none" w:pos="935"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Exercise of Option and Purchase of Shares</w:t>
      </w:r>
      <w:r>
        <w:rPr>
          <w:rFonts w:ascii="Arial" w:cs="Arial" w:eastAsia="Arial" w:hAnsi="Arial"/>
          <w:sz w:val="17"/>
          <w:szCs w:val="17"/>
          <w:color w:val="auto"/>
        </w:rPr>
        <w:t>.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(without interest and converted from the applicable currency to U.S. dollars in the manner described in Section 8(a), if applicable) on such date will purchase at the Option Price, subject to the limitations set forth in Section 8 and any other limitations contained in the Plan. Unless otherwise determined by the Administrator (or its delegate), any amount remaining in a Participant’s account at the end of a Purchase Period solely by reason of the inability to purchase a fractional Share will be refunded to the Participant as soon as practically possible after the completion of the Purchase Period.</w:t>
      </w:r>
    </w:p>
    <w:p>
      <w:pPr>
        <w:spacing w:after="0" w:line="177" w:lineRule="exact"/>
        <w:rPr>
          <w:rFonts w:ascii="Arial" w:cs="Arial" w:eastAsia="Arial" w:hAnsi="Arial"/>
          <w:sz w:val="17"/>
          <w:szCs w:val="17"/>
          <w:color w:val="auto"/>
        </w:rPr>
      </w:pPr>
    </w:p>
    <w:p>
      <w:pPr>
        <w:ind w:right="200" w:firstLine="436"/>
        <w:spacing w:after="0" w:line="259" w:lineRule="auto"/>
        <w:tabs>
          <w:tab w:leader="none" w:pos="10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Shares purchased under the Plan will be registered only in the name of the employee or in the name of a broker authorized by the employee to be his, her or their, nominee for such purpose in the manner permitted by the Company. The Company will not be required to deliver any certificates evidencing Shares and instead such Shares may be recorded in the books of the Company (or, as applicable, its transfer agent or stock/share plan administrator).</w:t>
      </w:r>
    </w:p>
    <w:p>
      <w:pPr>
        <w:spacing w:after="0" w:line="186" w:lineRule="exact"/>
        <w:rPr>
          <w:rFonts w:ascii="Arial" w:cs="Arial" w:eastAsia="Arial" w:hAnsi="Arial"/>
          <w:sz w:val="18"/>
          <w:szCs w:val="18"/>
          <w:color w:val="auto"/>
        </w:rPr>
      </w:pPr>
    </w:p>
    <w:p>
      <w:pPr>
        <w:ind w:left="1020" w:hanging="58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the Plan, the following terms shall be defined as set forth below:</w:t>
      </w:r>
    </w:p>
    <w:p>
      <w:pPr>
        <w:spacing w:after="0" w:line="130" w:lineRule="exact"/>
        <w:rPr>
          <w:rFonts w:ascii="Arial" w:cs="Arial" w:eastAsia="Arial" w:hAnsi="Arial"/>
          <w:sz w:val="18"/>
          <w:szCs w:val="18"/>
          <w:color w:val="auto"/>
        </w:rPr>
      </w:pPr>
    </w:p>
    <w:p>
      <w:pPr>
        <w:ind w:left="1420" w:right="360" w:hanging="439"/>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that, directly or indirectly through one or more intermediaries, controls, is controlled by, or is under common control with, the Company.</w:t>
      </w:r>
    </w:p>
    <w:p>
      <w:pPr>
        <w:spacing w:after="0" w:line="75" w:lineRule="exact"/>
        <w:rPr>
          <w:rFonts w:ascii="Arial" w:cs="Arial" w:eastAsia="Arial" w:hAnsi="Arial"/>
          <w:sz w:val="18"/>
          <w:szCs w:val="18"/>
          <w:color w:val="auto"/>
        </w:rPr>
      </w:pPr>
    </w:p>
    <w:p>
      <w:pPr>
        <w:ind w:left="1420" w:right="80" w:hanging="439"/>
        <w:spacing w:after="0" w:line="259"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means the amount of base compensation (including base salary and other base pay) paid to the employee;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Administrator (or its delegate) may in its discretion, prior to the commencement of a Purchase Period, add additional components of Compensation to be deducted from payroll in a particular jurisdiction or jurisdictions, subject to applicable law in such jurisdiction or jurisdictions.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00"/>
          </w:cols>
          <w:pgMar w:left="440" w:top="274" w:right="459" w:bottom="1440" w:gutter="0" w:footer="0" w:header="0"/>
        </w:sectPr>
      </w:pPr>
    </w:p>
    <w:bookmarkStart w:id="33" w:name="page34"/>
    <w:bookmarkEnd w:id="33"/>
    <w:p>
      <w:pPr>
        <w:ind w:left="439" w:right="60" w:hanging="439"/>
        <w:spacing w:after="0" w:line="288" w:lineRule="auto"/>
        <w:tabs>
          <w:tab w:leader="none" w:pos="439"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Designated Subsidiary</w:t>
      </w:r>
      <w:r>
        <w:rPr>
          <w:rFonts w:ascii="Arial" w:cs="Arial" w:eastAsia="Arial" w:hAnsi="Arial"/>
          <w:sz w:val="16"/>
          <w:szCs w:val="16"/>
          <w:color w:val="auto"/>
        </w:rPr>
        <w:t xml:space="preserve">” means any present or future Subsidiary or Affiliate that has been designated by the Administrator (or its delegate) to participate in the Plan. The Administrator (or its delegate) may so designate any Subsidiary or Affiliate, or revoke any such designation, at any time and from time to time, either before or after the Plan is approved by the shareholders, and may further designate such companies or Participants as participating in the 423 Component or the Non-423 Component. The Administrator (or its delegate) may also determine which eligible employees may be excluded from participation in the Plan, to the extent consistent with Section 423 of the Code or as implemented under the Non-423 Component, and determine which Designated Subsidiaries will participate in separate Offerings (to the extent that the Company makes separate Offerings). For purposes of the 423 Component, only the Company and its Subsidiaries that are taxed as corporations under the Code may be Designated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given time, a Subsidiary that is a Designated Subsidiary under the 423 Component will not be a Designated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under the Non-423 Component.</w:t>
      </w:r>
    </w:p>
    <w:p>
      <w:pPr>
        <w:spacing w:after="0" w:line="73" w:lineRule="exact"/>
        <w:rPr>
          <w:rFonts w:ascii="Arial" w:cs="Arial" w:eastAsia="Arial" w:hAnsi="Arial"/>
          <w:sz w:val="16"/>
          <w:szCs w:val="16"/>
          <w:color w:val="auto"/>
        </w:rPr>
      </w:pPr>
    </w:p>
    <w:p>
      <w:pPr>
        <w:ind w:left="439" w:hanging="439"/>
        <w:spacing w:after="0" w:line="272" w:lineRule="auto"/>
        <w:tabs>
          <w:tab w:leader="none" w:pos="439"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per Share means, as of any date, the value of Shares determined as follows: (i) if the Ordinary Shares are not then listed on a national securities exchange or traded in an over-the-counter market, such value as the Administrator, in its sole discretion, shall determine; (ii) if the Ordinary Shares are then traded on a national securities exchange, the closing sales price per Ordinary Share on the national securities exchange, on which the Ordinary Shares are principally traded, for the last preceding date on which there was a sale of such Ordinary Shares on such exchange; or (iii) if the Ordinary Shares are then traded in an over-the-counter market, the average of the closing bid and asked prices for the Ordinary Shares in such over-the-counter market for the last preceding date on which there was a sale of such Ordinary Shares in such market.</w:t>
      </w:r>
    </w:p>
    <w:p>
      <w:pPr>
        <w:spacing w:after="0" w:line="82" w:lineRule="exact"/>
        <w:rPr>
          <w:rFonts w:ascii="Arial" w:cs="Arial" w:eastAsia="Arial" w:hAnsi="Arial"/>
          <w:sz w:val="17"/>
          <w:szCs w:val="17"/>
          <w:color w:val="auto"/>
        </w:rPr>
      </w:pPr>
    </w:p>
    <w:p>
      <w:pPr>
        <w:ind w:left="439" w:right="400" w:hanging="439"/>
        <w:spacing w:after="0" w:line="277" w:lineRule="auto"/>
        <w:tabs>
          <w:tab w:leader="none" w:pos="4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the grant of Options to purchase Shares under the 423 Component or the Non-423 Component of the Plan to eligible individuals under terms approved by the Administrator.</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Date</w:t>
      </w:r>
      <w:r>
        <w:rPr>
          <w:rFonts w:ascii="Arial" w:cs="Arial" w:eastAsia="Arial" w:hAnsi="Arial"/>
          <w:sz w:val="18"/>
          <w:szCs w:val="18"/>
          <w:color w:val="auto"/>
        </w:rPr>
        <w:t>” means the first trading day of each Purchase Period.</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shares of ordinary shares, par value £0.01 per share, of the Company.</w:t>
      </w:r>
    </w:p>
    <w:p>
      <w:pPr>
        <w:spacing w:after="0" w:line="130" w:lineRule="exact"/>
        <w:rPr>
          <w:rFonts w:ascii="Arial" w:cs="Arial" w:eastAsia="Arial" w:hAnsi="Arial"/>
          <w:sz w:val="18"/>
          <w:szCs w:val="18"/>
          <w:color w:val="auto"/>
        </w:rPr>
      </w:pPr>
    </w:p>
    <w:p>
      <w:pPr>
        <w:ind w:left="439" w:hanging="439"/>
        <w:spacing w:after="0"/>
        <w:tabs>
          <w:tab w:leader="none" w:pos="4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with respect to the Company, as defined in Section 424(e) of the Code.</w:t>
      </w:r>
    </w:p>
    <w:p>
      <w:pPr>
        <w:spacing w:after="0" w:line="158" w:lineRule="exact"/>
        <w:rPr>
          <w:sz w:val="20"/>
          <w:szCs w:val="20"/>
          <w:color w:val="auto"/>
        </w:rPr>
      </w:pPr>
    </w:p>
    <w:p>
      <w:pPr>
        <w:ind w:left="43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9959"/>
          </w:cols>
          <w:pgMar w:left="1421" w:top="274" w:right="519" w:bottom="1440" w:gutter="0" w:footer="0" w:header="0"/>
        </w:sectPr>
      </w:pPr>
    </w:p>
    <w:bookmarkStart w:id="34" w:name="page35"/>
    <w:bookmarkEnd w:id="34"/>
    <w:p>
      <w:pPr>
        <w:ind w:left="1400" w:hanging="439"/>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who is eligible to participate in the Plan as determined in Section 3 and who has complied with the provisions of Section 4.</w:t>
      </w:r>
    </w:p>
    <w:p>
      <w:pPr>
        <w:spacing w:after="0" w:line="75" w:lineRule="exact"/>
        <w:rPr>
          <w:rFonts w:ascii="Arial" w:cs="Arial" w:eastAsia="Arial" w:hAnsi="Arial"/>
          <w:sz w:val="18"/>
          <w:szCs w:val="18"/>
          <w:color w:val="auto"/>
        </w:rPr>
      </w:pPr>
    </w:p>
    <w:p>
      <w:pPr>
        <w:ind w:left="1400" w:hanging="439"/>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the duration of an Offering as established by the Administrator and described in Section 2.</w:t>
      </w:r>
    </w:p>
    <w:p>
      <w:pPr>
        <w:spacing w:after="0" w:line="130" w:lineRule="exact"/>
        <w:rPr>
          <w:rFonts w:ascii="Arial" w:cs="Arial" w:eastAsia="Arial" w:hAnsi="Arial"/>
          <w:sz w:val="18"/>
          <w:szCs w:val="18"/>
          <w:color w:val="auto"/>
        </w:rPr>
      </w:pPr>
    </w:p>
    <w:p>
      <w:pPr>
        <w:ind w:left="1400" w:hanging="439"/>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with respect to the Company, as defined in Section 424(f) of the Code.</w:t>
      </w:r>
    </w:p>
    <w:p>
      <w:pPr>
        <w:spacing w:after="0" w:line="225" w:lineRule="exact"/>
        <w:rPr>
          <w:sz w:val="20"/>
          <w:szCs w:val="20"/>
          <w:color w:val="auto"/>
        </w:rPr>
      </w:pPr>
    </w:p>
    <w:p>
      <w:pPr>
        <w:ind w:left="1000" w:hanging="584"/>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Rights on Termination of Employment</w:t>
      </w:r>
      <w:r>
        <w:rPr>
          <w:rFonts w:ascii="Arial" w:cs="Arial" w:eastAsia="Arial" w:hAnsi="Arial"/>
          <w:sz w:val="18"/>
          <w:szCs w:val="18"/>
          <w:color w:val="auto"/>
        </w:rPr>
        <w:t>.</w:t>
      </w:r>
    </w:p>
    <w:p>
      <w:pPr>
        <w:spacing w:after="0" w:line="117" w:lineRule="exact"/>
        <w:rPr>
          <w:sz w:val="20"/>
          <w:szCs w:val="20"/>
          <w:color w:val="auto"/>
        </w:rPr>
      </w:pPr>
    </w:p>
    <w:p>
      <w:pPr>
        <w:ind w:left="-20" w:right="100" w:firstLine="436"/>
        <w:spacing w:after="0" w:line="263"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Participant’s employment terminates for any reason before the Exercise Date for any Purchase Period, the balance in the Participant’s account will be refunded as soon as practically possible after the date of termination to such Participant or, in the case of such Participant’s death, to his or her designated beneficiary, as if such Participant had withdrawn from the Plan under Section 7.</w:t>
      </w:r>
    </w:p>
    <w:p>
      <w:pPr>
        <w:spacing w:after="0" w:line="183" w:lineRule="exact"/>
        <w:rPr>
          <w:rFonts w:ascii="Arial" w:cs="Arial" w:eastAsia="Arial" w:hAnsi="Arial"/>
          <w:sz w:val="18"/>
          <w:szCs w:val="18"/>
          <w:color w:val="auto"/>
        </w:rPr>
      </w:pPr>
    </w:p>
    <w:p>
      <w:pPr>
        <w:ind w:left="-20" w:right="80" w:firstLine="436"/>
        <w:spacing w:after="0" w:line="269" w:lineRule="auto"/>
        <w:tabs>
          <w:tab w:leader="none" w:pos="6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Unless otherwise determined by the Administrator, a Participant will be deemed to have terminated employment, for this purpose, if (i) the corporation that employs him or her, having been a Designated Subsidiary, ceases to be a Subsidiary, (ii) the employee is transferred to any corporation other than the Company or a Designated Subsidiary or (iii) the employee transfers employment between, or terminates employment with an immediate rehire (with no break in service) by, the Company or a Designated Subsidiary. If a Participant transfers (in a manner that does not result in a termination of employment under the Plan)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An employee will not be deemed to have terminated employment for this purpose if the employee is on an approved leave of absence for military service or sickness or for any other purpose approved by the Company, so long as the employee’s right to reemployment is guaranteed by a statute, by contract or under the policy pursuant to which the leave of absence was granted, or if the Administrator otherwise provides in writing.</w:t>
      </w:r>
    </w:p>
    <w:p>
      <w:pPr>
        <w:spacing w:after="0" w:line="181" w:lineRule="exact"/>
        <w:rPr>
          <w:rFonts w:ascii="Arial" w:cs="Arial" w:eastAsia="Arial" w:hAnsi="Arial"/>
          <w:sz w:val="17"/>
          <w:szCs w:val="17"/>
          <w:color w:val="auto"/>
        </w:rPr>
      </w:pPr>
    </w:p>
    <w:p>
      <w:pPr>
        <w:jc w:val="both"/>
        <w:ind w:left="-20" w:right="60" w:firstLine="436"/>
        <w:spacing w:after="0" w:line="301" w:lineRule="auto"/>
        <w:tabs>
          <w:tab w:leader="none" w:pos="6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 Participant ceases to be employed by the Company or any Designated Subsidiary for any reason whatsoever (including as a result of being wrongfully or unfairly dismissed) he or she shall not be entitled, and by participating in the Plan he or she shall be deemed to have waived any possible entitlement, to any sum or benefit accrued or in prospect as a result of that participation and no such loss or curtailment shall form part of any claim for damages for breach of the Participant’s contract of employment or compensation for dismissal or any other claim whatsoever.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980"/>
          </w:cols>
          <w:pgMar w:left="460" w:top="274" w:right="459" w:bottom="1440" w:gutter="0" w:footer="0" w:header="0"/>
        </w:sectPr>
      </w:pPr>
    </w:p>
    <w:bookmarkStart w:id="35" w:name="page36"/>
    <w:bookmarkEnd w:id="35"/>
    <w:p>
      <w:pPr>
        <w:ind w:left="-20" w:right="80" w:firstLine="436"/>
        <w:spacing w:after="0" w:line="270" w:lineRule="auto"/>
        <w:tabs>
          <w:tab w:leader="none" w:pos="100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Rules and Sub-Plans</w:t>
      </w:r>
      <w:r>
        <w:rPr>
          <w:rFonts w:ascii="Arial" w:cs="Arial" w:eastAsia="Arial" w:hAnsi="Arial"/>
          <w:sz w:val="17"/>
          <w:szCs w:val="17"/>
          <w:color w:val="auto"/>
        </w:rPr>
        <w:t xml:space="preserve">. Notwithstanding anything herein to the contrary, the Administrator may adopt special rules or sub-plans applicable to the employees of a particular Designated Subsidiary, whenever the Administrator determines that such rules are necessary or appropriate for the implementation of the Plan in a jurisdiction where such Designated Subsidiary has employees, regarding, without limitation, eligibility to participate in the Plan, handling and making of payroll deductions or contributions by other means, establishment of bank or trust accounts to hold payroll deductions, payment of interest, conversion of local currency, obligations to pay payroll tax, withholding procedures and handling of share issuances, any of which may vary according to applicable requirements;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delegate of the Administrator may adopt special rules or sub-plans applicable to the employees of a particular Designated Subsidiary where such rules or sub-plans are necessary to comply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if such special rules or sub-plans are inconsistent with the requirements of Section 423(b) of the Code, the employees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special rules or sub-plans will participate in the Non-423 Component.</w:t>
      </w:r>
    </w:p>
    <w:p>
      <w:pPr>
        <w:spacing w:after="0" w:line="180" w:lineRule="exact"/>
        <w:rPr>
          <w:rFonts w:ascii="Arial" w:cs="Arial" w:eastAsia="Arial" w:hAnsi="Arial"/>
          <w:sz w:val="17"/>
          <w:szCs w:val="17"/>
          <w:color w:val="auto"/>
        </w:rPr>
      </w:pPr>
    </w:p>
    <w:p>
      <w:pPr>
        <w:ind w:left="-20" w:right="140" w:firstLine="436"/>
        <w:spacing w:after="0" w:line="311" w:lineRule="auto"/>
        <w:tabs>
          <w:tab w:leader="none" w:pos="105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Optionees Not Shareholders</w:t>
      </w:r>
      <w:r>
        <w:rPr>
          <w:rFonts w:ascii="Arial" w:cs="Arial" w:eastAsia="Arial" w:hAnsi="Arial"/>
          <w:sz w:val="16"/>
          <w:szCs w:val="16"/>
          <w:color w:val="auto"/>
        </w:rPr>
        <w:t>. Neither the granting of an Option to a Participant nor the deductions from his or her pay shall constitute such Participant a holder of the Shares covered by an Option under the Plan until such Shares have been purchased by and issued to him or her. No Participant shall have voting rights in Shares that he or she may purchase until such Shares have actually been purchased and issued by the Participant.</w:t>
      </w:r>
    </w:p>
    <w:p>
      <w:pPr>
        <w:spacing w:after="0" w:line="148" w:lineRule="exact"/>
        <w:rPr>
          <w:rFonts w:ascii="Arial" w:cs="Arial" w:eastAsia="Arial" w:hAnsi="Arial"/>
          <w:sz w:val="16"/>
          <w:szCs w:val="16"/>
          <w:color w:val="auto"/>
        </w:rPr>
      </w:pPr>
    </w:p>
    <w:p>
      <w:pPr>
        <w:ind w:left="-20" w:right="720" w:firstLine="436"/>
        <w:spacing w:after="0" w:line="277" w:lineRule="auto"/>
        <w:tabs>
          <w:tab w:leader="none" w:pos="105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70" w:lineRule="exact"/>
        <w:rPr>
          <w:rFonts w:ascii="Arial" w:cs="Arial" w:eastAsia="Arial" w:hAnsi="Arial"/>
          <w:sz w:val="18"/>
          <w:szCs w:val="18"/>
          <w:color w:val="auto"/>
        </w:rPr>
      </w:pPr>
    </w:p>
    <w:p>
      <w:pPr>
        <w:ind w:left="-20" w:right="180" w:firstLine="436"/>
        <w:spacing w:after="0" w:line="277" w:lineRule="auto"/>
        <w:tabs>
          <w:tab w:leader="none" w:pos="105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170" w:lineRule="exact"/>
        <w:rPr>
          <w:rFonts w:ascii="Arial" w:cs="Arial" w:eastAsia="Arial" w:hAnsi="Arial"/>
          <w:sz w:val="18"/>
          <w:szCs w:val="18"/>
          <w:color w:val="auto"/>
        </w:rPr>
      </w:pPr>
    </w:p>
    <w:p>
      <w:pPr>
        <w:ind w:left="1040" w:hanging="62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Adjustment in Case of Changes Affecting Shares and Transactions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54" w:lineRule="auto"/>
        <w:tabs>
          <w:tab w:leader="none" w:pos="6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change is made in the Shares, or subject to any Option under the Plan, without the receipt of consideration by the Company (through merger, consolidation, amalgamation,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Shares subject to the Plan and the share limitation subject to Section 8, if any, and the outstanding Options will be appropriately adjusted in the class(es), number of Shares, Option Price and share limitations of such outstanding Options. The Board shall make such adjustments, and its determination shall be final, binding and conclusive. The conversion of any convertible securities of the Company shall not be treated as a transaction that does not involve the receipt of consideration by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980"/>
          </w:cols>
          <w:pgMar w:left="460" w:top="274" w:right="459" w:bottom="1440" w:gutter="0" w:footer="0" w:header="0"/>
        </w:sectPr>
      </w:pPr>
    </w:p>
    <w:bookmarkStart w:id="36" w:name="page37"/>
    <w:bookmarkEnd w:id="36"/>
    <w:p>
      <w:pPr>
        <w:ind w:left="-20" w:right="40" w:firstLine="436"/>
        <w:spacing w:after="0" w:line="272" w:lineRule="auto"/>
        <w:tabs>
          <w:tab w:leader="none" w:pos="675"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on the preceding provisions, in the event of any corporate transaction (as described in Section 424 of the Code), the Board may make such adjustment it deems appropriate to prevent dilution or enlargement of rights in the number and class of Shares which may be delivered under the Plan, in the number, class of or Option Price available for purchase under the Plan and in the number of the Shares which an employee is entitled to purchase and any other adjustments it deems appropriate. Without limiting the Board’s authority under the Plan, in the event of any transaction, the Board may elect to have the Options hereunder assumed or such Options substituted by a successor entity, to terminate all outstanding Options, either prior to their expiration or upon completion of the purchase of Shares on the next Exercise Date, to shorten the Offering by setting a new Exercise Date or to take such other action deemed appropriate by the Board.</w:t>
      </w:r>
    </w:p>
    <w:p>
      <w:pPr>
        <w:spacing w:after="0" w:line="177" w:lineRule="exact"/>
        <w:rPr>
          <w:sz w:val="20"/>
          <w:szCs w:val="20"/>
          <w:color w:val="auto"/>
        </w:rPr>
      </w:pPr>
    </w:p>
    <w:p>
      <w:pPr>
        <w:ind w:left="-20" w:right="60" w:firstLine="436"/>
        <w:spacing w:after="0" w:line="259"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Administrator may at any time and from time to time amend the Plan in any respect, except that, without the approval within twelve (12) months of such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Code.</w:t>
      </w:r>
    </w:p>
    <w:p>
      <w:pPr>
        <w:spacing w:after="0" w:line="186" w:lineRule="exact"/>
        <w:rPr>
          <w:rFonts w:ascii="Arial" w:cs="Arial" w:eastAsia="Arial" w:hAnsi="Arial"/>
          <w:sz w:val="18"/>
          <w:szCs w:val="18"/>
          <w:color w:val="auto"/>
        </w:rPr>
      </w:pPr>
    </w:p>
    <w:p>
      <w:pPr>
        <w:ind w:left="-20" w:right="220" w:firstLine="436"/>
        <w:spacing w:after="0" w:line="259"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that would otherwise be issued on any Exercise Date plus the number of Shares issued under previous Purchase Periods under the Plan exceeds the maximum number of Shares issuable under the Plan, the Shares then available shall be apportioned among Participants in proportion to the amount of payroll deductions accumulated (without interest) on behalf of each Participant that would otherwise be used to purchase Shares on such Exercise Date.</w:t>
      </w:r>
    </w:p>
    <w:p>
      <w:pPr>
        <w:spacing w:after="0" w:line="186" w:lineRule="exact"/>
        <w:rPr>
          <w:rFonts w:ascii="Arial" w:cs="Arial" w:eastAsia="Arial" w:hAnsi="Arial"/>
          <w:sz w:val="18"/>
          <w:szCs w:val="18"/>
          <w:color w:val="auto"/>
        </w:rPr>
      </w:pPr>
    </w:p>
    <w:p>
      <w:pPr>
        <w:ind w:left="-20" w:right="160" w:firstLine="436"/>
        <w:spacing w:after="0" w:line="308" w:lineRule="auto"/>
        <w:tabs>
          <w:tab w:leader="none" w:pos="100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Equal Rights and Privileges</w:t>
      </w:r>
      <w:r>
        <w:rPr>
          <w:rFonts w:ascii="Arial" w:cs="Arial" w:eastAsia="Arial" w:hAnsi="Arial"/>
          <w:sz w:val="17"/>
          <w:szCs w:val="17"/>
          <w:color w:val="auto"/>
        </w:rPr>
        <w:t>. Notwithstanding any provision of the Plan to the contrary, and in accordance with Section 423 of the Code, all eligible employees who are granted Options under the 423 Component of the Plan will have the same rights and privileges.</w:t>
      </w:r>
    </w:p>
    <w:p>
      <w:pPr>
        <w:spacing w:after="0" w:line="146" w:lineRule="exact"/>
        <w:rPr>
          <w:rFonts w:ascii="Arial" w:cs="Arial" w:eastAsia="Arial" w:hAnsi="Arial"/>
          <w:sz w:val="17"/>
          <w:szCs w:val="17"/>
          <w:color w:val="auto"/>
        </w:rPr>
      </w:pPr>
    </w:p>
    <w:p>
      <w:pPr>
        <w:ind w:left="-20" w:right="100" w:firstLine="436"/>
        <w:spacing w:after="0" w:line="277"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The Plan may be terminated at any time by the Board. Upon termination of the Plan, all amounts in the accounts of Participants shall be refunded as soon as practically possible.</w:t>
      </w:r>
    </w:p>
    <w:p>
      <w:pPr>
        <w:spacing w:after="0" w:line="170" w:lineRule="exact"/>
        <w:rPr>
          <w:rFonts w:ascii="Arial" w:cs="Arial" w:eastAsia="Arial" w:hAnsi="Arial"/>
          <w:sz w:val="18"/>
          <w:szCs w:val="18"/>
          <w:color w:val="auto"/>
        </w:rPr>
      </w:pPr>
    </w:p>
    <w:p>
      <w:pPr>
        <w:ind w:left="-20" w:right="200" w:firstLine="436"/>
        <w:spacing w:after="0" w:line="277"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Shares under the Plan is subject to obtaining all governmental approvals required in connection with the authorization, issuance, or sale of such Shares.</w:t>
      </w:r>
    </w:p>
    <w:p>
      <w:pPr>
        <w:spacing w:after="0" w:line="170" w:lineRule="exact"/>
        <w:rPr>
          <w:rFonts w:ascii="Arial" w:cs="Arial" w:eastAsia="Arial" w:hAnsi="Arial"/>
          <w:sz w:val="18"/>
          <w:szCs w:val="18"/>
          <w:color w:val="auto"/>
        </w:rPr>
      </w:pPr>
    </w:p>
    <w:p>
      <w:pPr>
        <w:ind w:left="-20" w:right="140" w:firstLine="436"/>
        <w:spacing w:after="0" w:line="277"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Options and actions taken thereunder shall be governed by, and construed in accordance with, the laws of the State of New York, applied without regard to conflict of law principles.</w:t>
      </w:r>
    </w:p>
    <w:p>
      <w:pPr>
        <w:spacing w:after="0" w:line="170" w:lineRule="exact"/>
        <w:rPr>
          <w:rFonts w:ascii="Arial" w:cs="Arial" w:eastAsia="Arial" w:hAnsi="Arial"/>
          <w:sz w:val="18"/>
          <w:szCs w:val="18"/>
          <w:color w:val="auto"/>
        </w:rPr>
      </w:pPr>
    </w:p>
    <w:p>
      <w:pPr>
        <w:ind w:left="-20" w:right="560" w:firstLine="436"/>
        <w:spacing w:after="0" w:line="277"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Shares, from Shares held in the treasury of the Company, or from any other proper source.</w:t>
      </w:r>
    </w:p>
    <w:p>
      <w:pPr>
        <w:spacing w:after="0" w:line="170" w:lineRule="exact"/>
        <w:rPr>
          <w:rFonts w:ascii="Arial" w:cs="Arial" w:eastAsia="Arial" w:hAnsi="Arial"/>
          <w:sz w:val="18"/>
          <w:szCs w:val="18"/>
          <w:color w:val="auto"/>
        </w:rPr>
      </w:pPr>
    </w:p>
    <w:p>
      <w:pPr>
        <w:ind w:left="-20" w:firstLine="436"/>
        <w:spacing w:after="0" w:line="255" w:lineRule="auto"/>
        <w:tabs>
          <w:tab w:leader="none" w:pos="10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For this purpose “tax” shall mean Federal, state and local taxes and social security taxes in the US, and their equivalent in any other jurisdiction, for which a Participant is liable by reason of the acquisition, holding or disposal of Shares under the Plan or the receipt of any other benefit in connection with it and which the Company or any Subsidiary is liable to account for on the Participant’s behalf.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0980"/>
          </w:cols>
          <w:pgMar w:left="460" w:top="274" w:right="459" w:bottom="1440" w:gutter="0" w:footer="0" w:header="0"/>
        </w:sectPr>
      </w:pPr>
    </w:p>
    <w:bookmarkStart w:id="37" w:name="page38"/>
    <w:bookmarkEnd w:id="37"/>
    <w:p>
      <w:pPr>
        <w:ind w:left="-40" w:right="40" w:firstLine="436"/>
        <w:spacing w:after="0" w:line="286" w:lineRule="auto"/>
        <w:tabs>
          <w:tab w:leader="none" w:pos="98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 Upon Sale of Shares</w:t>
      </w:r>
      <w:r>
        <w:rPr>
          <w:rFonts w:ascii="Arial" w:cs="Arial" w:eastAsia="Arial" w:hAnsi="Arial"/>
          <w:sz w:val="17"/>
          <w:szCs w:val="17"/>
          <w:color w:val="auto"/>
        </w:rPr>
        <w:t>. Each Participant agrees, by entering the 423 Component of the Plan, to provide, if requested by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5" w:lineRule="exact"/>
        <w:rPr>
          <w:rFonts w:ascii="Arial" w:cs="Arial" w:eastAsia="Arial" w:hAnsi="Arial"/>
          <w:sz w:val="17"/>
          <w:szCs w:val="17"/>
          <w:color w:val="auto"/>
        </w:rPr>
      </w:pPr>
    </w:p>
    <w:p>
      <w:pPr>
        <w:ind w:left="-40" w:firstLine="436"/>
        <w:spacing w:after="0" w:line="257" w:lineRule="auto"/>
        <w:tabs>
          <w:tab w:leader="none" w:pos="98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xml:space="preserve">. The Participant acknowledges that the participation in the Plan entails the processing of the Participant’s personal data by the Company and its Affiliates, trustees or third parties service providers; as well as sharing such personal data with public authorities in territories which may be outside the country of residence of the Participant, such as the United States of America and Guernsey. Such processing activities shall be carried out for the purposes of executing the Plan and in accordance with Amdocs’ Employee Privacy Notice as available to the Participant at </w:t>
      </w:r>
      <w:r>
        <w:rPr>
          <w:rFonts w:ascii="Arial" w:cs="Arial" w:eastAsia="Arial" w:hAnsi="Arial"/>
          <w:sz w:val="18"/>
          <w:szCs w:val="18"/>
          <w:u w:val="single" w:color="auto"/>
          <w:color w:val="auto"/>
        </w:rPr>
        <w:t>Amdocs’</w:t>
      </w:r>
      <w:r>
        <w:rPr>
          <w:rFonts w:ascii="Arial" w:cs="Arial" w:eastAsia="Arial" w:hAnsi="Arial"/>
          <w:sz w:val="18"/>
          <w:szCs w:val="18"/>
          <w:color w:val="auto"/>
        </w:rPr>
        <w:t xml:space="preserve"> </w:t>
      </w:r>
      <w:r>
        <w:rPr>
          <w:rFonts w:ascii="Arial" w:cs="Arial" w:eastAsia="Arial" w:hAnsi="Arial"/>
          <w:sz w:val="18"/>
          <w:szCs w:val="18"/>
          <w:u w:val="single" w:color="auto"/>
          <w:color w:val="auto"/>
        </w:rPr>
        <w:t>Portal</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0" w:right="380" w:firstLine="436"/>
        <w:spacing w:after="0" w:line="342" w:lineRule="auto"/>
        <w:tabs>
          <w:tab w:leader="none" w:pos="98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Effective Date and Approval of Shareholders</w:t>
      </w:r>
      <w:r>
        <w:rPr>
          <w:rFonts w:ascii="Arial" w:cs="Arial" w:eastAsia="Arial" w:hAnsi="Arial"/>
          <w:sz w:val="16"/>
          <w:szCs w:val="16"/>
          <w:color w:val="auto"/>
        </w:rPr>
        <w:t>. The Plan shall, subject to shareholder approval in accordance with applicable law, take effect upon the filing of a Form S-8 Registration Statement with the Securities and Exchange Commission for the Shares offered under the Plan.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40"/>
          </w:cols>
          <w:pgMar w:left="480" w:top="274" w:right="4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27, 2023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of Meeting, Proxy Statement, Proxy Card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are available at www.amdocs.com/proxy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sign, date and mail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possible.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AMDOCS’ BOARD OF DIRECTORS RECOMMENDS A VOTE “FOR” THE ELECTION OF EACH OF THE</w:t>
      </w:r>
    </w:p>
    <w:p>
      <w:pPr>
        <w:jc w:val="center"/>
        <w:ind w:right="-19"/>
        <w:spacing w:after="0" w:line="226" w:lineRule="auto"/>
        <w:rPr>
          <w:sz w:val="20"/>
          <w:szCs w:val="20"/>
          <w:color w:val="auto"/>
        </w:rPr>
      </w:pPr>
      <w:r>
        <w:rPr>
          <w:rFonts w:ascii="Arial" w:cs="Arial" w:eastAsia="Arial" w:hAnsi="Arial"/>
          <w:sz w:val="14"/>
          <w:szCs w:val="14"/>
          <w:b w:val="1"/>
          <w:bCs w:val="1"/>
          <w:color w:val="auto"/>
        </w:rPr>
        <w:t>DIRECTOR NOMINEES</w:t>
      </w:r>
    </w:p>
    <w:p>
      <w:pPr>
        <w:jc w:val="center"/>
        <w:ind w:right="-19"/>
        <w:spacing w:after="0" w:line="221" w:lineRule="auto"/>
        <w:rPr>
          <w:sz w:val="20"/>
          <w:szCs w:val="20"/>
          <w:color w:val="auto"/>
        </w:rPr>
      </w:pPr>
      <w:r>
        <w:rPr>
          <w:rFonts w:ascii="Arial" w:cs="Arial" w:eastAsia="Arial" w:hAnsi="Arial"/>
          <w:sz w:val="14"/>
          <w:szCs w:val="14"/>
          <w:b w:val="1"/>
          <w:bCs w:val="1"/>
          <w:color w:val="auto"/>
        </w:rPr>
        <w:t>AND A VOTE “FOR” PROPOSALS 2, 3, 4 AND 5.</w:t>
      </w:r>
    </w:p>
    <w:p>
      <w:pPr>
        <w:jc w:val="center"/>
        <w:ind w:right="-19"/>
        <w:spacing w:after="0" w:line="222"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w:t>
      </w:r>
    </w:p>
    <w:p>
      <w:pPr>
        <w:jc w:val="center"/>
        <w:ind w:right="-19"/>
        <w:spacing w:after="0" w:line="233" w:lineRule="auto"/>
        <w:rPr>
          <w:sz w:val="20"/>
          <w:szCs w:val="20"/>
          <w:color w:val="auto"/>
        </w:rPr>
      </w:pPr>
      <w:r>
        <w:rPr>
          <w:rFonts w:ascii="Arial" w:cs="Arial" w:eastAsia="Arial" w:hAnsi="Arial"/>
          <w:sz w:val="14"/>
          <w:szCs w:val="14"/>
          <w:b w:val="1"/>
          <w:bCs w:val="1"/>
          <w:color w:val="auto"/>
        </w:rPr>
        <w:t>IN BLUE OR BLACK INK AS</w:t>
      </w:r>
    </w:p>
    <w:p>
      <w:pPr>
        <w:spacing w:after="0" w:line="1"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ectPr>
          <w:pgSz w:w="11900" w:h="16838" w:orient="portrait"/>
          <w:cols w:equalWidth="0" w:num="1">
            <w:col w:w="11000"/>
          </w:cols>
          <w:pgMar w:left="440" w:top="270" w:right="459" w:bottom="1440" w:gutter="0" w:footer="0" w:header="0"/>
        </w:sectPr>
      </w:pPr>
    </w:p>
    <w:p>
      <w:pPr>
        <w:spacing w:after="0" w:line="264" w:lineRule="exact"/>
        <w:rPr>
          <w:sz w:val="20"/>
          <w:szCs w:val="20"/>
          <w:color w:val="auto"/>
        </w:rPr>
      </w:pPr>
    </w:p>
    <w:p>
      <w:pPr>
        <w:spacing w:after="0"/>
        <w:tabs>
          <w:tab w:leader="none" w:pos="2240" w:val="left"/>
          <w:tab w:leader="none" w:pos="2740" w:val="left"/>
          <w:tab w:leader="none" w:pos="3600" w:val="left"/>
        </w:tabs>
        <w:rPr>
          <w:sz w:val="20"/>
          <w:szCs w:val="20"/>
          <w:color w:val="auto"/>
        </w:rPr>
      </w:pPr>
      <w:r>
        <w:rPr>
          <w:rFonts w:ascii="Arial" w:cs="Arial" w:eastAsia="Arial" w:hAnsi="Arial"/>
          <w:sz w:val="14"/>
          <w:szCs w:val="14"/>
          <w:color w:val="auto"/>
        </w:rPr>
        <w:t>1. ELECTION OF DIRECTORS:</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6995160" cy="2468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2468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tabs>
          <w:tab w:leader="none" w:pos="460" w:val="left"/>
          <w:tab w:leader="none" w:pos="1280" w:val="left"/>
        </w:tabs>
        <w:rPr>
          <w:sz w:val="20"/>
          <w:szCs w:val="20"/>
          <w:color w:val="auto"/>
        </w:rPr>
      </w:pPr>
      <w:r>
        <w:rPr>
          <w:rFonts w:ascii="Arial" w:cs="Arial" w:eastAsia="Arial" w:hAnsi="Arial"/>
          <w:sz w:val="14"/>
          <w:szCs w:val="14"/>
          <w:color w:val="auto"/>
        </w:rPr>
        <w:t>FOR</w:t>
        <w:tab/>
        <w:t>AGAINST</w:t>
        <w:tab/>
        <w:t>ABSTAIN</w:t>
      </w:r>
    </w:p>
    <w:p>
      <w:pPr>
        <w:spacing w:after="0" w:line="21" w:lineRule="exact"/>
        <w:rPr>
          <w:sz w:val="20"/>
          <w:szCs w:val="20"/>
          <w:color w:val="auto"/>
        </w:rPr>
      </w:pPr>
    </w:p>
    <w:p>
      <w:pPr>
        <w:sectPr>
          <w:pgSz w:w="11900" w:h="16838" w:orient="portrait"/>
          <w:cols w:equalWidth="0" w:num="2">
            <w:col w:w="8360" w:space="720"/>
            <w:col w:w="1920"/>
          </w:cols>
          <w:pgMar w:left="440" w:top="270" w:right="4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760" w:type="dxa"/>
            <w:vAlign w:val="bottom"/>
          </w:tcPr>
          <w:p>
            <w:pPr>
              <w:spacing w:after="0"/>
              <w:rPr>
                <w:sz w:val="20"/>
                <w:szCs w:val="20"/>
                <w:color w:val="auto"/>
              </w:rPr>
            </w:pPr>
            <w:r>
              <w:rPr>
                <w:rFonts w:ascii="Arial" w:cs="Arial" w:eastAsia="Arial" w:hAnsi="Arial"/>
                <w:sz w:val="14"/>
                <w:szCs w:val="14"/>
                <w:color w:val="auto"/>
              </w:rPr>
              <w:t>Robert A. Minicucci</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Adrian Gardner</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60" w:type="dxa"/>
            <w:vAlign w:val="bottom"/>
          </w:tcPr>
          <w:p>
            <w:pPr>
              <w:spacing w:after="0"/>
              <w:rPr>
                <w:sz w:val="20"/>
                <w:szCs w:val="20"/>
                <w:color w:val="auto"/>
              </w:rPr>
            </w:pPr>
            <w:r>
              <w:rPr>
                <w:rFonts w:ascii="Arial" w:cs="Arial" w:eastAsia="Arial" w:hAnsi="Arial"/>
                <w:sz w:val="14"/>
                <w:szCs w:val="14"/>
                <w:color w:val="auto"/>
              </w:rPr>
              <w:t>Rafael de la Vega</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3"/>
        </w:trPr>
        <w:tc>
          <w:tcPr>
            <w:tcW w:w="1760" w:type="dxa"/>
            <w:vAlign w:val="bottom"/>
          </w:tcPr>
          <w:p>
            <w:pPr>
              <w:spacing w:after="0"/>
              <w:rPr>
                <w:sz w:val="20"/>
                <w:szCs w:val="20"/>
                <w:color w:val="auto"/>
              </w:rPr>
            </w:pPr>
            <w:r>
              <w:rPr>
                <w:rFonts w:ascii="Arial" w:cs="Arial" w:eastAsia="Arial" w:hAnsi="Arial"/>
                <w:sz w:val="14"/>
                <w:szCs w:val="14"/>
                <w:color w:val="auto"/>
              </w:rPr>
              <w:t>Eli Gelman</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Richard T.C. LeFave</w:t>
            </w:r>
          </w:p>
        </w:tc>
        <w:tc>
          <w:tcPr>
            <w:tcW w:w="9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38"/>
        </w:trPr>
        <w:tc>
          <w:tcPr>
            <w:tcW w:w="1760" w:type="dxa"/>
            <w:vAlign w:val="bottom"/>
          </w:tcPr>
          <w:p>
            <w:pPr>
              <w:spacing w:after="0" w:line="138" w:lineRule="exact"/>
              <w:rPr>
                <w:sz w:val="20"/>
                <w:szCs w:val="20"/>
                <w:color w:val="auto"/>
              </w:rPr>
            </w:pPr>
            <w:r>
              <w:rPr>
                <w:rFonts w:ascii="Arial" w:cs="Arial" w:eastAsia="Arial" w:hAnsi="Arial"/>
                <w:sz w:val="14"/>
                <w:szCs w:val="14"/>
                <w:color w:val="auto"/>
              </w:rPr>
              <w:t>John A. MacDonald</w:t>
            </w:r>
          </w:p>
        </w:tc>
        <w:tc>
          <w:tcPr>
            <w:tcW w:w="960" w:type="dxa"/>
            <w:vAlign w:val="bottom"/>
          </w:tcPr>
          <w:p>
            <w:pPr>
              <w:ind w:left="560"/>
              <w:spacing w:after="0" w:line="138"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38"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38"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0"/>
          <w:szCs w:val="20"/>
          <w:color w:val="auto"/>
        </w:rPr>
      </w:pPr>
      <w:r>
        <w:rPr>
          <w:sz w:val="20"/>
          <w:szCs w:val="20"/>
          <w:color w:val="auto"/>
        </w:rPr>
        <w:br w:type="column"/>
      </w:r>
    </w:p>
    <w:p>
      <w:pPr>
        <w:ind w:left="363" w:right="40" w:hanging="363"/>
        <w:spacing w:after="0" w:line="243" w:lineRule="auto"/>
        <w:tabs>
          <w:tab w:leader="none" w:pos="36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approve the Amdocs Limited 2023 Employee Share Purchase Plan (Proposal II)</w:t>
      </w:r>
    </w:p>
    <w:p>
      <w:pPr>
        <w:spacing w:after="0" w:line="355" w:lineRule="exact"/>
        <w:rPr>
          <w:rFonts w:ascii="Arial" w:cs="Arial" w:eastAsia="Arial" w:hAnsi="Arial"/>
          <w:sz w:val="14"/>
          <w:szCs w:val="14"/>
          <w:color w:val="auto"/>
        </w:rPr>
      </w:pPr>
    </w:p>
    <w:p>
      <w:pPr>
        <w:ind w:left="363" w:hanging="363"/>
        <w:spacing w:after="0" w:line="238" w:lineRule="auto"/>
        <w:tabs>
          <w:tab w:leader="none" w:pos="363"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approve an increase in the dividend rate under our quarterly cash dividend program from $0.395 per share to $0.435 per share (Proposal III)</w:t>
      </w:r>
    </w:p>
    <w:p>
      <w:pPr>
        <w:spacing w:after="0" w:line="20" w:lineRule="exact"/>
        <w:rPr>
          <w:sz w:val="20"/>
          <w:szCs w:val="20"/>
          <w:color w:val="auto"/>
        </w:rPr>
      </w:pPr>
      <w:r>
        <w:rPr>
          <w:sz w:val="20"/>
          <w:szCs w:val="20"/>
          <w:color w:val="auto"/>
        </w:rPr>
        <w:br w:type="column"/>
      </w:r>
    </w:p>
    <w:p>
      <w:pPr>
        <w:spacing w:after="0" w:line="121"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328" w:lineRule="exact"/>
        <w:rPr>
          <w:sz w:val="20"/>
          <w:szCs w:val="20"/>
          <w:color w:val="auto"/>
        </w:rPr>
      </w:pPr>
    </w:p>
    <w:p>
      <w:pPr>
        <w:spacing w:after="0" w:line="141"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453" w:lineRule="exact"/>
        <w:rPr>
          <w:sz w:val="20"/>
          <w:szCs w:val="20"/>
          <w:color w:val="auto"/>
        </w:rPr>
      </w:pPr>
    </w:p>
    <w:p>
      <w:pPr>
        <w:sectPr>
          <w:pgSz w:w="11900" w:h="16838" w:orient="portrait"/>
          <w:cols w:equalWidth="0" w:num="3">
            <w:col w:w="4000" w:space="437"/>
            <w:col w:w="4423" w:space="280"/>
            <w:col w:w="1860"/>
          </w:cols>
          <w:pgMar w:left="440" w:top="270" w:right="45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4"/>
                <w:szCs w:val="14"/>
                <w:color w:val="auto"/>
              </w:rPr>
              <w:t>Shuky Sheffer</w:t>
            </w:r>
          </w:p>
        </w:tc>
        <w:tc>
          <w:tcPr>
            <w:tcW w:w="10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660" w:type="dxa"/>
            <w:vAlign w:val="bottom"/>
          </w:tcPr>
          <w:p>
            <w:pPr>
              <w:spacing w:after="0"/>
              <w:rPr>
                <w:sz w:val="20"/>
                <w:szCs w:val="20"/>
                <w:color w:val="auto"/>
              </w:rPr>
            </w:pPr>
            <w:r>
              <w:rPr>
                <w:rFonts w:ascii="Arial" w:cs="Arial" w:eastAsia="Arial" w:hAnsi="Arial"/>
                <w:sz w:val="14"/>
                <w:szCs w:val="14"/>
                <w:color w:val="auto"/>
              </w:rPr>
              <w:t>Yvette Kanouff</w:t>
            </w:r>
          </w:p>
        </w:tc>
        <w:tc>
          <w:tcPr>
            <w:tcW w:w="10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660" w:type="dxa"/>
            <w:vAlign w:val="bottom"/>
          </w:tcPr>
          <w:p>
            <w:pPr>
              <w:spacing w:after="0"/>
              <w:rPr>
                <w:sz w:val="20"/>
                <w:szCs w:val="20"/>
                <w:color w:val="auto"/>
              </w:rPr>
            </w:pPr>
            <w:r>
              <w:rPr>
                <w:rFonts w:ascii="Arial" w:cs="Arial" w:eastAsia="Arial" w:hAnsi="Arial"/>
                <w:sz w:val="14"/>
                <w:szCs w:val="14"/>
                <w:color w:val="auto"/>
              </w:rPr>
              <w:t>Sarah Ruth Davis</w:t>
            </w:r>
          </w:p>
        </w:tc>
        <w:tc>
          <w:tcPr>
            <w:tcW w:w="10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Amos Genish</w:t>
            </w:r>
          </w:p>
        </w:tc>
        <w:tc>
          <w:tcPr>
            <w:tcW w:w="106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0"/>
          <w:szCs w:val="20"/>
          <w:color w:val="auto"/>
        </w:rPr>
      </w:pPr>
      <w:r>
        <w:rPr>
          <w:sz w:val="20"/>
          <w:szCs w:val="20"/>
          <w:color w:val="auto"/>
        </w:rPr>
        <w:br w:type="column"/>
      </w:r>
    </w:p>
    <w:p>
      <w:pPr>
        <w:ind w:left="363" w:right="160" w:hanging="363"/>
        <w:spacing w:after="0" w:line="237" w:lineRule="auto"/>
        <w:tabs>
          <w:tab w:leader="none" w:pos="36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approve our Consolidated Financial Statements for the fiscal year ended September 30, 2022 (Proposal IV)</w:t>
      </w:r>
    </w:p>
    <w:p>
      <w:pPr>
        <w:spacing w:after="0" w:line="318" w:lineRule="exact"/>
        <w:rPr>
          <w:rFonts w:ascii="Arial" w:cs="Arial" w:eastAsia="Arial" w:hAnsi="Arial"/>
          <w:sz w:val="14"/>
          <w:szCs w:val="14"/>
          <w:color w:val="auto"/>
        </w:rPr>
      </w:pPr>
    </w:p>
    <w:p>
      <w:pPr>
        <w:ind w:left="363" w:hanging="363"/>
        <w:spacing w:after="0" w:line="248" w:lineRule="auto"/>
        <w:tabs>
          <w:tab w:leader="none" w:pos="363" w:val="left"/>
        </w:tabs>
        <w:numPr>
          <w:ilvl w:val="0"/>
          <w:numId w:val="38"/>
        </w:numPr>
        <w:rPr>
          <w:rFonts w:ascii="Arial" w:cs="Arial" w:eastAsia="Arial" w:hAnsi="Arial"/>
          <w:sz w:val="13"/>
          <w:szCs w:val="13"/>
          <w:color w:val="auto"/>
        </w:rPr>
      </w:pPr>
      <w:r>
        <w:rPr>
          <w:rFonts w:ascii="Arial" w:cs="Arial" w:eastAsia="Arial" w:hAnsi="Arial"/>
          <w:sz w:val="13"/>
          <w:szCs w:val="13"/>
          <w:color w:val="auto"/>
        </w:rPr>
        <w:t>To ratify and approve the appointment of Ernst &amp; Young LLP as our independent registered public accounting firm for the fiscal year ending September 30, 2023,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20" w:lineRule="exact"/>
        <w:rPr>
          <w:sz w:val="20"/>
          <w:szCs w:val="20"/>
          <w:color w:val="auto"/>
        </w:rPr>
      </w:pPr>
      <w:r>
        <w:rPr>
          <w:sz w:val="20"/>
          <w:szCs w:val="20"/>
          <w:color w:val="auto"/>
        </w:rPr>
        <w:br w:type="column"/>
      </w:r>
    </w:p>
    <w:p>
      <w:pPr>
        <w:spacing w:after="0" w:line="120"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82" w:lineRule="exact"/>
        <w:rPr>
          <w:sz w:val="20"/>
          <w:szCs w:val="20"/>
          <w:color w:val="auto"/>
        </w:rPr>
      </w:pPr>
    </w:p>
    <w:p>
      <w:pPr>
        <w:spacing w:after="0" w:line="141" w:lineRule="exact"/>
        <w:tabs>
          <w:tab w:leader="none" w:pos="640" w:val="left"/>
          <w:tab w:leader="none" w:pos="14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898" w:lineRule="exact"/>
        <w:rPr>
          <w:sz w:val="20"/>
          <w:szCs w:val="20"/>
          <w:color w:val="auto"/>
        </w:rPr>
      </w:pPr>
    </w:p>
    <w:p>
      <w:pPr>
        <w:sectPr>
          <w:pgSz w:w="11900" w:h="16838" w:orient="portrait"/>
          <w:cols w:equalWidth="0" w:num="3">
            <w:col w:w="4000" w:space="437"/>
            <w:col w:w="4483" w:space="220"/>
            <w:col w:w="1860"/>
          </w:cols>
          <w:pgMar w:left="440" w:top="270" w:right="4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760" w:type="dxa"/>
            <w:vAlign w:val="bottom"/>
            <w:tcBorders>
              <w:top w:val="single" w:sz="8" w:color="auto"/>
            </w:tcBorders>
            <w:gridSpan w:val="2"/>
          </w:tcPr>
          <w:p>
            <w:pPr>
              <w:ind w:left="360"/>
              <w:spacing w:after="0" w:line="149" w:lineRule="exact"/>
              <w:rPr>
                <w:sz w:val="20"/>
                <w:szCs w:val="20"/>
                <w:color w:val="auto"/>
              </w:rPr>
            </w:pPr>
            <w:r>
              <w:rPr>
                <w:rFonts w:ascii="Arial" w:cs="Arial" w:eastAsia="Arial" w:hAnsi="Arial"/>
                <w:sz w:val="14"/>
                <w:szCs w:val="14"/>
                <w:color w:val="auto"/>
                <w:w w:val="99"/>
              </w:rPr>
              <w:t>To change the address on your account, please check</w:t>
            </w:r>
          </w:p>
        </w:tc>
        <w:tc>
          <w:tcPr>
            <w:tcW w:w="580" w:type="dxa"/>
            <w:vAlign w:val="bottom"/>
            <w:tcBorders>
              <w:top w:val="single" w:sz="8" w:color="auto"/>
            </w:tcBorders>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760" w:type="dxa"/>
            <w:vAlign w:val="bottom"/>
            <w:gridSpan w:val="2"/>
          </w:tcPr>
          <w:p>
            <w:pPr>
              <w:ind w:left="360"/>
              <w:spacing w:after="0" w:line="143" w:lineRule="exact"/>
              <w:rPr>
                <w:sz w:val="20"/>
                <w:szCs w:val="20"/>
                <w:color w:val="auto"/>
              </w:rPr>
            </w:pPr>
            <w:r>
              <w:rPr>
                <w:rFonts w:ascii="Arial" w:cs="Arial" w:eastAsia="Arial" w:hAnsi="Arial"/>
                <w:sz w:val="14"/>
                <w:szCs w:val="14"/>
                <w:color w:val="auto"/>
              </w:rPr>
              <w:t>the box at right and indicate your new address in the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99"/>
              </w:rPr>
              <w:t>address space above. Please note that changes to the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registered name(s) on the account may not be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submitted via this method.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420" w:type="dxa"/>
            <w:vAlign w:val="bottom"/>
            <w:vMerge w:val="restart"/>
          </w:tcPr>
          <w:p>
            <w:pPr>
              <w:spacing w:after="0"/>
              <w:rPr>
                <w:sz w:val="20"/>
                <w:szCs w:val="20"/>
                <w:color w:val="auto"/>
              </w:rPr>
            </w:pPr>
            <w:r>
              <w:rPr>
                <w:rFonts w:ascii="Arial" w:cs="Arial" w:eastAsia="Arial" w:hAnsi="Arial"/>
                <w:sz w:val="14"/>
                <w:szCs w:val="14"/>
                <w:color w:val="auto"/>
              </w:rPr>
              <w:t>Signature of</w:t>
            </w:r>
          </w:p>
        </w:tc>
        <w:tc>
          <w:tcPr>
            <w:tcW w:w="2340" w:type="dxa"/>
            <w:vAlign w:val="bottom"/>
            <w:tcBorders>
              <w:bottom w:val="single" w:sz="8" w:color="auto"/>
            </w:tcBorders>
          </w:tcPr>
          <w:p>
            <w:pPr>
              <w:spacing w:after="0"/>
              <w:rPr>
                <w:sz w:val="6"/>
                <w:szCs w:val="6"/>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w w:val="89"/>
              </w:rPr>
              <w:t>Date:</w:t>
            </w: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2340" w:type="dxa"/>
            <w:vAlign w:val="bottom"/>
            <w:tcBorders>
              <w:left w:val="single" w:sz="8" w:color="auto"/>
              <w:right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line="135" w:lineRule="exact"/>
              <w:rPr>
                <w:sz w:val="20"/>
                <w:szCs w:val="20"/>
                <w:color w:val="auto"/>
              </w:rPr>
            </w:pPr>
            <w:r>
              <w:rPr>
                <w:rFonts w:ascii="Arial" w:cs="Arial" w:eastAsia="Arial" w:hAnsi="Arial"/>
                <w:sz w:val="14"/>
                <w:szCs w:val="14"/>
                <w:color w:val="auto"/>
              </w:rPr>
              <w:t>Shareholder</w:t>
            </w:r>
          </w:p>
        </w:tc>
        <w:tc>
          <w:tcPr>
            <w:tcW w:w="2340" w:type="dxa"/>
            <w:vAlign w:val="bottom"/>
            <w:tcBorders>
              <w:left w:val="single" w:sz="8" w:color="auto"/>
              <w:bottom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340"/>
        <w:spacing w:after="0" w:line="230"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ind w:right="160"/>
        <w:spacing w:after="0" w:line="232" w:lineRule="auto"/>
        <w:rPr>
          <w:sz w:val="20"/>
          <w:szCs w:val="20"/>
          <w:color w:val="auto"/>
        </w:rPr>
      </w:pPr>
      <w:r>
        <w:rPr>
          <w:rFonts w:ascii="Arial" w:cs="Arial" w:eastAsia="Arial" w:hAnsi="Arial"/>
          <w:sz w:val="14"/>
          <w:szCs w:val="14"/>
          <w:color w:val="auto"/>
        </w:rPr>
        <w:t>The Board of Directors has fixed the close of business on November 30, 2022 as the record date for the determination of our shareholders entitled to notice of, and to vote on the matters proposed at, the annual general meeting and any adjournments thereof.</w:t>
      </w:r>
    </w:p>
    <w:p>
      <w:pPr>
        <w:spacing w:after="0" w:line="55"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13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w:t>
            </w:r>
          </w:p>
        </w:tc>
        <w:tc>
          <w:tcPr>
            <w:tcW w:w="1420" w:type="dxa"/>
            <w:vAlign w:val="bottom"/>
            <w:tcBorders>
              <w:top w:val="single" w:sz="8" w:color="auto"/>
              <w:right w:val="single" w:sz="8" w:color="auto"/>
            </w:tcBorders>
          </w:tcPr>
          <w:p>
            <w:pPr>
              <w:spacing w:after="0"/>
              <w:rPr>
                <w:sz w:val="15"/>
                <w:szCs w:val="15"/>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w w:val="89"/>
              </w:rPr>
              <w:t>Date:</w:t>
            </w:r>
          </w:p>
        </w:tc>
      </w:tr>
      <w:tr>
        <w:trPr>
          <w:trHeight w:val="135"/>
        </w:trPr>
        <w:tc>
          <w:tcPr>
            <w:tcW w:w="1300" w:type="dxa"/>
            <w:vAlign w:val="bottom"/>
            <w:tcBorders>
              <w:right w:val="single" w:sz="8" w:color="auto"/>
            </w:tcBorders>
          </w:tcPr>
          <w:p>
            <w:pPr>
              <w:spacing w:after="0" w:line="135" w:lineRule="exact"/>
              <w:rPr>
                <w:sz w:val="20"/>
                <w:szCs w:val="20"/>
                <w:color w:val="auto"/>
              </w:rPr>
            </w:pPr>
            <w:r>
              <w:rPr>
                <w:rFonts w:ascii="Arial" w:cs="Arial" w:eastAsia="Arial" w:hAnsi="Arial"/>
                <w:sz w:val="14"/>
                <w:szCs w:val="14"/>
                <w:color w:val="auto"/>
              </w:rPr>
              <w:t>Shareholder</w:t>
            </w:r>
          </w:p>
        </w:tc>
        <w:tc>
          <w:tcPr>
            <w:tcW w:w="1420" w:type="dxa"/>
            <w:vAlign w:val="bottom"/>
            <w:tcBorders>
              <w:bottom w:val="single" w:sz="8" w:color="auto"/>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-196850</wp:posOffset>
            </wp:positionV>
            <wp:extent cx="840105"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197485"/>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-196850</wp:posOffset>
            </wp:positionV>
            <wp:extent cx="702945"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 cy="19748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4440" w:space="360"/>
            <w:col w:w="6200"/>
          </w:cols>
          <w:pgMar w:left="440" w:top="270" w:right="459" w:bottom="1440" w:gutter="0" w:footer="0" w:header="0"/>
          <w:type w:val="continuous"/>
        </w:sectPr>
      </w:pPr>
    </w:p>
    <w:p>
      <w:pPr>
        <w:ind w:left="300" w:right="16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000"/>
          </w:cols>
          <w:pgMar w:left="440" w:top="270" w:right="45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undersigned hereby appoints each of Robert A. Minicucci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November 30, 2022, at the annual General Meeting of shareholders to be held on January 27, 2023 or any adjournment thereof.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000"/>
          </w:cols>
          <w:pgMar w:left="440" w:top="270" w:right="4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GENERAL MEETING OF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27, 2023</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-127635</wp:posOffset>
            </wp:positionV>
            <wp:extent cx="245999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154305"/>
                    </a:xfrm>
                    <a:prstGeom prst="rect">
                      <a:avLst/>
                    </a:prstGeom>
                    <a:noFill/>
                  </pic:spPr>
                </pic:pic>
              </a:graphicData>
            </a:graphic>
          </wp:anchor>
        </w:drawing>
      </w:r>
    </w:p>
    <w:p>
      <w:pPr>
        <w:spacing w:after="0" w:line="24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 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 instructions or scan the QR code with your smartphone. Have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when you access the web page.</w:t>
      </w:r>
    </w:p>
    <w:p>
      <w:pPr>
        <w:ind w:right="120"/>
        <w:spacing w:after="0" w:line="250"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 United States or</w:t>
      </w:r>
      <w:r>
        <w:rPr>
          <w:rFonts w:ascii="Arial" w:cs="Arial" w:eastAsia="Arial" w:hAnsi="Arial"/>
          <w:sz w:val="18"/>
          <w:szCs w:val="18"/>
          <w:b w:val="1"/>
          <w:bCs w:val="1"/>
          <w:color w:val="auto"/>
        </w:rPr>
        <w:t xml:space="preserve"> 1-718-921-8500 </w:t>
      </w:r>
      <w:r>
        <w:rPr>
          <w:rFonts w:ascii="Arial" w:cs="Arial" w:eastAsia="Arial" w:hAnsi="Arial"/>
          <w:sz w:val="18"/>
          <w:szCs w:val="18"/>
          <w:color w:val="auto"/>
        </w:rPr>
        <w:t>from foreign countries from any touch-tone</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and follow the instructions. Have your proxy card available when you call. Vote online/phone until 11:59 PM EST the day before the meeting.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 possible.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377190" cy="377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-127635</wp:posOffset>
            </wp:positionV>
            <wp:extent cx="6926580"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6580" cy="44577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245745</wp:posOffset>
            </wp:positionV>
            <wp:extent cx="6934835"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835" cy="325755"/>
                    </a:xfrm>
                    <a:prstGeom prst="rect">
                      <a:avLst/>
                    </a:prstGeom>
                    <a:noFill/>
                  </pic:spPr>
                </pic:pic>
              </a:graphicData>
            </a:graphic>
          </wp:anchor>
        </w:drawing>
      </w:r>
    </w:p>
    <w:p>
      <w:pPr>
        <w:spacing w:after="0" w:line="376" w:lineRule="exact"/>
        <w:rPr>
          <w:sz w:val="20"/>
          <w:szCs w:val="20"/>
          <w:color w:val="auto"/>
        </w:rPr>
      </w:pPr>
    </w:p>
    <w:p>
      <w:pPr>
        <w:ind w:left="220" w:right="1300"/>
        <w:spacing w:after="0" w:line="313" w:lineRule="auto"/>
        <w:rPr>
          <w:sz w:val="20"/>
          <w:szCs w:val="20"/>
          <w:color w:val="auto"/>
        </w:rPr>
      </w:pPr>
      <w:r>
        <w:rPr>
          <w:rFonts w:ascii="Arial" w:cs="Arial" w:eastAsia="Arial" w:hAnsi="Arial"/>
          <w:sz w:val="18"/>
          <w:szCs w:val="18"/>
          <w:b w:val="1"/>
          <w:bCs w:val="1"/>
          <w:color w:val="auto"/>
        </w:rPr>
        <w:t>NOTICE OF INTERNET AVAILABILITY OF PROXY MATERIAL: The Notice of Meeting, Proxy Statement, Proxy Card are available at www.amdocs.com/proxy</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i Please detach along perforated line and mail in the envelope provided IF you are not voting via telephone or the internet. i</w:t>
      </w:r>
    </w:p>
    <w:p>
      <w:pPr>
        <w:spacing w:after="0" w:line="3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spacing w:after="0" w:line="226" w:lineRule="auto"/>
        <w:rPr>
          <w:sz w:val="20"/>
          <w:szCs w:val="20"/>
          <w:color w:val="auto"/>
        </w:rPr>
      </w:pPr>
      <w:r>
        <w:rPr>
          <w:rFonts w:ascii="Arial" w:cs="Arial" w:eastAsia="Arial" w:hAnsi="Arial"/>
          <w:sz w:val="14"/>
          <w:szCs w:val="14"/>
          <w:b w:val="1"/>
          <w:bCs w:val="1"/>
          <w:color w:val="auto"/>
        </w:rPr>
        <w:t>AND A VOTE “FOR” PROPOSALS 2, 3, 4 AND 5.</w:t>
      </w:r>
    </w:p>
    <w:p>
      <w:pPr>
        <w:jc w:val="center"/>
        <w:spacing w:after="0" w:line="221" w:lineRule="auto"/>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w:t>
      </w:r>
    </w:p>
    <w:p>
      <w:pPr>
        <w:jc w:val="center"/>
        <w:spacing w:after="0" w:line="234" w:lineRule="auto"/>
        <w:rPr>
          <w:sz w:val="20"/>
          <w:szCs w:val="20"/>
          <w:color w:val="auto"/>
        </w:rPr>
      </w:pPr>
      <w:r>
        <w:rPr>
          <w:rFonts w:ascii="Arial" w:cs="Arial" w:eastAsia="Arial" w:hAnsi="Arial"/>
          <w:sz w:val="14"/>
          <w:szCs w:val="14"/>
          <w:b w:val="1"/>
          <w:bCs w:val="1"/>
          <w:color w:val="auto"/>
        </w:rPr>
        <w:t>BLACK INK AS</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60" w:type="dxa"/>
            <w:vAlign w:val="bottom"/>
            <w:tcBorders>
              <w:top w:val="single" w:sz="8" w:color="auto"/>
            </w:tcBorders>
            <w:gridSpan w:val="2"/>
          </w:tcPr>
          <w:p>
            <w:pPr>
              <w:ind w:left="360"/>
              <w:spacing w:after="0" w:line="157" w:lineRule="exact"/>
              <w:rPr>
                <w:sz w:val="20"/>
                <w:szCs w:val="20"/>
                <w:color w:val="auto"/>
              </w:rPr>
            </w:pPr>
            <w:r>
              <w:rPr>
                <w:rFonts w:ascii="Arial" w:cs="Arial" w:eastAsia="Arial" w:hAnsi="Arial"/>
                <w:sz w:val="14"/>
                <w:szCs w:val="14"/>
                <w:color w:val="auto"/>
                <w:w w:val="99"/>
              </w:rPr>
              <w:t>1. ELECTION OF DIRECTORS:</w:t>
            </w:r>
          </w:p>
        </w:tc>
        <w:tc>
          <w:tcPr>
            <w:tcW w:w="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FOR</w:t>
            </w:r>
          </w:p>
        </w:tc>
        <w:tc>
          <w:tcPr>
            <w:tcW w:w="960" w:type="dxa"/>
            <w:vAlign w:val="bottom"/>
            <w:tcBorders>
              <w:top w:val="single" w:sz="8" w:color="auto"/>
            </w:tcBorders>
          </w:tcPr>
          <w:p>
            <w:pPr>
              <w:jc w:val="center"/>
              <w:ind w:right="68"/>
              <w:spacing w:after="0" w:line="157" w:lineRule="exact"/>
              <w:rPr>
                <w:sz w:val="20"/>
                <w:szCs w:val="20"/>
                <w:color w:val="auto"/>
              </w:rPr>
            </w:pPr>
            <w:r>
              <w:rPr>
                <w:rFonts w:ascii="Arial" w:cs="Arial" w:eastAsia="Arial" w:hAnsi="Arial"/>
                <w:sz w:val="14"/>
                <w:szCs w:val="14"/>
                <w:color w:val="auto"/>
              </w:rPr>
              <w:t>AGAINST</w:t>
            </w:r>
          </w:p>
        </w:tc>
        <w:tc>
          <w:tcPr>
            <w:tcW w:w="720" w:type="dxa"/>
            <w:vAlign w:val="bottom"/>
            <w:tcBorders>
              <w:top w:val="single" w:sz="8" w:color="auto"/>
              <w:right w:val="single" w:sz="8" w:color="auto"/>
            </w:tcBorders>
          </w:tcPr>
          <w:p>
            <w:pPr>
              <w:jc w:val="center"/>
              <w:ind w:right="48"/>
              <w:spacing w:after="0" w:line="157" w:lineRule="exact"/>
              <w:rPr>
                <w:sz w:val="20"/>
                <w:szCs w:val="20"/>
                <w:color w:val="auto"/>
              </w:rPr>
            </w:pPr>
            <w:r>
              <w:rPr>
                <w:rFonts w:ascii="Arial" w:cs="Arial" w:eastAsia="Arial" w:hAnsi="Arial"/>
                <w:sz w:val="14"/>
                <w:szCs w:val="14"/>
                <w:color w:val="auto"/>
              </w:rPr>
              <w:t>ABSTAIN</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center"/>
              <w:ind w:right="28"/>
              <w:spacing w:after="0" w:line="157" w:lineRule="exact"/>
              <w:rPr>
                <w:sz w:val="20"/>
                <w:szCs w:val="20"/>
                <w:color w:val="auto"/>
              </w:rPr>
            </w:pPr>
            <w:r>
              <w:rPr>
                <w:rFonts w:ascii="Arial" w:cs="Arial" w:eastAsia="Arial" w:hAnsi="Arial"/>
                <w:sz w:val="14"/>
                <w:szCs w:val="14"/>
                <w:color w:val="auto"/>
                <w:w w:val="94"/>
              </w:rPr>
              <w:t>FOR</w:t>
            </w:r>
          </w:p>
        </w:tc>
        <w:tc>
          <w:tcPr>
            <w:tcW w:w="740" w:type="dxa"/>
            <w:vAlign w:val="bottom"/>
            <w:tcBorders>
              <w:top w:val="single" w:sz="8" w:color="auto"/>
            </w:tcBorders>
          </w:tcPr>
          <w:p>
            <w:pPr>
              <w:jc w:val="center"/>
              <w:ind w:right="8"/>
              <w:spacing w:after="0" w:line="157" w:lineRule="exact"/>
              <w:rPr>
                <w:sz w:val="20"/>
                <w:szCs w:val="20"/>
                <w:color w:val="auto"/>
              </w:rPr>
            </w:pPr>
            <w:r>
              <w:rPr>
                <w:rFonts w:ascii="Arial" w:cs="Arial" w:eastAsia="Arial" w:hAnsi="Arial"/>
                <w:sz w:val="14"/>
                <w:szCs w:val="14"/>
                <w:color w:val="auto"/>
              </w:rPr>
              <w:t>AGAINST</w:t>
            </w:r>
          </w:p>
        </w:tc>
        <w:tc>
          <w:tcPr>
            <w:tcW w:w="740" w:type="dxa"/>
            <w:vAlign w:val="bottom"/>
            <w:tcBorders>
              <w:top w:val="single" w:sz="8" w:color="auto"/>
            </w:tcBorders>
            <w:gridSpan w:val="2"/>
          </w:tcPr>
          <w:p>
            <w:pPr>
              <w:jc w:val="center"/>
              <w:ind w:left="8"/>
              <w:spacing w:after="0" w:line="157"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81"/>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Robert A. Minicucci</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rPr>
              <w:t>To approve the Amdocs Limited 2023 Employee Share Purchase</w:t>
            </w:r>
          </w:p>
        </w:tc>
        <w:tc>
          <w:tcPr>
            <w:tcW w:w="5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2"/>
        </w:trPr>
        <w:tc>
          <w:tcPr>
            <w:tcW w:w="2360" w:type="dxa"/>
            <w:vAlign w:val="bottom"/>
            <w:gridSpan w:val="2"/>
            <w:vMerge w:val="restart"/>
          </w:tcPr>
          <w:p>
            <w:pPr>
              <w:ind w:left="360"/>
              <w:spacing w:after="0"/>
              <w:rPr>
                <w:sz w:val="20"/>
                <w:szCs w:val="20"/>
                <w:color w:val="auto"/>
              </w:rPr>
            </w:pPr>
            <w:r>
              <w:rPr>
                <w:rFonts w:ascii="Arial" w:cs="Arial" w:eastAsia="Arial" w:hAnsi="Arial"/>
                <w:sz w:val="14"/>
                <w:szCs w:val="14"/>
                <w:color w:val="auto"/>
              </w:rPr>
              <w:t>Adrian Gardner</w:t>
            </w: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vMerge w:val="restart"/>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rPr>
              <w:t>Plan (Proposal II)</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3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Rafael de la Vega</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Eli Gelman</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w w:val="95"/>
              </w:rPr>
              <w:t>To approve an increase in the dividend rate under our quarterly cash</w:t>
            </w:r>
          </w:p>
        </w:tc>
        <w:tc>
          <w:tcPr>
            <w:tcW w:w="5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0"/>
        </w:trPr>
        <w:tc>
          <w:tcPr>
            <w:tcW w:w="2360" w:type="dxa"/>
            <w:vAlign w:val="bottom"/>
            <w:gridSpan w:val="2"/>
            <w:vMerge w:val="restart"/>
          </w:tcPr>
          <w:p>
            <w:pPr>
              <w:ind w:left="360"/>
              <w:spacing w:after="0"/>
              <w:rPr>
                <w:sz w:val="20"/>
                <w:szCs w:val="20"/>
                <w:color w:val="auto"/>
              </w:rPr>
            </w:pPr>
            <w:r>
              <w:rPr>
                <w:rFonts w:ascii="Arial" w:cs="Arial" w:eastAsia="Arial" w:hAnsi="Arial"/>
                <w:sz w:val="14"/>
                <w:szCs w:val="14"/>
                <w:color w:val="auto"/>
              </w:rPr>
              <w:t>Richard T.C. LeFave</w:t>
            </w: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vMerge w:val="restart"/>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0" w:type="dxa"/>
            <w:vAlign w:val="bottom"/>
            <w:gridSpan w:val="4"/>
          </w:tcPr>
          <w:p>
            <w:pPr>
              <w:ind w:left="140"/>
              <w:spacing w:after="0" w:line="130" w:lineRule="exact"/>
              <w:rPr>
                <w:sz w:val="20"/>
                <w:szCs w:val="20"/>
                <w:color w:val="auto"/>
              </w:rPr>
            </w:pPr>
            <w:r>
              <w:rPr>
                <w:rFonts w:ascii="Arial" w:cs="Arial" w:eastAsia="Arial" w:hAnsi="Arial"/>
                <w:sz w:val="14"/>
                <w:szCs w:val="14"/>
                <w:color w:val="auto"/>
              </w:rPr>
              <w:t>dividend program from $0.395 per share to $0.435 per share</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1" w:lineRule="exact"/>
              <w:rPr>
                <w:sz w:val="20"/>
                <w:szCs w:val="20"/>
                <w:color w:val="auto"/>
              </w:rPr>
            </w:pPr>
            <w:r>
              <w:rPr>
                <w:rFonts w:ascii="Arial" w:cs="Arial" w:eastAsia="Arial" w:hAnsi="Arial"/>
                <w:sz w:val="14"/>
                <w:szCs w:val="14"/>
                <w:color w:val="auto"/>
              </w:rPr>
              <w:t>(Proposal III)</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John A. MacDonald</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8"/>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Shuky Sheffer</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w w:val="94"/>
              </w:rPr>
              <w:t>To approve our Consolidated Financial Statements for the fiscal year</w:t>
            </w: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60" w:type="dxa"/>
            <w:vAlign w:val="bottom"/>
            <w:gridSpan w:val="2"/>
            <w:vMerge w:val="restart"/>
          </w:tcPr>
          <w:p>
            <w:pPr>
              <w:ind w:left="360"/>
              <w:spacing w:after="0"/>
              <w:rPr>
                <w:sz w:val="20"/>
                <w:szCs w:val="20"/>
                <w:color w:val="auto"/>
              </w:rPr>
            </w:pPr>
            <w:r>
              <w:rPr>
                <w:rFonts w:ascii="Arial" w:cs="Arial" w:eastAsia="Arial" w:hAnsi="Arial"/>
                <w:sz w:val="14"/>
                <w:szCs w:val="14"/>
                <w:color w:val="auto"/>
              </w:rPr>
              <w:t>Yvette Kanouff</w:t>
            </w: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vMerge w:val="restart"/>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rPr>
              <w:t>ended September 30, 2022 (Proposal IV)</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36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360" w:type="dxa"/>
            <w:vAlign w:val="bottom"/>
            <w:gridSpan w:val="2"/>
          </w:tcPr>
          <w:p>
            <w:pPr>
              <w:ind w:left="360"/>
              <w:spacing w:after="0"/>
              <w:rPr>
                <w:sz w:val="20"/>
                <w:szCs w:val="20"/>
                <w:color w:val="auto"/>
              </w:rPr>
            </w:pPr>
            <w:r>
              <w:rPr>
                <w:rFonts w:ascii="Arial" w:cs="Arial" w:eastAsia="Arial" w:hAnsi="Arial"/>
                <w:sz w:val="14"/>
                <w:szCs w:val="14"/>
                <w:color w:val="auto"/>
              </w:rPr>
              <w:t>Sarah Ruth Davis</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w:t>
            </w:r>
          </w:p>
        </w:tc>
        <w:tc>
          <w:tcPr>
            <w:tcW w:w="4200" w:type="dxa"/>
            <w:vAlign w:val="bottom"/>
            <w:gridSpan w:val="4"/>
            <w:vMerge w:val="restart"/>
          </w:tcPr>
          <w:p>
            <w:pPr>
              <w:ind w:left="140"/>
              <w:spacing w:after="0"/>
              <w:rPr>
                <w:sz w:val="20"/>
                <w:szCs w:val="20"/>
                <w:color w:val="auto"/>
              </w:rPr>
            </w:pPr>
            <w:r>
              <w:rPr>
                <w:rFonts w:ascii="Arial" w:cs="Arial" w:eastAsia="Arial" w:hAnsi="Arial"/>
                <w:sz w:val="14"/>
                <w:szCs w:val="14"/>
                <w:color w:val="auto"/>
                <w:w w:val="96"/>
              </w:rPr>
              <w:t>To ratify and approve the appointment of Ernst &amp; Young LLP as our</w:t>
            </w:r>
          </w:p>
        </w:tc>
        <w:tc>
          <w:tcPr>
            <w:tcW w:w="5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gridSpan w:val="2"/>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
        </w:trPr>
        <w:tc>
          <w:tcPr>
            <w:tcW w:w="2360" w:type="dxa"/>
            <w:vAlign w:val="bottom"/>
            <w:gridSpan w:val="2"/>
            <w:vMerge w:val="restart"/>
          </w:tcPr>
          <w:p>
            <w:pPr>
              <w:ind w:left="360"/>
              <w:spacing w:after="0"/>
              <w:rPr>
                <w:sz w:val="20"/>
                <w:szCs w:val="20"/>
                <w:color w:val="auto"/>
              </w:rPr>
            </w:pPr>
            <w:r>
              <w:rPr>
                <w:rFonts w:ascii="Arial" w:cs="Arial" w:eastAsia="Arial" w:hAnsi="Arial"/>
                <w:sz w:val="14"/>
                <w:szCs w:val="14"/>
                <w:color w:val="auto"/>
              </w:rPr>
              <w:t>Amos Genish</w:t>
            </w: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vMerge w:val="restart"/>
          </w:tcPr>
          <w:p>
            <w:pPr>
              <w:jc w:val="center"/>
              <w:ind w:right="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Borders>
              <w:right w:val="single" w:sz="8" w:color="auto"/>
            </w:tcBorders>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gridSpan w:val="2"/>
            <w:vMerge w:val="continue"/>
          </w:tcPr>
          <w:p>
            <w:pPr>
              <w:spacing w:after="0"/>
              <w:rPr>
                <w:sz w:val="2"/>
                <w:szCs w:val="2"/>
                <w:color w:val="auto"/>
              </w:rPr>
            </w:pPr>
          </w:p>
        </w:tc>
        <w:tc>
          <w:tcPr>
            <w:tcW w:w="4200" w:type="dxa"/>
            <w:vAlign w:val="bottom"/>
            <w:gridSpan w:val="4"/>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3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3" w:lineRule="exact"/>
              <w:rPr>
                <w:sz w:val="20"/>
                <w:szCs w:val="20"/>
                <w:color w:val="auto"/>
              </w:rPr>
            </w:pPr>
            <w:r>
              <w:rPr>
                <w:rFonts w:ascii="Arial" w:cs="Arial" w:eastAsia="Arial" w:hAnsi="Arial"/>
                <w:sz w:val="14"/>
                <w:szCs w:val="14"/>
                <w:color w:val="auto"/>
              </w:rPr>
              <w:t>independent registered public accounting firm for the fiscal year</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ending September 30, 2023, and until the next annual general</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meeting, and authorize the Audit Committee of the Board of</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Directors to fix the remuneration of such independent registered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9" w:lineRule="exact"/>
              <w:rPr>
                <w:sz w:val="20"/>
                <w:szCs w:val="20"/>
                <w:color w:val="auto"/>
              </w:rPr>
            </w:pPr>
            <w:r>
              <w:rPr>
                <w:rFonts w:ascii="Arial" w:cs="Arial" w:eastAsia="Arial" w:hAnsi="Arial"/>
                <w:sz w:val="14"/>
                <w:szCs w:val="14"/>
                <w:color w:val="auto"/>
                <w:w w:val="95"/>
              </w:rPr>
              <w:t>public accounting firm in accordance with the nature and extent of its</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rPr>
              <w:t>services (Proposal V)</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4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20" w:type="dxa"/>
            <w:vAlign w:val="bottom"/>
            <w:gridSpan w:val="8"/>
            <w:vMerge w:val="restart"/>
          </w:tcPr>
          <w:p>
            <w:pPr>
              <w:ind w:left="140"/>
              <w:spacing w:after="0"/>
              <w:rPr>
                <w:sz w:val="20"/>
                <w:szCs w:val="20"/>
                <w:color w:val="auto"/>
              </w:rPr>
            </w:pPr>
            <w:r>
              <w:rPr>
                <w:rFonts w:ascii="Arial" w:cs="Arial" w:eastAsia="Arial" w:hAnsi="Arial"/>
                <w:sz w:val="14"/>
                <w:szCs w:val="14"/>
                <w:color w:val="auto"/>
                <w:w w:val="95"/>
              </w:rPr>
              <w:t>Our shareholders will also act on such other business as may properly come before the annual general</w:t>
            </w:r>
          </w:p>
        </w:tc>
        <w:tc>
          <w:tcPr>
            <w:tcW w:w="0" w:type="dxa"/>
            <w:vAlign w:val="bottom"/>
          </w:tcPr>
          <w:p>
            <w:pPr>
              <w:spacing w:after="0"/>
              <w:rPr>
                <w:sz w:val="1"/>
                <w:szCs w:val="1"/>
                <w:color w:val="auto"/>
              </w:rPr>
            </w:pPr>
          </w:p>
        </w:tc>
      </w:tr>
      <w:tr>
        <w:trPr>
          <w:trHeight w:val="122"/>
        </w:trPr>
        <w:tc>
          <w:tcPr>
            <w:tcW w:w="3760" w:type="dxa"/>
            <w:vAlign w:val="bottom"/>
            <w:gridSpan w:val="4"/>
          </w:tcPr>
          <w:p>
            <w:pPr>
              <w:ind w:left="360"/>
              <w:spacing w:after="0" w:line="122" w:lineRule="exact"/>
              <w:rPr>
                <w:sz w:val="20"/>
                <w:szCs w:val="20"/>
                <w:color w:val="auto"/>
              </w:rPr>
            </w:pPr>
            <w:r>
              <w:rPr>
                <w:rFonts w:ascii="Arial" w:cs="Arial" w:eastAsia="Arial" w:hAnsi="Arial"/>
                <w:sz w:val="14"/>
                <w:szCs w:val="14"/>
                <w:color w:val="auto"/>
                <w:w w:val="99"/>
              </w:rPr>
              <w:t>To change the address on your account, please check</w:t>
            </w:r>
          </w:p>
        </w:tc>
        <w:tc>
          <w:tcPr>
            <w:tcW w:w="720" w:type="dxa"/>
            <w:vAlign w:val="bottom"/>
            <w:tcBorders>
              <w:right w:val="single" w:sz="8" w:color="auto"/>
            </w:tcBorders>
          </w:tcPr>
          <w:p>
            <w:pPr>
              <w:jc w:val="center"/>
              <w:ind w:right="8"/>
              <w:spacing w:after="0" w:line="122"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6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the box at right and indicate your new address in the</w:t>
            </w: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0" w:type="dxa"/>
            <w:vAlign w:val="bottom"/>
            <w:gridSpan w:val="4"/>
          </w:tcPr>
          <w:p>
            <w:pPr>
              <w:ind w:left="140"/>
              <w:spacing w:after="0" w:line="142" w:lineRule="exact"/>
              <w:rPr>
                <w:sz w:val="20"/>
                <w:szCs w:val="20"/>
                <w:color w:val="auto"/>
              </w:rPr>
            </w:pPr>
            <w:r>
              <w:rPr>
                <w:rFonts w:ascii="Arial" w:cs="Arial" w:eastAsia="Arial" w:hAnsi="Arial"/>
                <w:sz w:val="14"/>
                <w:szCs w:val="14"/>
                <w:color w:val="auto"/>
              </w:rPr>
              <w:t>meeting.</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4"/>
          </w:tcPr>
          <w:p>
            <w:pPr>
              <w:ind w:left="360"/>
              <w:spacing w:after="0" w:line="149" w:lineRule="exact"/>
              <w:rPr>
                <w:sz w:val="20"/>
                <w:szCs w:val="20"/>
                <w:color w:val="auto"/>
              </w:rPr>
            </w:pPr>
            <w:r>
              <w:rPr>
                <w:rFonts w:ascii="Arial" w:cs="Arial" w:eastAsia="Arial" w:hAnsi="Arial"/>
                <w:sz w:val="14"/>
                <w:szCs w:val="14"/>
                <w:color w:val="auto"/>
                <w:w w:val="99"/>
              </w:rPr>
              <w:t>address space above. Please note that changes to the</w:t>
            </w: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94"/>
              </w:rPr>
              <w:t>The Board of Directors has fixed the close of business on November 30, 2022 as the record date for the</w:t>
            </w:r>
          </w:p>
        </w:tc>
        <w:tc>
          <w:tcPr>
            <w:tcW w:w="0" w:type="dxa"/>
            <w:vAlign w:val="bottom"/>
          </w:tcPr>
          <w:p>
            <w:pPr>
              <w:spacing w:after="0"/>
              <w:rPr>
                <w:sz w:val="1"/>
                <w:szCs w:val="1"/>
                <w:color w:val="auto"/>
              </w:rPr>
            </w:pPr>
          </w:p>
        </w:tc>
      </w:tr>
      <w:tr>
        <w:trPr>
          <w:trHeight w:val="148"/>
        </w:trPr>
        <w:tc>
          <w:tcPr>
            <w:tcW w:w="3760" w:type="dxa"/>
            <w:vAlign w:val="bottom"/>
            <w:gridSpan w:val="4"/>
          </w:tcPr>
          <w:p>
            <w:pPr>
              <w:ind w:left="360"/>
              <w:spacing w:after="0" w:line="149" w:lineRule="exact"/>
              <w:rPr>
                <w:sz w:val="20"/>
                <w:szCs w:val="20"/>
                <w:color w:val="auto"/>
              </w:rPr>
            </w:pPr>
            <w:r>
              <w:rPr>
                <w:rFonts w:ascii="Arial" w:cs="Arial" w:eastAsia="Arial" w:hAnsi="Arial"/>
                <w:sz w:val="14"/>
                <w:szCs w:val="14"/>
                <w:color w:val="auto"/>
                <w:w w:val="95"/>
              </w:rPr>
              <w:t>registered name(s) on the account may not be submitted</w:t>
            </w:r>
          </w:p>
        </w:tc>
        <w:tc>
          <w:tcPr>
            <w:tcW w:w="7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2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92"/>
              </w:rPr>
              <w:t>determination of our shareholders entitled to notice of, and to vote on the matters proposed at, the annual</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via this method.</w:t>
            </w: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gridSpan w:val="4"/>
          </w:tcPr>
          <w:p>
            <w:pPr>
              <w:ind w:left="140"/>
              <w:spacing w:after="0"/>
              <w:rPr>
                <w:sz w:val="20"/>
                <w:szCs w:val="20"/>
                <w:color w:val="auto"/>
              </w:rPr>
            </w:pPr>
            <w:r>
              <w:rPr>
                <w:rFonts w:ascii="Arial" w:cs="Arial" w:eastAsia="Arial" w:hAnsi="Arial"/>
                <w:sz w:val="14"/>
                <w:szCs w:val="14"/>
                <w:color w:val="auto"/>
              </w:rPr>
              <w:t>general meeting and any adjournments thereof.</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420" w:type="dxa"/>
            <w:vAlign w:val="bottom"/>
            <w:vMerge w:val="restart"/>
          </w:tcPr>
          <w:p>
            <w:pPr>
              <w:ind w:left="360"/>
              <w:spacing w:after="0"/>
              <w:rPr>
                <w:sz w:val="20"/>
                <w:szCs w:val="20"/>
                <w:color w:val="auto"/>
              </w:rPr>
            </w:pPr>
            <w:r>
              <w:rPr>
                <w:rFonts w:ascii="Arial" w:cs="Arial" w:eastAsia="Arial" w:hAnsi="Arial"/>
                <w:sz w:val="14"/>
                <w:szCs w:val="14"/>
                <w:color w:val="auto"/>
              </w:rPr>
              <w:t>Signature of</w:t>
            </w:r>
          </w:p>
        </w:tc>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auto"/>
                <w:w w:val="95"/>
              </w:rPr>
              <w:t>Date:</w:t>
            </w:r>
          </w:p>
        </w:tc>
        <w:tc>
          <w:tcPr>
            <w:tcW w:w="1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20" w:type="dxa"/>
            <w:vAlign w:val="bottom"/>
            <w:vMerge w:val="restart"/>
          </w:tcPr>
          <w:p>
            <w:pPr>
              <w:ind w:left="240"/>
              <w:spacing w:after="0"/>
              <w:rPr>
                <w:sz w:val="20"/>
                <w:szCs w:val="20"/>
                <w:color w:val="auto"/>
              </w:rPr>
            </w:pPr>
            <w:r>
              <w:rPr>
                <w:rFonts w:ascii="Arial" w:cs="Arial" w:eastAsia="Arial" w:hAnsi="Arial"/>
                <w:sz w:val="14"/>
                <w:szCs w:val="14"/>
                <w:color w:val="auto"/>
              </w:rPr>
              <w:t>Signature of</w:t>
            </w:r>
          </w:p>
        </w:tc>
        <w:tc>
          <w:tcPr>
            <w:tcW w:w="14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vMerge w:val="restart"/>
          </w:tcPr>
          <w:p>
            <w:pPr>
              <w:jc w:val="center"/>
              <w:ind w:right="68"/>
              <w:spacing w:after="0"/>
              <w:rPr>
                <w:sz w:val="20"/>
                <w:szCs w:val="20"/>
                <w:color w:val="auto"/>
              </w:rPr>
            </w:pPr>
            <w:r>
              <w:rPr>
                <w:rFonts w:ascii="Arial" w:cs="Arial" w:eastAsia="Arial" w:hAnsi="Arial"/>
                <w:sz w:val="14"/>
                <w:szCs w:val="14"/>
                <w:color w:val="auto"/>
                <w:w w:val="95"/>
              </w:rPr>
              <w:t>Date:</w:t>
            </w:r>
          </w:p>
        </w:tc>
        <w:tc>
          <w:tcPr>
            <w:tcW w:w="7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940" w:type="dxa"/>
            <w:vAlign w:val="bottom"/>
            <w:tcBorders>
              <w:lef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520" w:type="dxa"/>
            <w:vAlign w:val="bottom"/>
            <w:vMerge w:val="continue"/>
          </w:tcPr>
          <w:p>
            <w:pPr>
              <w:spacing w:after="0"/>
              <w:rPr>
                <w:sz w:val="12"/>
                <w:szCs w:val="12"/>
                <w:color w:val="auto"/>
              </w:rPr>
            </w:pPr>
          </w:p>
        </w:tc>
        <w:tc>
          <w:tcPr>
            <w:tcW w:w="144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tcBorders>
              <w:lef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tcPr>
          <w:p>
            <w:pPr>
              <w:ind w:left="360"/>
              <w:spacing w:after="0" w:line="135" w:lineRule="exact"/>
              <w:rPr>
                <w:sz w:val="20"/>
                <w:szCs w:val="20"/>
                <w:color w:val="auto"/>
              </w:rPr>
            </w:pPr>
            <w:r>
              <w:rPr>
                <w:rFonts w:ascii="Arial" w:cs="Arial" w:eastAsia="Arial" w:hAnsi="Arial"/>
                <w:sz w:val="14"/>
                <w:szCs w:val="14"/>
                <w:color w:val="auto"/>
              </w:rPr>
              <w:t>Shareholder</w:t>
            </w:r>
          </w:p>
        </w:tc>
        <w:tc>
          <w:tcPr>
            <w:tcW w:w="940" w:type="dxa"/>
            <w:vAlign w:val="bottom"/>
            <w:tcBorders>
              <w:left w:val="single" w:sz="8" w:color="auto"/>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1520" w:type="dxa"/>
            <w:vAlign w:val="bottom"/>
          </w:tcPr>
          <w:p>
            <w:pPr>
              <w:ind w:left="240"/>
              <w:spacing w:after="0" w:line="135" w:lineRule="exact"/>
              <w:rPr>
                <w:sz w:val="20"/>
                <w:szCs w:val="20"/>
                <w:color w:val="auto"/>
              </w:rPr>
            </w:pPr>
            <w:r>
              <w:rPr>
                <w:rFonts w:ascii="Arial" w:cs="Arial" w:eastAsia="Arial" w:hAnsi="Arial"/>
                <w:sz w:val="14"/>
                <w:szCs w:val="14"/>
                <w:color w:val="auto"/>
              </w:rPr>
              <w:t>Shareholder</w:t>
            </w:r>
          </w:p>
        </w:tc>
        <w:tc>
          <w:tcPr>
            <w:tcW w:w="1440" w:type="dxa"/>
            <w:vAlign w:val="bottom"/>
            <w:tcBorders>
              <w:left w:val="single" w:sz="8" w:color="auto"/>
              <w:bottom w:val="single" w:sz="8" w:color="auto"/>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left w:val="single" w:sz="8" w:color="auto"/>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20" w:right="2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020"/>
          </w:cols>
          <w:pgMar w:left="440" w:top="270" w:right="439" w:bottom="1440" w:gutter="0" w:footer="0" w:header="0"/>
        </w:sectPr>
      </w:pPr>
    </w:p>
    <w:bookmarkStart w:id="41" w:name="page42"/>
    <w:bookmarkEnd w:id="4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2022</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5"/>
    </w:lvl>
  </w:abstractNum>
  <w:abstractNum w:abstractNumId="17">
    <w:nsid w:val="2CA88611"/>
    <w:multiLevelType w:val="hybridMultilevel"/>
    <w:lvl w:ilvl="0">
      <w:lvlJc w:val="left"/>
      <w:lvlText w:val="%1."/>
      <w:numFmt w:val="decimal"/>
      <w:start w:val="2"/>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decimal"/>
      <w:start w:val="5"/>
    </w:lvl>
  </w:abstractNum>
  <w:abstractNum w:abstractNumId="22">
    <w:nsid w:val="1E7FF521"/>
    <w:multiLevelType w:val="hybridMultilevel"/>
    <w:lvl w:ilvl="0">
      <w:lvlJc w:val="left"/>
      <w:lvlText w:val="%1"/>
      <w:numFmt w:val="decimal"/>
      <w:start w:val="1"/>
    </w:lvl>
    <w:lvl w:ilvl="1">
      <w:lvlJc w:val="left"/>
      <w:lvlText w:val="%2."/>
      <w:numFmt w:val="decimal"/>
      <w:start w:val="6"/>
    </w:lvl>
  </w:abstractNum>
  <w:abstractNum w:abstractNumId="23">
    <w:nsid w:val="7C3DBD3D"/>
    <w:multiLevelType w:val="hybridMultilevel"/>
    <w:lvl w:ilvl="0">
      <w:lvlJc w:val="left"/>
      <w:lvlText w:val="(%1)"/>
      <w:numFmt w:val="decimal"/>
      <w:start w:val="45"/>
    </w:lvl>
    <w:lvl w:ilvl="1">
      <w:lvlJc w:val="left"/>
      <w:lvlText w:val="%2."/>
      <w:numFmt w:val="decimal"/>
      <w:start w:val="7"/>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decimal"/>
      <w:start w:val="9"/>
    </w:lvl>
    <w:lvl w:ilvl="1">
      <w:lvlJc w:val="left"/>
      <w:lvlText w:val="(%2)"/>
      <w:numFmt w:val="lowerLetter"/>
      <w:start w:val="1"/>
    </w:lvl>
  </w:abstractNum>
  <w:abstractNum w:abstractNumId="27">
    <w:nsid w:val="4516DDE9"/>
    <w:multiLevelType w:val="hybridMultilevel"/>
    <w:lvl w:ilvl="0">
      <w:lvlJc w:val="left"/>
      <w:lvlText w:val="(%1)"/>
      <w:numFmt w:val="lowerLetter"/>
      <w:start w:val="3"/>
    </w:lvl>
  </w:abstractNum>
  <w:abstractNum w:abstractNumId="28">
    <w:nsid w:val="3006C83E"/>
    <w:multiLevelType w:val="hybridMultilevel"/>
    <w:lvl w:ilvl="0">
      <w:lvlJc w:val="left"/>
      <w:lvlText w:val="(%1)"/>
      <w:numFmt w:val="lowerLetter"/>
      <w:start w:val="9"/>
    </w:lvl>
  </w:abstractNum>
  <w:abstractNum w:abstractNumId="29">
    <w:nsid w:val="614FD4A1"/>
    <w:multiLevelType w:val="hybridMultilevel"/>
    <w:lvl w:ilvl="0">
      <w:lvlJc w:val="left"/>
      <w:lvlText w:val="%1."/>
      <w:numFmt w:val="decimal"/>
      <w:start w:val="1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13"/>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18"/>
    </w:lvl>
  </w:abstractNum>
  <w:abstractNum w:abstractNumId="35">
    <w:nsid w:val="77465F01"/>
    <w:multiLevelType w:val="hybridMultilevel"/>
    <w:lvl w:ilvl="0">
      <w:lvlJc w:val="left"/>
      <w:lvlText w:val="%1."/>
      <w:numFmt w:val="decimal"/>
      <w:start w:val="26"/>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2022-12-22T15:29:14Z</dcterms:created>
  <dcterms:modified xsi:type="dcterms:W3CDTF">2022-12-22T15:29:14Z</dcterms:modified>
</cp:coreProperties>
</file>