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37" w:lineRule="exact"/>
        <w:rPr>
          <w:sz w:val="24"/>
          <w:szCs w:val="24"/>
          <w:color w:val="auto"/>
        </w:rPr>
      </w:pPr>
    </w:p>
    <w:p>
      <w:pPr>
        <w:ind w:left="5580" w:right="1400" w:hanging="5572"/>
        <w:spacing w:after="0" w:line="282" w:lineRule="auto"/>
        <w:tabs>
          <w:tab w:leader="none" w:pos="4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27" w:lineRule="exact"/>
        <w:rPr>
          <w:sz w:val="24"/>
          <w:szCs w:val="24"/>
          <w:color w:val="auto"/>
        </w:rPr>
      </w:pPr>
    </w:p>
    <w:p>
      <w:pPr>
        <w:ind w:left="4040" w:right="2400" w:hanging="4032"/>
        <w:spacing w:after="0" w:line="29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2015</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580" w:right="2040" w:hanging="5572"/>
        <w:spacing w:after="0" w:line="289" w:lineRule="auto"/>
        <w:tabs>
          <w:tab w:leader="none" w:pos="451"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8"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113"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Date of event requiring this shell company report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5560" w:type="dxa"/>
            <w:vAlign w:val="bottom"/>
          </w:tcPr>
          <w:p>
            <w:pPr>
              <w:ind w:left="3260"/>
              <w:spacing w:after="0" w:line="190" w:lineRule="exact"/>
              <w:rPr>
                <w:sz w:val="20"/>
                <w:szCs w:val="20"/>
                <w:color w:val="auto"/>
              </w:rPr>
            </w:pPr>
            <w:r>
              <w:rPr>
                <w:rFonts w:ascii="Arial" w:cs="Arial" w:eastAsia="Arial" w:hAnsi="Arial"/>
                <w:sz w:val="18"/>
                <w:szCs w:val="18"/>
                <w:b w:val="1"/>
                <w:bCs w:val="1"/>
                <w:color w:val="auto"/>
                <w:w w:val="90"/>
              </w:rPr>
              <w:t>For the transition period from</w:t>
            </w: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ind w:left="40"/>
              <w:spacing w:after="0" w:line="190" w:lineRule="exact"/>
              <w:rPr>
                <w:sz w:val="20"/>
                <w:szCs w:val="20"/>
                <w:color w:val="auto"/>
              </w:rPr>
            </w:pPr>
            <w:r>
              <w:rPr>
                <w:rFonts w:ascii="Arial" w:cs="Arial" w:eastAsia="Arial" w:hAnsi="Arial"/>
                <w:sz w:val="18"/>
                <w:szCs w:val="18"/>
                <w:b w:val="1"/>
                <w:bCs w:val="1"/>
                <w:color w:val="auto"/>
                <w:w w:val="93"/>
              </w:rPr>
              <w:t>to</w:t>
            </w:r>
          </w:p>
        </w:tc>
        <w:tc>
          <w:tcPr>
            <w:tcW w:w="680" w:type="dxa"/>
            <w:vAlign w:val="bottom"/>
            <w:tcBorders>
              <w:bottom w:val="single" w:sz="8" w:color="auto"/>
            </w:tcBorders>
          </w:tcPr>
          <w:p>
            <w:pPr>
              <w:spacing w:after="0"/>
              <w:rPr>
                <w:sz w:val="16"/>
                <w:szCs w:val="16"/>
                <w:color w:val="auto"/>
              </w:rPr>
            </w:pPr>
          </w:p>
        </w:tc>
        <w:tc>
          <w:tcPr>
            <w:tcW w:w="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78"/>
              </w:rPr>
              <w:t>.</w:t>
            </w:r>
          </w:p>
        </w:tc>
      </w:tr>
      <w:tr>
        <w:trPr>
          <w:trHeight w:val="196"/>
        </w:trPr>
        <w:tc>
          <w:tcPr>
            <w:tcW w:w="6520" w:type="dxa"/>
            <w:vAlign w:val="bottom"/>
            <w:gridSpan w:val="4"/>
          </w:tcPr>
          <w:p>
            <w:pPr>
              <w:ind w:left="3980"/>
              <w:spacing w:after="0" w:line="196" w:lineRule="exact"/>
              <w:rPr>
                <w:sz w:val="20"/>
                <w:szCs w:val="20"/>
                <w:color w:val="auto"/>
              </w:rPr>
            </w:pPr>
            <w:r>
              <w:rPr>
                <w:rFonts w:ascii="Arial" w:cs="Arial" w:eastAsia="Arial" w:hAnsi="Arial"/>
                <w:sz w:val="18"/>
                <w:szCs w:val="18"/>
                <w:b w:val="1"/>
                <w:bCs w:val="1"/>
                <w:color w:val="auto"/>
                <w:w w:val="86"/>
              </w:rPr>
              <w:t>Commission File Number 1-14840</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231775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AMDOCS LIMITED</w:t>
      </w:r>
    </w:p>
    <w:p>
      <w:pPr>
        <w:spacing w:after="0" w:line="49"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4"/>
          <w:szCs w:val="24"/>
          <w:color w:val="auto"/>
        </w:rPr>
      </w:pPr>
    </w:p>
    <w:p>
      <w:pPr>
        <w:ind w:left="5160"/>
        <w:spacing w:after="0"/>
        <w:rPr>
          <w:sz w:val="20"/>
          <w:szCs w:val="20"/>
          <w:color w:val="auto"/>
        </w:rPr>
      </w:pPr>
      <w:r>
        <w:rPr>
          <w:rFonts w:ascii="Arial" w:cs="Arial" w:eastAsia="Arial" w:hAnsi="Arial"/>
          <w:sz w:val="14"/>
          <w:szCs w:val="14"/>
          <w:b w:val="1"/>
          <w:bCs w:val="1"/>
          <w:u w:val="single" w:color="auto"/>
          <w:color w:val="auto"/>
        </w:rPr>
        <w:t>Island of Guernsey</w:t>
      </w:r>
    </w:p>
    <w:p>
      <w:pPr>
        <w:jc w:val="center"/>
        <w:ind w:right="-19"/>
        <w:spacing w:after="0" w:line="223"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19"/>
        <w:spacing w:after="0" w:line="222" w:lineRule="auto"/>
        <w:rPr>
          <w:sz w:val="20"/>
          <w:szCs w:val="20"/>
          <w:color w:val="auto"/>
        </w:rPr>
      </w:pPr>
      <w:r>
        <w:rPr>
          <w:rFonts w:ascii="Arial" w:cs="Arial" w:eastAsia="Arial" w:hAnsi="Arial"/>
          <w:sz w:val="14"/>
          <w:szCs w:val="14"/>
          <w:b w:val="1"/>
          <w:bCs w:val="1"/>
          <w:color w:val="auto"/>
        </w:rPr>
        <w:t>Hirzel House, Smith Street,</w:t>
      </w:r>
    </w:p>
    <w:p>
      <w:pPr>
        <w:jc w:val="center"/>
        <w:ind w:right="-19"/>
        <w:spacing w:after="0" w:line="221" w:lineRule="auto"/>
        <w:rPr>
          <w:sz w:val="20"/>
          <w:szCs w:val="20"/>
          <w:color w:val="auto"/>
        </w:rPr>
      </w:pPr>
      <w:r>
        <w:rPr>
          <w:rFonts w:ascii="Arial" w:cs="Arial" w:eastAsia="Arial" w:hAnsi="Arial"/>
          <w:sz w:val="14"/>
          <w:szCs w:val="14"/>
          <w:b w:val="1"/>
          <w:bCs w:val="1"/>
          <w:color w:val="auto"/>
        </w:rPr>
        <w:t>St. Peter Port, Island of Guernsey, GY1 2NG</w:t>
      </w:r>
    </w:p>
    <w:p>
      <w:pPr>
        <w:jc w:val="center"/>
        <w:ind w:right="-19"/>
        <w:spacing w:after="0" w:line="222"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1" w:lineRule="auto"/>
        <w:rPr>
          <w:sz w:val="20"/>
          <w:szCs w:val="20"/>
          <w:color w:val="auto"/>
        </w:rPr>
      </w:pPr>
      <w:r>
        <w:rPr>
          <w:rFonts w:ascii="Arial" w:cs="Arial" w:eastAsia="Arial" w:hAnsi="Arial"/>
          <w:sz w:val="14"/>
          <w:szCs w:val="14"/>
          <w:b w:val="1"/>
          <w:bCs w:val="1"/>
          <w:u w:val="single" w:color="auto"/>
          <w:color w:val="auto"/>
        </w:rPr>
        <w:t>1390 Timberlake Manor Parkway, Chesterfield, Missouri 63017</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Matthew E. Smith</w:t>
      </w:r>
    </w:p>
    <w:p>
      <w:pPr>
        <w:jc w:val="center"/>
        <w:ind w:right="-19"/>
        <w:spacing w:after="0" w:line="223"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314-212-8328</w:t>
      </w:r>
    </w:p>
    <w:p>
      <w:pPr>
        <w:jc w:val="center"/>
        <w:ind w:right="-19"/>
        <w:spacing w:after="0" w:line="222" w:lineRule="auto"/>
        <w:rPr>
          <w:sz w:val="20"/>
          <w:szCs w:val="20"/>
          <w:color w:val="auto"/>
        </w:rPr>
      </w:pPr>
      <w:r>
        <w:rPr>
          <w:rFonts w:ascii="Arial" w:cs="Arial" w:eastAsia="Arial" w:hAnsi="Arial"/>
          <w:sz w:val="14"/>
          <w:szCs w:val="14"/>
          <w:b w:val="1"/>
          <w:bCs w:val="1"/>
          <w:color w:val="auto"/>
        </w:rPr>
        <w:t>Email: dox_info@amdocs.com</w:t>
      </w: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42"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gridSpan w:val="2"/>
          </w:tcPr>
          <w:p>
            <w:pPr>
              <w:jc w:val="right"/>
              <w:ind w:right="4092"/>
              <w:spacing w:after="0"/>
              <w:rPr>
                <w:sz w:val="20"/>
                <w:szCs w:val="20"/>
                <w:color w:val="auto"/>
              </w:rPr>
            </w:pPr>
            <w:r>
              <w:rPr>
                <w:rFonts w:ascii="Arial" w:cs="Arial" w:eastAsia="Arial" w:hAnsi="Arial"/>
                <w:sz w:val="14"/>
                <w:szCs w:val="14"/>
                <w:b w:val="1"/>
                <w:bCs w:val="1"/>
                <w:color w:val="auto"/>
                <w:w w:val="85"/>
              </w:rPr>
              <w:t>Title of Each Class</w:t>
            </w: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166"/>
        </w:trPr>
        <w:tc>
          <w:tcPr>
            <w:tcW w:w="380" w:type="dxa"/>
            <w:vAlign w:val="bottom"/>
          </w:tcPr>
          <w:p>
            <w:pPr>
              <w:spacing w:after="0"/>
              <w:rPr>
                <w:sz w:val="20"/>
                <w:szCs w:val="20"/>
                <w:color w:val="auto"/>
              </w:rPr>
            </w:pPr>
            <w:r>
              <w:rPr>
                <w:rFonts w:ascii="Arial" w:cs="Arial" w:eastAsia="Arial" w:hAnsi="Arial"/>
                <w:sz w:val="12"/>
                <w:szCs w:val="12"/>
                <w:color w:val="auto"/>
                <w:w w:val="78"/>
              </w:rPr>
              <w:t>Ordinary</w:t>
            </w: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w w:val="78"/>
              </w:rPr>
              <w:t>Shares, par value</w:t>
            </w:r>
          </w:p>
        </w:tc>
        <w:tc>
          <w:tcPr>
            <w:tcW w:w="4220" w:type="dxa"/>
            <w:vAlign w:val="bottom"/>
          </w:tcPr>
          <w:p>
            <w:pPr>
              <w:jc w:val="right"/>
              <w:ind w:right="3772"/>
              <w:spacing w:after="0" w:line="155" w:lineRule="exact"/>
              <w:rPr>
                <w:sz w:val="20"/>
                <w:szCs w:val="20"/>
                <w:color w:val="auto"/>
              </w:rPr>
            </w:pPr>
            <w:r>
              <w:rPr>
                <w:rFonts w:ascii="Arial" w:cs="Arial" w:eastAsia="Arial" w:hAnsi="Arial"/>
                <w:sz w:val="14"/>
                <w:szCs w:val="14"/>
                <w:color w:val="auto"/>
              </w:rPr>
              <w:t>£0.01</w:t>
            </w:r>
          </w:p>
        </w:tc>
        <w:tc>
          <w:tcPr>
            <w:tcW w:w="216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rPr>
              <w:t>Nasdaq Global Select Market</w:t>
            </w:r>
          </w:p>
        </w:tc>
        <w:tc>
          <w:tcPr>
            <w:tcW w:w="160" w:type="dxa"/>
            <w:vAlign w:val="bottom"/>
          </w:tcPr>
          <w:p>
            <w:pPr>
              <w:spacing w:after="0"/>
              <w:rPr>
                <w:sz w:val="14"/>
                <w:szCs w:val="14"/>
                <w:color w:val="auto"/>
              </w:rPr>
            </w:pPr>
          </w:p>
        </w:tc>
      </w:tr>
    </w:tbl>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128905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6"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420"/>
          </w:cols>
          <w:pgMar w:left="240" w:top="230" w:right="239" w:bottom="1440" w:gutter="0" w:footer="0" w:header="0"/>
        </w:sectPr>
      </w:pPr>
    </w:p>
    <w:p>
      <w:pPr>
        <w:spacing w:after="0" w:line="65" w:lineRule="exact"/>
        <w:rPr>
          <w:sz w:val="24"/>
          <w:szCs w:val="24"/>
          <w:color w:val="auto"/>
        </w:rPr>
      </w:pPr>
    </w:p>
    <w:p>
      <w:pPr>
        <w:jc w:val="center"/>
        <w:ind w:right="1700"/>
        <w:spacing w:after="0"/>
        <w:rPr>
          <w:sz w:val="20"/>
          <w:szCs w:val="20"/>
          <w:color w:val="auto"/>
        </w:rPr>
      </w:pPr>
      <w:r>
        <w:rPr>
          <w:rFonts w:ascii="Arial" w:cs="Arial" w:eastAsia="Arial" w:hAnsi="Arial"/>
          <w:sz w:val="12"/>
          <w:szCs w:val="12"/>
          <w:color w:val="auto"/>
        </w:rPr>
        <w:t>Ordinary Shares, par value £0.01</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220"/>
        <w:spacing w:after="0"/>
        <w:rPr>
          <w:sz w:val="20"/>
          <w:szCs w:val="20"/>
          <w:color w:val="auto"/>
        </w:rPr>
      </w:pPr>
      <w:r>
        <w:rPr>
          <w:rFonts w:ascii="Arial" w:cs="Arial" w:eastAsia="Arial" w:hAnsi="Arial"/>
          <w:sz w:val="14"/>
          <w:szCs w:val="14"/>
          <w:color w:val="auto"/>
        </w:rPr>
        <w:t>151,150,169(1)</w:t>
      </w:r>
    </w:p>
    <w:p>
      <w:pPr>
        <w:jc w:val="center"/>
        <w:ind w:right="2220"/>
        <w:spacing w:after="0"/>
        <w:rPr>
          <w:sz w:val="20"/>
          <w:szCs w:val="20"/>
          <w:color w:val="auto"/>
        </w:rPr>
      </w:pPr>
      <w:r>
        <w:rPr>
          <w:rFonts w:ascii="Arial" w:cs="Arial" w:eastAsia="Arial" w:hAnsi="Arial"/>
          <w:sz w:val="12"/>
          <w:szCs w:val="12"/>
          <w:color w:val="auto"/>
        </w:rPr>
        <w:t>(Number of shares)</w:t>
      </w:r>
    </w:p>
    <w:p>
      <w:pPr>
        <w:spacing w:after="0" w:line="23"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spacing w:after="0" w:line="16"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85" w:lineRule="exact"/>
        <w:rPr>
          <w:sz w:val="24"/>
          <w:szCs w:val="24"/>
          <w:color w:val="auto"/>
        </w:rPr>
      </w:pPr>
    </w:p>
    <w:p>
      <w:pPr>
        <w:sectPr>
          <w:pgSz w:w="11900" w:h="16838" w:orient="portrait"/>
          <w:cols w:equalWidth="0" w:num="5">
            <w:col w:w="6700" w:space="120"/>
            <w:col w:w="200" w:space="60"/>
            <w:col w:w="120" w:space="140"/>
            <w:col w:w="160" w:space="80"/>
            <w:col w:w="3840"/>
          </w:cols>
          <w:pgMar w:left="240" w:top="230" w:right="239" w:bottom="1440" w:gutter="0" w:footer="0" w:header="0"/>
          <w:type w:val="continuous"/>
        </w:sectPr>
      </w:pPr>
    </w:p>
    <w:p>
      <w:pPr>
        <w:ind w:right="1340" w:firstLine="342"/>
        <w:spacing w:after="0" w:line="168"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 the</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Exchange Act. (Check one):</w:t>
      </w:r>
    </w:p>
    <w:p>
      <w:pPr>
        <w:spacing w:after="0" w:line="5" w:lineRule="exact"/>
        <w:rPr>
          <w:sz w:val="24"/>
          <w:szCs w:val="24"/>
          <w:color w:val="auto"/>
        </w:rPr>
      </w:pPr>
    </w:p>
    <w:p>
      <w:pPr>
        <w:spacing w:after="0" w:line="161" w:lineRule="exact"/>
        <w:tabs>
          <w:tab w:leader="none" w:pos="6560" w:val="left"/>
          <w:tab w:leader="none" w:pos="100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53"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230" w:right="239" w:bottom="1440" w:gutter="0" w:footer="0" w:header="0"/>
          <w:type w:val="continuous"/>
        </w:sectPr>
      </w:pPr>
    </w:p>
    <w:p>
      <w:pPr>
        <w:spacing w:after="0" w:line="42" w:lineRule="exact"/>
        <w:rPr>
          <w:sz w:val="24"/>
          <w:szCs w:val="24"/>
          <w:color w:val="auto"/>
        </w:rPr>
      </w:pPr>
    </w:p>
    <w:p>
      <w:pPr>
        <w:ind w:left="920"/>
        <w:spacing w:after="0"/>
        <w:rPr>
          <w:sz w:val="20"/>
          <w:szCs w:val="20"/>
          <w:color w:val="auto"/>
        </w:rPr>
      </w:pPr>
      <w:r>
        <w:rPr>
          <w:rFonts w:ascii="Arial" w:cs="Arial" w:eastAsia="Arial" w:hAnsi="Arial"/>
          <w:sz w:val="12"/>
          <w:szCs w:val="12"/>
          <w:color w:val="auto"/>
        </w:rPr>
        <w:t>U.S. GAAP</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right"/>
        <w:spacing w:after="0" w:line="283" w:lineRule="auto"/>
        <w:rPr>
          <w:sz w:val="20"/>
          <w:szCs w:val="20"/>
          <w:color w:val="auto"/>
        </w:rPr>
      </w:pPr>
      <w:r>
        <w:rPr>
          <w:rFonts w:ascii="Arial" w:cs="Arial" w:eastAsia="Arial" w:hAnsi="Arial"/>
          <w:sz w:val="12"/>
          <w:szCs w:val="12"/>
          <w:color w:val="auto"/>
        </w:rPr>
        <w:t>International Financial Reporting Standards as issued by the International Accounting Standards Board</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2"/>
          <w:szCs w:val="12"/>
          <w:color w:val="auto"/>
        </w:rPr>
        <w:t>Other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6">
            <w:col w:w="1560" w:space="80"/>
            <w:col w:w="2080" w:space="720"/>
            <w:col w:w="2880" w:space="60"/>
            <w:col w:w="1900" w:space="720"/>
            <w:col w:w="320" w:space="60"/>
            <w:col w:w="1040"/>
          </w:cols>
          <w:pgMar w:left="240" w:top="230" w:right="239" w:bottom="1440" w:gutter="0" w:footer="0" w:header="0"/>
          <w:type w:val="continuous"/>
        </w:sectPr>
      </w:pPr>
    </w:p>
    <w:p>
      <w:pPr>
        <w:spacing w:after="0" w:line="25"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5">
            <w:col w:w="7900" w:space="120"/>
            <w:col w:w="200" w:space="80"/>
            <w:col w:w="120" w:space="140"/>
            <w:col w:w="160" w:space="60"/>
            <w:col w:w="2640"/>
          </w:cols>
          <w:pgMar w:left="240" w:top="230" w:right="239" w:bottom="1440" w:gutter="0" w:footer="0" w:header="0"/>
          <w:type w:val="continuous"/>
        </w:sectPr>
      </w:pPr>
    </w:p>
    <w:p>
      <w:pPr>
        <w:ind w:left="340" w:right="80" w:hanging="332"/>
        <w:spacing w:after="0" w:line="31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of 116,626,752 shares held in treasury. Does not include (a) 8,966,750 ordinary shares reserved for issuance upon exercise of stock options and vesting of restricted stock units granted under our stock option plan or by companies we have acquired, and (b) 13,839 ordinary shares reserved for issuance upon conversion of outstanding convertible 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66040</wp:posOffset>
            </wp:positionV>
            <wp:extent cx="1311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3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FORM 20-F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REPORT FOR THE FISCAL YEAR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58420</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Identity of Directors, Senior Management and Advisers</w:t>
              </w:r>
            </w:hyperlink>
          </w:p>
        </w:tc>
        <w:tc>
          <w:tcPr>
            <w:tcW w:w="340" w:type="dxa"/>
            <w:vAlign w:val="bottom"/>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426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Offer Statistics and Expected Timetable</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1460" w:type="dxa"/>
            <w:vAlign w:val="bottom"/>
            <w:gridSpan w:val="6"/>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4.</w:t>
            </w: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Information on the Company</w:t>
              </w:r>
            </w:hyperlink>
          </w:p>
        </w:tc>
        <w:tc>
          <w:tcPr>
            <w:tcW w:w="2200" w:type="dxa"/>
            <w:vAlign w:val="bottom"/>
            <w:gridSpan w:val="7"/>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4A.</w:t>
            </w:r>
          </w:p>
        </w:tc>
        <w:tc>
          <w:tcPr>
            <w:tcW w:w="426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5.</w:t>
            </w:r>
          </w:p>
        </w:tc>
        <w:tc>
          <w:tcPr>
            <w:tcW w:w="1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33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Operating and Financial Review and Prospects</w:t>
              </w:r>
            </w:hyperlink>
          </w:p>
        </w:tc>
        <w:tc>
          <w:tcPr>
            <w:tcW w:w="940" w:type="dxa"/>
            <w:vAlign w:val="bottom"/>
            <w:gridSpan w:val="4"/>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33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Directors, Senior Management and Employees</w:t>
              </w:r>
            </w:hyperlink>
          </w:p>
        </w:tc>
        <w:tc>
          <w:tcPr>
            <w:tcW w:w="960" w:type="dxa"/>
            <w:vAlign w:val="bottom"/>
            <w:gridSpan w:val="5"/>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7.</w:t>
            </w:r>
          </w:p>
        </w:tc>
        <w:tc>
          <w:tcPr>
            <w:tcW w:w="426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Major Shareholders and Related Party Transactions</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8.</w:t>
            </w:r>
          </w:p>
        </w:tc>
        <w:tc>
          <w:tcPr>
            <w:tcW w:w="1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Financial Information</w:t>
              </w:r>
            </w:hyperlink>
          </w:p>
        </w:tc>
        <w:tc>
          <w:tcPr>
            <w:tcW w:w="2060" w:type="dxa"/>
            <w:vAlign w:val="bottom"/>
            <w:tcBorders>
              <w:top w:val="single" w:sz="8" w:color="0000EE"/>
            </w:tcBorders>
            <w:gridSpan w:val="7"/>
          </w:tcPr>
          <w:p>
            <w:pPr>
              <w:spacing w:after="0"/>
              <w:rPr>
                <w:sz w:val="17"/>
                <w:szCs w:val="17"/>
                <w:color w:val="auto"/>
              </w:rPr>
            </w:pPr>
          </w:p>
        </w:tc>
        <w:tc>
          <w:tcPr>
            <w:tcW w:w="640" w:type="dxa"/>
            <w:vAlign w:val="bottom"/>
            <w:gridSpan w:val="3"/>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9.</w:t>
            </w:r>
          </w:p>
        </w:tc>
        <w:tc>
          <w:tcPr>
            <w:tcW w:w="4260" w:type="dxa"/>
            <w:vAlign w:val="bottom"/>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The Offer and Listing</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10.</w:t>
            </w:r>
          </w:p>
        </w:tc>
        <w:tc>
          <w:tcPr>
            <w:tcW w:w="15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60" w:type="dxa"/>
            <w:vAlign w:val="bottom"/>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Additional Information</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11.</w:t>
            </w:r>
          </w:p>
        </w:tc>
        <w:tc>
          <w:tcPr>
            <w:tcW w:w="1640" w:type="dxa"/>
            <w:vAlign w:val="bottom"/>
            <w:gridSpan w:val="4"/>
            <w:shd w:val="clear" w:color="auto" w:fill="0000EE"/>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Quantitative and Qualitative Disclosures About Market Risk</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12.</w:t>
            </w: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Description of Securities Other than Equity Securities</w:t>
              </w:r>
            </w:hyperlink>
          </w:p>
        </w:tc>
        <w:tc>
          <w:tcPr>
            <w:tcW w:w="460" w:type="dxa"/>
            <w:vAlign w:val="bottom"/>
            <w:gridSpan w:val="2"/>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13.</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40" w:type="dxa"/>
            <w:vAlign w:val="bottom"/>
            <w:gridSpan w:val="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2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Defaults, Dividend Arrearages and Delinquencies</w:t>
              </w:r>
            </w:hyperlink>
          </w:p>
        </w:tc>
        <w:tc>
          <w:tcPr>
            <w:tcW w:w="640" w:type="dxa"/>
            <w:vAlign w:val="bottom"/>
            <w:tcBorders>
              <w:top w:val="single" w:sz="8" w:color="0000EE"/>
            </w:tcBorders>
            <w:gridSpan w:val="2"/>
          </w:tcPr>
          <w:p>
            <w:pPr>
              <w:spacing w:after="0"/>
              <w:rPr>
                <w:sz w:val="17"/>
                <w:szCs w:val="17"/>
                <w:color w:val="auto"/>
              </w:rPr>
            </w:pPr>
          </w:p>
        </w:tc>
        <w:tc>
          <w:tcPr>
            <w:tcW w:w="2900" w:type="dxa"/>
            <w:vAlign w:val="bottom"/>
            <w:gridSpan w:val="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14.</w:t>
            </w: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54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Material Modifications to the Rights of Security Holders and Use of Proceeds</w:t>
              </w:r>
            </w:hyperlink>
          </w:p>
        </w:tc>
        <w:tc>
          <w:tcPr>
            <w:tcW w:w="228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15.</w:t>
            </w:r>
          </w:p>
        </w:tc>
        <w:tc>
          <w:tcPr>
            <w:tcW w:w="17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Controls and Procedures</w:t>
              </w:r>
            </w:hyperlink>
          </w:p>
        </w:tc>
        <w:tc>
          <w:tcPr>
            <w:tcW w:w="602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16A.</w:t>
            </w:r>
          </w:p>
        </w:tc>
        <w:tc>
          <w:tcPr>
            <w:tcW w:w="7760" w:type="dxa"/>
            <w:vAlign w:val="bottom"/>
            <w:gridSpan w:val="1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Audit Committee Financial Expert</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16B.</w:t>
            </w: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Code of Ethics</w:t>
              </w:r>
            </w:hyperlink>
          </w:p>
        </w:tc>
        <w:tc>
          <w:tcPr>
            <w:tcW w:w="1380" w:type="dxa"/>
            <w:vAlign w:val="bottom"/>
            <w:tcBorders>
              <w:top w:val="single" w:sz="8" w:color="0000EE"/>
            </w:tcBorders>
            <w:gridSpan w:val="3"/>
          </w:tcPr>
          <w:p>
            <w:pPr>
              <w:spacing w:after="0"/>
              <w:rPr>
                <w:sz w:val="17"/>
                <w:szCs w:val="17"/>
                <w:color w:val="auto"/>
              </w:rPr>
            </w:pPr>
          </w:p>
        </w:tc>
        <w:tc>
          <w:tcPr>
            <w:tcW w:w="532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16C.</w:t>
            </w:r>
          </w:p>
        </w:tc>
        <w:tc>
          <w:tcPr>
            <w:tcW w:w="28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Principal Accountant Fees and Services</w:t>
              </w:r>
            </w:hyperlink>
          </w:p>
        </w:tc>
        <w:tc>
          <w:tcPr>
            <w:tcW w:w="4960" w:type="dxa"/>
            <w:vAlign w:val="bottom"/>
            <w:gridSpan w:val="8"/>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16D.</w:t>
            </w: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Exemptions from the Listing Standards for Audit Committees</w:t>
              </w:r>
            </w:hyperlink>
          </w:p>
        </w:tc>
        <w:tc>
          <w:tcPr>
            <w:tcW w:w="340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16E.</w:t>
            </w:r>
          </w:p>
        </w:tc>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Purchases of Equity Securities by the Issuer and Affiliated Purchasers</w:t>
              </w:r>
            </w:hyperlink>
          </w:p>
        </w:tc>
        <w:tc>
          <w:tcPr>
            <w:tcW w:w="284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16F.</w:t>
            </w:r>
          </w:p>
        </w:tc>
        <w:tc>
          <w:tcPr>
            <w:tcW w:w="7760" w:type="dxa"/>
            <w:vAlign w:val="bottom"/>
            <w:gridSpan w:val="1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Change in Registrant’s Certifying Accountant</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16G.</w:t>
            </w:r>
          </w:p>
        </w:tc>
        <w:tc>
          <w:tcPr>
            <w:tcW w:w="3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Corporate Governance</w:t>
              </w:r>
            </w:hyperlink>
          </w:p>
        </w:tc>
        <w:tc>
          <w:tcPr>
            <w:tcW w:w="454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16H.</w:t>
            </w:r>
          </w:p>
        </w:tc>
        <w:tc>
          <w:tcPr>
            <w:tcW w:w="1600" w:type="dxa"/>
            <w:vAlign w:val="bottom"/>
            <w:gridSpan w:val="2"/>
            <w:shd w:val="clear" w:color="auto" w:fill="0000EE"/>
          </w:tcPr>
          <w:p>
            <w:pPr>
              <w:spacing w:after="0" w:line="20" w:lineRule="exact"/>
              <w:rPr>
                <w:sz w:val="1"/>
                <w:szCs w:val="1"/>
                <w:color w:val="auto"/>
              </w:rPr>
            </w:pPr>
          </w:p>
        </w:tc>
        <w:tc>
          <w:tcPr>
            <w:tcW w:w="6160" w:type="dxa"/>
            <w:vAlign w:val="bottom"/>
            <w:gridSpan w:val="11"/>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7760" w:type="dxa"/>
            <w:vAlign w:val="bottom"/>
            <w:gridSpan w:val="1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Mine Safety Disclosure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17.</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20" w:type="dxa"/>
            <w:vAlign w:val="bottom"/>
            <w:gridSpan w:val="3"/>
          </w:tcPr>
          <w:p>
            <w:pPr>
              <w:jc w:val="right"/>
              <w:ind w:right="5212"/>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Financial Statements</w:t>
              </w:r>
            </w:hyperlink>
          </w:p>
        </w:tc>
        <w:tc>
          <w:tcPr>
            <w:tcW w:w="168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3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18.</w:t>
            </w: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Financial Statements</w:t>
              </w:r>
            </w:hyperlink>
          </w:p>
        </w:tc>
        <w:tc>
          <w:tcPr>
            <w:tcW w:w="1700" w:type="dxa"/>
            <w:vAlign w:val="bottom"/>
            <w:gridSpan w:val="3"/>
          </w:tcPr>
          <w:p>
            <w:pPr>
              <w:spacing w:after="0"/>
              <w:rPr>
                <w:sz w:val="17"/>
                <w:szCs w:val="17"/>
                <w:color w:val="auto"/>
              </w:rPr>
            </w:pPr>
          </w:p>
        </w:tc>
        <w:tc>
          <w:tcPr>
            <w:tcW w:w="7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19.</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Exhibits</w:t>
              </w:r>
            </w:hyperlink>
          </w:p>
        </w:tc>
        <w:tc>
          <w:tcPr>
            <w:tcW w:w="2580" w:type="dxa"/>
            <w:vAlign w:val="bottom"/>
            <w:gridSpan w:val="4"/>
          </w:tcPr>
          <w:p>
            <w:pPr>
              <w:spacing w:after="0"/>
              <w:rPr>
                <w:sz w:val="17"/>
                <w:szCs w:val="17"/>
                <w:color w:val="auto"/>
              </w:rPr>
            </w:pPr>
          </w:p>
        </w:tc>
        <w:tc>
          <w:tcPr>
            <w:tcW w:w="7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300" w:type="dxa"/>
            <w:vAlign w:val="bottom"/>
            <w:gridSpan w:val="6"/>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Index to Consolidated Financial Statements</w:t>
              </w:r>
            </w:hyperlink>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3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83"/>
        </w:trPr>
        <w:tc>
          <w:tcPr>
            <w:tcW w:w="1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2015 as “fiscal 2015.”</w:t>
      </w:r>
    </w:p>
    <w:p>
      <w:pPr>
        <w:spacing w:after="0" w:line="6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 CES™ and The New World of Customer Experience™, among others.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please read the information set forth below under the caption “Risk Factors.”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2015 is derived from our consolidated financial statements, which have been audited by Ernst &amp; Young LLP, our independent registered public accounting firm. You should read the information presented below in conjunction with those statements.</w:t>
      </w:r>
    </w:p>
    <w:p>
      <w:pPr>
        <w:spacing w:after="0" w:line="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2013</w:t>
            </w: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2012</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$ 3,643,538</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$ 3,563,637</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$ 3,345,854</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$ 3,246,903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$ 3,177,728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515,948</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495,648</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481,552</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442,472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404,364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446,163</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422,122</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412,439</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391,371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346,665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2.65</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2.56</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2.62</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2.53</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2.31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0.665</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0.595</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0.520</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0.130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51"/>
        </w:trPr>
        <w:tc>
          <w:tcPr>
            <w:tcW w:w="510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2013</w:t>
            </w: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2012</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4"/>
              </w:rPr>
              <w:t>Cash, cash equivalents and short-term interest-bearing investments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$ 1,354,012</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$ 1,424,465</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$ 1,326,380</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$ 1,118,177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$ 1,173,470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5,324,652</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5,185,277</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4,925,813</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4,645,223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4,636,572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obligations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603</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1,020</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3,406,842</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3,395,836</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3,274,783</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3,033,202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3,023,301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fourth quarter of fiscal 2012, we instituted a discretionary quarterly cash dividend program in the amount of $0.13 per share, with the first payment in the first quarter of fiscal 2013. In January 2014 and January 2015, our shareholders approved increases in the rate of the quarterly cash dividend to $0.155 per share and $0.17 per share, respectively. In November 2015, our Board of Directors approved, subject to shareholder approval at the February 2016 annual general meeting of shareholders, an increase in the rate of the quarterly cash dividend to $0.195 per share, with the first payment anticipated to be paid in April 2016.</w:t>
      </w:r>
    </w:p>
    <w:p>
      <w:pPr>
        <w:jc w:val="both"/>
        <w:ind w:left="460" w:right="120" w:hanging="452"/>
        <w:spacing w:after="0" w:line="30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fiscal 2014, we purchased for cash $0.4 million aggregate principal amount of our convertible notes due 2024. Pursuant to the indenture governing the notes, the notes became convertible into our ordinary shares, at the holder’s option, beginning on July 1, 2015. As of September 30, 2015, $0.6 million principal amount of the notes remained outstanding, and we had issued an aggregate of 774 ordinary shares upon the conversion of notes.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60" w:type="dxa"/>
            <w:vAlign w:val="bottom"/>
            <w:gridSpan w:val="4"/>
            <w:vMerge w:val="restart"/>
          </w:tcPr>
          <w:p>
            <w:pPr>
              <w:jc w:val="right"/>
              <w:ind w:right="154"/>
              <w:spacing w:after="0"/>
              <w:rPr>
                <w:sz w:val="20"/>
                <w:szCs w:val="20"/>
                <w:color w:val="auto"/>
              </w:rPr>
            </w:pPr>
            <w:r>
              <w:rPr>
                <w:rFonts w:ascii="Arial" w:cs="Arial" w:eastAsia="Arial" w:hAnsi="Arial"/>
                <w:sz w:val="14"/>
                <w:szCs w:val="14"/>
                <w:b w:val="1"/>
                <w:bCs w:val="1"/>
                <w:color w:val="auto"/>
              </w:rPr>
              <w:t>Ordinary Shares</w:t>
            </w:r>
          </w:p>
        </w:tc>
        <w:tc>
          <w:tcPr>
            <w:tcW w:w="3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6020" w:type="dxa"/>
            <w:vAlign w:val="bottom"/>
          </w:tcPr>
          <w:p>
            <w:pPr>
              <w:spacing w:after="0"/>
              <w:rPr>
                <w:sz w:val="5"/>
                <w:szCs w:val="5"/>
                <w:color w:val="auto"/>
              </w:rPr>
            </w:pPr>
          </w:p>
        </w:tc>
        <w:tc>
          <w:tcPr>
            <w:tcW w:w="1460" w:type="dxa"/>
            <w:vAlign w:val="bottom"/>
            <w:tcBorders>
              <w:bottom w:val="single" w:sz="8" w:color="auto"/>
            </w:tcBorders>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restart"/>
          </w:tcPr>
          <w:p>
            <w:pPr>
              <w:jc w:val="right"/>
              <w:ind w:right="117"/>
              <w:spacing w:after="0" w:line="149" w:lineRule="exact"/>
              <w:rPr>
                <w:sz w:val="20"/>
                <w:szCs w:val="20"/>
                <w:color w:val="auto"/>
              </w:rPr>
            </w:pPr>
            <w:r>
              <w:rPr>
                <w:rFonts w:ascii="Arial" w:cs="Arial" w:eastAsia="Arial" w:hAnsi="Arial"/>
                <w:sz w:val="14"/>
                <w:szCs w:val="14"/>
                <w:b w:val="1"/>
                <w:bCs w:val="1"/>
                <w:color w:val="auto"/>
              </w:rPr>
              <w:t>Paid-In</w:t>
            </w:r>
          </w:p>
        </w:tc>
        <w:tc>
          <w:tcPr>
            <w:tcW w:w="300" w:type="dxa"/>
            <w:vAlign w:val="bottom"/>
          </w:tcPr>
          <w:p>
            <w:pPr>
              <w:spacing w:after="0"/>
              <w:rPr>
                <w:sz w:val="5"/>
                <w:szCs w:val="5"/>
                <w:color w:val="auto"/>
              </w:rPr>
            </w:pPr>
          </w:p>
        </w:tc>
        <w:tc>
          <w:tcPr>
            <w:tcW w:w="102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6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9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Balance as of September 30, 2012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162,454</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$ 2,625,250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 (2,418,010)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213,308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(10,370)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(367,061)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40,340</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160,062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2,878,898</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(2,785,071)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128,063</w:t>
            </w: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3,241</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44,578</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156,704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3,054,780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(3,157,085)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78,543</w:t>
            </w: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4,690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44,560</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151,150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3,182,573</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(3,611,105)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time to time, our Board of Directors has adopted share repurchase plans authorizing the repurchase of our outstanding ordinary shares. In April 2014, our Board of Directors adopted a share repurchase plan authorizing the repurchase of up to $750.0 million of our outstanding ordinary shares. This authorization has no expiration date and permits us to purchase our ordinary shares in open market or privately negotiated transactions at times and prices that we consider appropriate. In fiscal 2015, we repurchased 8.6 million of our ordinary shares at an average price of $52.80 per share (excluding broker and transaction fees). As of September 30, 2015, we had remaining authority to repurchase up to $260.1 million of our outstanding ordinary shares under the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general global economic and market conditions, particularly those impacting the communications industry.</w:t>
      </w:r>
    </w:p>
    <w:p>
      <w:pPr>
        <w:spacing w:after="0" w:line="90"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Industry consolidation involving our customers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fail to adapt to changing market conditions and cannot compete successfully with existing or new competitors, our business could be harmed.</w:t>
      </w:r>
    </w:p>
    <w:p>
      <w:pPr>
        <w:spacing w:after="0" w:line="12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compete depends on a number of factors, including:</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ability of our competitors to hire, retain and motivate key personnel.</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18"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If we do not continually enhance our products and service offerings and introduce new products and features, we may have difficulty retaining existing customers and attracting new customers.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our future success will depend, to a significant extent, upon our ability to enhance our existing products and services and to introduce new products, services and features to meet the requirements of our customers in a rapidly developing and evolving market. We devote significant resources to refining and expanding our base software modules and to developing our customer experience solutions. In some instances, we rely on cooperative relationships with third parties to assist us in delivering certain products and services to our customers. Our present or future products and services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20"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could harm our results of operations.</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business is dependent on a limited number of significant customers, of which AT&amp;T has historically been our largest. AT&amp;T accounted for 34% of our revenue in fiscal 2015 and 33% in fiscal 2014. Aggregate revenue derived from the multiple business arrangements we have with the ten largest of our significant customers accounted for approximately 72% of our revenue in fiscal 2015 and 73% in fiscal 2014. The loss of any significant customer, a significant decrease in business from any such customer or a reduction in customer revenue due to adverse changes in the terms of our contractual arrangements, market conditions, customer circumstances or other factors could harm our results of operations and financial condition. Revenue from individual customers may fluctuate from time to time based on the commencement, scope and completion of projects or other engagements, the timing and magnitude of which may be affected by market or other conditions.</w:t>
      </w:r>
    </w:p>
    <w:p>
      <w:pPr>
        <w:spacing w:after="0" w:line="6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113"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customer experience solutions. If we are unable to develop new customer relationships, our business will be harmed. In addition, our business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32"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We seek to acquire companies or technologies, which could disrupt our ongoing business, divert the attention of our management and employees and adversely affect our results of operations.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It is a part of our business strategy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and optimization domains. In the future, we intend to continue to pursue acquisitions of other companies, products, services and technologies that we believe will advance our business strategy. We may not be able to identify suitable future acquisition candidates, consummate acquisitions on favorable terms or complete otherwise favorable acquisitions because of antitrust, regulatory or other concerns.</w:t>
      </w:r>
    </w:p>
    <w:p>
      <w:pPr>
        <w:spacing w:after="0" w:line="3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cannot assure you that the acquisitions we have completed, or any future acquisitions that we may make, will enhance our products and services or strengthen our competitive position. We also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18"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 We may face difficulties identifying and hiring qualified personnel.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lower-cost markets where we have historically added personnel, such as India, are increasing and we may need to increase the levels of our employee compensation more rapidly than in the past to remain competitive.</w:t>
      </w:r>
    </w:p>
    <w:p>
      <w:pPr>
        <w:spacing w:after="0" w:line="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our entry into new domains, we now compete for high quality employees in those domains’ limited and competitive talent market. In addition, cost containment measures effected in recent years, such as the relocation of projects to lower-costs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a national union and a group of our employees have attempted to secure the approval of the minimum number of employees needed for union certification with respect to our employees in Israel. While these efforts have not resulted in either group being recognized as a representative union, we expect such efforts to continue.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w:t>
      </w:r>
    </w:p>
    <w:p>
      <w:pPr>
        <w:spacing w:after="0" w:line="3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success will also depend upon the continued active participation of a relatively small group of senior management personnel. The loss of the services of all or some of these executives could harm our operations and impair our efforts to expand our business.</w:t>
      </w:r>
    </w:p>
    <w:p>
      <w:pPr>
        <w:spacing w:after="0" w:line="132"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times, we have experienced fluctuations in our quarterly operating results and anticipate that such movements may continue to occur. Fluctuations may result from many factors, including:</w:t>
      </w:r>
    </w:p>
    <w:p>
      <w:pPr>
        <w:spacing w:after="0" w:line="5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timing and pace of progress of significant customer projects and license and service fees,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by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penetration of new markets,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Generally, our revenue relating to software licenses that require significant customization, modification, implementation and integration is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16" w:lineRule="exact"/>
        <w:rPr>
          <w:sz w:val="20"/>
          <w:szCs w:val="20"/>
          <w:color w:val="auto"/>
        </w:rPr>
      </w:pPr>
    </w:p>
    <w:p>
      <w:pPr>
        <w:ind w:left="240" w:right="760"/>
        <w:spacing w:after="0" w:line="268"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51"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lengthening of our sales cycle could reduce growth in our revenue. In addition, the lengthening of our sales cycle contributes to increased selling expenses, thereby reducing our profitability.</w:t>
      </w:r>
    </w:p>
    <w:p>
      <w:pPr>
        <w:spacing w:after="0" w:line="132"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Acquisitions, organic growth and absorption of significant numbers of customers’ employees in connection with managed services projects have, from time to time, increased our headcount. Our total workforce, which includes employees and consultants, has increased from 19,455 at the end of fiscal 2010 to 24,950 as of September 30, 2015. During periods of expansion, we may need to serve several new customers or implement several new large-scale projects in short periods of time. This may require us to attract and train additional IT professionals at a rapid rate, which we may have difficulties doing successfully.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cash, cash equivalents and short-term interest-bearing investments totaled $1,134 million, net of short-term debt, as of September 30, 2015. Our policy is to retain sufficient cash balances in order to support our growth. Our short-term investments consist primarily of money market funds, U.S. government treasuries, corporate bonds and U.S. agency securities.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weakened markets.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may degrade the creditworthiness of our customers over time, and we can be adversely affected by bankruptcies or other business failures.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international presence exposes us to risks associated with varied and changing political, cultural, legal and economic conditions worldwide.</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Israel, Latin America and the Asia-Pacific region. Although a substantial majority of our revenue is derived from customers in North America, we obtain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62"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collecting accounts receivable, converting local currencies or withholding taxes,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restrictions that limit the repatriation of earnings,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trade sanctions, export controls, and privacy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immigration regulations that limit our ability to deploy our employees,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and threats of terrorism,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on the transfer of funds to and from foreign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some countries,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or more of these factors could have a material adverse effect on our operations, which could harm our results of operations and financial condition.</w:t>
      </w:r>
    </w:p>
    <w:p>
      <w:pPr>
        <w:spacing w:after="0" w:line="194"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we continue to expand our business internationally, including in emerging markets such as those in Latin America, Russia and other members of the Commonwealth of Independent States, India 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international operations expose us to risks associated with fluctuations in foreign currency exchange rates that could adversely affect our business.</w:t>
      </w:r>
    </w:p>
    <w:p>
      <w:pPr>
        <w:spacing w:after="0" w:line="1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dollars, each of which could have a material adverse effect on our results of operations and financial condition.</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 particularly in light of recent significant increases in volatility in foreign exchange markets.</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Of the development centers we maintain worldwide, two of our largest development centers are located in Israel and India. In Israel, the centers are located in several different sites, and approximately 20% of our software and information technology, sales and marketing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3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40% of our software and information technology, sales and marketing workforce is located in India. Terrorist activity in India and Pakistan has contributed to tensions between those countries and our operations in India may be adversely affected by future political and other events in the region.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our business may be harmed.</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Any misappropriation of our technology or the development of competitive technology could seriously harm our business. Our software and software systems are largely comprised of software and systems we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2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we have to resort to legal proceedings to enforce our intellectual property rights, the proceedings could be burdensome, protracted and expensive and could involve a high degree of risk.</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Claims by others that we infringe their proprietary technology could harm our business and subject us to potentially burdensome litigation.</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for example, as well as to direct legal claims from retail consumers arising from the delivery of such services.</w:t>
      </w:r>
    </w:p>
    <w:p>
      <w:pPr>
        <w:spacing w:after="0" w:line="3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Because our products are generally used by our customers to perform critical business functions, design defects, software errors, misuse of our products, incorrect data from external sources, failures to comply with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w:t>
      </w:r>
    </w:p>
    <w:p>
      <w:pPr>
        <w:spacing w:after="0" w:line="12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System disruptions and failures or security and privacy breaches may result in customer dissatisfaction, customer loss or both, which could materially and adversely affect our reputation and business.</w:t>
      </w:r>
    </w:p>
    <w:p>
      <w:pPr>
        <w:spacing w:after="0" w:line="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ability to serve our customers depends on our ability to protect our systems and infrastructure against damage from fire, power loss, water damage, telecommunications failure, earthquake, severe weather condition, terrorism attack, vandalism and other similar unexpected adverse events.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18"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If our security measures for our software, hardware, services or cloud offerings are compromised and as a result, our data, our customers’ data or our IT systems are accessed improperly, made unavailable, or improperly modified, our products and services may be perceived as vulnerable and our business may be harmed.</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products and services, including our cloud offerings, store, retrieve, manipulate and manage our customers’ information and data, as well as our own data. We have a reputation for secure and reliable product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offerings and related services and we have invested a great deal of time and resources in protecting the integrity and security of our products, services and the internal and external data that we manage. Despite our efforts to implement network security measures, we cannot guarantee that our systems are fully protected from vulnerabilities related to IT-related viruses, worms and other malicious software programs, attacks, break-ins and similar disruptions from unauthorized tampering by computer hackers and others. In addition, security measures in our products and services may be penetrated or bypassed by computer hackers and others who may gain unauthorized access to our or our customers’ or partners’ software, hardware, cloud offerings, networks or systems.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Any of the foregoing occurrences could create system disruptions and cause shutdowns or denials of service or compromise data, including personal or confidential information, of us, our partners or our customers.</w:t>
      </w:r>
    </w:p>
    <w:p>
      <w:pPr>
        <w:spacing w:after="0" w:line="4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a cyber-attack or other security incident were to result in unauthorized access to 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39"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Any of the events described above could cause our customers to make claims against us for damages allegedly resulting from a security breach or service disruption, and security incidents could also lead to regulatory investigations and claims, all of which could increase our legal liability.</w:t>
      </w:r>
    </w:p>
    <w:p>
      <w:pPr>
        <w:spacing w:after="0" w:line="85" w:lineRule="exact"/>
        <w:rPr>
          <w:sz w:val="20"/>
          <w:szCs w:val="20"/>
          <w:color w:val="auto"/>
        </w:rPr>
      </w:pPr>
    </w:p>
    <w:p>
      <w:pPr>
        <w:ind w:left="240" w:right="720"/>
        <w:spacing w:after="0" w:line="357" w:lineRule="auto"/>
        <w:rPr>
          <w:sz w:val="20"/>
          <w:szCs w:val="20"/>
          <w:color w:val="auto"/>
        </w:rPr>
      </w:pPr>
      <w:r>
        <w:rPr>
          <w:rFonts w:ascii="Arial" w:cs="Arial" w:eastAsia="Arial" w:hAnsi="Arial"/>
          <w:sz w:val="15"/>
          <w:szCs w:val="15"/>
          <w:b w:val="1"/>
          <w:bCs w:val="1"/>
          <w:i w:val="1"/>
          <w:iCs w:val="1"/>
          <w:color w:val="auto"/>
        </w:rPr>
        <w:t>Changes in the tax policies and regulations imposed by the jurisdictions in which we operate, the termination or reduction of certain government programs and tax benefits, or challenges by tax authorities of our tax positions could adversely affect our overall effective tax rate.</w:t>
      </w:r>
    </w:p>
    <w:p>
      <w:pPr>
        <w:ind w:right="40" w:firstLine="456"/>
        <w:spacing w:after="0" w:line="259" w:lineRule="auto"/>
        <w:rPr>
          <w:sz w:val="20"/>
          <w:szCs w:val="20"/>
          <w:color w:val="auto"/>
        </w:rPr>
      </w:pPr>
      <w:r>
        <w:rPr>
          <w:rFonts w:ascii="Arial" w:cs="Arial" w:eastAsia="Arial" w:hAnsi="Arial"/>
          <w:sz w:val="18"/>
          <w:szCs w:val="18"/>
          <w:color w:val="auto"/>
        </w:rPr>
        <w:t>There can be no assurance that our effective tax rate of 13.1% for the year ended September 30, 2015 will not change over time as a result of changes in corporate income tax rates or other changes in the tax laws of Guernsey, the jurisdiction in which our holding company is organized, or of the various countries in which we operate.</w:t>
      </w:r>
    </w:p>
    <w:p>
      <w:pPr>
        <w:spacing w:after="0" w:line="5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benefited or currently benefit from a variety of government programs and tax benefits that generally carry conditions that we must meet in order to be eligible to obtain any benefit. For example, through a subsidiary, we operate development centers and a business processing operations center in India. In 2015, the effective corporate tax rate applicable in India on trading activities was 34.6%. Our subsidiary in India operates under specific favorable tax entitlements that are based upon pre-approved information technology related services activity. As a result, these activities are entitled to considerable corporate income tax reductions for our eligible income, which reduce the current applicable effective tax rate (cash basis) to 20.0%. Such favorable tax treatment is applied on eligible profits from export of services derived from such pre-approved information technology activity, provided the subsidiary continues to meet the conditions required for such tax benefits. These benefits are scheduled to phase out over 15 years from the commencement of operations of the respective units within our Indian subsidiary. Proposed changes in Indian tax law may reduce or eliminate the availability of these beneficial tax rates. Please see “Item 10 — Additional Information — Taxation — Certain Indian Tax Considerations” for more information.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tax benefit programs may be limited in duration or may be discontinued,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meet the requirements for continuing to qualify for some programs,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programs and tax benefits may be unavailable at their current levels, or</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expiration of a particular benefit, we may not be eligible to participate in a new program or qualify for a new tax benefit that would offset the loss of the expiring tax benefit.</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There is growing pressure in many jurisdictions and from multinational organizations such as the Organization for Economic Cooperation and Development (OECD) and the EU to amend existing international taxation rules in order to align the tax regimes with current global business practices. For example, in October 2015, the OECD published its final package of measures for reform of the international tax rules as a product of its Base Erosion and Profit Shifting (BEPS) initiative, which was endorsed by the G20 finance ministers. Many of the initiatives in the BEPS package will require amendments to the domestic tax legislation of various jurisdictions. Although we monitor these developments, it is very difficult to assess to what extent these changes may be implemented in the jurisdictions in which we conduct our business or may impact the way in which we conduct our business or our effective tax rate due to the unpredictability and interdependency of these potential changes. As these and other tax laws and related regulations change, our financial results could be harmed.</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5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in the communications or software industries, including industry consolidation,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financial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enable communications, entertainment and media companies that are major services providers in North America, Europe and the rest of the world to move toward an integrated approach to customer experience. Our registered office is Hirzel House, Smith Street, St. Peter Port, Island of Guernsey, GY1 2NG, and the telephone number at that location is +44-1481-728444.</w:t>
      </w:r>
    </w:p>
    <w:p>
      <w:pPr>
        <w:spacing w:after="0" w:line="3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Hungary, India, Ireland, Israel, Switzerland, the United Kingdom and the United States. Please see Exhibit 8 to this Annual Report on Form 20-F for a listing of our significant subsidiaries.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part of our strategy, we have pursued and may continue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and optimization domains. In 2013, we acquired Actix Ltd., a provider of mobile network optimization solutions, and in 2014 we acquired substantially all of the assets of Celcite Management Solutions LLC, a provider of network management and self-optimizing network solutions. In July 2015, we acquired a substantial majority of the business support systems (BSS) assets of Comverse, Inc., which geographically complemented our market focus by expanding and diversifying our global customer base, particularly in Asia Pacific, Latin America and Europe.</w:t>
      </w:r>
    </w:p>
    <w:p>
      <w:pPr>
        <w:spacing w:after="0" w:line="3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the result of our organic growth and acquisitions, our software and information technology, sales and marketing workforce has increased over the last three years from 19,315 as of the end of fiscal 2013 to 23,404 as of the end of fiscal 2015. In the past, our workforce has fluctuated with changes in business conditions.</w:t>
      </w:r>
    </w:p>
    <w:p>
      <w:pPr>
        <w:spacing w:after="0" w:line="5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principal capital expenditures for fiscal 2015, 2014 and 2013 have been for computer equipment in our operating facilities and development centers, for which we spent approximately $107.3 million, $94.1 million and $87.7 million, respectively. Any future expansion of our managed services activity could result in additional capital expenditures. We anticipate our capital expenditures in fiscal 2016 will be financed internally and will consist of, among other things, additional computer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Amdocs is a leading provider of software and services for communications, entertainment and media industry service providers in developed countries and emerging markets. These service providers include some of the largest telecommunications companies in the world, including AT&amp;T, Bell Canada, Deutsche Telekom, Singtel, Sprint, Telefonica and Vodafone, as well as cable and satellite providers, including Cablevision, Comcast and DIRECTV and directory publishers and other providers of media services.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operations to enable service providers to efficiently and cost-effectively introduce new products and services, process orders, monetize data, support new business models and generally enhance their understanding of their customers. We refer to these products, systems and services collectively as customer experience solutions because of the crucial impact they have on the service providers’ end-user experience.</w:t>
      </w:r>
    </w:p>
    <w:p>
      <w:pPr>
        <w:spacing w:after="0" w:line="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believe the demand for our customer experience solutions is driven by the desire of service providers to help their consumer and business customers navigate the increasing number of devices, services and plans available in today’s communications world and the need of service providers to cope with the rapidly growing demand for data that these new devices and services have created. Regardless of whether service providers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bringing their first offerings to market, scaling for growth, consolidating systems or transforming the way they do business, we believe that they seek to differentiate themselves by delivering a customer experience that is simple, personal and valuable at every point of interaction. We refer to this need to deliver such experiences as The New World of Customer Experience™.</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and the Asia-Pacific region.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service providers will maintain a strong focus on cost reduction and efficient operations, and that the trend towards consolidation within the industry will continue. The smartphone and associated communications and entertainment applications, or apps, other connected devices such as tablets, e-readers, wearables, and improvements in the Internet of Things (IoT) and machine-to-machine (M2M) technologies continue to drive unprecedented growth in data demand. In response to the demand for increased bandwidth, service providers are investing in their networks and searching for ways to provide new services, improve their business agility and optimize and monetize their investments in such services.</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recent years, non-traditional service providers and device manufacturers have penetrated the wireless market and are now competing for customer attention in the television market as well. Additionally, social networks such as Facebook and Twitter, alongside over-the-top players such as Skype, Viber and WhatsApp, have become widely-accepted alternatives to traditional voice communications. To meet the challenges from new competitors, service providers are moving towards a model of bundled services, with wireline operators, for example, offering Internet Protocol TV services together with the convergence of fixed-mobile networks. Service providers are also looking to strengthen their standing with enterprise customers, explore new opportunities in the wholesale market and provide IoT/M2M services to new vertical market segments, such as the home, health and automotive industries.</w:t>
      </w:r>
    </w:p>
    <w:p>
      <w:pPr>
        <w:spacing w:after="0" w:line="3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To capture new revenue streams, service providers are expanding within existing and non-traditional business models and deploying new network technologies. We believe service providers will place an emphasis on network virtualization and on modernization and transformation projects for their networks and operational and business support systems as they look for innovative ways to improve operations.</w:t>
      </w:r>
    </w:p>
    <w:p>
      <w:pPr>
        <w:spacing w:after="0" w:line="2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our product-led services approach, commitment to and support of quality personnel and deep industry knowledge and expertise enable us to create and deliver effective offerings that are highly innovative, reliable and cost-effective. We believe our success derives from a combination of the following factors that differentiate us from most of our competitors.</w:t>
      </w:r>
    </w:p>
    <w:p>
      <w:pPr>
        <w:spacing w:after="0" w:line="59" w:lineRule="exact"/>
        <w:rPr>
          <w:sz w:val="20"/>
          <w:szCs w:val="20"/>
          <w:color w:val="auto"/>
        </w:rPr>
      </w:pPr>
    </w:p>
    <w:p>
      <w:pPr>
        <w:ind w:left="660" w:right="40" w:hanging="206"/>
        <w:spacing w:after="0" w:line="28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Software Products</w:t>
      </w:r>
      <w:r>
        <w:rPr>
          <w:rFonts w:ascii="Arial" w:cs="Arial" w:eastAsia="Arial" w:hAnsi="Arial"/>
          <w:sz w:val="16"/>
          <w:szCs w:val="16"/>
          <w:color w:val="auto"/>
        </w:rPr>
        <w:t>. Our Amdocs CES portfolio of pre-integrated software products is designed to allow modular expansion as a service provider</w:t>
      </w:r>
      <w:r>
        <w:rPr>
          <w:rFonts w:ascii="Arial" w:cs="Arial" w:eastAsia="Arial" w:hAnsi="Arial"/>
          <w:sz w:val="16"/>
          <w:szCs w:val="16"/>
          <w:i w:val="1"/>
          <w:iCs w:val="1"/>
          <w:color w:val="auto"/>
        </w:rPr>
        <w:t xml:space="preserve"> </w:t>
      </w:r>
      <w:r>
        <w:rPr>
          <w:rFonts w:ascii="Arial" w:cs="Arial" w:eastAsia="Arial" w:hAnsi="Arial"/>
          <w:sz w:val="16"/>
          <w:szCs w:val="16"/>
          <w:color w:val="auto"/>
        </w:rPr>
        <w:t>evolves, ensuring rapid, low-cost and reduced-risk implementations. In fiscal 2014, we released Amdocs CES 9.1, which introduced solutions that span BSS, OSS and network operations to enable service providers to interact with customers via social media channels, cost-effectively enter and serve the small- to medium-sized business markets, provide solutions for quad-play offerings, wearable devices and connected cars and homes, and better manage the customer experience from the device to the network. We also expanded our offerings in the network software domain to include solutions for intelligent Wi-Fi offloading, automated long-term evolution (LTE) and small cell planning and project management and geo-located network insight for improved rollout of next-generation networks. Released in the first quarter of fiscal 2015, Amdocs CES 9.2 enables service providers to centralize product and service data from Amdocs and third parties and eliminates the operational barriers between business needs and information technology implementation, allowing for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00"/>
        <w:spacing w:after="0" w:line="289" w:lineRule="auto"/>
        <w:rPr>
          <w:sz w:val="20"/>
          <w:szCs w:val="20"/>
          <w:color w:val="auto"/>
        </w:rPr>
      </w:pPr>
      <w:r>
        <w:rPr>
          <w:rFonts w:ascii="Arial" w:cs="Arial" w:eastAsia="Arial" w:hAnsi="Arial"/>
          <w:sz w:val="16"/>
          <w:szCs w:val="16"/>
          <w:color w:val="auto"/>
        </w:rPr>
        <w:t>new market-driven modes of business and significantly reduced service design and implementation times for accelerated time to market. Amdocs CES 9.2 enables service providers to close the loop from the customer to the network using insights derived from big data analytics that are delivered in real time from a variety of data sources, including the network and BSS suite. Amdocs CES 9.3, which was released in the third quarter of fiscal 2015, introduced new functionality for online commerce, interactive bills, big data marketing, care and network analytics, as well as cross-portfolio enhancements to improve system performance. In the first quarter of fiscal 2016, we released Amdocs Kenan AX 3.1 and Amdocs C1 3.7.8, based on the BSS assets we acquired from Comverse. Amdocs Kenan AX 3.1 provides ad-hoc or subscription-based enterprise-grade billing and is available for deployment on public or private cloud environments. Amdocs C1 3.7.8 optimizes the configuration of the converged billing and active customer management solution to support complete BSS convergence and online charging into existing postpaid environments.</w:t>
      </w:r>
    </w:p>
    <w:p>
      <w:pPr>
        <w:spacing w:after="0" w:line="37" w:lineRule="exact"/>
        <w:rPr>
          <w:sz w:val="20"/>
          <w:szCs w:val="20"/>
          <w:color w:val="auto"/>
        </w:rPr>
      </w:pPr>
    </w:p>
    <w:p>
      <w:pPr>
        <w:ind w:left="700" w:right="160"/>
        <w:spacing w:after="0" w:line="289" w:lineRule="auto"/>
        <w:rPr>
          <w:sz w:val="20"/>
          <w:szCs w:val="20"/>
          <w:color w:val="auto"/>
        </w:rPr>
      </w:pPr>
      <w:r>
        <w:rPr>
          <w:rFonts w:ascii="Arial" w:cs="Arial" w:eastAsia="Arial" w:hAnsi="Arial"/>
          <w:sz w:val="16"/>
          <w:szCs w:val="16"/>
          <w:color w:val="auto"/>
        </w:rPr>
        <w:t>The Amdocs CES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that our products operate together or as stand-alone applications within existing environments. Our proprietary knowledge library of more than 200 industry-specific best practice processes, and a single tool for the unified installation, maintenance and management of the entire BSS, OSS and network suite, facilitate Amdocs CES rapid time to production. We believe this flexibility enables our customers to achieve significant time-to-market advantages and reduces their dependence on technical and other personnel. Amdocs CES 9 is an end-to-end BSS, OSS and network virtualized suite, which many of our customers have deployed in virtualized and cloud environments.</w:t>
      </w:r>
    </w:p>
    <w:p>
      <w:pPr>
        <w:spacing w:after="0" w:line="37" w:lineRule="exact"/>
        <w:rPr>
          <w:sz w:val="20"/>
          <w:szCs w:val="20"/>
          <w:color w:val="auto"/>
        </w:rPr>
      </w:pPr>
    </w:p>
    <w:p>
      <w:pPr>
        <w:ind w:left="660" w:hanging="206"/>
        <w:spacing w:after="0" w:line="29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Services</w:t>
      </w:r>
      <w:r>
        <w:rPr>
          <w:rFonts w:ascii="Arial" w:cs="Arial" w:eastAsia="Arial" w:hAnsi="Arial"/>
          <w:sz w:val="16"/>
          <w:szCs w:val="16"/>
          <w:color w:val="auto"/>
        </w:rPr>
        <w:t>. We offer a comprehensive line of services designed to address every stage of a service provider’s lifecycle, from vision creation and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strategy through transformation and implementation to operations. Our services include strategic business consulting, systems integration and transformation, managed services and testing. Our managed services provide multi-year, flexible and tailored business processes and applications services, including application development and maintenance, IT and infrastructure services, testing and professional services that are designed to assist customers in the selection, implementation, operation, management and maintenance of their IT systems. As a prime systems integrator, we assume end-to-end responsibility to monitor, manage and deploy the overall development and integration activities of Amdocs and third-party vendors throughout the transformation lifecycle.</w:t>
      </w:r>
    </w:p>
    <w:p>
      <w:pPr>
        <w:spacing w:after="0" w:line="37" w:lineRule="exact"/>
        <w:rPr>
          <w:rFonts w:ascii="Arial" w:cs="Arial" w:eastAsia="Arial" w:hAnsi="Arial"/>
          <w:sz w:val="16"/>
          <w:szCs w:val="16"/>
          <w:color w:val="auto"/>
        </w:rPr>
      </w:pPr>
    </w:p>
    <w:p>
      <w:pPr>
        <w:ind w:left="660" w:right="240" w:hanging="206"/>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Experience</w:t>
      </w:r>
      <w:r>
        <w:rPr>
          <w:rFonts w:ascii="Arial" w:cs="Arial" w:eastAsia="Arial" w:hAnsi="Arial"/>
          <w:sz w:val="18"/>
          <w:szCs w:val="18"/>
          <w:color w:val="auto"/>
        </w:rPr>
        <w:t>. We are able to offer our customers superior products and services on a worldwide basis, in large part because of our highly qualified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trained technical,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goal is to provide products, services and support to the world’s leading service providers as they strive to remain competitive. We seek to accomplish our goal by pursuing the strategies described below.</w:t>
      </w:r>
    </w:p>
    <w:p>
      <w:pPr>
        <w:spacing w:after="0" w:line="51" w:lineRule="exact"/>
        <w:rPr>
          <w:sz w:val="20"/>
          <w:szCs w:val="20"/>
          <w:color w:val="auto"/>
        </w:rPr>
      </w:pPr>
    </w:p>
    <w:p>
      <w:pPr>
        <w:jc w:val="both"/>
        <w:ind w:left="660" w:right="320" w:hanging="206"/>
        <w:spacing w:after="0" w:line="29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Focus on the Communications, Entertainment and Media Industry</w:t>
      </w:r>
      <w:r>
        <w:rPr>
          <w:rFonts w:ascii="Arial" w:cs="Arial" w:eastAsia="Arial" w:hAnsi="Arial"/>
          <w:sz w:val="16"/>
          <w:szCs w:val="16"/>
          <w:color w:val="auto"/>
        </w:rPr>
        <w:t>. We focus our resources and efforts primarily on providing customer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to service providers in the communications, entertainment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color w:val="auto"/>
        </w:rPr>
        <w:t>customer experience solutions required by the leading wireless, wireline, broadband cable and satellite companies. These strengths have enabled us to diversify our customer base and expand our offering domains and may continue to provide us with opportunities to expand within other vertical segment markets.</w:t>
      </w:r>
    </w:p>
    <w:p>
      <w:pPr>
        <w:spacing w:after="0" w:line="59" w:lineRule="exact"/>
        <w:rPr>
          <w:sz w:val="20"/>
          <w:szCs w:val="20"/>
          <w:color w:val="auto"/>
        </w:rPr>
      </w:pPr>
    </w:p>
    <w:p>
      <w:pPr>
        <w:ind w:left="660" w:right="40" w:hanging="206"/>
        <w:spacing w:after="0" w:line="335"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Target Industry Leaders</w:t>
      </w:r>
      <w:r>
        <w:rPr>
          <w:rFonts w:ascii="Arial" w:cs="Arial" w:eastAsia="Arial" w:hAnsi="Arial"/>
          <w:sz w:val="15"/>
          <w:szCs w:val="15"/>
          <w:color w:val="auto"/>
        </w:rPr>
        <w:t>. We intend to continue to direct our marketing efforts primarily toward communications and media industry leaders. By</w:t>
      </w:r>
      <w:r>
        <w:rPr>
          <w:rFonts w:ascii="Arial" w:cs="Arial" w:eastAsia="Arial" w:hAnsi="Arial"/>
          <w:sz w:val="15"/>
          <w:szCs w:val="15"/>
          <w:i w:val="1"/>
          <w:iCs w:val="1"/>
          <w:color w:val="auto"/>
        </w:rPr>
        <w:t xml:space="preserve"> </w:t>
      </w:r>
      <w:r>
        <w:rPr>
          <w:rFonts w:ascii="Arial" w:cs="Arial" w:eastAsia="Arial" w:hAnsi="Arial"/>
          <w:sz w:val="15"/>
          <w:szCs w:val="15"/>
          <w:color w:val="auto"/>
        </w:rPr>
        <w:t>targeting such leading service providers, which require the most sophisticated customer experience solutions, we believe that we are better able to remain at the forefront of developments in the industry. We believe that the development of this customer base has helped position us as a market leader.</w:t>
      </w:r>
    </w:p>
    <w:p>
      <w:pPr>
        <w:spacing w:after="0" w:line="7" w:lineRule="exact"/>
        <w:rPr>
          <w:rFonts w:ascii="Arial" w:cs="Arial" w:eastAsia="Arial" w:hAnsi="Arial"/>
          <w:sz w:val="15"/>
          <w:szCs w:val="15"/>
          <w:color w:val="auto"/>
        </w:rPr>
      </w:pPr>
    </w:p>
    <w:p>
      <w:pPr>
        <w:ind w:left="660" w:hanging="206"/>
        <w:spacing w:after="0" w:line="29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Continued Expansion into Emerging Markets</w:t>
      </w:r>
      <w:r>
        <w:rPr>
          <w:rFonts w:ascii="Arial" w:cs="Arial" w:eastAsia="Arial" w:hAnsi="Arial"/>
          <w:sz w:val="16"/>
          <w:szCs w:val="16"/>
          <w:color w:val="auto"/>
        </w:rPr>
        <w:t>. We seek to serve the needs of service providers operating in emerging markets. Prepaid subscriber growth</w:t>
      </w:r>
      <w:r>
        <w:rPr>
          <w:rFonts w:ascii="Arial" w:cs="Arial" w:eastAsia="Arial" w:hAnsi="Arial"/>
          <w:sz w:val="16"/>
          <w:szCs w:val="16"/>
          <w:i w:val="1"/>
          <w:iCs w:val="1"/>
          <w:color w:val="auto"/>
        </w:rPr>
        <w:t xml:space="preserve"> </w:t>
      </w:r>
      <w:r>
        <w:rPr>
          <w:rFonts w:ascii="Arial" w:cs="Arial" w:eastAsia="Arial" w:hAnsi="Arial"/>
          <w:sz w:val="16"/>
          <w:szCs w:val="16"/>
          <w:color w:val="auto"/>
        </w:rPr>
        <w:t>remains high and average revenue per user remains relatively low in these markets in comparison to more developed markets. In order to increase subscriber revenue, service providers are beginning to focus on the customer experience as a key competitive differentiator.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on the customer experience and the wide spectrum of emerging market service providers require offerings ranging from relatively low-cost systems with pre-packaged services that can be implemented rapidly, to more robust services, to complete customer experience solutions.</w:t>
      </w:r>
    </w:p>
    <w:p>
      <w:pPr>
        <w:spacing w:after="0" w:line="37" w:lineRule="exact"/>
        <w:rPr>
          <w:rFonts w:ascii="Arial" w:cs="Arial" w:eastAsia="Arial" w:hAnsi="Arial"/>
          <w:sz w:val="16"/>
          <w:szCs w:val="16"/>
          <w:color w:val="auto"/>
        </w:rPr>
      </w:pPr>
    </w:p>
    <w:p>
      <w:pPr>
        <w:ind w:left="660" w:right="100" w:hanging="206"/>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Provide Customers with a Broad, Deep Portfolio of Integrated Products</w:t>
      </w:r>
      <w:r>
        <w:rPr>
          <w:rFonts w:ascii="Arial" w:cs="Arial" w:eastAsia="Arial" w:hAnsi="Arial"/>
          <w:sz w:val="16"/>
          <w:szCs w:val="16"/>
          <w:color w:val="auto"/>
        </w:rPr>
        <w:t>. We seek to provide our customers with a broad, yet integrated, portfolio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help them deliver a customer experience that is simple, personal and valuable at every point of service. We provide customer experience solutions across the BSS, OSS and network domains and multiple lines of business, including wireline, wireless, broadband cable and satellite services. Integration of our systems is achieved through an open, service-oriented architecture, allowing our products to work well together and with third-party products. We believe that our ability to provide a broad, deep suite of products helps position us as a strategic partner for our customers and provides us with multiple avenues for strengthening and expanding our ongoing customer relationships.</w:t>
      </w:r>
    </w:p>
    <w:p>
      <w:pPr>
        <w:spacing w:after="0" w:line="39" w:lineRule="exact"/>
        <w:rPr>
          <w:rFonts w:ascii="Arial" w:cs="Arial" w:eastAsia="Arial" w:hAnsi="Arial"/>
          <w:sz w:val="16"/>
          <w:szCs w:val="16"/>
          <w:color w:val="auto"/>
        </w:rPr>
      </w:pPr>
    </w:p>
    <w:p>
      <w:pPr>
        <w:ind w:left="660" w:right="60" w:hanging="206"/>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Expand Our Managed Services Capabilities</w:t>
      </w:r>
      <w:r>
        <w:rPr>
          <w:rFonts w:ascii="Arial" w:cs="Arial" w:eastAsia="Arial" w:hAnsi="Arial"/>
          <w:sz w:val="18"/>
          <w:szCs w:val="18"/>
          <w:color w:val="auto"/>
        </w:rPr>
        <w:t>. We seek to assume responsibility for the operation, development and management of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Amdocs systems, as well as systems developed by in-house IT departments or by other vendors. Our mandate can extend across the service provider’s entire IT environment and encompass key business process operational needs. Our customers receive predictable service levels as well as improved efficiencies and long-term savings over the day-to-day costs of operating and maintaining these systems, so they can focus on their own internal strengths and grow their businesses, leaving system concerns to us. Managed services also benefit us, as they can be a source of predictable revenue and long-term relationships.</w:t>
      </w:r>
    </w:p>
    <w:p>
      <w:pPr>
        <w:spacing w:after="0" w:line="63" w:lineRule="exact"/>
        <w:rPr>
          <w:rFonts w:ascii="Arial" w:cs="Arial" w:eastAsia="Arial" w:hAnsi="Arial"/>
          <w:sz w:val="18"/>
          <w:szCs w:val="18"/>
          <w:color w:val="auto"/>
        </w:rPr>
      </w:pPr>
    </w:p>
    <w:p>
      <w:pPr>
        <w:ind w:left="660" w:right="100" w:hanging="206"/>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Develop and Maintain Long-Term Customer Relationships</w:t>
      </w:r>
      <w:r>
        <w:rPr>
          <w:rFonts w:ascii="Arial" w:cs="Arial" w:eastAsia="Arial" w:hAnsi="Arial"/>
          <w:sz w:val="16"/>
          <w:szCs w:val="16"/>
          <w:color w:val="auto"/>
        </w:rPr>
        <w:t>. We seek to develop and maintain long-term, mutually beneficial relationships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have organized our internal operations to better anticipate and respond to our customers’ needs. We believe these relationships can lead to additional product sales, as well as 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product offerings consist of an extensive software portfolio that we have developed to provide comprehensive customer experience solutions functionality for service providers. Our software solutions support the full span of the customer relationship: revenue and customer management, operations support, network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control, optimization and functions virtualization, digital lifestyle services, big data analytics and mobile financial services. We also provide solutions for high growth and emerging markets, as well as advertising and media solutions for media publishers, ad agencies, advertising service providers and directory publishers.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key product suites are:</w:t>
      </w:r>
    </w:p>
    <w:p>
      <w:pPr>
        <w:spacing w:after="0" w:line="90" w:lineRule="exact"/>
        <w:rPr>
          <w:sz w:val="20"/>
          <w:szCs w:val="20"/>
          <w:color w:val="auto"/>
        </w:rPr>
      </w:pPr>
    </w:p>
    <w:p>
      <w:pPr>
        <w:ind w:left="660" w:right="80" w:hanging="206"/>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Revenue and Customer Management: </w:t>
      </w:r>
      <w:r>
        <w:rPr>
          <w:rFonts w:ascii="Arial" w:cs="Arial" w:eastAsia="Arial" w:hAnsi="Arial"/>
          <w:sz w:val="18"/>
          <w:szCs w:val="18"/>
          <w:color w:val="auto"/>
        </w:rPr>
        <w:t>This portfolio of customer experience and monetization solutions enables service providers to manage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and business-to-business experience and provide simple and personalized interactions across all interaction channels, including contact center, retail stores, Web, mobile and social media, and all devices, including smartphones, tablets and personal computers. Our next-generation customer experience solutions, including the Amdocs Digital Care and Commerce solution, enable service providers to offer subscribers the ability to research, shop and configure services through a digital or retail channel.</w:t>
      </w:r>
    </w:p>
    <w:p>
      <w:pPr>
        <w:spacing w:after="0" w:line="61"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Operational Support Systems (OSS): </w:t>
      </w:r>
      <w:r>
        <w:rPr>
          <w:rFonts w:ascii="Arial" w:cs="Arial" w:eastAsia="Arial" w:hAnsi="Arial"/>
          <w:sz w:val="18"/>
          <w:szCs w:val="18"/>
          <w:color w:val="auto"/>
        </w:rPr>
        <w:t>These products comprise our core operational support systems for fixed line, broadband, wireless and cable TV</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The offerings facilitate network operational processes, including network planning and rollout across multiple technologies, service fulfillment and assurance, order orchestration and activation of new services.</w:t>
      </w:r>
    </w:p>
    <w:p>
      <w:pPr>
        <w:spacing w:after="0" w:line="59" w:lineRule="exact"/>
        <w:rPr>
          <w:rFonts w:ascii="Arial" w:cs="Arial" w:eastAsia="Arial" w:hAnsi="Arial"/>
          <w:sz w:val="18"/>
          <w:szCs w:val="18"/>
          <w:color w:val="auto"/>
        </w:rPr>
      </w:pPr>
    </w:p>
    <w:p>
      <w:pPr>
        <w:ind w:left="660" w:right="40" w:hanging="206"/>
        <w:spacing w:after="0" w:line="30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Network Control: </w:t>
      </w:r>
      <w:r>
        <w:rPr>
          <w:rFonts w:ascii="Arial" w:cs="Arial" w:eastAsia="Arial" w:hAnsi="Arial"/>
          <w:sz w:val="16"/>
          <w:szCs w:val="16"/>
          <w:color w:val="auto"/>
        </w:rPr>
        <w:t>This suite of pre-integrated products manages the subscriber or device experience in real time, including controlling access to 3G, 4G,</w:t>
      </w:r>
      <w:r>
        <w:rPr>
          <w:rFonts w:ascii="Arial" w:cs="Arial" w:eastAsia="Arial" w:hAnsi="Arial"/>
          <w:sz w:val="16"/>
          <w:szCs w:val="16"/>
          <w:i w:val="1"/>
          <w:iCs w:val="1"/>
          <w:color w:val="auto"/>
        </w:rPr>
        <w:t xml:space="preserve"> </w:t>
      </w:r>
      <w:r>
        <w:rPr>
          <w:rFonts w:ascii="Arial" w:cs="Arial" w:eastAsia="Arial" w:hAnsi="Arial"/>
          <w:sz w:val="16"/>
          <w:szCs w:val="16"/>
          <w:color w:val="auto"/>
        </w:rPr>
        <w:t>fixed and convergent networks and managing the consumption of network resources, such as bandwidth. These offerings enable service providers to create shared or tiered plans, provide access calibrated to the time of day, and monetize the growth in Wi-Fi.</w:t>
      </w:r>
    </w:p>
    <w:p>
      <w:pPr>
        <w:spacing w:after="0" w:line="25"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Network Optimization: </w:t>
      </w:r>
      <w:r>
        <w:rPr>
          <w:rFonts w:ascii="Arial" w:cs="Arial" w:eastAsia="Arial" w:hAnsi="Arial"/>
          <w:sz w:val="16"/>
          <w:szCs w:val="16"/>
          <w:color w:val="auto"/>
        </w:rPr>
        <w:t>This integrated suite of software and services is designed to help service providers plan, build, launch, manage and optimize their</w:t>
      </w:r>
      <w:r>
        <w:rPr>
          <w:rFonts w:ascii="Arial" w:cs="Arial" w:eastAsia="Arial" w:hAnsi="Arial"/>
          <w:sz w:val="16"/>
          <w:szCs w:val="16"/>
          <w:i w:val="1"/>
          <w:iCs w:val="1"/>
          <w:color w:val="auto"/>
        </w:rPr>
        <w:t xml:space="preserve"> </w:t>
      </w:r>
      <w:r>
        <w:rPr>
          <w:rFonts w:ascii="Arial" w:cs="Arial" w:eastAsia="Arial" w:hAnsi="Arial"/>
          <w:sz w:val="16"/>
          <w:szCs w:val="16"/>
          <w:color w:val="auto"/>
        </w:rPr>
        <w:t>radio access networks. Vendor and technology agnostic, this offering affords service providers the analytics and managed services capabilities needed to maximize network investments, roll out networks quickly and optimize network performance and capacity.</w:t>
      </w:r>
    </w:p>
    <w:p>
      <w:pPr>
        <w:spacing w:after="0" w:line="25" w:lineRule="exact"/>
        <w:rPr>
          <w:rFonts w:ascii="Arial" w:cs="Arial" w:eastAsia="Arial" w:hAnsi="Arial"/>
          <w:sz w:val="16"/>
          <w:szCs w:val="16"/>
          <w:color w:val="auto"/>
        </w:rPr>
      </w:pPr>
    </w:p>
    <w:p>
      <w:pPr>
        <w:ind w:left="660" w:right="20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Network Functions Virtualization (NFV): </w:t>
      </w:r>
      <w:r>
        <w:rPr>
          <w:rFonts w:ascii="Arial" w:cs="Arial" w:eastAsia="Arial" w:hAnsi="Arial"/>
          <w:sz w:val="18"/>
          <w:szCs w:val="18"/>
          <w:color w:val="auto"/>
        </w:rPr>
        <w:t>These offerings comprise standards-based software solutions that enable service providers to virtualize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services and benefit from improved service agility. Our vendor-agnostic Network Cloud Service Orchestrator solution orchestrates VNFs and can support any third-party VNF, hypervisor or virtual infrastructure.</w:t>
      </w:r>
    </w:p>
    <w:p>
      <w:pPr>
        <w:spacing w:after="0" w:line="59" w:lineRule="exact"/>
        <w:rPr>
          <w:rFonts w:ascii="Arial" w:cs="Arial" w:eastAsia="Arial" w:hAnsi="Arial"/>
          <w:sz w:val="18"/>
          <w:szCs w:val="18"/>
          <w:color w:val="auto"/>
        </w:rPr>
      </w:pPr>
    </w:p>
    <w:p>
      <w:pPr>
        <w:ind w:left="660" w:right="240" w:hanging="206"/>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Digital Lifestyle Services: </w:t>
      </w:r>
      <w:r>
        <w:rPr>
          <w:rFonts w:ascii="Arial" w:cs="Arial" w:eastAsia="Arial" w:hAnsi="Arial"/>
          <w:sz w:val="18"/>
          <w:szCs w:val="18"/>
          <w:color w:val="auto"/>
        </w:rPr>
        <w:t>This suite of solutions enables service providers to offer intuitive, secure and personalized digital services. Amdocs M2M,</w:t>
      </w:r>
      <w:r>
        <w:rPr>
          <w:rFonts w:ascii="Arial" w:cs="Arial" w:eastAsia="Arial" w:hAnsi="Arial"/>
          <w:sz w:val="18"/>
          <w:szCs w:val="18"/>
          <w:i w:val="1"/>
          <w:iCs w:val="1"/>
          <w:color w:val="auto"/>
        </w:rPr>
        <w:t xml:space="preserve"> </w:t>
      </w:r>
      <w:r>
        <w:rPr>
          <w:rFonts w:ascii="Arial" w:cs="Arial" w:eastAsia="Arial" w:hAnsi="Arial"/>
          <w:sz w:val="18"/>
          <w:szCs w:val="18"/>
          <w:color w:val="auto"/>
        </w:rPr>
        <w:t>Connected Home and Unified Communications offer service providers a reliable and scalable platform to support connected devices, a cloud-based environment to offer integrated home services, and a solution that combines social messaging services, video, VoIP and a unified address book across multiple devices.</w:t>
      </w:r>
    </w:p>
    <w:p>
      <w:pPr>
        <w:spacing w:after="0" w:line="62"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Big Data Analytics: </w:t>
      </w:r>
      <w:r>
        <w:rPr>
          <w:rFonts w:ascii="Arial" w:cs="Arial" w:eastAsia="Arial" w:hAnsi="Arial"/>
          <w:sz w:val="18"/>
          <w:szCs w:val="18"/>
          <w:color w:val="auto"/>
        </w:rPr>
        <w:t>Our big data analytics offerings enable service providers to gain intimate knowledge of relevant data from multiple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BSS, OSS, the network and social media. These solutions provide actionable insights for improved business and customer experience results, such as analytics to improve net promoter score and enhance network and marketing performance.</w:t>
      </w:r>
    </w:p>
    <w:p>
      <w:pPr>
        <w:spacing w:after="0" w:line="59"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Mobile Financial Services: </w:t>
      </w:r>
      <w:r>
        <w:rPr>
          <w:rFonts w:ascii="Arial" w:cs="Arial" w:eastAsia="Arial" w:hAnsi="Arial"/>
          <w:sz w:val="18"/>
          <w:szCs w:val="18"/>
          <w:color w:val="auto"/>
        </w:rPr>
        <w:t>Our financial-grade offerings enable service providers and financial institutions to serve underserved customer segments by</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 variety of secure mobile financial services, such as money transfers, bill payments, mobile commerce, savings, loans, insurance, loyalty management and top-up transactions.</w:t>
      </w:r>
    </w:p>
    <w:p>
      <w:pPr>
        <w:spacing w:after="0" w:line="59" w:lineRule="exact"/>
        <w:rPr>
          <w:rFonts w:ascii="Arial" w:cs="Arial" w:eastAsia="Arial" w:hAnsi="Arial"/>
          <w:sz w:val="18"/>
          <w:szCs w:val="18"/>
          <w:color w:val="auto"/>
        </w:rPr>
      </w:pPr>
    </w:p>
    <w:p>
      <w:pPr>
        <w:ind w:left="660" w:right="140" w:hanging="206"/>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Compact CES: </w:t>
      </w:r>
      <w:r>
        <w:rPr>
          <w:rFonts w:ascii="Arial" w:cs="Arial" w:eastAsia="Arial" w:hAnsi="Arial"/>
          <w:sz w:val="18"/>
          <w:szCs w:val="18"/>
          <w:color w:val="auto"/>
        </w:rPr>
        <w:t>Amdocs Compact CES provides real-time converged billing and service delivery specifically for small- to medium-sized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mobile virtual network operators (MVNOs) and mobile virtual network enablers (MVNEs) that provide services to MVNOs. This offering can be implemented on premise or in the cloud and delivers convergence in a simple and unified manner, from system setup and integration to ongoing operations, and features built-in essential business functionality, such as invoicing and provisioning, product catalog, customer care and reporting capabilities.</w:t>
      </w:r>
    </w:p>
    <w:p>
      <w:pPr>
        <w:spacing w:after="0" w:line="61"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Advertising and Media Solutions: </w:t>
      </w:r>
      <w:r>
        <w:rPr>
          <w:rFonts w:ascii="Arial" w:cs="Arial" w:eastAsia="Arial" w:hAnsi="Arial"/>
          <w:sz w:val="18"/>
          <w:szCs w:val="18"/>
          <w:color w:val="auto"/>
        </w:rPr>
        <w:t>Our advertising and media offerings for media publishers, ad agencies and advertising service providers are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of a comprehensive set of business and operational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60"/>
        <w:spacing w:after="0" w:line="268" w:lineRule="auto"/>
        <w:rPr>
          <w:sz w:val="20"/>
          <w:szCs w:val="20"/>
          <w:color w:val="auto"/>
        </w:rPr>
      </w:pPr>
      <w:r>
        <w:rPr>
          <w:rFonts w:ascii="Arial" w:cs="Arial" w:eastAsia="Arial" w:hAnsi="Arial"/>
          <w:sz w:val="18"/>
          <w:szCs w:val="18"/>
          <w:color w:val="auto"/>
        </w:rPr>
        <w:t>products and services designed to enable the management of media selling, fulfillment, operations, advertiser and consumer experience and financial processes across digital and print media.</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offer a broad suite of services to help service providers achieve their objectives through each stage of the business lifecycle. Our services methodology incorporates a rigorous focus on the people, processes and technology of an organization, and we invite active customer participation at all stages to help prioritize and implement time-critical system solutions that address the customer’s individual needs.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extent of services provided varies from customer to customer. Our services engagements can range in size and scope from deploying single-point solutions to orchestrating large-scale transformation projects. Depending on the customer’s needs, system implementation and integration activities are often conducted jointly by teams from Amdocs and the customer. In some cases, Amdocs personnel provide support services to the customer’s own implementation and integration team, which has primary responsibility for the task. In other cases, we take a primary role in facilitating implementation and integration. Sometimes customers require turnkey solutions, in which case we provide full system implementation and integration services.</w:t>
      </w:r>
    </w:p>
    <w:p>
      <w:pPr>
        <w:spacing w:after="0" w:line="3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Once the system becomes operational, we are generally retained by the customer to provide ongoing services, such as maintenance, enhancement design and development and operational support, or to act as a prime systems integrator for post-production activities that may include interfaces with third-party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portfolio also includes:</w:t>
      </w:r>
    </w:p>
    <w:p>
      <w:pPr>
        <w:spacing w:after="0" w:line="90" w:lineRule="exact"/>
        <w:rPr>
          <w:sz w:val="20"/>
          <w:szCs w:val="20"/>
          <w:color w:val="auto"/>
        </w:rPr>
      </w:pPr>
    </w:p>
    <w:p>
      <w:pPr>
        <w:ind w:left="660" w:right="38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Strategic Business Consulting Services </w:t>
      </w:r>
      <w:r>
        <w:rPr>
          <w:rFonts w:ascii="Arial" w:cs="Arial" w:eastAsia="Arial" w:hAnsi="Arial"/>
          <w:sz w:val="18"/>
          <w:szCs w:val="18"/>
          <w:color w:val="auto"/>
        </w:rPr>
        <w:t>— We provide insight, strategy and detailed action plans to a service provider’s senior executives to resolve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challenges. Our services include customer experience and channel strategy, digital transformation, financial management and acquisition integration.</w:t>
      </w:r>
    </w:p>
    <w:p>
      <w:pPr>
        <w:spacing w:after="0" w:line="59" w:lineRule="exact"/>
        <w:rPr>
          <w:rFonts w:ascii="Arial" w:cs="Arial" w:eastAsia="Arial" w:hAnsi="Arial"/>
          <w:sz w:val="18"/>
          <w:szCs w:val="18"/>
          <w:color w:val="auto"/>
        </w:rPr>
      </w:pPr>
    </w:p>
    <w:p>
      <w:pPr>
        <w:ind w:left="660" w:right="80" w:hanging="206"/>
        <w:spacing w:after="0" w:line="29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Systems Integration and Transformation Services </w:t>
      </w:r>
      <w:r>
        <w:rPr>
          <w:rFonts w:ascii="Arial" w:cs="Arial" w:eastAsia="Arial" w:hAnsi="Arial"/>
          <w:sz w:val="16"/>
          <w:szCs w:val="16"/>
          <w:color w:val="auto"/>
        </w:rPr>
        <w:t>— We act as a prime integrator from program management and project deployment to solution</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and operations. We have developed advanced methodologies, based on our proprietary knowledge and industry best practices, to manage end-to-end large and complex projects involving Amdocs and third-party vendors. These services enable faster, more reliable and cost-efficient completion of programs, which can help enable service providers to focus on their core business.</w:t>
      </w:r>
    </w:p>
    <w:p>
      <w:pPr>
        <w:spacing w:after="0" w:line="31" w:lineRule="exact"/>
        <w:rPr>
          <w:rFonts w:ascii="Arial" w:cs="Arial" w:eastAsia="Arial" w:hAnsi="Arial"/>
          <w:sz w:val="16"/>
          <w:szCs w:val="16"/>
          <w:color w:val="auto"/>
        </w:rPr>
      </w:pPr>
    </w:p>
    <w:p>
      <w:pPr>
        <w:ind w:left="660" w:right="34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Managed Services </w:t>
      </w:r>
      <w:r>
        <w:rPr>
          <w:rFonts w:ascii="Arial" w:cs="Arial" w:eastAsia="Arial" w:hAnsi="Arial"/>
          <w:sz w:val="18"/>
          <w:szCs w:val="18"/>
          <w:color w:val="auto"/>
        </w:rPr>
        <w:t>— We provide long-term operations, applications and infrastructure services, including system modernization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our customer’s IT environment includes Amdocs products, third-party software or in-house and legacy systems, our specialized services support mobile, wireline, broadband, cable and satellite providers.</w:t>
      </w:r>
    </w:p>
    <w:p>
      <w:pPr>
        <w:spacing w:after="0" w:line="59"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Order to Activation VPO Services </w:t>
      </w:r>
      <w:r>
        <w:rPr>
          <w:rFonts w:ascii="Arial" w:cs="Arial" w:eastAsia="Arial" w:hAnsi="Arial"/>
          <w:sz w:val="18"/>
          <w:szCs w:val="18"/>
          <w:color w:val="auto"/>
        </w:rPr>
        <w:t>— We provide Order to Activation Value Process Operations (VPO) managed services across multi-play bundles to</w:t>
      </w:r>
      <w:r>
        <w:rPr>
          <w:rFonts w:ascii="Arial" w:cs="Arial" w:eastAsia="Arial" w:hAnsi="Arial"/>
          <w:sz w:val="18"/>
          <w:szCs w:val="18"/>
          <w:i w:val="1"/>
          <w:iCs w:val="1"/>
          <w:color w:val="auto"/>
        </w:rPr>
        <w:t xml:space="preserve"> </w:t>
      </w:r>
      <w:r>
        <w:rPr>
          <w:rFonts w:ascii="Arial" w:cs="Arial" w:eastAsia="Arial" w:hAnsi="Arial"/>
          <w:sz w:val="18"/>
          <w:szCs w:val="18"/>
          <w:color w:val="auto"/>
        </w:rPr>
        <w:t>help service providers fulfill orders and support various needs and processes, including service delivery operations, process optimization and order issue resolution, in a timely manner.</w:t>
      </w:r>
    </w:p>
    <w:p>
      <w:pPr>
        <w:spacing w:after="0" w:line="59" w:lineRule="exact"/>
        <w:rPr>
          <w:rFonts w:ascii="Arial" w:cs="Arial" w:eastAsia="Arial" w:hAnsi="Arial"/>
          <w:sz w:val="18"/>
          <w:szCs w:val="18"/>
          <w:color w:val="auto"/>
        </w:rPr>
      </w:pPr>
    </w:p>
    <w:p>
      <w:pPr>
        <w:ind w:left="660" w:right="20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Order Gateway Services </w:t>
      </w:r>
      <w:r>
        <w:rPr>
          <w:rFonts w:ascii="Arial" w:cs="Arial" w:eastAsia="Arial" w:hAnsi="Arial"/>
          <w:sz w:val="18"/>
          <w:szCs w:val="18"/>
          <w:color w:val="auto"/>
        </w:rPr>
        <w:t>— We offer managed services to streamline orders from direct and third-party channels. These services provide the analytics</w:t>
      </w:r>
      <w:r>
        <w:rPr>
          <w:rFonts w:ascii="Arial" w:cs="Arial" w:eastAsia="Arial" w:hAnsi="Arial"/>
          <w:sz w:val="18"/>
          <w:szCs w:val="18"/>
          <w:i w:val="1"/>
          <w:iCs w:val="1"/>
          <w:color w:val="auto"/>
        </w:rPr>
        <w:t xml:space="preserve"> </w:t>
      </w:r>
      <w:r>
        <w:rPr>
          <w:rFonts w:ascii="Arial" w:cs="Arial" w:eastAsia="Arial" w:hAnsi="Arial"/>
          <w:sz w:val="18"/>
          <w:szCs w:val="18"/>
          <w:color w:val="auto"/>
        </w:rPr>
        <w:t>layer for a consolidated view of all orders, from all channels, delivered to any back-end system, and enable the fast integration of new or acquired channels.</w:t>
      </w:r>
    </w:p>
    <w:p>
      <w:pPr>
        <w:spacing w:after="0" w:line="59" w:lineRule="exact"/>
        <w:rPr>
          <w:rFonts w:ascii="Arial" w:cs="Arial" w:eastAsia="Arial" w:hAnsi="Arial"/>
          <w:sz w:val="18"/>
          <w:szCs w:val="18"/>
          <w:color w:val="auto"/>
        </w:rPr>
      </w:pPr>
    </w:p>
    <w:p>
      <w:pPr>
        <w:ind w:left="660" w:right="300" w:hanging="206"/>
        <w:spacing w:after="0" w:line="370"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i w:val="1"/>
          <w:iCs w:val="1"/>
          <w:color w:val="auto"/>
        </w:rPr>
        <w:t xml:space="preserve">Testing Services </w:t>
      </w:r>
      <w:r>
        <w:rPr>
          <w:rFonts w:ascii="Arial" w:cs="Arial" w:eastAsia="Arial" w:hAnsi="Arial"/>
          <w:sz w:val="15"/>
          <w:szCs w:val="15"/>
          <w:color w:val="auto"/>
        </w:rPr>
        <w:t>— We offer our customers years of industry-specific testing experience, extensive domain expertise, skilled testing resources,</w:t>
      </w:r>
      <w:r>
        <w:rPr>
          <w:rFonts w:ascii="Arial" w:cs="Arial" w:eastAsia="Arial" w:hAnsi="Arial"/>
          <w:sz w:val="15"/>
          <w:szCs w:val="15"/>
          <w:i w:val="1"/>
          <w:iCs w:val="1"/>
          <w:color w:val="auto"/>
        </w:rPr>
        <w:t xml:space="preserve"> </w:t>
      </w:r>
      <w:r>
        <w:rPr>
          <w:rFonts w:ascii="Arial" w:cs="Arial" w:eastAsia="Arial" w:hAnsi="Arial"/>
          <w:sz w:val="15"/>
          <w:szCs w:val="15"/>
          <w:color w:val="auto"/>
        </w:rPr>
        <w:t>experience with multivendor environments and a global presence to help ensure seamless continuity by providing ongoing support around the clock.</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33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RAN Consultancy and Managed Services </w:t>
      </w:r>
      <w:r>
        <w:rPr>
          <w:rFonts w:ascii="Arial" w:cs="Arial" w:eastAsia="Arial" w:hAnsi="Arial"/>
          <w:sz w:val="16"/>
          <w:szCs w:val="16"/>
          <w:color w:val="auto"/>
        </w:rPr>
        <w:t>— We provide services that enable efficient and effective network management in order to maximize return on</w:t>
      </w:r>
      <w:r>
        <w:rPr>
          <w:rFonts w:ascii="Arial" w:cs="Arial" w:eastAsia="Arial" w:hAnsi="Arial"/>
          <w:sz w:val="16"/>
          <w:szCs w:val="16"/>
          <w:i w:val="1"/>
          <w:iCs w:val="1"/>
          <w:color w:val="auto"/>
        </w:rPr>
        <w:t xml:space="preserve"> </w:t>
      </w:r>
      <w:r>
        <w:rPr>
          <w:rFonts w:ascii="Arial" w:cs="Arial" w:eastAsia="Arial" w:hAnsi="Arial"/>
          <w:sz w:val="16"/>
          <w:szCs w:val="16"/>
          <w:color w:val="auto"/>
        </w:rPr>
        <w:t>RAN investment. The services support multi-vendor, multi-technology network assessment, solution design, deployment and optimization.</w:t>
      </w:r>
    </w:p>
    <w:p>
      <w:pPr>
        <w:spacing w:after="0" w:line="4" w:lineRule="exact"/>
        <w:rPr>
          <w:rFonts w:ascii="Arial" w:cs="Arial" w:eastAsia="Arial" w:hAnsi="Arial"/>
          <w:sz w:val="16"/>
          <w:szCs w:val="16"/>
          <w:color w:val="auto"/>
        </w:rPr>
      </w:pPr>
    </w:p>
    <w:p>
      <w:pPr>
        <w:ind w:left="660" w:right="20" w:hanging="206"/>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Business Intelligence and Data Warehouse Services </w:t>
      </w:r>
      <w:r>
        <w:rPr>
          <w:rFonts w:ascii="Arial" w:cs="Arial" w:eastAsia="Arial" w:hAnsi="Arial"/>
          <w:sz w:val="18"/>
          <w:szCs w:val="18"/>
          <w:color w:val="auto"/>
        </w:rPr>
        <w:t>— We offer a comprehensive group of data services, including data extraction, transformation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loading, data warehousing, business intelligence and analytics. Our approach encompasses analytical and operational systems to feed actionable insights back into the business processes. These services are designed to operate with several industry-leading business intelligence and data warehouse platforms and products.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flexibility of our technology affords our customers the freedom to choose a preferred operating environment and to maximize return on existing infrastructure investments. Our portfolio architecture allows our applications to work in multiple customer environments.</w:t>
      </w:r>
    </w:p>
    <w:p>
      <w:pPr>
        <w:spacing w:after="0" w:line="4"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To help service providers respond more quickly to changes in their markets and lower their integration costs, we employ service-oriented architecture principles in our portfolio design. For example, Amdocs Web Services Factory exposes the Amdocs portfolio application programming interfaces to external systems, allowing our applications to integrate with each other and with third-party enterprise server bus or legacy applications.</w:t>
      </w:r>
    </w:p>
    <w:p>
      <w:pPr>
        <w:spacing w:after="0" w:line="2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portfolio applications are based around consistent architectural guidelines and software infrastructure, and they also leverage, where appropriate, consistent foundation tools. Our services encompass installation, integration, testing, process management, monitoring and control, security and information management. Our platform foundation layer spans our applications and helps us evolve our products towards robust service-oriented architecture integration and business process support. With these tools, we aim to provide our customers with a sound framework upon which to implement, integrate and centralize their operating environments. This allows service providers to mitigate many risks and costs associated with deploying and operating new applications, such as those related to installation, configuration, integration, testing and monitoring.</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portfolio also includes the following key characteristics:</w:t>
      </w:r>
    </w:p>
    <w:p>
      <w:pPr>
        <w:spacing w:after="0" w:line="90" w:lineRule="exact"/>
        <w:rPr>
          <w:sz w:val="20"/>
          <w:szCs w:val="20"/>
          <w:color w:val="auto"/>
        </w:rPr>
      </w:pPr>
    </w:p>
    <w:p>
      <w:pPr>
        <w:ind w:left="660" w:right="10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Our applications are designed to take full advantage of the scalability capabilities of the underlying platform, allowing progressive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proportional with increases in business volumes. Using the same software, our applications can support operations for small, as well as very large service providers.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Our system and component architecture supports high availability and redundancy to allow connected and uninterrupted operations at full</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speed and device load.</w:t>
      </w:r>
    </w:p>
    <w:p>
      <w:pPr>
        <w:spacing w:after="0" w:line="50" w:lineRule="exact"/>
        <w:rPr>
          <w:rFonts w:ascii="Arial" w:cs="Arial" w:eastAsia="Arial" w:hAnsi="Arial"/>
          <w:sz w:val="18"/>
          <w:szCs w:val="18"/>
          <w:color w:val="auto"/>
        </w:rPr>
      </w:pPr>
    </w:p>
    <w:p>
      <w:pPr>
        <w:ind w:left="660" w:right="140" w:hanging="206"/>
        <w:spacing w:after="0" w:line="298"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Modularity</w:t>
      </w:r>
      <w:r>
        <w:rPr>
          <w:rFonts w:ascii="Arial" w:cs="Arial" w:eastAsia="Arial" w:hAnsi="Arial"/>
          <w:sz w:val="16"/>
          <w:szCs w:val="16"/>
          <w:color w:val="auto"/>
        </w:rPr>
        <w:t>. Each of our applications can be installed on an individual stand-alone basis, interfacing with the customer’s existing systems, or as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integrated Amdocs system environment. This modularity provides our customers with a highly flexible and cost-effective solution that is able to incrementally expand with the customer’s growing needs and capabilities. The modular approach preserves the service provider’s initial investment in our products and minimizes disruptions and the overall cost of system implementation.</w:t>
      </w:r>
    </w:p>
    <w:p>
      <w:pPr>
        <w:spacing w:after="0" w:line="31" w:lineRule="exact"/>
        <w:rPr>
          <w:rFonts w:ascii="Arial" w:cs="Arial" w:eastAsia="Arial" w:hAnsi="Arial"/>
          <w:sz w:val="16"/>
          <w:szCs w:val="16"/>
          <w:color w:val="auto"/>
        </w:rPr>
      </w:pPr>
    </w:p>
    <w:p>
      <w:pPr>
        <w:ind w:left="660" w:right="4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Upgradability and Backward Compatibility</w:t>
      </w:r>
      <w:r>
        <w:rPr>
          <w:rFonts w:ascii="Arial" w:cs="Arial" w:eastAsia="Arial" w:hAnsi="Arial"/>
          <w:sz w:val="18"/>
          <w:szCs w:val="18"/>
          <w:color w:val="auto"/>
        </w:rPr>
        <w:t>. Version interoperability eliminates risky upgrades and allows for a gradual upgrade approach of suite</w:t>
      </w:r>
      <w:r>
        <w:rPr>
          <w:rFonts w:ascii="Arial" w:cs="Arial" w:eastAsia="Arial" w:hAnsi="Arial"/>
          <w:sz w:val="18"/>
          <w:szCs w:val="18"/>
          <w:i w:val="1"/>
          <w:iCs w:val="1"/>
          <w:color w:val="auto"/>
        </w:rPr>
        <w:t xml:space="preserve"> </w:t>
      </w:r>
      <w:r>
        <w:rPr>
          <w:rFonts w:ascii="Arial" w:cs="Arial" w:eastAsia="Arial" w:hAnsi="Arial"/>
          <w:sz w:val="18"/>
          <w:szCs w:val="18"/>
          <w:color w:val="auto"/>
        </w:rPr>
        <w:t>elements.</w:t>
      </w:r>
    </w:p>
    <w:p>
      <w:pPr>
        <w:spacing w:after="0" w:line="5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Virtualization</w:t>
      </w:r>
      <w:r>
        <w:rPr>
          <w:rFonts w:ascii="Arial" w:cs="Arial" w:eastAsia="Arial" w:hAnsi="Arial"/>
          <w:sz w:val="18"/>
          <w:szCs w:val="18"/>
          <w:color w:val="auto"/>
        </w:rPr>
        <w:t>. Virtualization allows the use of all server resources, which helps to eliminate idle resources. This is critical in today’s IT world as it</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costs and improves operational efficiency through server consolidation, resource utilization, improved server availability, elasticity and sustainability.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sales and marketing activities are primarily directed at major communications, entertainment and media companies.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result of the strategic importance of our customer experience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Europe, Latin America and Asia Pacific.</w:t>
      </w:r>
    </w:p>
    <w:p>
      <w:pPr>
        <w:spacing w:after="0" w:line="2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systems integrators that provide complementary products and services. We also have value-added reseller agreements with certain hardware and database vendors. Our marketing activities also support projects with partner companies, such as IBM, Alcatel-Lucent and Hewlett-Packard.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target market is comprised of service providers in the communication, entertainment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We have a global orientation and customers in over 90 countries.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customers include global and national communications, broadband cable and satellite providers and network operators, as well as local marketing service providers, such as:</w:t>
      </w:r>
    </w:p>
    <w:p>
      <w:pPr>
        <w:sectPr>
          <w:pgSz w:w="11900" w:h="16838" w:orient="portrait"/>
          <w:cols w:equalWidth="0" w:num="1">
            <w:col w:w="11380"/>
          </w:cols>
          <w:pgMar w:left="240" w:top="459" w:right="27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A1 Telekom Austria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 Movil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CenturyLink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Chile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Claro Dominican Republic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Claro 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Telekom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Dex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Dish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FarEasTone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Globe Telecom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Instituto Costarricense de Electricidad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Kazakhtelecom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KPN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MetroPCS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Mtel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NetCom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 Luxembourg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Rogers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Singtel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Telecom Italia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de Espana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Chile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Telefónica Peru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Telkom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Telstra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TELUS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T-Mobile Deutschland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T-Mobile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UPC Broadband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Cellular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Verizon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VimpelCom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Hungary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Vodafone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Vodafone 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XL Axiata</w:t>
      </w:r>
    </w:p>
    <w:p>
      <w:pPr>
        <w:spacing w:after="0" w:line="84"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ind w:firstLine="456"/>
        <w:spacing w:after="0" w:line="298" w:lineRule="auto"/>
        <w:rPr>
          <w:sz w:val="20"/>
          <w:szCs w:val="20"/>
          <w:color w:val="auto"/>
        </w:rPr>
      </w:pPr>
      <w:r>
        <w:rPr>
          <w:rFonts w:ascii="Arial" w:cs="Arial" w:eastAsia="Arial" w:hAnsi="Arial"/>
          <w:sz w:val="16"/>
          <w:szCs w:val="16"/>
          <w:color w:val="auto"/>
        </w:rPr>
        <w:t>Our business is dependent on a limited number of significant customers, of which AT&amp;T has historically been our largest. AT&amp;T accounted for 34% of our revenue in fiscal 2015 and 33% in fiscal 2014. Aggregate revenue derived from the multiple business arrangements we have with the ten largest of our significant customers accounted for approximately 72% of our revenue in fiscal 2015 and 73% in fiscal 2014. Revenue attributable to DIRECTV following its July 2015 acquisition by AT&amp;T has been included in the total revenue attributable to AT&amp;T.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Borders>
              <w:bottom w:val="single" w:sz="8" w:color="CCEEFF"/>
            </w:tcBorders>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5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70.1%</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72.7%</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72.4%</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Europe</w:t>
            </w:r>
          </w:p>
        </w:tc>
        <w:tc>
          <w:tcPr>
            <w:tcW w:w="5860" w:type="dxa"/>
            <w:vAlign w:val="bottom"/>
            <w:gridSpan w:val="3"/>
          </w:tcPr>
          <w:p>
            <w:pPr>
              <w:ind w:left="5060"/>
              <w:spacing w:after="0"/>
              <w:rPr>
                <w:sz w:val="20"/>
                <w:szCs w:val="20"/>
                <w:color w:val="auto"/>
              </w:rPr>
            </w:pPr>
            <w:r>
              <w:rPr>
                <w:rFonts w:ascii="Arial" w:cs="Arial" w:eastAsia="Arial" w:hAnsi="Arial"/>
                <w:sz w:val="18"/>
                <w:szCs w:val="18"/>
                <w:color w:val="auto"/>
              </w:rPr>
              <w:t>11.6</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12.6</w:t>
            </w:r>
          </w:p>
        </w:tc>
        <w:tc>
          <w:tcPr>
            <w:tcW w:w="5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11.9</w:t>
            </w:r>
          </w:p>
        </w:tc>
        <w:tc>
          <w:tcPr>
            <w:tcW w:w="2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5860" w:type="dxa"/>
            <w:vAlign w:val="bottom"/>
            <w:gridSpan w:val="3"/>
            <w:shd w:val="clear" w:color="auto" w:fill="CCEEFF"/>
          </w:tcPr>
          <w:p>
            <w:pPr>
              <w:ind w:left="5060"/>
              <w:spacing w:after="0"/>
              <w:rPr>
                <w:sz w:val="20"/>
                <w:szCs w:val="20"/>
                <w:color w:val="auto"/>
              </w:rPr>
            </w:pPr>
            <w:r>
              <w:rPr>
                <w:rFonts w:ascii="Arial" w:cs="Arial" w:eastAsia="Arial" w:hAnsi="Arial"/>
                <w:sz w:val="18"/>
                <w:szCs w:val="18"/>
                <w:color w:val="auto"/>
              </w:rPr>
              <w:t>18.3</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14.7</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15.7</w:t>
            </w:r>
          </w:p>
        </w:tc>
        <w:tc>
          <w:tcPr>
            <w:tcW w:w="200" w:type="dxa"/>
            <w:vAlign w:val="bottom"/>
            <w:shd w:val="clear" w:color="auto" w:fill="CCEEFF"/>
          </w:tcPr>
          <w:p>
            <w:pPr>
              <w:spacing w:after="0"/>
              <w:rPr>
                <w:sz w:val="18"/>
                <w:szCs w:val="18"/>
                <w:color w:val="auto"/>
              </w:rPr>
            </w:pPr>
          </w:p>
        </w:tc>
      </w:tr>
      <w:tr>
        <w:trPr>
          <w:trHeight w:val="363"/>
        </w:trPr>
        <w:tc>
          <w:tcPr>
            <w:tcW w:w="3200" w:type="dxa"/>
            <w:vAlign w:val="bottom"/>
          </w:tcPr>
          <w:p>
            <w:pPr>
              <w:spacing w:after="0"/>
              <w:rPr>
                <w:sz w:val="24"/>
                <w:szCs w:val="24"/>
                <w:color w:val="auto"/>
              </w:rPr>
            </w:pPr>
          </w:p>
        </w:tc>
        <w:tc>
          <w:tcPr>
            <w:tcW w:w="5000" w:type="dxa"/>
            <w:vAlign w:val="bottom"/>
          </w:tcPr>
          <w:p>
            <w:pPr>
              <w:jc w:val="right"/>
              <w:ind w:right="2772"/>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market for customer experience solutions in the communications, entertainment and media industry continues to become more competitive. Amdocs’ competitive landscape is comprised of internal IT departments of large communication companies, as well as independent competitors or new entrants that may compete broadly with us or in limited segments of our market, and can be generally categorized as follows:</w:t>
      </w:r>
    </w:p>
    <w:p>
      <w:pPr>
        <w:spacing w:after="0" w:line="26"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providers of BSS/OSS systems, including CSG International, Oracle, Redknee, Salesforce and SAP;</w:t>
      </w:r>
    </w:p>
    <w:p>
      <w:pPr>
        <w:spacing w:after="0" w:line="90" w:lineRule="exact"/>
        <w:rPr>
          <w:rFonts w:ascii="Arial" w:cs="Arial" w:eastAsia="Arial" w:hAnsi="Arial"/>
          <w:sz w:val="18"/>
          <w:szCs w:val="18"/>
          <w:color w:val="auto"/>
        </w:rPr>
      </w:pPr>
    </w:p>
    <w:p>
      <w:pPr>
        <w:ind w:left="660" w:right="520" w:hanging="206"/>
        <w:spacing w:after="0" w:line="33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Hewlett-Packard, IBM Global Services, Infosys, Tata Consultancy Services, Tech Mahindra Ltd and Wipro (some of whom we also cooperate with in certain opportunities and projects); and</w:t>
      </w:r>
    </w:p>
    <w:p>
      <w:pPr>
        <w:spacing w:after="0" w:line="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network equipment providers such as Alcatel-Lucent, Cisco, Ericsson, Huawei, Nokia Siemens, NEC and its subsidiary NetCracker, and ZTE (some of whom we also cooperate with in certain opportunities and projects and some of whom have also moved into the BSS/OSS space).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90" w:lineRule="exact"/>
        <w:rPr>
          <w:sz w:val="20"/>
          <w:szCs w:val="20"/>
          <w:color w:val="auto"/>
        </w:rPr>
      </w:pPr>
    </w:p>
    <w:p>
      <w:pPr>
        <w:ind w:left="660" w:right="20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applying our more than 30-year heritage to the development and delivery of products and professional services that enable our customers to overcome their challenges and achieve service differentiation by providing a personalized and intelligent customer experience, shaping the quality of network experience and simplifying the complexity of the operating environment,</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continuing to design and develop solutions targeted specifically to the communications, entertainment and media industry,</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high-quality, reliable, scalable, integrated, yet modular applications,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market penetration in the communications industry. Current and potential competitors have established, and may establish in the future, cooperative relationships among themselves or with third parties to increase their ability to address the needs of our existing or prospective customers. Accordingly, new competitors or alliances among competitors may emerge and rapidly acquire significant market share. There can be no assurance that we will be able to compete successfully with existing or new competitors. Our failure to adapt to changing market conditions and compete successfully with established or new competitors would have a material adverse effect on the results of our operations and financial condition.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 and outstanding leaders.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firstLine="228"/>
        <w:spacing w:after="0" w:line="391" w:lineRule="auto"/>
        <w:rPr>
          <w:sz w:val="20"/>
          <w:szCs w:val="20"/>
          <w:color w:val="auto"/>
        </w:rPr>
      </w:pPr>
      <w:r>
        <w:rPr>
          <w:rFonts w:ascii="Arial" w:cs="Arial" w:eastAsia="Arial" w:hAnsi="Arial"/>
          <w:sz w:val="18"/>
          <w:szCs w:val="18"/>
          <w:color w:val="auto"/>
        </w:rPr>
        <w:t xml:space="preserve">See “Directors, Senior Management and Employees — Workforce Personnel” for further details regarding our employees and our relationships with them. </w:t>
      </w:r>
      <w:r>
        <w:rPr>
          <w:rFonts w:ascii="Arial" w:cs="Arial" w:eastAsia="Arial" w:hAnsi="Arial"/>
          <w:sz w:val="18"/>
          <w:szCs w:val="18"/>
          <w:b w:val="1"/>
          <w:bCs w:val="1"/>
          <w:i w:val="1"/>
          <w:iCs w:val="1"/>
          <w:color w:val="auto"/>
        </w:rPr>
        <w:t>Research and Development, Patents and Licenses</w:t>
      </w:r>
    </w:p>
    <w:p>
      <w:pPr>
        <w:spacing w:after="0" w:line="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 We use Agile, a software development methodology based on iterative and incremental development where requirements and solutions evolve through collaboration between self-organizing, cross-functional teams.</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Substantially all of our research and development expenditures are directed at our customer experience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small cells and Wi-Fi; big data analytics related to consumer and business satisfaction, marketing effectiveness and network operations and experience; and mobile financial services.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Facilities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lease land and buildings for our executive offices, sales, marketing, administrative, development and support centers. We lease an aggregate of approximately 3.0 million square feet worldwide, including significant leases in the United States, Israel, Canada, Cyprus, India and the United Kingdom. Our aggregate annual lease costs with respect to our properties as of September 30, 2015, including maintenance and other related costs, were approximately $62.0 million. The following table summarizes information with respect to the principal facilities leased by us and our subsidiaries as of September 30, 2015:</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148"/>
        </w:trPr>
        <w:tc>
          <w:tcPr>
            <w:tcW w:w="9540" w:type="dxa"/>
            <w:vAlign w:val="bottom"/>
            <w:gridSpan w:val="3"/>
            <w:vMerge w:val="continue"/>
          </w:tcPr>
          <w:p>
            <w:pPr>
              <w:spacing w:after="0"/>
              <w:rPr>
                <w:sz w:val="12"/>
                <w:szCs w:val="12"/>
                <w:color w:val="auto"/>
              </w:rPr>
            </w:pPr>
          </w:p>
        </w:tc>
        <w:tc>
          <w:tcPr>
            <w:tcW w:w="9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(Sq.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St. Louis, MO</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San Jose, CA(*)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Champaign, IL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Eldorado Hills, CA(*)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Ra’anana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Sderot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Haifa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Toronto</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Montreal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Ottawa</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118,568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Cyprus (Limassol)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India: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Pune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Delhi</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Mumbai</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845,152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Other locations (*)(35 countries)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space sublet to third parties.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Our leases expire on various dates through 2025, not including various options to terminate or extend lease terms.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develop our customer experience solutions over a system of UNIX, Linux and Windows servers owned or leased by us. We use a variety of software products in our development centers, including products by Microsoft, Oracle, Syncsort, Red Hat, CA, IBM and Hewlett-Packard. Our data storage is based mainly on equipment from EMC, NetApp, IBM, Hitachi and Hewlett-Packard. Our development servers are connected to more than 20,000 personal computers owned or leased by us.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Automatic tape libraries and virtual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using telecommunication equipment manufactured by, among others, Cisco and Avaya.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Amdocs is a leading provider of software and services for communications, entertainment and media industry service providers in both developed countries and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 and valuable at every point of service.</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develop, implement and manage software and services associated with BSS, OSS and network operations to enable service providers to introduce new products and services quickly, understand their customers more deeply, process orders more efficiently, monetize data and support new business models while controlling costs.</w:t>
      </w:r>
    </w:p>
    <w:p>
      <w:pPr>
        <w:spacing w:after="0" w:line="5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 global communications industry impacted by unprecedented growth in data demand, an increasing number of connected devices, improvement in IoT/M2M technologies, the rising influence of device makers and over-the-top players that bypass traditional service providers, consumers expect immediate and constant connectivity to personalized services, information and applications. To capture new revenue streams, service providers are undergoing digital transformation, expanding within existing and non-traditional business models and deploying new network technologies.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 and their markets grow and change.</w:t>
      </w:r>
    </w:p>
    <w:p>
      <w:pPr>
        <w:spacing w:after="0" w:line="3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part, we have sought, through acquisitions, to expand our service offerings and customer base and to enhance our ability to provide managed services to our customers. In recent years, we have completed numerous acquisitions (including our fiscal 2015 acquisition of the substantial majority of Comverse’s BSS assets), which, among other things, have expanded our business into digital commerce solutions and the network control and optimization market. As part of our strategy, we may continue to pursue acquisitions and other initiatives in order to offer new products or services, enter into new vertical markets or otherwise enhance our market position or strategic strengths.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offerings of software and related services consist of:</w:t>
      </w:r>
    </w:p>
    <w:p>
      <w:pPr>
        <w:spacing w:after="0" w:line="90" w:lineRule="exact"/>
        <w:rPr>
          <w:sz w:val="20"/>
          <w:szCs w:val="20"/>
          <w:color w:val="auto"/>
        </w:rPr>
      </w:pPr>
    </w:p>
    <w:p>
      <w:pPr>
        <w:ind w:left="660" w:right="80" w:hanging="206"/>
        <w:spacing w:after="0" w:line="357"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complete, modular yet integrated portfolio of customer experience solutions, including revenue and customer management, OSS, network operations, digital lifestyle services, big data analytics, M2M solutions and mobile financial services, all employing a unified foundation of products and tools.</w:t>
      </w:r>
    </w:p>
    <w:p>
      <w:pPr>
        <w:ind w:left="660" w:right="20" w:hanging="206"/>
        <w:spacing w:after="0" w:line="298"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comprehensive line of services designed to address every stage of a service provider’s lifecycle. Our services include strategic business consulting, systems integration and transformation, managed services and testing. Our managed services provide multi-year, flexible and tailored business processes and applications services, including application development and maintenance, IT and infrastructure services, testing and professional services that are designed to assist customers in the selection, implementation, operation, management and maintenance of their IT systems.</w:t>
      </w:r>
    </w:p>
    <w:p>
      <w:pPr>
        <w:spacing w:after="0" w:line="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designed our customer experience solutions to meet the high-volume, complex needs of Tier-1 and Tier-2 service providers and to address the issues of service providers in high-growth emerging markets.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support our customers’ various lines of business, including wireline, wireless, broadband, cable and satellite, and a wide range of communication services, including voice, video, data, content, electronic and mobile commerce applications. In addition, we support service providers that offer bundled or convergent service packages.</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offer advertising and media products and services for media publishers, ad agencies and advertising services providers to facilitate cost-effective operations, from selling ads to the management of the fulfillment, operations, advertiser and consumer experience and financial processes across digital and print media.</w:t>
      </w:r>
    </w:p>
    <w:p>
      <w:pPr>
        <w:spacing w:after="0" w:line="5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entertainment and media industry. In fiscal 2015, customers in North America accounted for 70.1% of our revenue, while customers in Europe and the rest of the world accounted for 11.6% and 18.3%, respectively. We maintain development facilities in Brazil, Canada, Cyprus, India, Ireland, Israel, Mexico, the Philippines, the United Kingdom and the United States. Historically, AT&amp;T has been our largest customer, accounting for 34% of our revenue in fiscal 2015 and 33% in fiscal 2014. Aggregate revenue derived from the multiple business arrangements we have with our ten largest customers accounted for approximately 72% of our revenue in fiscal 2015 and 73% in fiscal 2014. Revenue attributable to DIRECTV following its July 2015 acquisition by AT&amp;T has been included in the total revenue attributable to AT&amp;T.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demand for our customer experience solutions is primarily driven by the following key factors:</w:t>
      </w:r>
    </w:p>
    <w:p>
      <w:pPr>
        <w:spacing w:after="0" w:line="90"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Transformation within the communication industry,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rapid growth in emerging markets,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90" w:lineRule="exact"/>
        <w:rPr>
          <w:rFonts w:ascii="Arial" w:cs="Arial" w:eastAsia="Arial" w:hAnsi="Arial"/>
          <w:sz w:val="18"/>
          <w:szCs w:val="18"/>
          <w:color w:val="auto"/>
        </w:rPr>
      </w:pPr>
    </w:p>
    <w:p>
      <w:pPr>
        <w:ind w:left="900" w:right="500" w:hanging="217"/>
        <w:spacing w:after="0" w:line="33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emergence and development of new communications products and services, such as Web services, video on demand (VOD), data and content services, including IP-based services, such as Internet Protocol Television (IPTV), M2M, Wi-Fi and Voice over IP,</w:t>
      </w:r>
    </w:p>
    <w:p>
      <w:pPr>
        <w:spacing w:after="0" w:line="4" w:lineRule="exact"/>
        <w:rPr>
          <w:rFonts w:ascii="Arial" w:cs="Arial" w:eastAsia="Arial" w:hAnsi="Arial"/>
          <w:sz w:val="16"/>
          <w:szCs w:val="16"/>
          <w:color w:val="auto"/>
        </w:rPr>
      </w:pPr>
    </w:p>
    <w:p>
      <w:pPr>
        <w:ind w:left="900" w:right="140" w:hanging="217"/>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evolution to and expansion of more sophisticated and connected communication devices, such as smart devices, electronic book readers, energy meters and systems for global positioning, home security and home health monitoring, that enable communication across and between devices and widespread access to information,</w:t>
      </w:r>
    </w:p>
    <w:p>
      <w:pPr>
        <w:spacing w:after="0" w:line="59" w:lineRule="exact"/>
        <w:rPr>
          <w:rFonts w:ascii="Arial" w:cs="Arial" w:eastAsia="Arial" w:hAnsi="Arial"/>
          <w:sz w:val="18"/>
          <w:szCs w:val="18"/>
          <w:color w:val="auto"/>
        </w:rPr>
      </w:pPr>
    </w:p>
    <w:p>
      <w:pPr>
        <w:ind w:left="900" w:right="360" w:hanging="217"/>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adoption of cloud technologies to enable new revenue models and business opportunities, such as traditional communication services and cloud services bundled together and targeted to enterprise and small- to medium-sized businesses,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evolution to next-generation networks that enable converged services offerings, such as fixed-mobile convergence, and</w:t>
      </w:r>
    </w:p>
    <w:p>
      <w:pPr>
        <w:spacing w:after="0" w:line="90" w:lineRule="exact"/>
        <w:rPr>
          <w:rFonts w:ascii="Arial" w:cs="Arial" w:eastAsia="Arial" w:hAnsi="Arial"/>
          <w:sz w:val="18"/>
          <w:szCs w:val="18"/>
          <w:color w:val="auto"/>
        </w:rPr>
      </w:pPr>
    </w:p>
    <w:p>
      <w:pPr>
        <w:ind w:left="900" w:right="280" w:hanging="217"/>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technological changes, such as 4G wireless technology, next-generation content systems, fiber to the x (FTTx), Wi-Fi, IP Multimedia Subsystem (IMS) and LTE-based access technologies such as VoLTE.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90" w:lineRule="exact"/>
        <w:rPr>
          <w:rFonts w:ascii="Arial" w:cs="Arial" w:eastAsia="Arial" w:hAnsi="Arial"/>
          <w:sz w:val="18"/>
          <w:szCs w:val="18"/>
          <w:color w:val="auto"/>
        </w:rPr>
      </w:pPr>
    </w:p>
    <w:p>
      <w:pPr>
        <w:ind w:left="900" w:right="36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need for service providers to have a unified view of the customer and deliver a personalized experience across multiple services, devices and channels,</w:t>
      </w:r>
    </w:p>
    <w:p>
      <w:pPr>
        <w:spacing w:after="0" w:line="50" w:lineRule="exact"/>
        <w:rPr>
          <w:rFonts w:ascii="Arial" w:cs="Arial" w:eastAsia="Arial" w:hAnsi="Arial"/>
          <w:sz w:val="18"/>
          <w:szCs w:val="18"/>
          <w:color w:val="auto"/>
        </w:rPr>
      </w:pPr>
    </w:p>
    <w:p>
      <w:pPr>
        <w:ind w:left="900" w:right="34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increasing customer expectations for new, innovative services and applications that are personally relevant and that can be accessed anytime, anywhere and from any device, and</w:t>
      </w:r>
    </w:p>
    <w:p>
      <w:pPr>
        <w:spacing w:after="0" w:line="50" w:lineRule="exact"/>
        <w:rPr>
          <w:rFonts w:ascii="Arial" w:cs="Arial" w:eastAsia="Arial" w:hAnsi="Arial"/>
          <w:sz w:val="18"/>
          <w:szCs w:val="18"/>
          <w:color w:val="auto"/>
        </w:rPr>
      </w:pPr>
    </w:p>
    <w:p>
      <w:pPr>
        <w:ind w:left="900" w:right="10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ever-increasing expectations for service and support, including access to self-service options that are convenient, proactive and consistent across all channels.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90" w:lineRule="exact"/>
        <w:rPr>
          <w:rFonts w:ascii="Arial" w:cs="Arial" w:eastAsia="Arial" w:hAnsi="Arial"/>
          <w:sz w:val="18"/>
          <w:szCs w:val="18"/>
          <w:color w:val="auto"/>
        </w:rPr>
      </w:pPr>
    </w:p>
    <w:p>
      <w:pPr>
        <w:ind w:left="900" w:right="16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automating and integrating business processes that span service providers’ BSS, OSS and network operations,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implementing and integrating new next-generation networks (and retiring legacy networks) to deploy new technologies,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transforming fragmented legacy OSS to introduce new services in a timely and cost-effective manner.</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fiscal 2015, our total revenue was $3.64 billion, of which $3.54 billion, or 97.2%, was attributable to the sale of customer experience solutions. Revenue from managed services arrangements (for customer experience solutions and advertising and media directory systems) is a significant part of our business generating substantial, long-term recurring revenue streams and cash flow. Revenue from managed services arrangements accounted for approximately $1.84 billion and $1.73 billion of revenue in fiscal 2015 and 2014,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 We use Agile, a software development methodology based on iterative and incremental development where requirements and solutions evolve through collaboration between self-organizing, cross-functional teams.</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Substantially all of our research and development expenditures are directed at our customer experience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small cells and Wi-Fi; big data analytics related to consumer and business satisfaction, marketing effectiveness and network operations and experience; and mobile financial services.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products are largely comprised of software and systems that we have developed or acquired and that we regard as proprietary. Our software and software systems are the results of long and complex development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processes, and although our technology is not significantly dependent on patents or licenses from third parties, certain aspects of our products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for the fiscal years ended September 30, 2015, 2014 and 2013, certain items in our consolidated statements of income reflected as a percentage of revenue: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7"/>
              </w:rPr>
              <w:t>Year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3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64.8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62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1660" w:type="dxa"/>
            <w:vAlign w:val="bottom"/>
            <w:gridSpan w:val="3"/>
          </w:tcPr>
          <w:p>
            <w:pPr>
              <w:jc w:val="right"/>
              <w:ind w:right="700"/>
              <w:spacing w:after="0"/>
              <w:rPr>
                <w:sz w:val="20"/>
                <w:szCs w:val="20"/>
                <w:color w:val="auto"/>
              </w:rPr>
            </w:pPr>
            <w:r>
              <w:rPr>
                <w:rFonts w:ascii="Arial" w:cs="Arial" w:eastAsia="Arial" w:hAnsi="Arial"/>
                <w:sz w:val="18"/>
                <w:szCs w:val="18"/>
                <w:color w:val="auto"/>
              </w:rPr>
              <w:t>7.2</w:t>
            </w: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362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1660" w:type="dxa"/>
            <w:vAlign w:val="bottom"/>
            <w:gridSpan w:val="3"/>
          </w:tcPr>
          <w:p>
            <w:pPr>
              <w:jc w:val="right"/>
              <w:ind w:right="700"/>
              <w:spacing w:after="0"/>
              <w:rPr>
                <w:sz w:val="20"/>
                <w:szCs w:val="20"/>
                <w:color w:val="auto"/>
              </w:rPr>
            </w:pPr>
            <w:r>
              <w:rPr>
                <w:rFonts w:ascii="Arial" w:cs="Arial" w:eastAsia="Arial" w:hAnsi="Arial"/>
                <w:sz w:val="18"/>
                <w:szCs w:val="18"/>
                <w:color w:val="auto"/>
              </w:rPr>
              <w:t>1.6</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86.1</w:t>
            </w:r>
          </w:p>
        </w:tc>
        <w:tc>
          <w:tcPr>
            <w:tcW w:w="44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3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0.2</w:t>
            </w: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taxes</w:t>
            </w:r>
          </w:p>
        </w:tc>
        <w:tc>
          <w:tcPr>
            <w:tcW w:w="3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1.9</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80" w:type="dxa"/>
            <w:vAlign w:val="bottom"/>
            <w:vMerge w:val="restart"/>
          </w:tcPr>
          <w:p>
            <w:pPr>
              <w:jc w:val="right"/>
              <w:ind w:right="2232"/>
              <w:spacing w:after="0"/>
              <w:rPr>
                <w:sz w:val="20"/>
                <w:szCs w:val="20"/>
                <w:color w:val="auto"/>
              </w:rPr>
            </w:pPr>
            <w:r>
              <w:rPr>
                <w:rFonts w:ascii="Arial" w:cs="Arial" w:eastAsia="Arial" w:hAnsi="Arial"/>
                <w:sz w:val="18"/>
                <w:szCs w:val="18"/>
                <w:color w:val="auto"/>
              </w:rPr>
              <w:t>31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2015 and 2014</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2015, compared to the fiscal year ended September 30, 2014. Following the table is a discussion and analysis of our business and results of operations for these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3"/>
              </w:rPr>
              <w:t>Year Ended September 30,</w:t>
            </w:r>
          </w:p>
        </w:tc>
        <w:tc>
          <w:tcPr>
            <w:tcW w:w="40" w:type="dxa"/>
            <w:vAlign w:val="bottom"/>
          </w:tcPr>
          <w:p>
            <w:pPr>
              <w:spacing w:after="0"/>
              <w:rPr>
                <w:sz w:val="14"/>
                <w:szCs w:val="14"/>
                <w:color w:val="auto"/>
              </w:rPr>
            </w:pPr>
          </w:p>
        </w:tc>
        <w:tc>
          <w:tcPr>
            <w:tcW w:w="16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3,643,538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3,563,637</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$79,901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2,349,488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2,306,892</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42,596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254,944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257,896</w:t>
            </w:r>
          </w:p>
        </w:tc>
        <w:tc>
          <w:tcPr>
            <w:tcW w:w="4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(2,952)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445,134</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58,067</w:t>
            </w:r>
          </w:p>
        </w:tc>
        <w:tc>
          <w:tcPr>
            <w:tcW w:w="4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12,006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13,000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3,127,590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3,067,989</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59,601</w:t>
            </w:r>
          </w:p>
        </w:tc>
        <w:tc>
          <w:tcPr>
            <w:tcW w:w="2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495,648</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20,300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(3,554)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513,404</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489,550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67,428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422,122</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24,041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by $79.9 million, or 2.2%, to $3,643.5 million in fiscal 2015, from $3,563.6 million in fiscal 2014. The increase in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attributable to increased activity in the rest of the world partially offset by lower revenue from customers in Europe and North America. The 2.2% increase in revenue was net of a decrease of approximately 3.0% from foreign exchange fluctuations.</w:t>
      </w:r>
    </w:p>
    <w:p>
      <w:pPr>
        <w:spacing w:after="0" w:line="5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Effective October 1, 2014, we combined the presentation of license and service revenue, as well as the related costs, since license revenue comprises an insignificant portion of total revenue and is no longer meaningful as a business indicator.</w:t>
      </w:r>
    </w:p>
    <w:p>
      <w:pPr>
        <w:spacing w:after="0" w:line="51"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Revenue attributable to the sale of customer experience solutions increased by $107.0 million, or 3.1%, to $3,542.5 million in fiscal 2015, from $3,435.5 million in fiscal 2014. This increase was primarily attributable to increased activity in the rest of the world partially offset by lower revenue from customers in Europe and North America. Revenue resulting from the sale of customer experience solutions represented 97.2% and 96.4% of our total revenue in fiscal 2015 and 2014, respectively.</w:t>
      </w:r>
    </w:p>
    <w:p>
      <w:pPr>
        <w:spacing w:after="0" w:line="62"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Revenue attributable to the sale of directory systems decreased by $27.2 million, or 21.2%, to $101.0 in fiscal 2015, from $128.2 million in fiscal 2014. This decrease was primarily attributable to continued slowness in the directory systems market leading to lower revenue from managed services arrangements for directory systems customers. Revenue from the sale of directory systems represented 2.8% and 3.6% of our total revenue in fiscal 2015 and 2014, respectively.</w:t>
      </w:r>
    </w:p>
    <w:p>
      <w:pPr>
        <w:spacing w:after="0" w:line="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fiscal 2015, revenue from customers in North America, Europe and the rest of the world accounted for 70.1%, 11.6% and 18.3%, respectively, of total revenue, compared to 72.7%, 12.6% and 14.7%, respectively, in fiscal 2014. The decrease in the percentage of revenue from customers in North America was attributable primarily to negative impact from foreign exchange fluctuations due to the strengthening of the U.S. dollar against the Canadian dollar. Revenue from customers in North America was also impacted from the persistent uncertainty resulting from customer consolidation activity in the United States. The decrease in the percentage of revenue from customers in Europe was attributable primarily to the negative impact from foreign exchange fluctuations. Revenue from customers in the rest of the world increased as a percentage of total revenue as a result of our progress in implementing complex modernization projects in both Latin America and Asia-Pacific for new and existing customers.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primarily of costs associated with providing services to customers, including compensation expense and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products, as well as fee and royalty payments to software suppliers. Cost of revenue increased by $42.6 million, or 1.8%, to $2,349.5 million in fiscal 2015, from $2,306.9 million in fiscal 2014. As a percentage of revenue, cost of revenue decreased to 64.5% in fiscal 2015, from 64.8% in fiscal 2014. The improvement in the gross margin in fiscal 2015 was mainly attributable to a gain resulting from changes in fair value of certain acquisition-related liabilities recognized in fiscal 2015, partially offset by our increased activity outside of North America, where we continued our penetration efforts in order to expand our business into those markets.</w:t>
      </w:r>
    </w:p>
    <w:p>
      <w:pPr>
        <w:spacing w:after="0" w:line="6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by $3.0 million, or 1.1%, to $254.9 million in fiscal 2015, from $257.9 million in fiscal 2014. Research and development expense decreased as a percentage of revenue from 7.2% in fiscal 2014, to 7.0% in fiscal 2015.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 which is primarily comprised of compensation expense, decreased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 million, or 1.1%, to $440.1 million in fiscal 2015, from $445.1 million in fiscal 2014. Selling, general and administrative expense may fluctuate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depending upon such factors as changes in our workforce and sales efforts and the results of any operational efficiency programs that we may undertake.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increased by $12.0 million, or 20.7%,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$70.1 million in fiscal 2015, from $58.1 million in fiscal 2014. The increase in amortization of purchased intangible assets and other was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amortization of intangible assets due to the acquisition of the BSS assets of Comverse, as well as to an increase in acquisition-related costs.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amounted to $13.0 million in fiscal 2015, while there were no such charges in fiscal 2014. The fiscal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charges were recognized in connection with the acquisition of the BSS assets of Comverse. Please see Note 3 to our consolidated financial statements.</w:t>
      </w:r>
    </w:p>
    <w:p>
      <w:pPr>
        <w:spacing w:after="0" w:line="5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increased by $20.3 million, or 4.1%, to $515.9 million in fiscal 2015, from $495.6 million in fiscal 2014.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increased as a percentage of revenue, from 13.9% in fiscal 2014 to 14.2% in fiscal 2015. The increase in operating income as a percentage of revenue was primarily attributable to revenue increasing at a higher rate than operating expenses. Positive foreign exchange impacts on our operating expenses were partially offset by the negative foreign exchange impacts on our revenue, resulting in a minor positive impact on our operating income.</w:t>
      </w:r>
    </w:p>
    <w:p>
      <w:pPr>
        <w:spacing w:after="0" w:line="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Interest and Other Expense, Net. </w:t>
      </w:r>
      <w:r>
        <w:rPr>
          <w:rFonts w:ascii="Arial" w:cs="Arial" w:eastAsia="Arial" w:hAnsi="Arial"/>
          <w:sz w:val="16"/>
          <w:szCs w:val="16"/>
          <w:color w:val="auto"/>
        </w:rPr>
        <w:t>Interest and other expense, net, decreased by $3.6 million to $2.5 million in fiscal 2015, from $6.1 million in fiscal 2014.</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interest and other expense, net, was primarily attributable to changes in fair value of certain acquisition-related liabilities. The decrease in interest and other expense, net, as a result of these changes was partially offset by foreign exchange impacts.</w:t>
      </w:r>
    </w:p>
    <w:p>
      <w:pPr>
        <w:spacing w:after="0" w:line="2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2015 were $67.2 million on pre-tax income of $513.4 million, resulting in an effective tax rate of 13.1%,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13.8% in fiscal 2014. Our effective tax rate may fluctuate between periods as a result of discrete items that may affect a particular period. Please see Note 10 to our consolidated financial statements.</w:t>
      </w:r>
    </w:p>
    <w:p>
      <w:pPr>
        <w:spacing w:after="0" w:line="5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$24.0 million, or 5.7%, to $446.2 million in fiscal 2015, from $422.1 million in fiscal 2014.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primarily attributable to the increase in operating income.</w:t>
      </w:r>
    </w:p>
    <w:p>
      <w:pPr>
        <w:spacing w:after="0" w:line="51"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i w:val="1"/>
          <w:iCs w:val="1"/>
          <w:color w:val="auto"/>
        </w:rPr>
        <w:t xml:space="preserve">Diluted Earnings Per Share. </w:t>
      </w:r>
      <w:r>
        <w:rPr>
          <w:rFonts w:ascii="Arial" w:cs="Arial" w:eastAsia="Arial" w:hAnsi="Arial"/>
          <w:sz w:val="16"/>
          <w:szCs w:val="16"/>
          <w:color w:val="auto"/>
        </w:rPr>
        <w:t>Diluted earnings per share increased by $0.23, or 8.8%, to $2.85 in fiscal 2015, from $2.62 in fiscal 2014.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earnings per share was mainly attributable to the increase in net income and, to a lesser extent, the decrease in the diluted weighted average number of shares outstanding resulting from our repurchase of ordinary shares, partially offset by stock option exercises.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2014 and 2013</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2014, compared to the fiscal year ended September 30, 2013. Following the table is a discussion and analysis of our business and results of operations for these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100" w:type="dxa"/>
            <w:vAlign w:val="bottom"/>
          </w:tcPr>
          <w:p>
            <w:pPr>
              <w:spacing w:after="0"/>
              <w:rPr>
                <w:sz w:val="14"/>
                <w:szCs w:val="14"/>
                <w:color w:val="auto"/>
              </w:rPr>
            </w:pPr>
          </w:p>
        </w:tc>
        <w:tc>
          <w:tcPr>
            <w:tcW w:w="14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4"/>
              </w:rPr>
              <w:t>Increase (Decrease)</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Amount</w:t>
            </w: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3,563,637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3,345,854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217,783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2,306,892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2,167,052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139,840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257,896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240,266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17,630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26,560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19,657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3,067,989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2,864,302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203,687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221"/>
        </w:trPr>
        <w:tc>
          <w:tcPr>
            <w:tcW w:w="7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495,648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481,552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14,096</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21"/>
        </w:trPr>
        <w:tc>
          <w:tcPr>
            <w:tcW w:w="7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489,550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475,477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14,073</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222"/>
        </w:trPr>
        <w:tc>
          <w:tcPr>
            <w:tcW w:w="76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422,122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412,439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9,683</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by $217.8 million, or 6.5%, to $3,563.6 million in fiscal 2014, from $3,345.9 million in fiscal 2013. The increase in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attributable to increased activity in North America and Europe. The 6.5% increase in revenue, which was net of a decrease of approximately half a percent from foreign exchange fluctuations, was also positively affected by network optimization activity related to our acquisitions of Actix and Celcite.</w:t>
      </w:r>
    </w:p>
    <w:p>
      <w:pPr>
        <w:spacing w:after="0" w:line="2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Revenue attributable to the sale of customer experience solutions increased by $249.9 million, or 7.8%, to $3,435.5 million in fiscal 2014, from $3,185.6 million in fiscal 2013. The increase in revenue was primarily attributable to increased activity in North America and Europe. The increase in revenue was also positively affected by network optimization activity. Revenue resulting from the sale of customer experience solutions represented 96.4% and 95.2% of our total revenue in fiscal 2014 and 2013, respectively.</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Revenue attributable to the sale of directory systems decreased by $32.0 million, or 20.0%, to $128.2 million in fiscal 2014, from $160.2 million in fiscal 2013. The decrease in revenue was primarily attributable to continued slowness in the directory systems market leading to lower revenue from managed services arrangements for directory systems customers. Revenue from the sale of directory systems represented 3.6% and 4.8% of our total revenue in fiscal 2014 and 2013, respectively.</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fiscal 2014, revenue from customers in North America, Europe and the rest of the world accounted for 72.7%, 12.6% and 14.7%, respectively, of total revenue, compared to 72.4%, 11.9% and 15.7%, respectively, in fiscal 2013. The increase in revenue as a percentage of total revenue from customers in North America was primarily attributable to increased activity with AT&amp;T. The increase in revenue as a percentage of total revenue from customers in Europe was attributable to higher revenue from managed services arrangements. Revenue from customers in the rest of the world decreased as a percentage of total revenue as a result of a slight decrease in revenue from customers in the rest of the world, while revenue increased in North America and Europe.</w:t>
      </w:r>
    </w:p>
    <w:p>
      <w:pPr>
        <w:spacing w:after="0" w:line="3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As a percentage of revenue, cost of revenue remained flat from fiscal 2013 to fiscal 2014. Gross margin in fiscal 2014 was positively</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because a larger portion of revenue and expense was attributable to customers in developed markets, where we are well-established and generally realize higher margins; however, this was offset by our activities in Asia Pacific and Central and Latin America, where we incurred costs associated with continued efforts to expand our business into those markets.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increased by $17.6 million, or 7.3%, to $257.9 million in fiscal 2014, from $240.3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2013. The increase in research and development expense was primarily attributable to network software research and development activity and, to a lesser extent, efforts related to an expansion of our big data analytics offerings. Research and development expense as a percentage of revenue was 7.2% in fiscal 2014 and 2013.</w:t>
      </w:r>
    </w:p>
    <w:p>
      <w:pPr>
        <w:spacing w:after="0" w:line="6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by $26.6 million, or 6.3%, to $445.1 million in fiscal 2014,</w:t>
      </w:r>
      <w:r>
        <w:rPr>
          <w:rFonts w:ascii="Arial" w:cs="Arial" w:eastAsia="Arial" w:hAnsi="Arial"/>
          <w:sz w:val="18"/>
          <w:szCs w:val="18"/>
          <w:i w:val="1"/>
          <w:iCs w:val="1"/>
          <w:color w:val="auto"/>
        </w:rPr>
        <w:t xml:space="preserve"> </w:t>
      </w:r>
      <w:r>
        <w:rPr>
          <w:rFonts w:ascii="Arial" w:cs="Arial" w:eastAsia="Arial" w:hAnsi="Arial"/>
          <w:sz w:val="18"/>
          <w:szCs w:val="18"/>
          <w:color w:val="auto"/>
        </w:rPr>
        <w:t>from $418.6 million in fiscal 2013. The increase in selling, general and administrative expense was primarily attributable to compensation costs related to our expanded network optimization activities.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increased by $19.7 million, or 51.2%,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$58.1 million in fiscal 2014, from $38.4 million in fiscal 2013. The increase in amortization of purchased intangible assets and other was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amortization of intangible assets due to the acquisitions of Actix and Celcite, partially offset by timing of amortization charges of previously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purchased intangible assets.</w:t>
      </w:r>
    </w:p>
    <w:p>
      <w:pPr>
        <w:spacing w:after="0" w:line="8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increased by $14.1 million, or 2.9%, to $495.6 million in fiscal 2014, from $481.6 million in fiscal 2013.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decreased as a percentage of revenue, from 14.4% in fiscal 2013 to 13.9% in fiscal 2014. The decrease in operating income as a percentage of revenue was attributable to the increase in amortization of purchased intangible assets and other. Positive foreign exchange impacts on our operating expenses were partially offset by the negative foreign exchange impacts on our revenue, resulting in a minor positive impact on our operating income.</w:t>
      </w:r>
    </w:p>
    <w:p>
      <w:pPr>
        <w:spacing w:after="0" w:line="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2014 were $67.4 million on pre-tax income of $489.6 million, resulting in an effective tax rate of 13.8%,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13.3% in fiscal 2013. Please see Note 10 to our consolidated financial statements.</w:t>
      </w:r>
    </w:p>
    <w:p>
      <w:pPr>
        <w:spacing w:after="0" w:line="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$9.7 million, or 2.3%, to $422.1 million in fiscal 2014, from $412.4 million in fiscal 2013.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attributable to the increase in operating income, partially offset by the increase in income taxes.</w:t>
      </w:r>
    </w:p>
    <w:p>
      <w:pPr>
        <w:spacing w:after="0" w:line="5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Diluted earnings per share increased by $0.09, or 3.6%, to $2.62 in fiscal 2014, from $2.53 in fiscal 2013.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mainly attributable to the increase in net income and, to a lesser extent, the decrease in the diluted weighted average number of shares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debt, totaled $1.13 billion as of September 30, 2015, compared to $1.21 billion as of September 30, 2014. The decrease during fiscal 2015 was mainly attributable to $454.0 million used to repurchase our ordinary shares, $263.2 million in net cash paid for acquisitions, $120.5 million for capital expenditures, net, and $100.8 million of cash dividend payments, partially offset by $772.6 million in cash flow from operations and $78.2 million of proceeds from stock option exercises. Net cash provided by operating activities amounted to $772.6 million and $709.3 million in fiscal 2015 and 2014, respectively.</w:t>
      </w:r>
    </w:p>
    <w:p>
      <w:pPr>
        <w:spacing w:after="0" w:line="3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5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6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interest-bearing investments are classified as available-for-sale securities. Such short-term interest-bearing investments consist primarily of money market funds, U.S. government treasuries, corporate bonds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U.S. agency securities. We believe we have conservative investment policy guidelines. Our interest-bearing investments are stated at fair value with the unrealized gains or losses reported as a separate component of accumulated other comprehensive (loss) income,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2015 and 2014 we recognized immaterial credit losses. Please see Notes 4 and 5 to our consolidated financial statements.</w:t>
      </w:r>
    </w:p>
    <w:p>
      <w:pPr>
        <w:spacing w:after="0" w:line="3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Revolving Credit Facility, Letters of Credit and Guarantees. </w:t>
      </w:r>
      <w:r>
        <w:rPr>
          <w:rFonts w:ascii="Arial" w:cs="Arial" w:eastAsia="Arial" w:hAnsi="Arial"/>
          <w:sz w:val="16"/>
          <w:szCs w:val="16"/>
          <w:color w:val="auto"/>
        </w:rPr>
        <w:t>In 2011, we entered into an unsecured $500.0 million five-year revolving credit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syndicate of banks. In December 2014, the credit facility was amended and restated to, among other things, extend the maturity date of the facility to December 2019.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in part on our credit rating. As of September 30, 2015, we were in compliance with the financial covenants under the revolving credit facility. In September 2015, we borrowed an aggregate of $220.0 million under the facility and repaid it in October 2015.</w:t>
      </w:r>
    </w:p>
    <w:p>
      <w:pPr>
        <w:spacing w:after="0" w:line="3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2015, we had additional uncommitted lines of credit available for general corporate and other specific purposes and had outstanding letters of credit and bank guarantees from various banks totaling $73.7 million. These were supported by a combination of the uncommitted lines of credit that we maintain with various banks.</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fiscal 2015, we acquired a substantial majority of the BSS assets of Comverse for $268.1 million in cash, of which a total of $13.0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was attributable to a restructuring activity. During fiscal 2014, we acquired substantially all of the assets of Celcite Management Solutions LLC for $142.1 million in cash. Please see Note 3 to our consolidated financial statements.</w:t>
      </w:r>
    </w:p>
    <w:p>
      <w:pPr>
        <w:spacing w:after="0" w:line="5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consist of purchases of computer equipment, and the remainder is attributable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mainly to leasehold improvements. Our capital expenditures were approximately $120.5 million in fiscal 2015. Our fiscal 2015 capital expenditures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From time to time, our Board of Directors has adopted share repurchase plans authorizing the repurchase of our outstanding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Our current share repurchase plan, adopted in April 2014, authorizes the repurchase of up to $750.0 million of our outstanding ordinary shares with no expiration date. In fiscal 2015, we repurchased 8.6 million ordinary shares at an average price of $52.80 per share (excluding broker and transaction fees). As of September 30, 2015, we had remaining authority to repurchase up to $260.1 million of our outstanding ordinary shares. The authorization permits us to purchase our ordinary shares in open market or privately negotiated transactions at times and prices that we consider appropriate.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2015, 2014 and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180" w:type="dxa"/>
            <w:vAlign w:val="bottom"/>
            <w:gridSpan w:val="2"/>
          </w:tcPr>
          <w:p>
            <w:pPr>
              <w:ind w:left="1980"/>
              <w:spacing w:after="0"/>
              <w:rPr>
                <w:sz w:val="20"/>
                <w:szCs w:val="20"/>
                <w:color w:val="auto"/>
              </w:rPr>
            </w:pPr>
            <w:r>
              <w:rPr>
                <w:rFonts w:ascii="Arial" w:cs="Arial" w:eastAsia="Arial" w:hAnsi="Arial"/>
                <w:sz w:val="14"/>
                <w:szCs w:val="14"/>
                <w:b w:val="1"/>
                <w:bCs w:val="1"/>
                <w:color w:val="auto"/>
              </w:rPr>
              <w:t>Dividends Per</w:t>
            </w:r>
          </w:p>
        </w:tc>
        <w:tc>
          <w:tcPr>
            <w:tcW w:w="202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 Amount</w:t>
            </w:r>
          </w:p>
        </w:tc>
        <w:tc>
          <w:tcPr>
            <w:tcW w:w="1560" w:type="dxa"/>
            <w:vAlign w:val="bottom"/>
          </w:tcPr>
          <w:p>
            <w:pPr>
              <w:spacing w:after="0"/>
              <w:rPr>
                <w:sz w:val="14"/>
                <w:szCs w:val="14"/>
                <w:color w:val="auto"/>
              </w:rPr>
            </w:pPr>
          </w:p>
        </w:tc>
      </w:tr>
      <w:tr>
        <w:trPr>
          <w:trHeight w:val="175"/>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Declaration Date</w:t>
            </w:r>
          </w:p>
        </w:tc>
        <w:tc>
          <w:tcPr>
            <w:tcW w:w="3180" w:type="dxa"/>
            <w:vAlign w:val="bottom"/>
            <w:tcBorders>
              <w:bottom w:val="single" w:sz="8" w:color="auto"/>
            </w:tcBorders>
            <w:gridSpan w:val="2"/>
          </w:tcPr>
          <w:p>
            <w:pPr>
              <w:ind w:left="1920"/>
              <w:spacing w:after="0"/>
              <w:rPr>
                <w:sz w:val="20"/>
                <w:szCs w:val="20"/>
                <w:color w:val="auto"/>
              </w:rPr>
            </w:pPr>
            <w:r>
              <w:rPr>
                <w:rFonts w:ascii="Arial" w:cs="Arial" w:eastAsia="Arial" w:hAnsi="Arial"/>
                <w:sz w:val="14"/>
                <w:szCs w:val="14"/>
                <w:b w:val="1"/>
                <w:bCs w:val="1"/>
                <w:color w:val="auto"/>
              </w:rPr>
              <w:t>Ordinary Share</w:t>
            </w:r>
          </w:p>
        </w:tc>
        <w:tc>
          <w:tcPr>
            <w:tcW w:w="20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Record Date</w:t>
            </w:r>
          </w:p>
        </w:tc>
        <w:tc>
          <w:tcPr>
            <w:tcW w:w="14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Payment Date</w:t>
            </w:r>
          </w:p>
        </w:tc>
      </w:tr>
      <w:tr>
        <w:trPr>
          <w:trHeight w:val="221"/>
        </w:trPr>
        <w:tc>
          <w:tcPr>
            <w:tcW w:w="3240" w:type="dxa"/>
            <w:vAlign w:val="bottom"/>
          </w:tcPr>
          <w:p>
            <w:pPr>
              <w:spacing w:after="0"/>
              <w:rPr>
                <w:sz w:val="20"/>
                <w:szCs w:val="20"/>
                <w:color w:val="auto"/>
              </w:rPr>
            </w:pPr>
            <w:r>
              <w:rPr>
                <w:rFonts w:ascii="Arial" w:cs="Arial" w:eastAsia="Arial" w:hAnsi="Arial"/>
                <w:sz w:val="18"/>
                <w:szCs w:val="18"/>
                <w:color w:val="auto"/>
              </w:rPr>
              <w:t>July 29, 2015</w:t>
            </w:r>
          </w:p>
        </w:tc>
        <w:tc>
          <w:tcPr>
            <w:tcW w:w="2240" w:type="dxa"/>
            <w:vAlign w:val="bottom"/>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0.170</w:t>
            </w:r>
          </w:p>
        </w:tc>
        <w:tc>
          <w:tcPr>
            <w:tcW w:w="2020" w:type="dxa"/>
            <w:vAlign w:val="bottom"/>
          </w:tcPr>
          <w:p>
            <w:pPr>
              <w:ind w:left="320"/>
              <w:spacing w:after="0"/>
              <w:rPr>
                <w:sz w:val="20"/>
                <w:szCs w:val="20"/>
                <w:color w:val="auto"/>
              </w:rPr>
            </w:pPr>
            <w:r>
              <w:rPr>
                <w:rFonts w:ascii="Arial" w:cs="Arial" w:eastAsia="Arial" w:hAnsi="Arial"/>
                <w:sz w:val="18"/>
                <w:szCs w:val="18"/>
                <w:color w:val="auto"/>
              </w:rPr>
              <w:t>September 30, 2015</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25.7</w:t>
            </w:r>
          </w:p>
        </w:tc>
        <w:tc>
          <w:tcPr>
            <w:tcW w:w="1560" w:type="dxa"/>
            <w:vAlign w:val="bottom"/>
          </w:tcPr>
          <w:p>
            <w:pPr>
              <w:ind w:left="340"/>
              <w:spacing w:after="0"/>
              <w:rPr>
                <w:sz w:val="20"/>
                <w:szCs w:val="20"/>
                <w:color w:val="auto"/>
              </w:rPr>
            </w:pPr>
            <w:r>
              <w:rPr>
                <w:rFonts w:ascii="Arial" w:cs="Arial" w:eastAsia="Arial" w:hAnsi="Arial"/>
                <w:sz w:val="18"/>
                <w:szCs w:val="18"/>
                <w:color w:val="auto"/>
                <w:w w:val="86"/>
              </w:rPr>
              <w:t>October 16, 2015</w:t>
            </w:r>
          </w:p>
        </w:tc>
      </w:tr>
      <w:tr>
        <w:trPr>
          <w:trHeight w:val="218"/>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April 29, 2015</w:t>
            </w:r>
          </w:p>
        </w:tc>
        <w:tc>
          <w:tcPr>
            <w:tcW w:w="22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0.170</w:t>
            </w: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30, 2015</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26.1</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17, 2015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January 27, 2015</w:t>
            </w:r>
          </w:p>
        </w:tc>
        <w:tc>
          <w:tcPr>
            <w:tcW w:w="2240" w:type="dxa"/>
            <w:vAlign w:val="bottom"/>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0.170</w:t>
            </w:r>
          </w:p>
        </w:tc>
        <w:tc>
          <w:tcPr>
            <w:tcW w:w="2020" w:type="dxa"/>
            <w:vAlign w:val="bottom"/>
          </w:tcPr>
          <w:p>
            <w:pPr>
              <w:ind w:left="320"/>
              <w:spacing w:after="0"/>
              <w:rPr>
                <w:sz w:val="20"/>
                <w:szCs w:val="20"/>
                <w:color w:val="auto"/>
              </w:rPr>
            </w:pPr>
            <w:r>
              <w:rPr>
                <w:rFonts w:ascii="Arial" w:cs="Arial" w:eastAsia="Arial" w:hAnsi="Arial"/>
                <w:sz w:val="18"/>
                <w:szCs w:val="18"/>
                <w:color w:val="auto"/>
              </w:rPr>
              <w:t>March 31, 2015</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26.3</w:t>
            </w:r>
          </w:p>
        </w:tc>
        <w:tc>
          <w:tcPr>
            <w:tcW w:w="1560" w:type="dxa"/>
            <w:vAlign w:val="bottom"/>
          </w:tcPr>
          <w:p>
            <w:pPr>
              <w:ind w:left="340"/>
              <w:spacing w:after="0"/>
              <w:rPr>
                <w:sz w:val="20"/>
                <w:szCs w:val="20"/>
                <w:color w:val="auto"/>
              </w:rPr>
            </w:pPr>
            <w:r>
              <w:rPr>
                <w:rFonts w:ascii="Arial" w:cs="Arial" w:eastAsia="Arial" w:hAnsi="Arial"/>
                <w:sz w:val="18"/>
                <w:szCs w:val="18"/>
                <w:color w:val="auto"/>
              </w:rPr>
              <w:t>April 16, 2015</w:t>
            </w:r>
          </w:p>
        </w:tc>
      </w:tr>
      <w:tr>
        <w:trPr>
          <w:trHeight w:val="216"/>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4, 2014</w:t>
            </w:r>
          </w:p>
        </w:tc>
        <w:tc>
          <w:tcPr>
            <w:tcW w:w="2240" w:type="dxa"/>
            <w:vAlign w:val="bottom"/>
            <w:tcBorders>
              <w:bottom w:val="single" w:sz="8" w:color="auto"/>
            </w:tcBorders>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0.155</w:t>
            </w:r>
          </w:p>
        </w:tc>
        <w:tc>
          <w:tcPr>
            <w:tcW w:w="2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December 31, 2014</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24.1</w:t>
            </w:r>
          </w:p>
        </w:tc>
        <w:tc>
          <w:tcPr>
            <w:tcW w:w="1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January 16, 2015</w:t>
            </w:r>
          </w:p>
        </w:tc>
      </w:tr>
      <w:tr>
        <w:trPr>
          <w:trHeight w:val="221"/>
        </w:trPr>
        <w:tc>
          <w:tcPr>
            <w:tcW w:w="3240" w:type="dxa"/>
            <w:vAlign w:val="bottom"/>
          </w:tcPr>
          <w:p>
            <w:pPr>
              <w:spacing w:after="0"/>
              <w:rPr>
                <w:sz w:val="20"/>
                <w:szCs w:val="20"/>
                <w:color w:val="auto"/>
              </w:rPr>
            </w:pPr>
            <w:r>
              <w:rPr>
                <w:rFonts w:ascii="Arial" w:cs="Arial" w:eastAsia="Arial" w:hAnsi="Arial"/>
                <w:sz w:val="18"/>
                <w:szCs w:val="18"/>
                <w:color w:val="auto"/>
              </w:rPr>
              <w:t>July 29, 2014</w:t>
            </w:r>
          </w:p>
        </w:tc>
        <w:tc>
          <w:tcPr>
            <w:tcW w:w="2240" w:type="dxa"/>
            <w:vAlign w:val="bottom"/>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0.155</w:t>
            </w:r>
          </w:p>
        </w:tc>
        <w:tc>
          <w:tcPr>
            <w:tcW w:w="2020" w:type="dxa"/>
            <w:vAlign w:val="bottom"/>
          </w:tcPr>
          <w:p>
            <w:pPr>
              <w:ind w:left="320"/>
              <w:spacing w:after="0"/>
              <w:rPr>
                <w:sz w:val="20"/>
                <w:szCs w:val="20"/>
                <w:color w:val="auto"/>
              </w:rPr>
            </w:pPr>
            <w:r>
              <w:rPr>
                <w:rFonts w:ascii="Arial" w:cs="Arial" w:eastAsia="Arial" w:hAnsi="Arial"/>
                <w:sz w:val="18"/>
                <w:szCs w:val="18"/>
                <w:color w:val="auto"/>
              </w:rPr>
              <w:t>September 30, 2014</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24.3</w:t>
            </w:r>
          </w:p>
        </w:tc>
        <w:tc>
          <w:tcPr>
            <w:tcW w:w="1560" w:type="dxa"/>
            <w:vAlign w:val="bottom"/>
          </w:tcPr>
          <w:p>
            <w:pPr>
              <w:ind w:left="340"/>
              <w:spacing w:after="0"/>
              <w:rPr>
                <w:sz w:val="20"/>
                <w:szCs w:val="20"/>
                <w:color w:val="auto"/>
              </w:rPr>
            </w:pPr>
            <w:r>
              <w:rPr>
                <w:rFonts w:ascii="Arial" w:cs="Arial" w:eastAsia="Arial" w:hAnsi="Arial"/>
                <w:sz w:val="18"/>
                <w:szCs w:val="18"/>
                <w:color w:val="auto"/>
                <w:w w:val="86"/>
              </w:rPr>
              <w:t>October 17, 2014</w:t>
            </w:r>
          </w:p>
        </w:tc>
      </w:tr>
      <w:tr>
        <w:trPr>
          <w:trHeight w:val="218"/>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April 30, 2014</w:t>
            </w:r>
          </w:p>
        </w:tc>
        <w:tc>
          <w:tcPr>
            <w:tcW w:w="22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0.155</w:t>
            </w: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30, 2014</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24.6</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18, 2014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January 29, 2014</w:t>
            </w:r>
          </w:p>
        </w:tc>
        <w:tc>
          <w:tcPr>
            <w:tcW w:w="2240" w:type="dxa"/>
            <w:vAlign w:val="bottom"/>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0.155</w:t>
            </w:r>
          </w:p>
        </w:tc>
        <w:tc>
          <w:tcPr>
            <w:tcW w:w="2020" w:type="dxa"/>
            <w:vAlign w:val="bottom"/>
          </w:tcPr>
          <w:p>
            <w:pPr>
              <w:ind w:left="320"/>
              <w:spacing w:after="0"/>
              <w:rPr>
                <w:sz w:val="20"/>
                <w:szCs w:val="20"/>
                <w:color w:val="auto"/>
              </w:rPr>
            </w:pPr>
            <w:r>
              <w:rPr>
                <w:rFonts w:ascii="Arial" w:cs="Arial" w:eastAsia="Arial" w:hAnsi="Arial"/>
                <w:sz w:val="18"/>
                <w:szCs w:val="18"/>
                <w:color w:val="auto"/>
              </w:rPr>
              <w:t>March 31, 2014</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24.8</w:t>
            </w:r>
          </w:p>
        </w:tc>
        <w:tc>
          <w:tcPr>
            <w:tcW w:w="1560" w:type="dxa"/>
            <w:vAlign w:val="bottom"/>
          </w:tcPr>
          <w:p>
            <w:pPr>
              <w:ind w:left="340"/>
              <w:spacing w:after="0"/>
              <w:rPr>
                <w:sz w:val="20"/>
                <w:szCs w:val="20"/>
                <w:color w:val="auto"/>
              </w:rPr>
            </w:pPr>
            <w:r>
              <w:rPr>
                <w:rFonts w:ascii="Arial" w:cs="Arial" w:eastAsia="Arial" w:hAnsi="Arial"/>
                <w:sz w:val="18"/>
                <w:szCs w:val="18"/>
                <w:color w:val="auto"/>
              </w:rPr>
              <w:t>April 17, 2014</w:t>
            </w:r>
          </w:p>
        </w:tc>
      </w:tr>
      <w:tr>
        <w:trPr>
          <w:trHeight w:val="216"/>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5, 2013</w:t>
            </w:r>
          </w:p>
        </w:tc>
        <w:tc>
          <w:tcPr>
            <w:tcW w:w="2240" w:type="dxa"/>
            <w:vAlign w:val="bottom"/>
            <w:tcBorders>
              <w:bottom w:val="single" w:sz="8" w:color="auto"/>
            </w:tcBorders>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0.130</w:t>
            </w:r>
          </w:p>
        </w:tc>
        <w:tc>
          <w:tcPr>
            <w:tcW w:w="2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December 31, 2013</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20.8</w:t>
            </w:r>
          </w:p>
        </w:tc>
        <w:tc>
          <w:tcPr>
            <w:tcW w:w="1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January 17, 2014</w:t>
            </w:r>
          </w:p>
        </w:tc>
      </w:tr>
      <w:tr>
        <w:trPr>
          <w:trHeight w:val="221"/>
        </w:trPr>
        <w:tc>
          <w:tcPr>
            <w:tcW w:w="3240" w:type="dxa"/>
            <w:vAlign w:val="bottom"/>
          </w:tcPr>
          <w:p>
            <w:pPr>
              <w:spacing w:after="0"/>
              <w:rPr>
                <w:sz w:val="20"/>
                <w:szCs w:val="20"/>
                <w:color w:val="auto"/>
              </w:rPr>
            </w:pPr>
            <w:r>
              <w:rPr>
                <w:rFonts w:ascii="Arial" w:cs="Arial" w:eastAsia="Arial" w:hAnsi="Arial"/>
                <w:sz w:val="18"/>
                <w:szCs w:val="18"/>
                <w:color w:val="auto"/>
              </w:rPr>
              <w:t>July 31, 2013</w:t>
            </w:r>
          </w:p>
        </w:tc>
        <w:tc>
          <w:tcPr>
            <w:tcW w:w="2240" w:type="dxa"/>
            <w:vAlign w:val="bottom"/>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0.130</w:t>
            </w:r>
          </w:p>
        </w:tc>
        <w:tc>
          <w:tcPr>
            <w:tcW w:w="2020" w:type="dxa"/>
            <w:vAlign w:val="bottom"/>
          </w:tcPr>
          <w:p>
            <w:pPr>
              <w:ind w:left="320"/>
              <w:spacing w:after="0"/>
              <w:rPr>
                <w:sz w:val="20"/>
                <w:szCs w:val="20"/>
                <w:color w:val="auto"/>
              </w:rPr>
            </w:pPr>
            <w:r>
              <w:rPr>
                <w:rFonts w:ascii="Arial" w:cs="Arial" w:eastAsia="Arial" w:hAnsi="Arial"/>
                <w:sz w:val="18"/>
                <w:szCs w:val="18"/>
                <w:color w:val="auto"/>
              </w:rPr>
              <w:t>September 30, 2013</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20.8</w:t>
            </w:r>
          </w:p>
        </w:tc>
        <w:tc>
          <w:tcPr>
            <w:tcW w:w="1560" w:type="dxa"/>
            <w:vAlign w:val="bottom"/>
          </w:tcPr>
          <w:p>
            <w:pPr>
              <w:ind w:left="340"/>
              <w:spacing w:after="0"/>
              <w:rPr>
                <w:sz w:val="20"/>
                <w:szCs w:val="20"/>
                <w:color w:val="auto"/>
              </w:rPr>
            </w:pPr>
            <w:r>
              <w:rPr>
                <w:rFonts w:ascii="Arial" w:cs="Arial" w:eastAsia="Arial" w:hAnsi="Arial"/>
                <w:sz w:val="18"/>
                <w:szCs w:val="18"/>
                <w:color w:val="auto"/>
                <w:w w:val="86"/>
              </w:rPr>
              <w:t>October 18, 2013</w:t>
            </w:r>
          </w:p>
        </w:tc>
      </w:tr>
      <w:tr>
        <w:trPr>
          <w:trHeight w:val="218"/>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April 30, 2013</w:t>
            </w:r>
          </w:p>
        </w:tc>
        <w:tc>
          <w:tcPr>
            <w:tcW w:w="22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0.130</w:t>
            </w: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28, 2013</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20.9</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19, 2013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January 30, 2013</w:t>
            </w:r>
          </w:p>
        </w:tc>
        <w:tc>
          <w:tcPr>
            <w:tcW w:w="2240" w:type="dxa"/>
            <w:vAlign w:val="bottom"/>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0.130</w:t>
            </w:r>
          </w:p>
        </w:tc>
        <w:tc>
          <w:tcPr>
            <w:tcW w:w="2020" w:type="dxa"/>
            <w:vAlign w:val="bottom"/>
          </w:tcPr>
          <w:p>
            <w:pPr>
              <w:ind w:left="320"/>
              <w:spacing w:after="0"/>
              <w:rPr>
                <w:sz w:val="20"/>
                <w:szCs w:val="20"/>
                <w:color w:val="auto"/>
              </w:rPr>
            </w:pPr>
            <w:r>
              <w:rPr>
                <w:rFonts w:ascii="Arial" w:cs="Arial" w:eastAsia="Arial" w:hAnsi="Arial"/>
                <w:sz w:val="18"/>
                <w:szCs w:val="18"/>
                <w:color w:val="auto"/>
              </w:rPr>
              <w:t>March 28, 2013</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20.9</w:t>
            </w:r>
          </w:p>
        </w:tc>
        <w:tc>
          <w:tcPr>
            <w:tcW w:w="1560" w:type="dxa"/>
            <w:vAlign w:val="bottom"/>
          </w:tcPr>
          <w:p>
            <w:pPr>
              <w:ind w:left="340"/>
              <w:spacing w:after="0"/>
              <w:rPr>
                <w:sz w:val="20"/>
                <w:szCs w:val="20"/>
                <w:color w:val="auto"/>
              </w:rPr>
            </w:pPr>
            <w:r>
              <w:rPr>
                <w:rFonts w:ascii="Arial" w:cs="Arial" w:eastAsia="Arial" w:hAnsi="Arial"/>
                <w:sz w:val="18"/>
                <w:szCs w:val="18"/>
                <w:color w:val="auto"/>
              </w:rPr>
              <w:t>April 19, 2013</w:t>
            </w:r>
          </w:p>
        </w:tc>
      </w:tr>
      <w:tr>
        <w:trPr>
          <w:trHeight w:val="216"/>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6, 2012</w:t>
            </w:r>
          </w:p>
        </w:tc>
        <w:tc>
          <w:tcPr>
            <w:tcW w:w="2240" w:type="dxa"/>
            <w:vAlign w:val="bottom"/>
            <w:tcBorders>
              <w:bottom w:val="single" w:sz="8" w:color="auto"/>
            </w:tcBorders>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0.130</w:t>
            </w:r>
          </w:p>
        </w:tc>
        <w:tc>
          <w:tcPr>
            <w:tcW w:w="2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December 31, 2012</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21.0</w:t>
            </w:r>
          </w:p>
        </w:tc>
        <w:tc>
          <w:tcPr>
            <w:tcW w:w="1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January 18, 2013</w:t>
            </w:r>
          </w:p>
        </w:tc>
      </w:tr>
    </w:tbl>
    <w:p>
      <w:pPr>
        <w:spacing w:after="0" w:line="8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November 10, 2015, our Board of Directors approved the next dividend payment, at the rate of $0.170 per share, and set December 31, 2015 as the record date for determining the shareholders entitled to receive the dividend, which is payable on January 15, 2016. On November 10, 2015, our Board of Directors also approved, subject to shareholder approval at the February 2016 annual general meeting of shareholders, an increase in the quarterly cash dividend to $0.195 per share, anticipated to be paid in April 2016.</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September 30, 2015, and the effect such obligations are expected to have on our liquidity and cash flows in future periods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Less Than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1-3</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8"/>
              </w:rPr>
              <w:t>4-5</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660" w:type="dxa"/>
            <w:vAlign w:val="bottom"/>
            <w:gridSpan w:val="4"/>
            <w:vMerge w:val="continue"/>
          </w:tcPr>
          <w:p>
            <w:pPr>
              <w:spacing w:after="0"/>
              <w:rPr>
                <w:sz w:val="14"/>
                <w:szCs w:val="14"/>
                <w:color w:val="auto"/>
              </w:rPr>
            </w:pPr>
          </w:p>
        </w:tc>
        <w:tc>
          <w:tcPr>
            <w:tcW w:w="50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1 Year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66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Long-term debt(1)</w:t>
            </w:r>
          </w:p>
        </w:tc>
        <w:tc>
          <w:tcPr>
            <w:tcW w:w="51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$220.6</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220.0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Pension funding</w:t>
            </w: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Non-cancelable operating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247.0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30.1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150.1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32.5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1840"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September 2015, we borrowed an aggregate of $220.0 million under our revolving credit facility and repaid it in October 2015. 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total amount of unrecognized tax benefits for uncertain tax positions was $126.7 million as of September 30, 2015. Payment of these obligations would result from settlements with taxing authorities. Due to the difficulty in determining the timing of resolution of audits, these obligations are not included in the above table.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September 30, 2015, we had deferred tax assets of $112.2 million, derived primarily from tax credits, net capital and operating loss carryforwards related to some of our subsidiaries, which were offset by valuation allowances due to the uncertainty of realizing any tax benefit for such credits and losses.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3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59"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Fair value measurement of short-term interest-bearing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3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follow very specific and detailed guidelines, several of which are discussed above, in measuring revenue; however, certain judgments affect the application of our revenue recognition policy.</w:t>
      </w:r>
    </w:p>
    <w:p>
      <w:pPr>
        <w:spacing w:after="0" w:line="5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w:t>
      </w:r>
    </w:p>
    <w:p>
      <w:pPr>
        <w:spacing w:after="0" w:line="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arrangements with multiple deliverables within the scope of software revenue recognition guidance, we allocate revenue to each component based upon its relative fair value, which is determined based on the Vendor Specific Objective Evidence (“VSOE”) of fair value for that element. Such determination is judgmental and for most contracts is based on normal pricing and discounting practices for those elements when sold separately in similar arrangements. In the absence of fair value for a delivered element, we use the residual method. The residual method requires that we first allocate revenue based on fair value to the undelivered elements and then the residual revenue is allocated to the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Under the guidance for revenue arrangements with multiple deliverables that are outside the scope of the software revenue recognition guidance, we allocate revenue to each element based upon the relative fair value.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for non-software arrangements.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judgmental and is made through consultation with and approval by management.</w:t>
      </w:r>
    </w:p>
    <w:p>
      <w:pPr>
        <w:spacing w:after="0" w:line="3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 from third-party hardware and software sales is recorded at a gross or net amount according to certain indicators. In certain arrangements, we may earn revenue from other third-party services which is recorded at a gross amount as we are the primary obligor under the arrangement. The application of these indicators for gross and net reporting of revenue depends on the relative facts and circumstances of each sale and requires significant judgment.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Accounting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3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business combination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w:t>
      </w:r>
    </w:p>
    <w:p>
      <w:pPr>
        <w:spacing w:after="0" w:line="3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3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our consolidated statements of income.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3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5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Share-based compensation cost is measured at the grant date based on the value of the award and is recognized as expense over the requisite service periods. We estimate the fair value of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was reduced for estimated forfeitures. Determining the fair value of share-based awards at the grant date requires the exercise of judgment, including estimating expected dividends. In addition,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17 to our consolidated financial statements.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2015, 2014 or 2013.</w:t>
      </w:r>
    </w:p>
    <w:p>
      <w:pPr>
        <w:spacing w:after="0" w:line="2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2015, 2014 or 2013.</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fiscal 2015, 2014 and 2013,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(loss) income. We estimate the fair value of such derivative contracts by reference to forward and spot rates quoted in active markets.</w:t>
      </w:r>
    </w:p>
    <w:p>
      <w:pPr>
        <w:spacing w:after="0" w:line="3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 of Short-Term Interest-Bearing Investments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short-term interest-bearing investments are classified as available-for-sale securities and are stated at fair value in our consolidated balance sheets. Unrealized gains or losses are reported as a separate component of accumulated other comprehensive (loss) income, net of tax. Such short-term interest-bearing investments consist primarily of money market funds, U.S. government treasuries, corporate bonds and U.S. agency securities. We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believe we have conservative investment policy guidelines. Our interest-bearing investments are priced by pricing vendors and are classified as Level 1 or Level 2 investments, since these vendors either provide a quoted market price in an active market or use observable inputs such as quoted market prices for similar instruments, market dealer quotes, market spreads, non-binding market prices that are corroborated by observable market data and other observable market information and discounted cash flow techniques using observable market inputs. For securities with unrealized losses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credit losses. To the extent that the net present value of the projected cash flows was less than the amortized cost of the security, the difference is considered a credit loss and is recorded through earnings. The inputs on the future performance of the underlying assets used in the cash flow models include prepayments, defaults and loss severity assumptions. The other-than-temporary impairment on our short-term interest-bearing investments was immaterial during fiscal 2015, 2014 and 2013.</w:t>
      </w:r>
    </w:p>
    <w:p>
      <w:pPr>
        <w:spacing w:after="0" w:line="4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2015.</w:t>
      </w:r>
    </w:p>
    <w:p>
      <w:pPr>
        <w:spacing w:after="0" w:line="59"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We regularly review the allowance for doubtful accounts by considering factors that may affect a customer’s ability to pay, such as historical experience, credit quality, age of the accounts receivable balances, and current economic conditions.</w:t>
      </w:r>
    </w:p>
    <w:p>
      <w:pPr>
        <w:spacing w:after="0" w:line="3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November 2015, the Financial Accounting Standards Board, or FASB, issued an Accounting Standard Update, or ASU, that requires that all deferred tax assets and liabilities, along with any related valuation allowance, be classified as noncurrent on the balance sheet. This ASU, which may be adopted either prospectively or retrospectively, will be effective for us on October 1, 2017, and early adoption is permitted. Adoption of the ASU may result in changes in our financial statements presentation but will not affect the substantive content of our consolidated financial statements.</w:t>
      </w:r>
    </w:p>
    <w:p>
      <w:pPr>
        <w:spacing w:after="0" w:line="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September 2015, the FASB issued an ASU on simplifying the accounting for measurement-period adjustments.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us with respect to measurement-period adjustments that occur after October 1, 2017.</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May 2014, the FASB issued an ASU on revenue from contracts with customers, which outlines a single comprehensive model for entities to use in accounting for revenue arising from contracts with customers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supersedes most current revenue recognition guidance. In August 2015, the FASB deferred the effective date of this ASU by one year, to fiscal years beginning after December 15, 2017; however, early adoption as of the original effective date, fiscal years beginning after December 15, 2016, will be permitted. We are currently evaluating the methods and our timing of adoption, as well as the effect that adoption of this ASU will have on our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2013, the FASB issued an ASU that requires an entity to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us in the first quarter of fiscal 2015 and its adoption resulted in a reclassification of $15.0 million from noncurrent taxes payable to assets under noncurrent deferred income taxes as of December 31, 2014.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November 30, 2015, our directors and officers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160" w:type="dxa"/>
            <w:vAlign w:val="bottom"/>
          </w:tcPr>
          <w:p>
            <w:pPr>
              <w:spacing w:after="0"/>
              <w:rPr>
                <w:sz w:val="15"/>
                <w:szCs w:val="15"/>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800" w:type="dxa"/>
            <w:vAlign w:val="bottom"/>
          </w:tcPr>
          <w:p>
            <w:pPr>
              <w:spacing w:after="0"/>
              <w:rPr>
                <w:sz w:val="15"/>
                <w:szCs w:val="15"/>
                <w:color w:val="auto"/>
              </w:rPr>
            </w:pPr>
          </w:p>
        </w:tc>
      </w:tr>
      <w:tr>
        <w:trPr>
          <w:trHeight w:val="195"/>
        </w:trPr>
        <w:tc>
          <w:tcPr>
            <w:tcW w:w="380" w:type="dxa"/>
            <w:vAlign w:val="bottom"/>
          </w:tcPr>
          <w:p>
            <w:pPr>
              <w:spacing w:after="0"/>
              <w:rPr>
                <w:sz w:val="20"/>
                <w:szCs w:val="20"/>
                <w:color w:val="auto"/>
              </w:rPr>
            </w:pPr>
            <w:r>
              <w:rPr>
                <w:rFonts w:ascii="Arial" w:cs="Arial" w:eastAsia="Arial" w:hAnsi="Arial"/>
                <w:sz w:val="16"/>
                <w:szCs w:val="16"/>
                <w:color w:val="auto"/>
                <w:w w:val="74"/>
              </w:rPr>
              <w:t>Robert</w:t>
            </w:r>
          </w:p>
        </w:tc>
        <w:tc>
          <w:tcPr>
            <w:tcW w:w="5160" w:type="dxa"/>
            <w:vAlign w:val="bottom"/>
          </w:tcPr>
          <w:p>
            <w:pPr>
              <w:ind w:left="140"/>
              <w:spacing w:after="0" w:line="188" w:lineRule="exact"/>
              <w:rPr>
                <w:sz w:val="20"/>
                <w:szCs w:val="20"/>
                <w:color w:val="auto"/>
              </w:rPr>
            </w:pPr>
            <w:r>
              <w:rPr>
                <w:rFonts w:ascii="Arial" w:cs="Arial" w:eastAsia="Arial" w:hAnsi="Arial"/>
                <w:sz w:val="18"/>
                <w:szCs w:val="18"/>
                <w:color w:val="auto"/>
              </w:rPr>
              <w:t>A. Minicucci(2)</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w:t>
            </w:r>
          </w:p>
        </w:tc>
        <w:tc>
          <w:tcPr>
            <w:tcW w:w="300" w:type="dxa"/>
            <w:vAlign w:val="bottom"/>
          </w:tcPr>
          <w:p>
            <w:pPr>
              <w:spacing w:after="0"/>
              <w:rPr>
                <w:sz w:val="16"/>
                <w:szCs w:val="16"/>
                <w:color w:val="auto"/>
              </w:rPr>
            </w:pPr>
          </w:p>
        </w:tc>
        <w:tc>
          <w:tcPr>
            <w:tcW w:w="5300" w:type="dxa"/>
            <w:vAlign w:val="bottom"/>
            <w:gridSpan w:val="2"/>
          </w:tcPr>
          <w:p>
            <w:pPr>
              <w:spacing w:after="0" w:line="195" w:lineRule="exact"/>
              <w:rPr>
                <w:sz w:val="20"/>
                <w:szCs w:val="20"/>
                <w:color w:val="auto"/>
              </w:rPr>
            </w:pPr>
            <w:r>
              <w:rPr>
                <w:rFonts w:ascii="Arial" w:cs="Arial" w:eastAsia="Arial" w:hAnsi="Arial"/>
                <w:sz w:val="18"/>
                <w:szCs w:val="18"/>
                <w:color w:val="auto"/>
              </w:rPr>
              <w:t>Chairman of the Board,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Adrian Gardner(1)</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John T. McLennan(2)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5300" w:type="dxa"/>
            <w:vAlign w:val="bottom"/>
            <w:gridSpan w:val="2"/>
          </w:tcPr>
          <w:p>
            <w:pPr>
              <w:spacing w:after="0"/>
              <w:rPr>
                <w:sz w:val="20"/>
                <w:szCs w:val="20"/>
                <w:color w:val="auto"/>
              </w:rPr>
            </w:pPr>
            <w:r>
              <w:rPr>
                <w:rFonts w:ascii="Arial" w:cs="Arial" w:eastAsia="Arial" w:hAnsi="Arial"/>
                <w:sz w:val="18"/>
                <w:szCs w:val="18"/>
                <w:color w:val="auto"/>
                <w:w w:val="89"/>
              </w:rPr>
              <w:t>Director and Chairman of the Management Resources and Compensation</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Committee,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Simon Olswang(1)(3)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5300" w:type="dxa"/>
            <w:vAlign w:val="bottom"/>
            <w:gridSpan w:val="2"/>
          </w:tcPr>
          <w:p>
            <w:pPr>
              <w:spacing w:after="0"/>
              <w:rPr>
                <w:sz w:val="20"/>
                <w:szCs w:val="20"/>
                <w:color w:val="auto"/>
              </w:rPr>
            </w:pPr>
            <w:r>
              <w:rPr>
                <w:rFonts w:ascii="Arial" w:cs="Arial" w:eastAsia="Arial" w:hAnsi="Arial"/>
                <w:sz w:val="18"/>
                <w:szCs w:val="18"/>
                <w:color w:val="auto"/>
                <w:w w:val="95"/>
              </w:rPr>
              <w:t>Director and Chairman of the Nominating and Corporate Governance</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Committee,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Zohar Zisapel(4)</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5300" w:type="dxa"/>
            <w:vAlign w:val="bottom"/>
            <w:gridSpan w:val="2"/>
          </w:tcPr>
          <w:p>
            <w:pPr>
              <w:spacing w:after="0"/>
              <w:rPr>
                <w:sz w:val="20"/>
                <w:szCs w:val="20"/>
                <w:color w:val="auto"/>
              </w:rPr>
            </w:pPr>
            <w:r>
              <w:rPr>
                <w:rFonts w:ascii="Arial" w:cs="Arial" w:eastAsia="Arial" w:hAnsi="Arial"/>
                <w:sz w:val="18"/>
                <w:szCs w:val="18"/>
                <w:color w:val="auto"/>
                <w:w w:val="96"/>
              </w:rPr>
              <w:t>Director and Chairman of the Technology and Innovation Committee,</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Julian A. Brodsky(3)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Clayton Christensen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James S. Kahan(3)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Richard T.C. LeFave(1)(2)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Giora Yaron(4)</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Eli Gelman(4)</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5300" w:type="dxa"/>
            <w:vAlign w:val="bottom"/>
            <w:gridSpan w:val="2"/>
          </w:tcPr>
          <w:p>
            <w:pPr>
              <w:spacing w:after="0"/>
              <w:rPr>
                <w:sz w:val="20"/>
                <w:szCs w:val="20"/>
                <w:color w:val="auto"/>
              </w:rPr>
            </w:pPr>
            <w:r>
              <w:rPr>
                <w:rFonts w:ascii="Arial" w:cs="Arial" w:eastAsia="Arial" w:hAnsi="Arial"/>
                <w:sz w:val="18"/>
                <w:szCs w:val="18"/>
                <w:color w:val="auto"/>
                <w:w w:val="90"/>
              </w:rPr>
              <w:t>Director, Amdocs Limited; President and Chief Executive Officer, Amdocs</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Management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Tamar Rapaport-Dagim</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530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Financial Officer, Amdocs Management</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Shuky Sheffer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5300" w:type="dxa"/>
            <w:vAlign w:val="bottom"/>
            <w:gridSpan w:val="2"/>
          </w:tcPr>
          <w:p>
            <w:pPr>
              <w:spacing w:after="0"/>
              <w:rPr>
                <w:sz w:val="20"/>
                <w:szCs w:val="20"/>
                <w:color w:val="auto"/>
              </w:rPr>
            </w:pPr>
            <w:r>
              <w:rPr>
                <w:rFonts w:ascii="Arial" w:cs="Arial" w:eastAsia="Arial" w:hAnsi="Arial"/>
                <w:sz w:val="18"/>
                <w:szCs w:val="18"/>
                <w:color w:val="auto"/>
                <w:w w:val="87"/>
              </w:rPr>
              <w:t>Senior Vice President and President of Customer Business Group, Amdocs</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Management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Anshoo Gaur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5300" w:type="dxa"/>
            <w:vAlign w:val="bottom"/>
            <w:gridSpan w:val="2"/>
          </w:tcPr>
          <w:p>
            <w:pPr>
              <w:spacing w:after="0"/>
              <w:rPr>
                <w:sz w:val="20"/>
                <w:szCs w:val="20"/>
                <w:color w:val="auto"/>
              </w:rPr>
            </w:pPr>
            <w:r>
              <w:rPr>
                <w:rFonts w:ascii="Arial" w:cs="Arial" w:eastAsia="Arial" w:hAnsi="Arial"/>
                <w:sz w:val="18"/>
                <w:szCs w:val="18"/>
                <w:color w:val="auto"/>
              </w:rPr>
              <w:t>Division President, Amdocs Development Center India Pvt. Ltd.</w:t>
            </w: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Matthew Smith</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5300" w:type="dxa"/>
            <w:vAlign w:val="bottom"/>
            <w:gridSpan w:val="2"/>
          </w:tcPr>
          <w:p>
            <w:pPr>
              <w:spacing w:after="0"/>
              <w:rPr>
                <w:sz w:val="20"/>
                <w:szCs w:val="20"/>
                <w:color w:val="auto"/>
              </w:rPr>
            </w:pPr>
            <w:r>
              <w:rPr>
                <w:rFonts w:ascii="Arial" w:cs="Arial" w:eastAsia="Arial" w:hAnsi="Arial"/>
                <w:sz w:val="18"/>
                <w:szCs w:val="18"/>
                <w:color w:val="auto"/>
                <w:w w:val="96"/>
              </w:rPr>
              <w:t>Secretary, Amdocs Limited; Head of Investor Relations, Amdocs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the Management Resources and Compensation Committee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Technology and Innovation Committee</w:t>
      </w:r>
    </w:p>
    <w:p>
      <w:pPr>
        <w:spacing w:after="0" w:line="84"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Paycom Software Inc. He is also a director of several private companies.</w:t>
      </w:r>
    </w:p>
    <w:p>
      <w:pPr>
        <w:jc w:val="both"/>
        <w:ind w:right="100"/>
        <w:spacing w:after="0" w:line="255" w:lineRule="auto"/>
        <w:rPr>
          <w:sz w:val="20"/>
          <w:szCs w:val="20"/>
          <w:color w:val="auto"/>
        </w:rPr>
      </w:pPr>
      <w:r>
        <w:rPr>
          <w:rFonts w:ascii="Arial" w:cs="Arial" w:eastAsia="Arial" w:hAnsi="Arial"/>
          <w:sz w:val="18"/>
          <w:szCs w:val="18"/>
          <w:color w:val="auto"/>
        </w:rPr>
        <w:t>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6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Adrian Gardner has been a director of Amdocs since 1998 and is Chairman of the Audit Committee. Since January 2014, Mr. Gardner has served as Chief Financial Officer of International Personal Finance plc, an international home credit business. Mr. Gardner was Chief Financial Officer and a director of RSM Tenon Group PLC, a London-based accounting and advisory firm listed on the London Stock Exchange, from 2011 until the acquisition in 2013 of its operating subsidiaries by Baker Tilly UK Holdings Limited. Mr. Gardner served from 2011 to 2013 as Chief Financial Officer and as a director of the former principal operating subsidiary, which has been renamed Baker Tilly Business Services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fellow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4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John T. McLennan has been a director of Amdocs since 1999 and is Chairman of the Management Resources and Compensation Committee. From 2000 until 2004, he served as Vice-Chair and Chief Executive Officer of Allstream (formerly AT&amp;T Canada). Mr. McLennan founded Jenmark Consulting Inc. and was its President from 1997 until 2000. From 1993 to 1997, Mr. McLennan served as the President and Chief Executive Officer of Bell Canada. Prior to that, he held various positions at several telecommunications companies, including BCE Mobile Communications and Cantel Inc. Mr. McLennan is also a director of Emera Inc., a Canadian publicly-held energy services company, and was its Chairman from 2009 to 2014.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64"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Simon Olswang has been a director of Amdocs since 2004 and is Chairman of the Nominating and Corporate Governance Committee. In 2002,</w:t>
      </w:r>
    </w:p>
    <w:p>
      <w:pPr>
        <w:spacing w:after="0" w:line="3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Mr. Olswang retired as Chairman of Olswang, a media and communications law firm in the United Kingdom that he founded in 1981. He is a member of the Advisory Board of Palamon Capital Partners LLP and of the Board of Directors of Amiad Filtration Systems Limited, an Israeli clean water company listed on the London AIM market. In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color w:val="auto"/>
        </w:rPr>
        <w:t>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ind w:right="140" w:firstLine="456"/>
        <w:spacing w:after="0" w:line="289" w:lineRule="auto"/>
        <w:rPr>
          <w:sz w:val="20"/>
          <w:szCs w:val="20"/>
          <w:color w:val="auto"/>
        </w:rPr>
      </w:pPr>
      <w:r>
        <w:rPr>
          <w:rFonts w:ascii="Arial" w:cs="Arial" w:eastAsia="Arial" w:hAnsi="Arial"/>
          <w:sz w:val="16"/>
          <w:szCs w:val="16"/>
          <w:color w:val="auto"/>
        </w:rPr>
        <w:t>Zohar Zisapel has been a director of Amdocs since 2008 and is the Chairman of the Technology and Innovation Committee. Mr. Zisapel co-founded RAD Data Communications Ltd., a privately-held voice and data communications company and part of the RAD Group, a family of independent networking and telecommunications companies, and was its CEO from 1982 until 1998 and Chairman from 1998 until 2012. Mr. Zisapel also serves as chairman of Ceragon Networks Ltd. and as a director of Radcom Ltd., both public companies traded on Nasdaq, and on the boards of directors of several privately-held companies. Mr. Zisapel served as chairman of the Israel Association of Electronic Industries from 1998 until 2001. Mr. Zisapel received an Honorary Doctorate from the Technion — Israel Institute of Technology, and he is teaching Entrepreneurship at the Tel Aviv University.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Julian A. Brodsky has been a director of Amdocs since 2003. Since 2011, Mr. Brodsky has served as a senior advisor to Comcast Corporation. Mr. Brodsky served as a director of Comcast Corporation from 1969 to 2011, and as Vice Chairman of Comcast Corporation from 1989 to 2011. From 1999 to 2004,</w:t>
      </w:r>
    </w:p>
    <w:p>
      <w:pPr>
        <w:ind w:right="80"/>
        <w:spacing w:after="0" w:line="254" w:lineRule="auto"/>
        <w:rPr>
          <w:sz w:val="20"/>
          <w:szCs w:val="20"/>
          <w:color w:val="auto"/>
        </w:rPr>
      </w:pPr>
      <w:r>
        <w:rPr>
          <w:rFonts w:ascii="Arial" w:cs="Arial" w:eastAsia="Arial" w:hAnsi="Arial"/>
          <w:sz w:val="18"/>
          <w:szCs w:val="18"/>
          <w:color w:val="auto"/>
        </w:rPr>
        <w:t>Mr. Brodsky was Chairman of Comcast Interactive Capital, LP, a venture fund affiliated with Comcast. He is a director of RBB Fund, Inc. Mr. Brodsky brings to our Board of Directors deep and extensive knowledge of business in general and of the cable industry in particular gained through his longstanding executive leadership roles at Comcast, as well as financial expertise in capital markets, accounting and tax matters gained through his experience as Chief Financial Officer of Comcast and as a practicing CPA.</w:t>
      </w:r>
    </w:p>
    <w:p>
      <w:pPr>
        <w:spacing w:after="0" w:line="6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Clayton Christensen has been a director of Amdocs since April 2015. Dr. Christensen is the Kim B. Clark Professor of Business Administration at the Harvard Business School where he has been a faculty member since 1992. He also served as President and Chairman of CPS Technologies, an industrial materials company, from 1984 to 1989. From 1979 to 1984, Dr. Christensen worked as a consultant and project manager for the Boston Consulting Group. Dr. Christensen is the founder of Rose Park Advisors, an investment firm, Innosight LLC, an innovation consulting firm, and the Christensen Institute for Disruptive Change, a non-profit organization focused on innovation. He is a director of Tata Consultancy Services, an IT consulting firm and part of the Tata group, Franklin Covey Co., a public company focused on performance improvement, and Intermountain Healthcare, a not-for-profit healthcare provider. Dr. Christensen’s qualifications to serve on our Board of Directors include his research and teaching interests, which are centered on building new growth businesses and sustaining the success of companies. Dr. Christensen’s previous work with various companies provides him with a broad perspective in the areas of management and operations.</w:t>
      </w:r>
    </w:p>
    <w:p>
      <w:pPr>
        <w:spacing w:after="0" w:line="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James S. Kahan has been a director of Amdocs since 1998. From 1983 until his retirement in 2007, he worked at SBC,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two private companies.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39"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Giora Yaron has been a director of Amdocs since 2009. Dr. Yaron co-founded Itamar Medical Ltd., a publicly-traded medical technology company, and has been its co-chairman since 1997.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serves as Chairman of the Board at Excelero (ExpressIO), a company focused on providing ultra-fast block storage solution and Equalum focused on streaming in real-time 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43" w:lineRule="exact"/>
        <w:rPr>
          <w:sz w:val="20"/>
          <w:szCs w:val="20"/>
          <w:color w:val="auto"/>
        </w:rPr>
      </w:pPr>
    </w:p>
    <w:p>
      <w:pPr>
        <w:ind w:right="220" w:firstLine="456"/>
        <w:spacing w:after="0" w:line="287" w:lineRule="auto"/>
        <w:rPr>
          <w:sz w:val="20"/>
          <w:szCs w:val="20"/>
          <w:color w:val="auto"/>
        </w:rPr>
      </w:pPr>
      <w:r>
        <w:rPr>
          <w:rFonts w:ascii="Arial" w:cs="Arial" w:eastAsia="Arial" w:hAnsi="Arial"/>
          <w:sz w:val="16"/>
          <w:szCs w:val="16"/>
          <w:color w:val="auto"/>
        </w:rPr>
        <w:t>Eli Gelman has been a director of Amdocs since 2002. Mr. Gelman became the President and Chief Executive Officer of Amdocs Management Limited, our wholly-owned subsidiary, in 2010.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With more than 30 years of experience in the software industry, he possesses a vast institutional knowledge and strategic understanding of our organization and industry.</w:t>
      </w:r>
    </w:p>
    <w:p>
      <w:pPr>
        <w:spacing w:after="0" w:line="4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Tamar Rapaport-Dagim has been Senior Vice President and Chief Financial Officer of Amdocs Management Limited since 2007.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Shuky Sheffer has been Senior Vice President and President of the Customer Business Group since October 2013.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Anshoo Gaur has been our Division President for India operations since 2007 and has led our expansion and growth in India. From 2006 to 2007, Mr. Gaur was an executive management member and served as the President of IT Infrastructure Management and Strategic Initiatives of EDS/MphasiS, a technology services company. From 2005 to 2006, Mr. Gaur served as the Managing Director of EDS India Enterprise (“EDS”), where he was responsible for India strategy and operations. From 2003 to 2005, Mr. Gaur was the Global Transformation Director for Desktop Services of EDS. Earlier, Mr. Gaur held other leadership roles with EDS and Sabre Inc., a travel technology company based in Texas, as well as Larsen &amp; Tourbo Ltd., a technology, engineering, construction, manufacturing and financial services company based in India.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fiscal 2015, each of our directors who was not our employee, or Non-Employee Directors, received compensation for their services as directors in the form of cash and restricted shares. Each Non-Employee Director received an annual cash payment of $75,000. Each member of our Audit Committee who is a Non-Employee Director and who is not the chairman of such committee received an annual cash payment of $20,000. Each member of our Management Resources and Compensation, Nominating and Corporate Governance and Technology and Innovation Committees who is a Non-Employee Director and who is not a committee chairman received an annual cash payment of $10,000. The Chairman of our Audit Committee received an annual cash payment of $35,000 and the Chairmen of our Management Resources and Compensation, Nominating and Corporate Governance and Technology and Innovation Committees each received an annual cash payment of $20,000. Each Non-Employee Director received an annual grant of restricted shares at a total value of $230,000. The Chairman of the Board of Directors received an additional annual amount equal to $200,000 awarded in the form of restricted shares. All restricted share awards to our Non-Employee Directors are fully vested upon grant. The price per share for the purpose of determining the value of the grants to our Non-Employee 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total of 16 persons who served either as directors or officers of Amdocs during all or part of fiscal 2015 received remuneration from Amdocs. The aggregate remuneration paid by us to such persons in fiscal 2015 was approximately $6.3 million, compared to $6.3 million in fiscal 2014 and $6.2 million in fiscal 2013,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2015, we granted to such persons options to purchase an aggregate of 354,833 ordinary shares at a weighted average price of $53.53 per share with vesting generally over four-year terms and expiring ten years from the date of grant, and an aggregate of 230,977 restricted shares typically subject to three to four-year vesting, and in the case of our directors, no vesting restrictions. All options and restricted share awards were granted pursuant to our 1998 Stock Option and Incentive Plan, as amended. See discussion below — “Share Ownership — Employee Stock Option and Incentive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Practices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Eleven directors currently serve on our Board of Directors, all of whom were elected at our annual meeting of shareholders on January 28, 2015.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executive officers of Amdocs Limited and each of its subsidiaries are elected by the board of directors of the relevant company and serve until the next annual meeting of such board of directors or until their respective successors have been duly elected and qualified or their positions are earlier vacated by resignation or otherwise.</w:t>
      </w:r>
    </w:p>
    <w:p>
      <w:pPr>
        <w:spacing w:after="0" w:line="5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maintains four committees as set forth below. Members of each committee are appointed by the Board of Directors.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Olswang,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Arial" w:cs="Arial" w:eastAsia="Arial" w:hAnsi="Arial"/>
          <w:sz w:val="16"/>
          <w:szCs w:val="16"/>
          <w:i w:val="1"/>
          <w:iCs w:val="1"/>
          <w:color w:val="auto"/>
        </w:rPr>
        <w:t>www.amdocs.com.</w:t>
      </w:r>
    </w:p>
    <w:p>
      <w:pPr>
        <w:spacing w:after="0" w:line="3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Minicucci,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 Gelman and Dr. Yaron.</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Personnel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presents the approximate number of our workforce as of each date indicated, by function and by geographical location (in each of which we operate at multiple sites):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3"/>
              </w:rPr>
              <w:t>As of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540" w:type="dxa"/>
            <w:vAlign w:val="bottom"/>
          </w:tcPr>
          <w:p>
            <w:pPr>
              <w:jc w:val="right"/>
              <w:spacing w:after="0"/>
              <w:rPr>
                <w:sz w:val="20"/>
                <w:szCs w:val="20"/>
                <w:color w:val="auto"/>
              </w:rPr>
            </w:pPr>
            <w:r>
              <w:rPr>
                <w:rFonts w:ascii="Arial" w:cs="Arial" w:eastAsia="Arial" w:hAnsi="Arial"/>
                <w:sz w:val="18"/>
                <w:szCs w:val="18"/>
                <w:color w:val="auto"/>
              </w:rPr>
              <w:t>5,065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5,082</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India</w:t>
            </w:r>
          </w:p>
        </w:tc>
        <w:tc>
          <w:tcPr>
            <w:tcW w:w="540" w:type="dxa"/>
            <w:vAlign w:val="bottom"/>
          </w:tcPr>
          <w:p>
            <w:pPr>
              <w:jc w:val="right"/>
              <w:spacing w:after="0"/>
              <w:rPr>
                <w:sz w:val="20"/>
                <w:szCs w:val="20"/>
                <w:color w:val="auto"/>
              </w:rPr>
            </w:pPr>
            <w:r>
              <w:rPr>
                <w:rFonts w:ascii="Arial" w:cs="Arial" w:eastAsia="Arial" w:hAnsi="Arial"/>
                <w:sz w:val="18"/>
                <w:szCs w:val="18"/>
                <w:color w:val="auto"/>
              </w:rPr>
              <w:t>9,301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7,976</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the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00" w:type="dxa"/>
            <w:vAlign w:val="bottom"/>
            <w:shd w:val="clear" w:color="auto" w:fill="CCEEFF"/>
          </w:tcPr>
          <w:p>
            <w:pPr>
              <w:spacing w:after="0"/>
              <w:rPr>
                <w:sz w:val="18"/>
                <w:szCs w:val="18"/>
                <w:color w:val="auto"/>
              </w:rPr>
            </w:pPr>
          </w:p>
        </w:tc>
      </w:tr>
      <w:tr>
        <w:trPr>
          <w:trHeight w:val="221"/>
        </w:trPr>
        <w:tc>
          <w:tcPr>
            <w:tcW w:w="7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23,404</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21,112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19,315</w:t>
            </w:r>
          </w:p>
        </w:tc>
        <w:tc>
          <w:tcPr>
            <w:tcW w:w="100" w:type="dxa"/>
            <w:vAlign w:val="bottom"/>
          </w:tcPr>
          <w:p>
            <w:pPr>
              <w:spacing w:after="0"/>
              <w:rPr>
                <w:sz w:val="19"/>
                <w:szCs w:val="19"/>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Administration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Total Workforce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24,950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22,546</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20,774</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6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A small number of our employees in Canada, our employees in Brazil and our employees in Chile have union representation. We have a works council body in the Netherlands and Germany which represents the employees and with which we work closely to ensure compliance with the applicable local law. We also have an employee representative body in France and in Finland. In recent years, Israeli labor unions have increased their efforts to organize workers at companies with significant operations in Israel, including several companies in the technology sector. In addition, a national union and a group of our employees have attempted to secure the approval of the minimum number of employees needed for union certification with respect to our employees in Israel. While these efforts have not resulted in either group being recognized as a representative union, we expect such efforts to continue. In the event an organization is recognized as a representative union for our employees in Israel, we would be required to enter into negotiations to implement a collective bargaining agreement. See “Risk Factors — </w:t>
      </w:r>
      <w:r>
        <w:rPr>
          <w:rFonts w:ascii="Arial" w:cs="Arial" w:eastAsia="Arial" w:hAnsi="Arial"/>
          <w:sz w:val="16"/>
          <w:szCs w:val="16"/>
          <w:i w:val="1"/>
          <w:iCs w:val="1"/>
          <w:color w:val="auto"/>
        </w:rPr>
        <w:t>The skilled and highly qualified workforce that we need to develop, implement and modify our solutions may be difficult to hire, train and retain, and</w:t>
      </w:r>
      <w:r>
        <w:rPr>
          <w:rFonts w:ascii="Arial" w:cs="Arial" w:eastAsia="Arial" w:hAnsi="Arial"/>
          <w:sz w:val="16"/>
          <w:szCs w:val="16"/>
          <w:color w:val="auto"/>
        </w:rPr>
        <w:t xml:space="preserve"> </w:t>
      </w:r>
      <w:r>
        <w:rPr>
          <w:rFonts w:ascii="Arial" w:cs="Arial" w:eastAsia="Arial" w:hAnsi="Arial"/>
          <w:sz w:val="16"/>
          <w:szCs w:val="16"/>
          <w:i w:val="1"/>
          <w:iCs w:val="1"/>
          <w:color w:val="auto"/>
        </w:rPr>
        <w:t>we could face increased costs to attract and retain our skilled workforce</w:t>
      </w:r>
      <w:r>
        <w:rPr>
          <w:rFonts w:ascii="Arial" w:cs="Arial" w:eastAsia="Arial" w:hAnsi="Arial"/>
          <w:sz w:val="16"/>
          <w:szCs w:val="16"/>
          <w:color w:val="auto"/>
        </w:rPr>
        <w: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7, 2015, the aggregate number of our ordinary shares beneficially owned by our directors and senior management was 2,310,895 shares.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7, 2015, none of our directors or members of senior management beneficially owned 1% or more of our outstanding ordinary shares.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Board of Directors adopted, and our shareholders approved, our 1998 Stock Option and Incentive Plan, as amended, which we refer to as the Equity Incentive Plan, pursuant to which up to 62,300,000 of our ordinary shares may be issued.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2015, of the 62,300,000 ordinary shares available for issuance under the Equity Incentive Plan, 46,198,688 ordinary shares had been issued as a result of option exercises and restricted share issuances. As of September 30, 2015, 7,137,681 ordinary shares remained available for future grants, subject to a sublimit applicable to the award of restricted shares or awards dominated in stock units. As of November 30, 2015, there were outstanding options to purchase an aggregate of 9,154,039 ordinary shares at exercise prices ranging from $16.92 to $59.57 per share and 102,036 shares are subject to outstanding restricted stock units.</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result of acquisitions, as of September 30, 2015, we were obligated to issue (and have reserved for issuance) an additional 3,119 ordinary shares upon exercise of options that had previously been granted under the option plans of the acquired companies and were exchanged for options to purchase our ordinary shares. These options have exercise prices ranging from $9.42 to $37.66 per share. No additional options have been or will be granted under these predecessor plans.</w:t>
      </w:r>
    </w:p>
    <w:p>
      <w:pPr>
        <w:spacing w:after="0" w:line="137" w:lineRule="exact"/>
        <w:rPr>
          <w:sz w:val="20"/>
          <w:szCs w:val="20"/>
          <w:color w:val="auto"/>
        </w:rPr>
      </w:pPr>
    </w:p>
    <w:p>
      <w:pPr>
        <w:ind w:right="5440"/>
        <w:spacing w:after="0" w:line="347" w:lineRule="auto"/>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MAJOR SHAREHOLDERS AND RELATED PARTY TRANSACTIONS</w:t>
      </w:r>
      <w:r>
        <w:rPr>
          <w:rFonts w:ascii="Arial" w:cs="Arial" w:eastAsia="Arial" w:hAnsi="Arial"/>
          <w:sz w:val="18"/>
          <w:szCs w:val="18"/>
          <w:b w:val="1"/>
          <w:bCs w:val="1"/>
          <w:color w:val="auto"/>
        </w:rPr>
        <w:t xml:space="preserve"> Major Shareholders</w:t>
      </w:r>
    </w:p>
    <w:p>
      <w:pPr>
        <w:spacing w:after="0" w:line="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December 7, 2015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150,352,005 ordinary shares outstanding as of December 7, 2015. Information concerning shareholders other than our directors and officers is based on periodic public filings made by such shareholders and may not necessarily be accurate as of December 7, 2015. None of our major shareholders have voting rights that are different from those of any other shareholder.</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3720" w:type="dxa"/>
            <w:vAlign w:val="bottom"/>
          </w:tcPr>
          <w:p>
            <w:pPr>
              <w:spacing w:after="0"/>
              <w:rPr>
                <w:sz w:val="12"/>
                <w:szCs w:val="12"/>
                <w:color w:val="auto"/>
              </w:rPr>
            </w:pPr>
          </w:p>
        </w:tc>
        <w:tc>
          <w:tcPr>
            <w:tcW w:w="15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9"/>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37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vMerge w:val="continue"/>
            <w:shd w:val="clear" w:color="auto" w:fill="CCEEFF"/>
          </w:tcPr>
          <w:p>
            <w:pPr>
              <w:spacing w:after="0"/>
              <w:rPr>
                <w:sz w:val="17"/>
                <w:szCs w:val="17"/>
                <w:color w:val="auto"/>
              </w:rPr>
            </w:pPr>
          </w:p>
        </w:tc>
        <w:tc>
          <w:tcPr>
            <w:tcW w:w="37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11,569,364</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Blackrock, Inc.(2)</w:t>
            </w:r>
          </w:p>
        </w:tc>
        <w:tc>
          <w:tcPr>
            <w:tcW w:w="5240" w:type="dxa"/>
            <w:vAlign w:val="bottom"/>
            <w:gridSpan w:val="3"/>
          </w:tcPr>
          <w:p>
            <w:pPr>
              <w:jc w:val="right"/>
              <w:ind w:right="680"/>
              <w:spacing w:after="0"/>
              <w:rPr>
                <w:sz w:val="20"/>
                <w:szCs w:val="20"/>
                <w:color w:val="auto"/>
              </w:rPr>
            </w:pPr>
            <w:r>
              <w:rPr>
                <w:rFonts w:ascii="Arial" w:cs="Arial" w:eastAsia="Arial" w:hAnsi="Arial"/>
                <w:sz w:val="18"/>
                <w:szCs w:val="18"/>
                <w:color w:val="auto"/>
              </w:rPr>
              <w:t>8,339,208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Capital Management LLC(3)</w:t>
            </w:r>
          </w:p>
        </w:tc>
        <w:tc>
          <w:tcPr>
            <w:tcW w:w="5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6,315,844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(15 persons)(4)</w:t>
            </w:r>
          </w:p>
        </w:tc>
        <w:tc>
          <w:tcPr>
            <w:tcW w:w="5240" w:type="dxa"/>
            <w:vAlign w:val="bottom"/>
            <w:gridSpan w:val="3"/>
          </w:tcPr>
          <w:p>
            <w:pPr>
              <w:jc w:val="right"/>
              <w:ind w:right="680"/>
              <w:spacing w:after="0"/>
              <w:rPr>
                <w:sz w:val="20"/>
                <w:szCs w:val="20"/>
                <w:color w:val="auto"/>
              </w:rPr>
            </w:pPr>
            <w:r>
              <w:rPr>
                <w:rFonts w:ascii="Arial" w:cs="Arial" w:eastAsia="Arial" w:hAnsi="Arial"/>
                <w:sz w:val="18"/>
                <w:szCs w:val="18"/>
                <w:color w:val="auto"/>
              </w:rPr>
              <w:t>2,310,895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356"/>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720" w:type="dxa"/>
            <w:vAlign w:val="bottom"/>
          </w:tcPr>
          <w:p>
            <w:pPr>
              <w:jc w:val="right"/>
              <w:ind w:right="269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52"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Schedule 13G/A filed by FMR LLC, or FMR, with the SEC on February 13, 2015, as of December 31, 2014, FMR had sole power to vote or direct the vote over 454,322 shares and sole power to dispose or direct the disposition of 11,569,364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jc w:val="both"/>
        <w:ind w:left="460" w:right="20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Schedule 13G filed by Blackrock, Inc., or Blackrock, with the SEC on February 3, 2015, as of December 31, 2014, Blackrock had sole voting power over 7,228,965 of our ordinary shares and sole dispositive power over 8,339,208 of our ordinary shares. The address of Blackrock is 55 East 52nd Street, New York, New York 10022.</w:t>
      </w:r>
    </w:p>
    <w:p>
      <w:pPr>
        <w:spacing w:after="0" w:line="1" w:lineRule="exact"/>
        <w:rPr>
          <w:rFonts w:ascii="Arial" w:cs="Arial" w:eastAsia="Arial" w:hAnsi="Arial"/>
          <w:sz w:val="18"/>
          <w:szCs w:val="18"/>
          <w:color w:val="auto"/>
        </w:rPr>
      </w:pPr>
    </w:p>
    <w:p>
      <w:pPr>
        <w:ind w:left="460" w:right="160" w:hanging="452"/>
        <w:spacing w:after="0" w:line="300"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a Schedule 13G/A filed by Janus Capital Management LLC, or Janus, with the SEC on February 2, 2015, as of December 31, 2014, Janus has a direct 96.81% ownership stake in INTECH Investment Management, or INTECH, and a direct 100% ownership stake in Perkins Investment Management LLC, or Perkins. Due to this ownership structure, holdings for Janus, Perkins and INTECH are aggregated. Janus, Perkins and INTECH are registered investment advisers, each furnishing investment advice to various investment companies registered under Section 8 of the Investment Company Act of</w:t>
      </w:r>
    </w:p>
    <w:p>
      <w:pPr>
        <w:spacing w:after="0" w:line="1" w:lineRule="exact"/>
        <w:rPr>
          <w:rFonts w:ascii="Arial" w:cs="Arial" w:eastAsia="Arial" w:hAnsi="Arial"/>
          <w:sz w:val="15"/>
          <w:szCs w:val="15"/>
          <w:color w:val="auto"/>
        </w:rPr>
      </w:pPr>
    </w:p>
    <w:p>
      <w:pPr>
        <w:ind w:left="460"/>
        <w:spacing w:after="0" w:line="250" w:lineRule="auto"/>
        <w:rPr>
          <w:rFonts w:ascii="Arial" w:cs="Arial" w:eastAsia="Arial" w:hAnsi="Arial"/>
          <w:sz w:val="15"/>
          <w:szCs w:val="15"/>
          <w:color w:val="auto"/>
        </w:rPr>
      </w:pPr>
      <w:r>
        <w:rPr>
          <w:rFonts w:ascii="Arial" w:cs="Arial" w:eastAsia="Arial" w:hAnsi="Arial"/>
          <w:sz w:val="18"/>
          <w:szCs w:val="18"/>
          <w:color w:val="auto"/>
        </w:rPr>
        <w:t>1940 and to individual and institutional clients (collectively, the “Managed Portfolios”). As a result of its role as investment adviser or sub-adviser to the Managed Portfolios, Janus may be deemed to be the beneficial owner of 5,910,344 ordinary shares held by the Managed Portfolios. However, Janus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405,500 ordinary shares held by the Managed Portfolios. However, INTECH does not have the right to receive any dividends from, or the proceeds from the sale of, the securities held in the Managed Portfolios and disclaims any ownership associated with such rights. The address of Janus Capital is 151 Detroit Street, Denver, Colorado 80206. The address of INTECH is 525 Okeechobee Blvd, Suite 1800, West Palm Beach, Florida 33401.</w:t>
      </w:r>
    </w:p>
    <w:p>
      <w:pPr>
        <w:spacing w:after="0" w:line="3" w:lineRule="exact"/>
        <w:rPr>
          <w:rFonts w:ascii="Arial" w:cs="Arial" w:eastAsia="Arial" w:hAnsi="Arial"/>
          <w:sz w:val="15"/>
          <w:szCs w:val="15"/>
          <w:color w:val="auto"/>
        </w:rPr>
      </w:pPr>
    </w:p>
    <w:p>
      <w:pPr>
        <w:ind w:left="460" w:right="380" w:hanging="452"/>
        <w:spacing w:after="0" w:line="32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options held by such directors and executive officers that are exercisable within 60 days after December 7, 2015. As of such date, none of our directors, senior managers or key employees beneficially owned 1% or more of our outstanding ordinary shares.</w:t>
      </w:r>
    </w:p>
    <w:p>
      <w:pPr>
        <w:spacing w:after="0" w:line="1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Manning &amp; Napier Advisors, Inc. reported beneficial ownership over 5.02% of our ordinary shares in fiscal 2014. Manning &amp; Napier Advisors, Inc.’s beneficial ownership decreased below 5% in fiscal 2015.</w:t>
      </w:r>
    </w:p>
    <w:p>
      <w:pPr>
        <w:spacing w:after="0" w:line="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December 7, 2015, our ordinary shares were held by 1,922 record holders. Based on a review of the information provided to us by our transfer agent, 908 record holders, holding approximately 96.5% of our outstanding ordinary shares held of record, were residents of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“Financial Statements” for our audited Consolidated Financial Statements and Financial Statement Schedule filed as part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consolidated financial position, results of operations or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 The following table sets forth the high and low reported sale prices for our ordinary shares for the periods indicated:</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September 30,</w:t>
            </w:r>
          </w:p>
        </w:tc>
        <w:tc>
          <w:tcPr>
            <w:tcW w:w="2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2011</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$32.00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$25.41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$33.79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$25.67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2013</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$39.01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$31.41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$48.99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$36.39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2015</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$61.46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$44.06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Fiscal 2014:</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$41.50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$36.39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$46.85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$40.39</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$48.99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$44.73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$48.50</w:t>
            </w: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$ 44.11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2015:</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$48.91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$44.06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$54.97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$45.75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$56.97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$53.22</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$61.46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$51.56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Fiscal 2016:</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 November 30, 2015)</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$61.27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$53.83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June 2015</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$56.97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$54.57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July 2015</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$61.46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$53.80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August 2015</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$60.74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$51.56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September 2015</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$58.87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$55.93</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October 2015</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$61.27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$55.93</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November 2015</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$61.02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$53.83</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5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January 30, 2014, the Board of Directors was granted a five-year standing authority by the shareholders to issue a maximum of (i) 25,000,000 preferred shares and (ii) 700,000,000 ordinary shares, consisting of voting and non-voting ordinary shares. As of September 30, 2015, 151,150,169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90"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13" w:lineRule="exact"/>
        <w:rPr>
          <w:rFonts w:ascii="Arial" w:cs="Arial" w:eastAsia="Arial" w:hAnsi="Arial"/>
          <w:sz w:val="16"/>
          <w:szCs w:val="16"/>
          <w:color w:val="auto"/>
        </w:rPr>
      </w:pPr>
    </w:p>
    <w:p>
      <w:pPr>
        <w:jc w:val="both"/>
        <w:ind w:left="660" w:right="100" w:hanging="206"/>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to provide for the designations, powers, preferences and relative participating, optional or other special rights and qualifications, limitations or restrictions thereon.</w:t>
      </w:r>
    </w:p>
    <w:p>
      <w:pPr>
        <w:spacing w:after="0" w:line="59"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 one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at different times may differ as to the dates from which dividends shall accrue.</w:t>
      </w:r>
    </w:p>
    <w:p>
      <w:pPr>
        <w:spacing w:after="0" w:line="50" w:lineRule="exact"/>
        <w:rPr>
          <w:rFonts w:ascii="Arial" w:cs="Arial" w:eastAsia="Arial" w:hAnsi="Arial"/>
          <w:sz w:val="18"/>
          <w:szCs w:val="18"/>
          <w:color w:val="auto"/>
        </w:rPr>
      </w:pPr>
    </w:p>
    <w:p>
      <w:pPr>
        <w:ind w:left="660" w:right="20" w:hanging="206"/>
        <w:spacing w:after="0" w:line="29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in the event of any liquidation, dissolution or winding-up of Amdocs Limited, the holders of preferred shares are entitled to a preference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39" w:lineRule="exact"/>
        <w:rPr>
          <w:rFonts w:ascii="Arial" w:cs="Arial" w:eastAsia="Arial" w:hAnsi="Arial"/>
          <w:sz w:val="16"/>
          <w:szCs w:val="16"/>
          <w:color w:val="auto"/>
        </w:rPr>
      </w:pPr>
    </w:p>
    <w:p>
      <w:pPr>
        <w:ind w:left="660" w:right="200" w:hanging="206"/>
        <w:spacing w:after="0" w:line="370" w:lineRule="auto"/>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 except as otherwise provided for by the directors upon the issue of any new series of preferred shares, the holders of preferred shares</w:t>
      </w:r>
      <w:r>
        <w:rPr>
          <w:rFonts w:ascii="Arial" w:cs="Arial" w:eastAsia="Arial" w:hAnsi="Arial"/>
          <w:sz w:val="15"/>
          <w:szCs w:val="15"/>
          <w:i w:val="1"/>
          <w:iCs w:val="1"/>
          <w:color w:val="auto"/>
        </w:rPr>
        <w:t xml:space="preserve"> </w:t>
      </w:r>
      <w:r>
        <w:rPr>
          <w:rFonts w:ascii="Arial" w:cs="Arial" w:eastAsia="Arial" w:hAnsi="Arial"/>
          <w:sz w:val="15"/>
          <w:szCs w:val="15"/>
          <w:color w:val="auto"/>
        </w:rPr>
        <w:t>have no right or power to vote on any question or in any proceeding or to be represented at, or to receive notice of, any meeting of shareholders.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51" w:lineRule="exact"/>
        <w:rPr>
          <w:sz w:val="20"/>
          <w:szCs w:val="20"/>
          <w:color w:val="auto"/>
        </w:rPr>
      </w:pPr>
    </w:p>
    <w:p>
      <w:pPr>
        <w:ind w:left="66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when and as dividends are declared on our shares, the holders of voting ordinary shares and non-voting shares are entitled to share equally,</w:t>
      </w:r>
      <w:r>
        <w:rPr>
          <w:rFonts w:ascii="Arial" w:cs="Arial" w:eastAsia="Arial" w:hAnsi="Arial"/>
          <w:sz w:val="18"/>
          <w:szCs w:val="18"/>
          <w:i w:val="1"/>
          <w:iCs w:val="1"/>
          <w:color w:val="auto"/>
        </w:rPr>
        <w:t xml:space="preserve"> </w:t>
      </w:r>
      <w:r>
        <w:rPr>
          <w:rFonts w:ascii="Arial" w:cs="Arial" w:eastAsia="Arial" w:hAnsi="Arial"/>
          <w:sz w:val="18"/>
          <w:szCs w:val="18"/>
          <w:color w:val="auto"/>
        </w:rPr>
        <w:t>share for share, in such dividends except that if dividends are declared that are payable in voting ordinary shares or non-voting ordinary shares, dividends must be declared that are payable at the same rate in both classes of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Non-Voting Ordinary Shares into Voting Ordinary Shares </w:t>
      </w:r>
      <w:r>
        <w:rPr>
          <w:rFonts w:ascii="Arial" w:cs="Arial" w:eastAsia="Arial" w:hAnsi="Arial"/>
          <w:sz w:val="18"/>
          <w:szCs w:val="18"/>
          <w:color w:val="auto"/>
        </w:rPr>
        <w:t>— upon the transfer of non-voting ordinary shares from the original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to any third party not affiliated with such original holder, non-voting ordinary shares are redesignated in our books as voting ordinary shares and automatically convert into the same number of voting ordinary shares.</w:t>
      </w:r>
    </w:p>
    <w:p>
      <w:pPr>
        <w:spacing w:after="0" w:line="59" w:lineRule="exact"/>
        <w:rPr>
          <w:rFonts w:ascii="Arial" w:cs="Arial" w:eastAsia="Arial" w:hAnsi="Arial"/>
          <w:sz w:val="18"/>
          <w:szCs w:val="18"/>
          <w:color w:val="auto"/>
        </w:rPr>
      </w:pPr>
    </w:p>
    <w:p>
      <w:pPr>
        <w:ind w:left="660" w:right="220" w:hanging="206"/>
        <w:spacing w:after="0" w:line="33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paid in full shall be distributed to the holders of voting ordinary shares and non-voting ordinary shares equally share for share.</w:t>
      </w:r>
    </w:p>
    <w:p>
      <w:pPr>
        <w:spacing w:after="0" w:line="4"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 of non-voting ordinary shares are not entitled to any voting rights.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 priorities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as are set out in the Articles.</w:t>
      </w:r>
    </w:p>
    <w:p>
      <w:pPr>
        <w:spacing w:after="0" w:line="51"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26"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9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no provisions in the Memorandum or Articles that provide for a classified board of directors or for cumulative voting for directors.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32" w:lineRule="exact"/>
        <w:rPr>
          <w:sz w:val="20"/>
          <w:szCs w:val="20"/>
          <w:color w:val="auto"/>
        </w:rPr>
      </w:pPr>
    </w:p>
    <w:p>
      <w:pPr>
        <w:ind w:right="820" w:firstLine="456"/>
        <w:spacing w:after="0" w:line="391" w:lineRule="auto"/>
        <w:rPr>
          <w:sz w:val="20"/>
          <w:szCs w:val="20"/>
          <w:color w:val="auto"/>
        </w:rPr>
      </w:pPr>
      <w:r>
        <w:rPr>
          <w:rFonts w:ascii="Arial" w:cs="Arial" w:eastAsia="Arial" w:hAnsi="Arial"/>
          <w:sz w:val="18"/>
          <w:szCs w:val="18"/>
          <w:color w:val="auto"/>
        </w:rPr>
        <w:t xml:space="preserve">The directors may reduce our share capital or any other capital subject to us satisfying the solvency requirements set out in the Companies Law. </w:t>
      </w:r>
      <w:r>
        <w:rPr>
          <w:rFonts w:ascii="Arial" w:cs="Arial" w:eastAsia="Arial" w:hAnsi="Arial"/>
          <w:sz w:val="18"/>
          <w:szCs w:val="18"/>
          <w:b w:val="1"/>
          <w:bCs w:val="1"/>
          <w:color w:val="auto"/>
        </w:rPr>
        <w:t>Material Contracts</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December 12, 2014, we entered into an Amended and Restated Credit Agreement among us, certain of our subsidiaries, the lenders from time to time party thereto, JPMorgan Chase Bank, N.A., as administrative agent, J.P. Morgan Europe Limited, as London agent, and JPMorgan Chase Bank, N.A., Toronto branch, as Canadian agent, providing for an unsecured $500 million five-year revolving credit facility with a syndicate of banks. The facility is available for general corporate purposes, including acquisitions and repurchases of our ordinary shares that we may consider from time to time, and has a maturity date in December 2019.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color w:val="auto"/>
        </w:rPr>
        <w:t>Amended and Restated Credit Agreement replaces our Credit Agreement, dated as of December 20, 2011, by and among us, certain of our subsidiaries, JPMorgan Chase Bank, N.A., as administrative agent, J.P. Morgan Europe Limited, as London agent, and JPMorgan Chase Bank, N.A., Toronto branch, as Canadian agent.</w:t>
      </w:r>
    </w:p>
    <w:p>
      <w:pPr>
        <w:ind w:left="460"/>
        <w:spacing w:after="0"/>
        <w:rPr>
          <w:sz w:val="20"/>
          <w:szCs w:val="20"/>
          <w:color w:val="auto"/>
        </w:rPr>
      </w:pPr>
      <w:r>
        <w:rPr>
          <w:rFonts w:ascii="Arial" w:cs="Arial" w:eastAsia="Arial" w:hAnsi="Arial"/>
          <w:sz w:val="16"/>
          <w:szCs w:val="16"/>
          <w:color w:val="auto"/>
        </w:rPr>
        <w:t>In the past two years, we have not entered into any other material contracts other than contracts entered into in the ordinary course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was 13.1% for fiscal 2015, compared to 13.8% for fiscal 2014 and 13.3% for fiscal 2013.</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legislation in Guernsey subjects us to the standard rate of corporate income tax for a Guernsey resident company of zero percent.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Indian Tax Considerations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Through a subsidiary, we operate development centers and a business processing operations center in India. In 2015, the corporate tax rate applicable in India on trading activities was 34.6%. Our subsidiary in India operates under specific favorable tax entitlements that are based upon pre-approved information technology related services activity. As a result, these activities are entitled to considerable corporate income tax exemptions on eligible profits from export of services derived from such pre-approved information technology activity, provided our subsidiary continues to meet the conditions required for such tax benefits. However, as of April 1, 2011, the Minimum Alternative Tax, or MAT, became applicable to all of our Indian operations. The MAT is levied on book profits at the effective rate of 20% and can be carried forward for 10 years to be credited against corporate income taxes. Our Indian subsidiary, as per part of its operating units, is subject to a separate tax entitlement under which such units are exempt from tax on the respective tax incentive-eligible activity for the first five years of operations and enjoys a 50% reduction on its corporate income tax for such activity for the following five years. After 10 years of operations, such 50% reduction may be available for an additional five years, subject to further investment-related undertakings that we would be required to make. Under Indian laws, any dividend distribution by our Indian subsidiary would be subject to a dividend distribution tax at the new effective rate of 20.358% beginning on April 1, 2015, to be paid by such subsidiary. The Indian government, during the tax speech for tax year 2015-2016, has stated its intention to gradually reduce the corporate income tax rate.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Israeli Tax Considerations</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51" w:lineRule="exact"/>
        <w:rPr>
          <w:sz w:val="20"/>
          <w:szCs w:val="20"/>
          <w:color w:val="auto"/>
        </w:rPr>
      </w:pPr>
    </w:p>
    <w:p>
      <w:pPr>
        <w:ind w:right="420" w:firstLine="456"/>
        <w:spacing w:after="0" w:line="357" w:lineRule="auto"/>
        <w:rPr>
          <w:sz w:val="20"/>
          <w:szCs w:val="20"/>
          <w:color w:val="auto"/>
        </w:rPr>
      </w:pPr>
      <w:r>
        <w:rPr>
          <w:rFonts w:ascii="Arial" w:cs="Arial" w:eastAsia="Arial" w:hAnsi="Arial"/>
          <w:sz w:val="15"/>
          <w:szCs w:val="15"/>
          <w:i w:val="1"/>
          <w:iCs w:val="1"/>
          <w:color w:val="auto"/>
        </w:rPr>
        <w:t xml:space="preserve">General Corporate Taxation in Israel. </w:t>
      </w:r>
      <w:r>
        <w:rPr>
          <w:rFonts w:ascii="Arial" w:cs="Arial" w:eastAsia="Arial" w:hAnsi="Arial"/>
          <w:sz w:val="15"/>
          <w:szCs w:val="15"/>
          <w:color w:val="auto"/>
        </w:rPr>
        <w:t>The general corporate tax rate on taxable income is 26.5% (scheduled to be reduced to 25% with effect as of</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 2016). However, the effective tax rate payable by an Israeli company that derives income from an Approved Enterprise may be considerably less.</w:t>
      </w:r>
    </w:p>
    <w:p>
      <w:pPr>
        <w:ind w:firstLine="456"/>
        <w:spacing w:after="0" w:line="259"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“Approved Enterprise” status pursuant to the Law for the Encouragement of Capital Investments, 1959, or the Investment Law, which provides certain tax and financial benefits to investment programs that have been granted such status.</w:t>
      </w:r>
    </w:p>
    <w:p>
      <w:pPr>
        <w:spacing w:after="0" w:line="5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general, investment programs of our primary Israeli subsidiary that have already obtained instruments of approval for an Approved Enterprise issued by the Israeli Investment Center prior to the change in legislation in 2005 continue to be subject to the old provisions of the Investment Law as described below. In addition, our primary Israeli subsidiary obtained expansions to its Approved Enterprise approval under the terms of the Investment Law of 2005.</w:t>
      </w:r>
    </w:p>
    <w:p>
      <w:pPr>
        <w:spacing w:after="0" w:line="2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Benefits. </w:t>
      </w:r>
      <w:r>
        <w:rPr>
          <w:rFonts w:ascii="Arial" w:cs="Arial" w:eastAsia="Arial" w:hAnsi="Arial"/>
          <w:sz w:val="18"/>
          <w:szCs w:val="18"/>
          <w:color w:val="auto"/>
        </w:rPr>
        <w:t>Taxable income derived from an Approved Enterprise is subject to a reduced corporate tax rate of 25% until the earliest of:</w:t>
      </w:r>
    </w:p>
    <w:p>
      <w:pPr>
        <w:spacing w:after="0" w:line="90" w:lineRule="exact"/>
        <w:rPr>
          <w:sz w:val="20"/>
          <w:szCs w:val="20"/>
          <w:color w:val="auto"/>
        </w:rPr>
      </w:pPr>
    </w:p>
    <w:p>
      <w:pPr>
        <w:ind w:left="660" w:right="22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 consecutive years (or ten in the case of an FIC (as defined below)) commencing in the year in which the Approved Enterprise first generates taxable income,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12 years from the year of commencement of production,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14 years from the year of the approval of the Approved Enterprise status.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Such income is eligible for further reductions in tax rates if we qualify as a Foreign Investors’ Company, or FIC, depending on the percentage of the foreign ownership. Subject to certain conditions, an FIC is a company more than 25% of whose share capital (in terms of shares, rights to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primary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4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2005 amendment to the Investment Law introduced various changes to the Approved Enterprise regime. The tax rates applicable to the route elected by our primary Israeli subsidiary under the 2005 amendment are similar to the tax rates that applied prior to the 2005 amendment (as detailed above).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primary Israeli subsidiary has elected the alternative benefits with respect to its current Approved Enterprise and its expansions, pursuant to which the primary Israeli subsidiary enjoys, in relation to its Approved Enterprise operations, certain tax holidays, based on the location of activities within Israel, for a period of two to ten years and, in the case of a two year tax holiday, reduced tax rates for an additional period of up to eight years. In case this primary Israeli subsidiary pays a dividend, at any time, out of income earned during the tax holiday period in respect of its Approved Enterprise, it will be subject to corporate tax at the otherwise applicable rate of 10% of the income from which such dividend has been paid (or up to 25% if the foreign investment in the year in which the income from which the dividend is distributed was lower than 90%). This tax is in addition to the withholding tax on dividends as described below. Specific investment programs of our primary Israeli subsidiary and the income derived therefrom, are entitled to reduced tax rates for 13 years (instead of the eight-year period referred to above). The tax benefits, available with respect to an Approved Enterprise only to taxable income attributable to that specific enterprise, are provided according to an allocation formula set forth in the Investment Law or in the instrument of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recent years changes were introduced to the Investment Law, specifically a major amendment of the Investment Law in 2011. Among other things, these changes include a prospective termination of all tax incentives available under the law prior to the amendment. The amendment to the Investment Law also introduced a new concept of “Preferred Enterprise”. However, under the transition rules, with respect to the applicability of the provisions of the Investment Law as amended in 2011, benefits granted pursuant to incentive programs commenced prior to 2011 would continue to apply until their expiration, unless the company affirmatively elects to apply the regime provided pursuant to the amended Investment Law. Additionally, the amendments include a tax incentive package that consists of flat tax rates of 10% through 15%, depending on the geographic location of the activities of the taxable entity, for calendar years 2011 through 2012; 7% through 12.5%, for the taxable entity calendar year 2013, and 9% through 16% for calendar years 2014 and thereafter, depending on the geographic location of the activities. These incentives would apply to industrial companies that meet certain criteria.</w:t>
      </w:r>
    </w:p>
    <w:p>
      <w:pPr>
        <w:spacing w:after="0" w:line="37" w:lineRule="exact"/>
        <w:rPr>
          <w:sz w:val="20"/>
          <w:szCs w:val="20"/>
          <w:color w:val="auto"/>
        </w:rPr>
      </w:pPr>
    </w:p>
    <w:p>
      <w:pPr>
        <w:ind w:left="240" w:right="1180" w:firstLine="228"/>
        <w:spacing w:after="0" w:line="391" w:lineRule="auto"/>
        <w:rPr>
          <w:sz w:val="20"/>
          <w:szCs w:val="20"/>
          <w:color w:val="auto"/>
        </w:rPr>
      </w:pPr>
      <w:r>
        <w:rPr>
          <w:rFonts w:ascii="Arial" w:cs="Arial" w:eastAsia="Arial" w:hAnsi="Arial"/>
          <w:sz w:val="18"/>
          <w:szCs w:val="18"/>
          <w:color w:val="auto"/>
        </w:rPr>
        <w:t xml:space="preserve">In 2015, our primary Israeli subsidiary continues to apply the benefits under the terms of the law as provided prior to the 2011 amendment. </w:t>
      </w:r>
      <w:r>
        <w:rPr>
          <w:rFonts w:ascii="Arial" w:cs="Arial" w:eastAsia="Arial" w:hAnsi="Arial"/>
          <w:sz w:val="18"/>
          <w:szCs w:val="18"/>
          <w:i w:val="1"/>
          <w:iCs w:val="1"/>
          <w:color w:val="auto"/>
        </w:rPr>
        <w:t>Dividends</w:t>
      </w:r>
    </w:p>
    <w:p>
      <w:pPr>
        <w:spacing w:after="0" w:line="1"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Dividends paid out of income derived by an Approved Enterprise are subject to withholding tax at a reduced rate compared to the 30% withholding tax generally applicable to dividends paid out of income derived by a non-Approved Enterprise. If we pay a dividend from our primary Israeli subsidiary, such dividend will likely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exempt income generated during the tax holiday period related to its Approved Enterprise status.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discussion describes the material U.S. federal income tax consequences to a U.S. holder of the ownership or disposition of our ordinary shares. A U.S. holder is:</w:t>
      </w:r>
    </w:p>
    <w:p>
      <w:pPr>
        <w:spacing w:after="0" w:line="51" w:lineRule="exact"/>
        <w:rPr>
          <w:sz w:val="20"/>
          <w:szCs w:val="20"/>
          <w:color w:val="auto"/>
        </w:rPr>
      </w:pPr>
    </w:p>
    <w:p>
      <w:pPr>
        <w:ind w:left="1120" w:hanging="21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0" w:hanging="297"/>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 holder of ordinary shares that is not a U.S. holder.</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holder of ordinary shares based on such holder’s particular circumstances (including potential application of the alternative minimum tax), U.S.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In general, U.S. corporate shareholders will not be entitled to any deduction for distributions received as dividends on the ordinary shares.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Dividend income is generally taxed as ordinary income. However, a maximum U.S. federal income tax rate of 20% currently applies to “qualified dividend income” received by individuals (as well as certain trusts and estates),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Nasdaq, we believe that dividends paid by us with respect to our ordinary shares should constitute “qualified dividend income” for U.S. federal income tax purposes, provided that the holding period requirements are satisfied and none of the other special exceptions applies. However, dividends paid by us will not qualify for the 20% U.S. federal income tax rate if we are treated, for the tax year in which the dividends are paid or the preceding tax year, as a “passive foreign investment company” for U.S. federal income tax purposes.</w:t>
      </w:r>
    </w:p>
    <w:p>
      <w:pPr>
        <w:spacing w:after="0" w:line="3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U.S. Internal Revenue Code of 1986, as amended, include,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5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U.S. holders generally will be subject to information reporting requirements with respect to dividends that are paid within the United States or through U.S.-related financial intermediaries, as well as with respect to disposition of our ordinary shares, unless the U.S. holder is an “exempt recipient.” U.S. holders may also be subject to backup withholding (currently at a 28%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6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Disposition of Ordinary Shares. </w:t>
      </w:r>
      <w:r>
        <w:rPr>
          <w:rFonts w:ascii="Arial" w:cs="Arial" w:eastAsia="Arial" w:hAnsi="Arial"/>
          <w:sz w:val="16"/>
          <w:szCs w:val="16"/>
          <w:color w:val="auto"/>
        </w:rPr>
        <w:t>Upon the sale, exchange or other disposition of our ordinary shares, a U.S. holder generally will recognize capital gain or</w:t>
      </w:r>
      <w:r>
        <w:rPr>
          <w:rFonts w:ascii="Arial" w:cs="Arial" w:eastAsia="Arial" w:hAnsi="Arial"/>
          <w:sz w:val="16"/>
          <w:szCs w:val="16"/>
          <w:i w:val="1"/>
          <w:iCs w:val="1"/>
          <w:color w:val="auto"/>
        </w:rPr>
        <w:t xml:space="preserve"> </w:t>
      </w:r>
      <w:r>
        <w:rPr>
          <w:rFonts w:ascii="Arial" w:cs="Arial" w:eastAsia="Arial" w:hAnsi="Arial"/>
          <w:sz w:val="16"/>
          <w:szCs w:val="16"/>
          <w:color w:val="auto"/>
        </w:rPr>
        <w:t>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U.S. federal tax income rate of 20%. Gains realized by a U.S. holder on a sale, exchange or other disposition of ordinary shares generally will be treated as U.S. source income for U.S. foreign tax credit purposes.</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Medicare Contribution Tax</w:t>
      </w:r>
      <w:r>
        <w:rPr>
          <w:rFonts w:ascii="Arial" w:cs="Arial" w:eastAsia="Arial" w:hAnsi="Arial"/>
          <w:sz w:val="18"/>
          <w:szCs w:val="18"/>
          <w:color w:val="auto"/>
        </w:rPr>
        <w:t>. U.S. holders who are individuals, estates and certain trusts may be required to pay a 3.8% Medicare tax on their net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(including dividends on and gains from the sale or other disposition of our ordinary shares) or, in the case of trusts and estates, on their net investment income that is not distributed. In each case, the 3.8% Medicare tax applies only to the extent that the U.S. holder’s total modified adjusted income exceeds certain thresholds.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Information Reporting.</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certain circumstances, we or our paying agent may be required, pursuant to the Code (or analogous provisions of non-U.S. law) and regulations or pronouncements thereunder, any “intergovernmental agreement” entered into pursuant to those provisions or any U.S. or non-U.S. fiscal or regulatory legislation, rules, guidance notes or practices adopted pursuant to any such agreement, to withhold tax at a rate of 30% on all or a portion of payments of dividends or other amounts that are treated as “foreign pass-thru payments” and are made on or after January 1, 2019, if such payments are not exempt from such withholding. We believe, and this discussion assumes, that under current law payments we make on account of our ordinary shares will not be “foreign pass-thru payments” subject to such withholding; however, our treatment under these rules is not completely clear and further guidance may be issued by the IRS that would clarify how these rules might apply to dividends or other amounts paid on or with respect to ordinary shares.</w:t>
      </w:r>
    </w:p>
    <w:p>
      <w:pPr>
        <w:spacing w:after="0" w:line="3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Certain U.S. holders are required to report information with respect to their investment in our ordinary shares not held through a custodial account with a U.S. financial institution to the IRS. In general, U.S. taxpayers holding specified “foreign financial assets” (which generally would include our ordinary shares) with an aggregate value exceeding certain threshold amounts should report information about those assets on IRS Form 8938, which must be attached to the taxpayer’s annual income tax return. Investors who fail to report required information could become subject to substantial penalties.</w:t>
      </w:r>
    </w:p>
    <w:p>
      <w:pPr>
        <w:spacing w:after="0" w:line="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Passive Foreign Investment Company Considerations. </w:t>
      </w:r>
      <w:r>
        <w:rPr>
          <w:rFonts w:ascii="Arial" w:cs="Arial" w:eastAsia="Arial" w:hAnsi="Arial"/>
          <w:sz w:val="18"/>
          <w:szCs w:val="18"/>
          <w:color w:val="auto"/>
        </w:rPr>
        <w:t>If, during any taxable year, 75% or more of our gross income consists of certain types of passive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or the average 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we do not intend to take steps necessary to qualify as a qualified electing fund. However, if we are treated as a passive foreign investment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company, a U.S. holder may be subject to increased tax liability upon the sale of our ordinary shares or upon the receipt of certain distributions, unless such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makes an election to mark our ordinary shares to market annually.</w:t>
      </w:r>
    </w:p>
    <w:p>
      <w:pPr>
        <w:spacing w:after="0" w:line="84"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guarantee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Some of this information may also be found on our website at </w:t>
      </w:r>
      <w:r>
        <w:rPr>
          <w:rFonts w:ascii="Arial" w:cs="Arial" w:eastAsia="Arial" w:hAnsi="Arial"/>
          <w:sz w:val="16"/>
          <w:szCs w:val="16"/>
          <w:i w:val="1"/>
          <w:iCs w:val="1"/>
          <w:color w:val="auto"/>
        </w:rPr>
        <w:t>www.amdocs.com.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159" w:lineRule="exact"/>
        <w:rPr>
          <w:sz w:val="20"/>
          <w:szCs w:val="20"/>
          <w:color w:val="auto"/>
        </w:rPr>
      </w:pPr>
    </w:p>
    <w:p>
      <w:pPr>
        <w:ind w:right="4620"/>
        <w:spacing w:after="0" w:line="347"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spacing w:after="0" w:line="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fiscal 2015, approximately 70% to 80% of our revenue and approximately 50% to 60% of our operating expenses were in U.S. dollars or linked to the U.S. dollar.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2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Canadian dollars, euros and Australian dollars, and anticipated costs to be incurred in a foreign currency, primarily Israeli shekels, Indian rupees and British pounds. We also use such contracts to hedge the net impact of the variability in exchange rates on certain balance sheet items such as accounts receivable and employee related accruals denominated primarily in Israeli shekels, Canadian dollars, euros and Australian dollars.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2015. Notional values are in U.S. dollars and are translated and calculated based on forward rates as of September 30, 2105, for forward contracts, and based on spot rates as of September 30, 2015 for options.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Fair Value of</w:t>
            </w:r>
          </w:p>
        </w:tc>
      </w:tr>
      <w:tr>
        <w:trPr>
          <w:trHeight w:val="161"/>
        </w:trPr>
        <w:tc>
          <w:tcPr>
            <w:tcW w:w="76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Notional Value*</w:t>
            </w:r>
          </w:p>
        </w:tc>
        <w:tc>
          <w:tcPr>
            <w:tcW w:w="10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CCEEFF"/>
            </w:tcBorders>
          </w:tcPr>
          <w:p>
            <w:pPr>
              <w:spacing w:after="0"/>
              <w:rPr>
                <w:sz w:val="14"/>
                <w:szCs w:val="14"/>
                <w:color w:val="auto"/>
              </w:rPr>
            </w:pPr>
          </w:p>
        </w:tc>
      </w:tr>
      <w:tr>
        <w:trPr>
          <w:trHeight w:val="210"/>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 (in millions)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5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interest expenses and income are sensitive to changes in interest rates, as all of our cash and some of our borrowings, are subject to interest rate changes. Our short-term interest-bearing investments are invested in short-term conservative debt instruments, primarily U.S. dollar-denominated, and consist mainly of money market funds, U.S. government treasuries, corporate bonds and U.S. agency securities. As of September 30, 2015, there was $220.0 million of short-term outstanding borrowing under our revolving lines of credit, which we repaid in October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With the participation of the Chief Executive Officer and Chief Financial Officer of Amdocs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Management Limited, our management evaluated the effectiveness of our disclosure controls and procedures as of September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2015,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2015, which is included herein.</w:t>
      </w:r>
    </w:p>
    <w:p>
      <w:pPr>
        <w:spacing w:after="0" w:line="3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year ended September 30, 2015 that has materially affected, or is reasonably likely to materially affect, our internal control over financial reporting.</w:t>
      </w:r>
    </w:p>
    <w:p>
      <w:pPr>
        <w:spacing w:after="0" w:line="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8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Ernst &amp; Young billed us approximately $3.2 million for audit services for fiscal 2015, including fees associated with the annual audit and reviews of our quarterly financial results submitted on Form 6-K, consultations on various accounting issues and performance of local statutory audits. Ernst &amp; Young billed us approximately $3.2 million for audit services for fiscal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Ernst &amp; Young billed us approximately $1.3 million for audit-related services for fiscal 2015. Audit-related services principally include SSAE 16 report issuances and due diligence examinations. Ernst &amp; Young billed us approximately $1.0 million for audit-related services for fiscal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Ernst &amp; Young billed us approximately $1.3 million for tax advice, including fees associated with tax compliance, tax advice and tax planning services for fiscal 2015. Ernst &amp; Young billed us approximately $1.2 million for tax advice in fiscal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2015 or fiscal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2015, our Audit Committee approved all of the services provided by Ernst &amp; Young.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2015 of equity securities that are registered by us pursuant to Section 12 of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(c)</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46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(b)</w:t>
            </w: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Publicly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3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460" w:type="dxa"/>
            <w:vAlign w:val="bottom"/>
          </w:tcPr>
          <w:p>
            <w:pPr>
              <w:spacing w:after="0"/>
              <w:rPr>
                <w:sz w:val="12"/>
                <w:szCs w:val="12"/>
                <w:color w:val="auto"/>
              </w:rPr>
            </w:pPr>
          </w:p>
        </w:tc>
        <w:tc>
          <w:tcPr>
            <w:tcW w:w="18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May Yet Be Purchased Under</w:t>
            </w:r>
          </w:p>
        </w:tc>
        <w:tc>
          <w:tcPr>
            <w:tcW w:w="0" w:type="dxa"/>
            <w:vAlign w:val="bottom"/>
          </w:tcPr>
          <w:p>
            <w:pPr>
              <w:spacing w:after="0"/>
              <w:rPr>
                <w:sz w:val="1"/>
                <w:szCs w:val="1"/>
                <w:color w:val="auto"/>
              </w:rPr>
            </w:pPr>
          </w:p>
        </w:tc>
      </w:tr>
      <w:tr>
        <w:trPr>
          <w:trHeight w:val="148"/>
        </w:trPr>
        <w:tc>
          <w:tcPr>
            <w:tcW w:w="3900" w:type="dxa"/>
            <w:vAlign w:val="bottom"/>
            <w:gridSpan w:val="4"/>
            <w:vMerge w:val="continue"/>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880" w:type="dxa"/>
            <w:vAlign w:val="bottom"/>
          </w:tcPr>
          <w:p>
            <w:pPr>
              <w:spacing w:after="0"/>
              <w:rPr>
                <w:sz w:val="12"/>
                <w:szCs w:val="12"/>
                <w:color w:val="auto"/>
              </w:rPr>
            </w:pPr>
          </w:p>
        </w:tc>
        <w:tc>
          <w:tcPr>
            <w:tcW w:w="19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Paid per Share(1)</w:t>
            </w:r>
          </w:p>
        </w:tc>
        <w:tc>
          <w:tcPr>
            <w:tcW w:w="15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8"/>
              </w:rPr>
              <w:t>or Programs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Plans 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10/1/14-10/31/14</w:t>
            </w:r>
          </w:p>
        </w:tc>
        <w:tc>
          <w:tcPr>
            <w:tcW w:w="2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714,780</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45.66</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714,780</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681,340,772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11/1/14-11/30/14</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676,700</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47.57</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676,700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649,149,166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12/1/14-12/31/14</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773,300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47.55</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773,300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612,379,633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01/1/15-01/31/15</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482,337</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47.11</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482,337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589,657,841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02/1/15-02/28/15</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759,116</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50.05</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759,116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551,661,025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03/1/15-03/31/15</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944,787</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52.72</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944,787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501,849,195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04/1/15-04/30/15</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378,410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54.40</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378,410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481,265,103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05/1/15-05/31/15</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353,045</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54.48</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353,045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462,029,864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06/1/15-06/30/15</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361,390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55.84</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361,390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441,849,361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07/1/15-07/31/15</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377,730</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55.76</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377,730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420,786,245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08/1/15-08/31/15</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1,345,069</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58.48</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1,345,069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342,133,227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09/1/15-09/30/15</w:t>
            </w:r>
          </w:p>
        </w:tc>
        <w:tc>
          <w:tcPr>
            <w:tcW w:w="24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1,429,603</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57.39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1,429,603</w:t>
            </w: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260,088,342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8,596,267</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52.80</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8,596,267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260,088,342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15" w:lineRule="exact"/>
        <w:rPr>
          <w:rFonts w:ascii="Arial" w:cs="Arial" w:eastAsia="Arial" w:hAnsi="Arial"/>
          <w:sz w:val="18"/>
          <w:szCs w:val="18"/>
          <w:color w:val="auto"/>
        </w:rPr>
      </w:pPr>
    </w:p>
    <w:p>
      <w:pPr>
        <w:ind w:left="460" w:right="100" w:hanging="452"/>
        <w:spacing w:after="0" w:line="29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From time to time, our Board of Directors has adopted share repurchase plans authorizing the repurchase of our outstanding ordinary shares. Our current share repurchase plan, adopted in April 2014, authorizes the repurchase of up to $750.0 million of our outstanding ordinary shares with no expiration date. In fiscal 2015, we repurchased 8.6 million ordinary shares at an average price of $52.80 per share (excluding broker and transaction fees). As of September 30, 2015, we had remaining authority to repurchase up to $260.1 million of our outstanding ordinary shares. The authorization permits us to purchase our ordinary shares in open market or privately negotiated transactions at times and prices that we consider appropriate.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96"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During fiscal 2014, we purchased for cash $0.4 million aggregate principal amount of our convertible notes due 2024. Pursuant to the indenture governing the notes, the notes became convertible into our ordinary shares, at the holder’s option, beginning on July 1, 2015, and as of October 31, 2015, we had issued an aggregate of 5,989 ordinary shares upon the conversion of notes. As of October 31, 2015, $0.4 million principal amount of the notes remained outstanding.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Nasdaq listing standards. For further information regarding our corporate governance practices, please refer to our Notice and Proxy Statement to be mailed to our shareholders in December 2015, and to our website at www.amdocs.com.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Schedule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and Financial Statement Schedule of Amdocs Limited, with respect to financial results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2014 and 2013, are included at the end of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Balance Sheets as of September 30, 2015 and 2014</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Income for the fiscal years ended September 30, 2015, 2014 and 2013</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Comprehensive Income for the fiscal years ended September 30, 2015, 2014 and 2013</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Cash Flows for the fiscal years ended September 30, 2015, 2014 and 2013</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Valuation and Qualifying Accounts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on the Exhibit Index hereof are filed herewith in response to this Item.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Matthew E. Smith</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2015</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240" w:top="459"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68"/>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3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1.1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Amended and Restated Memorandum of Incorporation of Amdocs Limited (incorporated by reference to Exhibits 99.1 to Amdocs’ Form 6-K filed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January 26, 2009)</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1.2</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Amended and Restated Articles of Incorporation of Amdocs Limited (incorporated by reference to Exhibit 1.2 to Amdocs’ Annual Report on Form</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20-F, filed December 7, 2010)</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2.a.1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Indenture, dated March 5, 2004, between Amdocs Limited and The Bank of New York, as trustee, for 0.50% Convertible Senior Notes due 2024</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by reference to Exhibit 99.1 to Amdocs’ Form 6-K, filed March 5, 2004)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Agreement between Amdocs, Inc. and SBC Services, Inc. for Software and Professional Services, effective August 7, 2003 (incorporated by</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89"/>
              </w:rPr>
              <w:t>reference to Exhibit 99.3 to Amdocs’ Amendment No. 1 to Registration Statement on Form F-3, dated September 21, 2004, Registration No. 333-</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rPr>
              <w:t>114344)</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4.b.2†</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1"/>
              </w:rPr>
              <w:t>Amendments Nos. 1-33 to Agreement between the Company and AT&amp;T Services, Inc. (f/k/a SBC Services, Inc.) for Software and Professional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Services effective August 7, 2003 (incorporated by reference to Exhibit 4.b.2 to Amdocs’ Annual Report on Form 20-F, filed December 8, 2014)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4.b.3†</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Amendments Nos. 34-39 to Agreement between the Company and AT&amp;T Services, Inc. (f/k/a SBC Services, Inc.) for Software and Professional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Services effective August 7, 2003</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4.b.4</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Amended and Restated Credit Agreement, dated as of December 12, 2014, among Amdocs Limited, certain of its subsidiaries, the lenders from</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time to time party thereto, JPMorgan Chase Bank, N.A., as administrative agent, J.P. Morgan Europe Limited, as London agent, and JPMorgan</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89"/>
              </w:rPr>
              <w:t>Chase Bank, N.A., Toronto branch, as Canadian agent (incorporated by reference to Exhibit 99.1 to Amdocs’ Report of Foreign Private Issuer on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Form 6-K dated December 12, 2014)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4.c.1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Amdocs Limited 1998 Stock Option and Incentive Plan, as amended (incorporated by reference to Appendix C to Amdocs’ Report of Foreign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Private Issuer on Form 6-K filed December 22, 2011)</w:t>
            </w:r>
          </w:p>
        </w:tc>
      </w:tr>
    </w:tbl>
    <w:p>
      <w:pPr>
        <w:spacing w:after="0" w:line="102" w:lineRule="exact"/>
        <w:rPr>
          <w:sz w:val="20"/>
          <w:szCs w:val="20"/>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Subsidiaries of Amdocs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46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12.2</w:t>
            </w:r>
          </w:p>
        </w:tc>
        <w:tc>
          <w:tcPr>
            <w:tcW w:w="1046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13.1</w:t>
            </w:r>
          </w:p>
        </w:tc>
        <w:tc>
          <w:tcPr>
            <w:tcW w:w="1046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13.2</w:t>
            </w:r>
          </w:p>
        </w:tc>
        <w:tc>
          <w:tcPr>
            <w:tcW w:w="1046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14.1</w:t>
            </w:r>
          </w:p>
        </w:tc>
        <w:tc>
          <w:tcPr>
            <w:tcW w:w="1046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100.1</w:t>
            </w: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The following financial information from Amdocs Limited’s Annual Report on Form 20-F for the year ended September 30, 2015, formatted in</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Extensible Business Reporting Language (XBRL): (i) Consolidated Balance Sheets as of September 30, 2015 and 2014, (ii) Consolidated</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8"/>
              </w:rPr>
              <w:t>Statements of Income for the years ended September 30, 2015, 2014 and 2013, (iii) Consolidated Statements of Comprehensive Income for the</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6"/>
              </w:rPr>
              <w:t>years ended September 30, 2015, 2014 and 2013, (iv) the Consolidated Statements of Cash Flows for the years ended September 30, 2015, 2014</w:t>
            </w:r>
          </w:p>
        </w:tc>
      </w:tr>
      <w:tr>
        <w:trPr>
          <w:trHeight w:val="222"/>
        </w:trPr>
        <w:tc>
          <w:tcPr>
            <w:tcW w:w="72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and 2013, and (iv) Notes to Consolidated Financial Statements</w:t>
            </w:r>
          </w:p>
        </w:tc>
      </w:tr>
    </w:tbl>
    <w:p>
      <w:pPr>
        <w:ind w:left="460" w:right="64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10940" w:type="dxa"/>
            <w:vAlign w:val="bottom"/>
            <w:gridSpan w:val="11"/>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10"/>
          </w:tcPr>
          <w:p>
            <w:pPr>
              <w:spacing w:after="0" w:line="184" w:lineRule="exact"/>
              <w:rPr>
                <w:rFonts w:ascii="Arial" w:cs="Arial" w:eastAsia="Arial" w:hAnsi="Arial"/>
                <w:sz w:val="18"/>
                <w:szCs w:val="18"/>
                <w:color w:val="0000EE"/>
              </w:rPr>
            </w:pPr>
            <w:hyperlink w:anchor="page72">
              <w:r>
                <w:rPr>
                  <w:rFonts w:ascii="Arial" w:cs="Arial" w:eastAsia="Arial" w:hAnsi="Arial"/>
                  <w:sz w:val="18"/>
                  <w:szCs w:val="18"/>
                  <w:color w:val="0000EE"/>
                </w:rPr>
                <w:t>Management’s Report on Internal Control Over Financial Reporting</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Reports of Independent Registered Public Accounting Firm</w:t>
              </w:r>
            </w:hyperlink>
          </w:p>
        </w:tc>
        <w:tc>
          <w:tcPr>
            <w:tcW w:w="59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Balance Sheets as of September 30, 2015 and 2014</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Income for the fiscal years ended September 30, 2015, 2014 and 2013</w:t>
              </w:r>
            </w:hyperlink>
          </w:p>
        </w:tc>
        <w:tc>
          <w:tcPr>
            <w:tcW w:w="38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Comprehensive Income for the fiscal years ended September 30, 2015, 2014 and 2013</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60" w:type="dxa"/>
            <w:vAlign w:val="bottom"/>
            <w:gridSpan w:val="5"/>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Consolidated Statements of Changes in Shareholders’ Equity for the fiscal years ended September 30, 2015, 2014 and 2013</w:t>
              </w:r>
            </w:hyperlink>
          </w:p>
        </w:tc>
        <w:tc>
          <w:tcPr>
            <w:tcW w:w="19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2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Cash Flows for the fiscal years ended September 30, 2015, 2014 and 2013</w:t>
              </w:r>
            </w:hyperlink>
          </w:p>
        </w:tc>
        <w:tc>
          <w:tcPr>
            <w:tcW w:w="35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3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Notes to the Consolidated Financial Statements</w:t>
              </w:r>
            </w:hyperlink>
          </w:p>
        </w:tc>
        <w:tc>
          <w:tcPr>
            <w:tcW w:w="738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F-10</w:t>
            </w:r>
          </w:p>
        </w:tc>
        <w:tc>
          <w:tcPr>
            <w:tcW w:w="0" w:type="dxa"/>
            <w:vAlign w:val="bottom"/>
          </w:tcPr>
          <w:p>
            <w:pPr>
              <w:spacing w:after="0"/>
              <w:rPr>
                <w:sz w:val="1"/>
                <w:szCs w:val="1"/>
                <w:color w:val="auto"/>
              </w:rPr>
            </w:pPr>
          </w:p>
        </w:tc>
      </w:tr>
      <w:tr>
        <w:trPr>
          <w:trHeight w:val="228"/>
        </w:trPr>
        <w:tc>
          <w:tcPr>
            <w:tcW w:w="1094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10"/>
          </w:tcPr>
          <w:p>
            <w:pPr>
              <w:spacing w:after="0" w:line="184" w:lineRule="exact"/>
              <w:rPr>
                <w:rFonts w:ascii="Arial" w:cs="Arial" w:eastAsia="Arial" w:hAnsi="Arial"/>
                <w:sz w:val="18"/>
                <w:szCs w:val="18"/>
                <w:color w:val="0000EE"/>
              </w:rPr>
            </w:pPr>
            <w:hyperlink w:anchor="page107">
              <w:r>
                <w:rPr>
                  <w:rFonts w:ascii="Arial" w:cs="Arial" w:eastAsia="Arial" w:hAnsi="Arial"/>
                  <w:sz w:val="18"/>
                  <w:szCs w:val="18"/>
                  <w:color w:val="0000EE"/>
                </w:rPr>
                <w:t>Valuation and Qualifying Accounts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w w:val="97"/>
              </w:rPr>
              <w:t>F-37</w:t>
            </w: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5"/>
          </w:tcPr>
          <w:p>
            <w:pPr>
              <w:ind w:left="60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 w:lineRule="exact"/>
        <w:rPr>
          <w:sz w:val="20"/>
          <w:szCs w:val="20"/>
          <w:color w:val="auto"/>
        </w:rPr>
      </w:pPr>
    </w:p>
    <w:p>
      <w:pPr>
        <w:ind w:left="660" w:right="7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2015. In making this assessment, the Company’s management used the criteria set forth by the Committee of Sponsoring Organizations of the Treadway Commission (2013 framework) in Internal Control-Integrated Framework.</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its assessment, management concluded that, as of September 30, 2015, the Company’s internal control over financial reporting is effective based on those criteria.</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Amdocs Limited as of September 30, 2015 and 2014, and the related consolidated statements of income, comprehensive income, changes in shareholders’ equity, and cash flows for each of the three years in the period ended September 30, 2015. Our audits also included the financial statement schedule listed in the Index at Item 18 of Part III. These financial statements and schedule are the responsibility of the Company’s management. Our responsibility is to express an opinion on these financial statements and schedule based on our audits.</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Amdocs Limited at September 30, 2015 and 2014, and the consolidated results of its operations and its cash flows for each of the three years in the period ended September 30,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Amdocs Limited’s internal control over financial reporting as of September 30, 2015, based on criteria established in Internal Control-Integrated Framework issued by the Committee of Sponsoring Organizations of the Treadway Commission (2013 framework) and our report dated December 10, 2015 expressed an unqualified opinion thereon.</w:t>
      </w:r>
    </w:p>
    <w:p>
      <w:pPr>
        <w:spacing w:after="0" w:line="8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audited Amdocs Limited’s internal control over financial reporting as of September 30, 2015, based on criteria established in Internal Control — Integrated Framework issued by the Committee of Sponsoring Organizations of the Treadway Commission (2013 framework)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Amdocs Limited maintained, in all material respects, effective internal control over financial reporting as of September 30, 2015, based on the COSO criteria.</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Amdocs Limited as of September 30, 2015 and 2014, and the related consolidated statements of income, comprehensive income, changes in shareholders’ equity, and cash flows for each of the three years in the period ended September 30, 2015 of Amdocs Limited and our report dated December 10, 2015 expressed an unqualified opinion thereon.</w:t>
      </w:r>
    </w:p>
    <w:p>
      <w:pPr>
        <w:spacing w:after="0" w:line="14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1,035,573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1,103,269</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318,439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321,196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715,837</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Deferred income taxes and taxes receivable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193,207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148,346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2,378,162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2,423,974</w:t>
            </w:r>
          </w:p>
        </w:tc>
        <w:tc>
          <w:tcPr>
            <w:tcW w:w="0" w:type="dxa"/>
            <w:vAlign w:val="bottom"/>
          </w:tcPr>
          <w:p>
            <w:pPr>
              <w:spacing w:after="0"/>
              <w:rPr>
                <w:sz w:val="1"/>
                <w:szCs w:val="1"/>
                <w:color w:val="auto"/>
              </w:rPr>
            </w:pPr>
          </w:p>
        </w:tc>
      </w:tr>
      <w:tr>
        <w:trPr>
          <w:trHeight w:val="217"/>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288,956</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2,049,093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1,925,225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181,227</w:t>
            </w:r>
          </w:p>
        </w:tc>
        <w:tc>
          <w:tcPr>
            <w:tcW w:w="0" w:type="dxa"/>
            <w:vAlign w:val="bottom"/>
          </w:tcPr>
          <w:p>
            <w:pPr>
              <w:spacing w:after="0"/>
              <w:rPr>
                <w:sz w:val="1"/>
                <w:szCs w:val="1"/>
                <w:color w:val="auto"/>
              </w:rPr>
            </w:pP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335,560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5,324,652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5,185,277</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111,974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142,627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422,291</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220,630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198,470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156,743</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1,363,503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1,200,747</w:t>
            </w:r>
          </w:p>
        </w:tc>
        <w:tc>
          <w:tcPr>
            <w:tcW w:w="0" w:type="dxa"/>
            <w:vAlign w:val="bottom"/>
          </w:tcPr>
          <w:p>
            <w:pPr>
              <w:spacing w:after="0"/>
              <w:rPr>
                <w:sz w:val="1"/>
                <w:szCs w:val="1"/>
                <w:color w:val="auto"/>
              </w:rPr>
            </w:pPr>
          </w:p>
        </w:tc>
      </w:tr>
      <w:tr>
        <w:trPr>
          <w:trHeight w:val="217"/>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311,134</w:t>
            </w:r>
          </w:p>
        </w:tc>
        <w:tc>
          <w:tcPr>
            <w:tcW w:w="0" w:type="dxa"/>
            <w:vAlign w:val="bottom"/>
          </w:tcPr>
          <w:p>
            <w:pPr>
              <w:spacing w:after="0"/>
              <w:rPr>
                <w:sz w:val="1"/>
                <w:szCs w:val="1"/>
                <w:color w:val="auto"/>
              </w:rPr>
            </w:pP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248,322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1,917,810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1,789,441</w:t>
            </w:r>
          </w:p>
        </w:tc>
        <w:tc>
          <w:tcPr>
            <w:tcW w:w="0" w:type="dxa"/>
            <w:vAlign w:val="bottom"/>
          </w:tcPr>
          <w:p>
            <w:pPr>
              <w:spacing w:after="0"/>
              <w:rPr>
                <w:sz w:val="1"/>
                <w:szCs w:val="1"/>
                <w:color w:val="auto"/>
              </w:rPr>
            </w:pPr>
          </w:p>
        </w:tc>
      </w:tr>
      <w:tr>
        <w:trPr>
          <w:trHeight w:val="222"/>
        </w:trPr>
        <w:tc>
          <w:tcPr>
            <w:tcW w:w="90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40" w:type="dxa"/>
            <w:vAlign w:val="bottom"/>
          </w:tcPr>
          <w:p>
            <w:pPr>
              <w:ind w:left="220"/>
              <w:spacing w:after="0"/>
              <w:rPr>
                <w:sz w:val="20"/>
                <w:szCs w:val="20"/>
                <w:color w:val="auto"/>
              </w:rPr>
            </w:pPr>
            <w:r>
              <w:rPr>
                <w:rFonts w:ascii="Arial" w:cs="Arial" w:eastAsia="Arial" w:hAnsi="Arial"/>
                <w:sz w:val="18"/>
                <w:szCs w:val="18"/>
                <w:color w:val="auto"/>
                <w:w w:val="92"/>
              </w:rPr>
              <w:t>Ordinary Shares — Authorized 700,000 shares; £0.01 par value; 267,777 and 264,735 issued and 151,150 and 156,704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tcPr>
          <w:p>
            <w:pPr>
              <w:ind w:left="440"/>
              <w:spacing w:after="0"/>
              <w:rPr>
                <w:sz w:val="20"/>
                <w:szCs w:val="20"/>
                <w:color w:val="auto"/>
              </w:rPr>
            </w:pPr>
            <w:r>
              <w:rPr>
                <w:rFonts w:ascii="Arial" w:cs="Arial" w:eastAsia="Arial" w:hAnsi="Arial"/>
                <w:sz w:val="18"/>
                <w:szCs w:val="18"/>
                <w:color w:val="auto"/>
              </w:rPr>
              <w:t>outstanding, in 2015 and 2014, respectively</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17"/>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3,182,573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3,054,780</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Treasury stock, at cost — 116,627 and 108,031 ordinary shares in 2015 and 2014, respectively</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(3,611,105)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(3,157,085)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(16,753)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3,847,796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3,503,829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3,406,842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3,395,836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tcPr>
          <w:p>
            <w:pPr>
              <w:ind w:left="44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5,324,652</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5,185,277</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 Ended September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3,643,538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3,563,637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3,345,854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2,349,488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2,306,892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2,167,052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254,944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257,896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440,085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445,134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70,073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58,067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3,127,590</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3,067,989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2,864,302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515,948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495,648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513,404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489,550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Income taxes</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446,163</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422,122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412,439</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2.65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6"/>
          </w:tcPr>
          <w:p>
            <w:pPr>
              <w:ind w:left="62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$ 446,163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$ 422,122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$ 412,439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fair value of cash flow hedges(1)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(10,218)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Net change in fair value of available-for-sale securities(2)</w:t>
            </w: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actuarial (losses) gains on defined benefit plan(3)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 net of tax</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gridSpan w:val="2"/>
            <w:vMerge w:val="continue"/>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(6,781)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(10,604)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$ 439,382</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$ 411,518</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$ 438,572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9436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5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benefit (expense) of $2,627, $4,413 and $(7,413) for the fiscal years ended September 30, 2015, 2014 and 2013,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benefit (expense) of $5, $2 and $(49) for the fiscal years ended September 30, 2015, 2014 and 2013,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(expense) benefit of $(81), $38 and $(1,196) for the fiscal years ended September 30, 2015,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400" w:type="dxa"/>
            <w:vAlign w:val="bottom"/>
            <w:gridSpan w:val="4"/>
            <w:vMerge w:val="restart"/>
          </w:tcPr>
          <w:p>
            <w:pPr>
              <w:jc w:val="right"/>
              <w:ind w:right="152"/>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1"/>
                <w:szCs w:val="11"/>
                <w:color w:val="auto"/>
              </w:rPr>
            </w:pPr>
          </w:p>
        </w:tc>
        <w:tc>
          <w:tcPr>
            <w:tcW w:w="13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1"/>
                <w:szCs w:val="11"/>
                <w:color w:val="auto"/>
              </w:rPr>
            </w:pPr>
          </w:p>
        </w:tc>
        <w:tc>
          <w:tcPr>
            <w:tcW w:w="9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4"/>
              </w:rPr>
              <w:t>Retained</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Shareholders’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Shares</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Income(1)</w:t>
            </w:r>
          </w:p>
        </w:tc>
        <w:tc>
          <w:tcPr>
            <w:tcW w:w="8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October 1, 2012</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162,454</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4,077</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2,625,250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(2,418,010)</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(25,501)</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2,847,386</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3,033,202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412,439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412,439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26,133</w:t>
            </w:r>
          </w:p>
        </w:tc>
        <w:tc>
          <w:tcPr>
            <w:tcW w:w="80" w:type="dxa"/>
            <w:vAlign w:val="bottom"/>
          </w:tcPr>
          <w:p>
            <w:pPr>
              <w:spacing w:after="0"/>
              <w:rPr>
                <w:sz w:val="13"/>
                <w:szCs w:val="13"/>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438,572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7,243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213,308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(10,370)</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(367,061)</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Cash dividends declared ($0.520 per ordinary share)</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(83,700)</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40,340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160,062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2,878,898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(2,785,071)</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632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3,176,125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3,274,783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422,122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422,122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(10,604)</w:t>
            </w:r>
          </w:p>
        </w:tc>
        <w:tc>
          <w:tcPr>
            <w:tcW w:w="80" w:type="dxa"/>
            <w:vAlign w:val="bottom"/>
          </w:tcPr>
          <w:p>
            <w:pPr>
              <w:spacing w:after="0"/>
              <w:rPr>
                <w:sz w:val="13"/>
                <w:szCs w:val="13"/>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411,518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4,395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128,063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(8,425)</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(372,014)</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($0.595 per ordinary share)</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(94,418)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44,578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44,578</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September 30, 2014</w:t>
            </w: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156,704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4,284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3,054,780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4"/>
              </w:rPr>
              <w:t>(3,157,085)</w:t>
            </w:r>
          </w:p>
        </w:tc>
        <w:tc>
          <w:tcPr>
            <w:tcW w:w="80" w:type="dxa"/>
            <w:vAlign w:val="bottom"/>
          </w:tcPr>
          <w:p>
            <w:pPr>
              <w:spacing w:after="0"/>
              <w:rPr>
                <w:sz w:val="13"/>
                <w:szCs w:val="13"/>
                <w:color w:val="auto"/>
              </w:rPr>
            </w:pPr>
          </w:p>
        </w:tc>
        <w:tc>
          <w:tcPr>
            <w:tcW w:w="13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(9,972)</w:t>
            </w:r>
          </w:p>
        </w:tc>
        <w:tc>
          <w:tcPr>
            <w:tcW w:w="80" w:type="dxa"/>
            <w:vAlign w:val="bottom"/>
          </w:tcPr>
          <w:p>
            <w:pPr>
              <w:spacing w:after="0"/>
              <w:rPr>
                <w:sz w:val="13"/>
                <w:szCs w:val="13"/>
                <w:color w:val="auto"/>
              </w:rPr>
            </w:pPr>
          </w:p>
        </w:tc>
        <w:tc>
          <w:tcPr>
            <w:tcW w:w="9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6"/>
              </w:rPr>
              <w:t>3,503,829</w:t>
            </w:r>
          </w:p>
        </w:tc>
        <w:tc>
          <w:tcPr>
            <w:tcW w:w="80" w:type="dxa"/>
            <w:vAlign w:val="bottom"/>
          </w:tcPr>
          <w:p>
            <w:pPr>
              <w:spacing w:after="0"/>
              <w:rPr>
                <w:sz w:val="13"/>
                <w:szCs w:val="13"/>
                <w:color w:val="auto"/>
              </w:rPr>
            </w:pPr>
          </w:p>
        </w:tc>
        <w:tc>
          <w:tcPr>
            <w:tcW w:w="10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3,395,836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446,163</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446,163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(6,781)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439,382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78,543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(8,596)</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(454,020)</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(454,020)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Cash dividends declared ($0.665 per ordinary share)</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(102,196)</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44,560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44,560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151,150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3,182,573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(3,611,105)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(16,753)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3,847,796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3,406,842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9436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47" w:lineRule="exact"/>
        <w:rPr>
          <w:sz w:val="20"/>
          <w:szCs w:val="20"/>
          <w:color w:val="auto"/>
        </w:rPr>
      </w:pPr>
    </w:p>
    <w:p>
      <w:pPr>
        <w:ind w:left="340" w:right="140" w:hanging="332"/>
        <w:spacing w:after="0" w:line="318"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As of September 30, 2015, 2014 and 2013, accumulated other comprehensive (loss) income is comprised of unrealized (loss) gain on derivatives, net of tax, of $(12,152), $(5,522) and $4,696, unrealized gain (loss) on short-term interest-bearing investments, net of tax, of $319, $(39) and $244 and unrealized (loss) on defined benefit plan, net of tax, of $(4,920), $(4,411) and $(4,308).</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446,163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422,122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174,795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162,772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(26,887)</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(20,263)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772,622</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709,258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(120,503)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(111,569)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252,818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379,484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(250,184)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(389,800)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(263,193)</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(180,540)</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(379,654)</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(298,553)</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(210,000)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(200,000)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(454,020)</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(372,014)</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(100,790)</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(90,939)</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(460,664)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(321,628)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(238,384)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(67,696)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89,077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1,103,269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1,014,192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1,035,573</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1,103,269</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1,014,192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and Income Taxes Paid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51,141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59,216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Entity</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entertainment and media industry service providers. The Company and its subsidiaries operate in one segment, providing integrated products and services. The Company designs, develops, markets, supports, implements and operates customer experience solutions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certain immaterial amounts in prior years’ financial statements may be reclassified to conform to the current year’s presentation. Effective October 1, 2014, the Company combined the presentation of license and service revenue, as well as the related costs, since license revenue comprises an insignificant portion of total revenue.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The Company classifies all of its short-term interest-bearing investments as available-for-sale securities. Such short-term interest-bearing investments consist primarily of money market funds, U.S. government treasuries, corporate bonds and U.S. agency securities, which are stated at market value. Unrealized gains and losses are comprised of the difference between market value and amortized costs of such securities and are reflected, net of tax, as “accumulated other comprehensive (loss) income” in shareholders’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(loss) income. The Company uses a discounted cash flow analysis to determine the portion of the impairment that relates to the credit losses. To the extent that the net present value of the projected cash flows is less than the amortized cost of the security, the difference is considered credit loss. Realized gains and losses on short-term interest-bearing investments are included in earnings and are derived using the first-in-first-out (FIFO) method for determining the cost of securities.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and Leasehold Improvements</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Equipment and leasehold improvements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capitalizes certain expenditures for software that is internally developed for use in the business, which is classified as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internal use software begins when the software is ready for service and continues on the straight-line method over the estimated useful life.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51"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90" w:lineRule="exact"/>
        <w:rPr>
          <w:sz w:val="20"/>
          <w:szCs w:val="20"/>
          <w:color w:val="auto"/>
        </w:rPr>
      </w:pPr>
    </w:p>
    <w:p>
      <w:pPr>
        <w:ind w:left="1140" w:hanging="21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business combination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w:t>
      </w:r>
    </w:p>
    <w:p>
      <w:pPr>
        <w:spacing w:after="0" w:line="3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accordance with business combination accounting,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Company’s consolidated statements of income.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commercially viable products and estimated cash flows from the projects when completed and the acquired company’s brand awareness and discount 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w:t>
      </w:r>
    </w:p>
    <w:p>
      <w:pPr>
        <w:spacing w:after="0" w:line="8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5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 Company will not be able to realize their benefit.</w:t>
      </w:r>
    </w:p>
    <w:p>
      <w:pPr>
        <w:spacing w:after="0" w:line="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5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10 to the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revenue is generally recognized over the course of these long-term projects, using the percentage of completion method of accounting, usually based on a percentage that incurred labor effort to date bears to total projected labor effort.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3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Initial license fee for software revenue is recognized as work is performed, under the percentage of completion method of accounting. Contingent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implementation and modification is recognized upon delivery. Revenue that does not involve significant ongoing obligations is recognized as services are rendered.</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managed services contracts and in other long term contracts, revenue from the operation of a customer’s system is recognized either as services are performed based on time elapsed, output produced, volume of data processed or subscriber count, depending on the specific contract terms of the managed services arrangement. Typically, managed services contracts are long term in duration and are not subject to seasonality. Revenue from ongoing support services is recognized as work is performed.</w:t>
      </w:r>
    </w:p>
    <w:p>
      <w:pPr>
        <w:spacing w:after="0" w:line="6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latitude in determining prices and selecting suppliers. In specific circumstances where the Company does not meet the above criteria, particularly when the contract stipulates that the Company is not the primary obligor, the Company recognizes revenue on a net basis. Revenue from third-party sales was less than 10% of revenue in each of fiscal 2015, 2014 and 2013. In certain arrangements, the Company may earn revenue from other third-party services which is recorded at a gross amount as the Company is the primary obligor under the arrangement.</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Maintenance revenue is recognized ratably over the term of the maintenance agreement, which in most cases is one year.</w:t>
      </w:r>
    </w:p>
    <w:p>
      <w:pPr>
        <w:spacing w:after="0" w:line="90" w:lineRule="exact"/>
        <w:rPr>
          <w:sz w:val="20"/>
          <w:szCs w:val="20"/>
          <w:color w:val="auto"/>
        </w:rPr>
      </w:pPr>
    </w:p>
    <w:p>
      <w:pPr>
        <w:ind w:right="80" w:firstLine="456"/>
        <w:spacing w:after="0" w:line="357" w:lineRule="auto"/>
        <w:rPr>
          <w:sz w:val="20"/>
          <w:szCs w:val="20"/>
          <w:color w:val="auto"/>
        </w:rPr>
      </w:pPr>
      <w:r>
        <w:rPr>
          <w:rFonts w:ascii="Arial" w:cs="Arial" w:eastAsia="Arial" w:hAnsi="Arial"/>
          <w:sz w:val="15"/>
          <w:szCs w:val="15"/>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ind w:right="80" w:firstLine="456"/>
        <w:spacing w:after="0" w:line="286" w:lineRule="auto"/>
        <w:rPr>
          <w:sz w:val="20"/>
          <w:szCs w:val="20"/>
          <w:color w:val="auto"/>
        </w:rPr>
      </w:pPr>
      <w:r>
        <w:rPr>
          <w:rFonts w:ascii="Arial" w:cs="Arial" w:eastAsia="Arial" w:hAnsi="Arial"/>
          <w:sz w:val="16"/>
          <w:szCs w:val="16"/>
          <w:color w:val="auto"/>
        </w:rPr>
        <w:t>Many of the Company’s agreements include multiple deliverables. The Company’s multiple element arrangements are comprised of a variety of different combinations of the deliverables mentioned above. For multiple element arrangements within the scope of software revenue recognition guidance, the Company allocates revenue to each element based upon its relative fair value as determined by Vendor Specific Objective Evidence (“VSOE”). In the absence of fair value for a delivered element the Company uses the residual method. The residual method requires that the Company first allocate revenue to the fair value of the undelivered elements and residual revenue to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Under the guidance for revenue arrangements with multiple deliverables that are outside the scope of the software revenue recognition guidance, the Company allocates revenue to each element based upon the relative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w:t>
      </w:r>
    </w:p>
    <w:p>
      <w:pPr>
        <w:spacing w:after="0" w:line="3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 consists of all costs associated with providing software licenses and services to customers, including identified losses on contracts.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Estimated losses on contracts accounted for using the percentage of completion method of accounting are recognized in the period in which the loss is identified.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of license includes license fees and royalty payments to software suppliers.</w:t>
      </w:r>
    </w:p>
    <w:p>
      <w:pPr>
        <w:spacing w:after="0" w:line="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 of revenue also includes costs of third-party products associated with reselling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jc w:val="both"/>
        <w:ind w:right="380" w:firstLine="456"/>
        <w:spacing w:after="0" w:line="259"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5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the Asia-Pacific region and Latin America. Most of the Company’s customers are among the largest communications and directory publishing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39"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As of September 30, 2015, the Company had one customer with an accounts receivable balance of more than 10% of total accounts receivable, amounting to 35%, which was higher than its respective portion of total revenue. As of September 30, 2014, the Company had one customer with an accounts receivable balance of more than 10% of total accounts receivable, amounting to 32%, which was lower than its respective portion of total revenue.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the effect of dilutive outstanding equity-based awards using the treasury stock method and the effect of dilutive outstanding convertible notes using the if-converted method.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(loss) income until the hedged item is recognized in earnings as interest and other expense, net. The ineffective portion of a derivative designated as a cash flow hedge is recognized in earnings. If a derivative does not meet the definition of a cash flow hedge, the changes in the fair value are included in earnings.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November 2015, the Financial Accounting Standards Board, or FASB, issued an Accounting Standard Update, or ASU, that requires that all deferred tax assets and liabilities, along with any related valuation allowance, be classified as noncurrent on the balance sheet. This ASU, which may be adopted either prospectively or retrospectively, will be effective for the Company on October 1, 2017, and early adoption is permitted. Adoption of the ASU may result in changes in the Company’s financial statements presentation but will not affect the substantive content of the Company’s consolidated financial statements.</w:t>
      </w:r>
    </w:p>
    <w:p>
      <w:pPr>
        <w:spacing w:after="0" w:line="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September 2015, the FASB issued an ASU on simplifying the accounting for measurement-period adjustments.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the Company with respect to measurement-period adjustments that occur after October 1, 2017.</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May 2014, the FASB issued an ASU on revenue from contracts with customers,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as of the original effective date, fiscal years beginning after December 15, 2016, will be permitted. The Company is currently evaluating the methods and its timing of adoption, as well as the effect that adoption of this ASU will have on its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2013, the FASB issued an ASU that requires an entity to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the Company in the first quarter of fiscal 2015 and its adoption resulted in a reclassification of $15,000 from noncurrent taxes payable to assets under noncurrent deferred income taxes as of December 31, 2014.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fiscal 2013, the Company acquired Actix International Limited (“Actix”), a provider of software for mobile network optimization, for $112,405, net of cash. During fiscal 2014, the Company acquired substantially all of the assets of Celcite Management Solutions LLC (“Celcite”), a provider of network management and self-optimizing network solutions, for $142,077 in cash, with the potential for additional consideration to be paid in the future if certain performance metrics are achieved.</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July 2, 2015, the Company acquired a substantial majority of the assets of the business support systems (BSS) business unit of Comverse, Inc. (“Comverse”) for $268,073 in cash, of which a total of $13,000 was attributable to a restructuring activity initiated by the Company and was recorded in the consolidated statements of income, in accordance with authoritative guidance for business combinations. Upon this acquisition, the Company and Comverse signed a transition services agreement for services to be performed by Comverse for an agreed period following the acquisition date. This acquisition geographically complements the Company’s market focus by expanding and diversifying its global customer base, particularly in Asia Pacific, Latin America and Europe. Please see Note 9 to the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90"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90"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2015 and 2014:</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84"/>
              </w:rPr>
              <w:t>As of September 30, 2015</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8"/>
              </w:rPr>
              <w:t>Level 2</w:t>
            </w:r>
          </w:p>
        </w:tc>
        <w:tc>
          <w:tcPr>
            <w:tcW w:w="240" w:type="dxa"/>
            <w:vAlign w:val="bottom"/>
          </w:tcPr>
          <w:p>
            <w:pPr>
              <w:spacing w:after="0"/>
              <w:rPr>
                <w:sz w:val="12"/>
                <w:szCs w:val="12"/>
                <w:color w:val="auto"/>
              </w:rPr>
            </w:pPr>
          </w:p>
        </w:tc>
        <w:tc>
          <w:tcPr>
            <w:tcW w:w="8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Level 3</w:t>
            </w:r>
          </w:p>
        </w:tc>
        <w:tc>
          <w:tcPr>
            <w:tcW w:w="24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9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900" w:type="dxa"/>
            <w:vAlign w:val="bottom"/>
            <w:gridSpan w:val="3"/>
          </w:tcPr>
          <w:p>
            <w:pPr>
              <w:jc w:val="right"/>
              <w:ind w:right="320"/>
              <w:spacing w:after="0"/>
              <w:rPr>
                <w:sz w:val="20"/>
                <w:szCs w:val="20"/>
                <w:color w:val="auto"/>
              </w:rPr>
            </w:pPr>
            <w:r>
              <w:rPr>
                <w:rFonts w:ascii="Arial" w:cs="Arial" w:eastAsia="Arial" w:hAnsi="Arial"/>
                <w:sz w:val="18"/>
                <w:szCs w:val="18"/>
                <w:color w:val="auto"/>
              </w:rPr>
              <w:t>$470,286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$470,286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2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117,452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9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101,603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 securities</w:t>
            </w:r>
          </w:p>
        </w:tc>
        <w:tc>
          <w:tcPr>
            <w:tcW w:w="19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19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29,215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2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19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10,443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9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589,753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211,929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801,682</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Derivative financial instruments, net</w:t>
            </w:r>
          </w:p>
        </w:tc>
        <w:tc>
          <w:tcPr>
            <w:tcW w:w="1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(13,097)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(13,097)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9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(3,266)</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290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589,753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198,832</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(3,266)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785,319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00" w:type="dxa"/>
            <w:vAlign w:val="bottom"/>
            <w:gridSpan w:val="3"/>
          </w:tcPr>
          <w:p>
            <w:pPr>
              <w:jc w:val="right"/>
              <w:ind w:right="1720"/>
              <w:spacing w:after="0"/>
              <w:rPr>
                <w:sz w:val="20"/>
                <w:szCs w:val="20"/>
                <w:color w:val="auto"/>
              </w:rPr>
            </w:pPr>
            <w:r>
              <w:rPr>
                <w:rFonts w:ascii="Arial" w:cs="Arial" w:eastAsia="Arial" w:hAnsi="Arial"/>
                <w:sz w:val="18"/>
                <w:szCs w:val="18"/>
                <w:color w:val="auto"/>
              </w:rPr>
              <w:t>F-18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88"/>
              </w:rPr>
              <w:t>As of September 30, 2014</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8"/>
              </w:rPr>
              <w:t>Level 3</w:t>
            </w:r>
          </w:p>
        </w:tc>
        <w:tc>
          <w:tcPr>
            <w:tcW w:w="2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$649,745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$649,745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29,095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Government-guaranteed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Mortgages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770,460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207,179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(35,944)</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(35,944)</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770,460</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205,821</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(35,944)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940,337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2015 or fiscal 2014. Level 3 amounts relate to certain acquisition-related liabilities, which were valued using a Monte-Carlo simulation model. These liabilities were included in accrued expenses and other current liabilities as of September 30, 2015, and in both accrued expenses and other current liabilities and other noncurrent liabilities as of September 30, 2014. The reduction in Level 3 liabilities during fiscal 2015 was recorded in the consolidated statements of income.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carrying amounts of cash and cash equivalents, accounts receivable, accounts payable, accrued personnel costs, short-term financing arrangements and other current liabilities approximate their fair value because of the relatively short maturity of these items.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8"/>
              <w:spacing w:after="0"/>
              <w:rPr>
                <w:sz w:val="20"/>
                <w:szCs w:val="20"/>
                <w:color w:val="auto"/>
              </w:rPr>
            </w:pPr>
            <w:r>
              <w:rPr>
                <w:rFonts w:ascii="Arial" w:cs="Arial" w:eastAsia="Arial" w:hAnsi="Arial"/>
                <w:sz w:val="14"/>
                <w:szCs w:val="14"/>
                <w:b w:val="1"/>
                <w:bCs w:val="1"/>
                <w:color w:val="auto"/>
                <w:w w:val="87"/>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$470,286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$470,286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117,235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117,452</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101,613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101,603</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45,105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45,181</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27,502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27,502</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Total(1)</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801,359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133</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801,682</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September 30, 2015, $318,439 of securities were classified as short term interest-bearing investments and $483,243 of securities were classified as cash and cash equivalents.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$649,745</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$649,745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118,652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118,708</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102,387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102,420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41,658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660" w:type="dxa"/>
            <w:vAlign w:val="bottom"/>
          </w:tcPr>
          <w:p>
            <w:pPr>
              <w:jc w:val="right"/>
              <w:spacing w:after="0"/>
              <w:rPr>
                <w:sz w:val="20"/>
                <w:szCs w:val="20"/>
                <w:color w:val="auto"/>
              </w:rPr>
            </w:pPr>
            <w:r>
              <w:rPr>
                <w:rFonts w:ascii="Arial" w:cs="Arial" w:eastAsia="Arial" w:hAnsi="Arial"/>
                <w:sz w:val="18"/>
                <w:szCs w:val="18"/>
                <w:color w:val="auto"/>
              </w:rPr>
              <w:t>41,649</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28,509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Total(2)</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977,669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272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977,639</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September 30, 2014, $321,196 of securities were classified as short term interest-bearing investments and $656,443 of securities were classified as cash and cash equivalents.</w:t>
      </w:r>
    </w:p>
    <w:p>
      <w:pPr>
        <w:spacing w:after="0" w:line="5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of September 30, 2015,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recognized immaterial credit losses in fiscal 2015, 2014 and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600" w:type="dxa"/>
            <w:vAlign w:val="bottom"/>
          </w:tcPr>
          <w:p>
            <w:pPr>
              <w:jc w:val="center"/>
              <w:ind w:left="832"/>
              <w:spacing w:after="0"/>
              <w:rPr>
                <w:sz w:val="20"/>
                <w:szCs w:val="20"/>
                <w:color w:val="auto"/>
              </w:rPr>
            </w:pPr>
            <w:r>
              <w:rPr>
                <w:rFonts w:ascii="Arial" w:cs="Arial" w:eastAsia="Arial" w:hAnsi="Arial"/>
                <w:sz w:val="18"/>
                <w:szCs w:val="18"/>
                <w:b w:val="1"/>
                <w:bCs w:val="1"/>
                <w:color w:val="auto"/>
              </w:rPr>
              <w:t>AMDOCS LIMITED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5"/>
        </w:trPr>
        <w:tc>
          <w:tcPr>
            <w:tcW w:w="9600" w:type="dxa"/>
            <w:vAlign w:val="bottom"/>
          </w:tcPr>
          <w:p>
            <w:pPr>
              <w:jc w:val="center"/>
              <w:ind w:left="812"/>
              <w:spacing w:after="0"/>
              <w:rPr>
                <w:sz w:val="20"/>
                <w:szCs w:val="20"/>
                <w:color w:val="auto"/>
              </w:rPr>
            </w:pPr>
            <w:r>
              <w:rPr>
                <w:rFonts w:ascii="Arial" w:cs="Arial" w:eastAsia="Arial" w:hAnsi="Arial"/>
                <w:sz w:val="18"/>
                <w:szCs w:val="18"/>
                <w:b w:val="1"/>
                <w:bCs w:val="1"/>
                <w:color w:val="auto"/>
                <w:w w:val="96"/>
              </w:rPr>
              <w:t>NOTES TO THE CONSOLIDATED FINANCIAL STATEMENTS —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9600" w:type="dxa"/>
            <w:vAlign w:val="bottom"/>
          </w:tcPr>
          <w:p>
            <w:pPr>
              <w:jc w:val="center"/>
              <w:ind w:left="832"/>
              <w:spacing w:after="0"/>
              <w:rPr>
                <w:sz w:val="20"/>
                <w:szCs w:val="20"/>
                <w:color w:val="auto"/>
              </w:rPr>
            </w:pPr>
            <w:r>
              <w:rPr>
                <w:rFonts w:ascii="Arial" w:cs="Arial" w:eastAsia="Arial" w:hAnsi="Arial"/>
                <w:sz w:val="18"/>
                <w:szCs w:val="18"/>
                <w:b w:val="1"/>
                <w:bCs w:val="1"/>
                <w:color w:val="auto"/>
                <w:w w:val="86"/>
              </w:rPr>
              <w:t>(dollar and share amounts in thousands, except per share data)</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600" w:type="dxa"/>
            <w:vAlign w:val="bottom"/>
          </w:tcPr>
          <w:p>
            <w:pPr>
              <w:spacing w:after="0"/>
              <w:rPr>
                <w:sz w:val="20"/>
                <w:szCs w:val="20"/>
                <w:color w:val="auto"/>
              </w:rPr>
            </w:pPr>
            <w:r>
              <w:rPr>
                <w:rFonts w:ascii="Arial" w:cs="Arial" w:eastAsia="Arial" w:hAnsi="Arial"/>
                <w:sz w:val="18"/>
                <w:szCs w:val="18"/>
                <w:color w:val="auto"/>
              </w:rPr>
              <w:t>As of September 30, 2015, the Company’s available-for-sale securities had the following maturity dates: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9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Market Value</w:t>
            </w:r>
          </w:p>
        </w:tc>
      </w:tr>
      <w:tr>
        <w:trPr>
          <w:trHeight w:val="210"/>
        </w:trPr>
        <w:tc>
          <w:tcPr>
            <w:tcW w:w="9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596,762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118,196</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67,140</w:t>
            </w:r>
          </w:p>
        </w:tc>
        <w:tc>
          <w:tcPr>
            <w:tcW w:w="10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CCEEFF"/>
          </w:tcPr>
          <w:p>
            <w:pPr>
              <w:spacing w:after="0"/>
              <w:rPr>
                <w:sz w:val="18"/>
                <w:szCs w:val="18"/>
                <w:color w:val="auto"/>
              </w:rPr>
            </w:pPr>
          </w:p>
        </w:tc>
      </w:tr>
      <w:tr>
        <w:trPr>
          <w:trHeight w:val="222"/>
        </w:trPr>
        <w:tc>
          <w:tcPr>
            <w:tcW w:w="960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801,682</w:t>
            </w:r>
          </w:p>
        </w:tc>
        <w:tc>
          <w:tcPr>
            <w:tcW w:w="10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$2,706 as of September 30, 2015. The Company has limited its credit risk by entering into derivative transactions exclusively with investment-grade rated financial institutions and monitors the creditworthiness of these financial institutions on an ongoing basis.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2015. Notional values are in U.S. dollars and are translated and calculated based on forward rates as of September 30, 2015 for forward contracts, and based on spot rates as of September 30, 2015 for options.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7"/>
              </w:rPr>
              <w:t>Notional Value*</w:t>
            </w:r>
          </w:p>
        </w:tc>
      </w:tr>
      <w:tr>
        <w:trPr>
          <w:trHeight w:val="210"/>
        </w:trPr>
        <w:tc>
          <w:tcPr>
            <w:tcW w:w="9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1,284,959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September 30, 2015 and September 30, 2014, is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As of September 30,</w:t>
            </w: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3,631</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$ 5,936</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2,485</w:t>
            </w: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(14,640)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(9,686)</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(1,908)</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(14,466)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(3,173)</w:t>
            </w: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4,508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7,551</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(3,139)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(5,736)</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(13,097)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September 30, 2015 is scheduled to mature within the next 12 months.</w:t>
      </w:r>
    </w:p>
    <w:p>
      <w:pPr>
        <w:spacing w:after="0" w:line="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2015, 2014 and 2013, respectively, which partially offsets the foreign currency impact from the underlying exposures, is summarized as follows: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5"/>
              </w:rPr>
              <w:t>(Losses) Gains Reclassified from</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7"/>
          </w:tcPr>
          <w:p>
            <w:pPr>
              <w:jc w:val="center"/>
              <w:ind w:left="242"/>
              <w:spacing w:after="0" w:line="149" w:lineRule="exact"/>
              <w:rPr>
                <w:sz w:val="20"/>
                <w:szCs w:val="20"/>
                <w:color w:val="auto"/>
              </w:rPr>
            </w:pPr>
            <w:r>
              <w:rPr>
                <w:rFonts w:ascii="Arial" w:cs="Arial" w:eastAsia="Arial" w:hAnsi="Arial"/>
                <w:sz w:val="14"/>
                <w:szCs w:val="14"/>
                <w:b w:val="1"/>
                <w:bCs w:val="1"/>
                <w:color w:val="auto"/>
                <w:w w:val="87"/>
              </w:rPr>
              <w:t>Other Comprehensive (Loss)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tcPr>
          <w:p>
            <w:pPr>
              <w:jc w:val="center"/>
              <w:ind w:left="402"/>
              <w:spacing w:after="0" w:line="149" w:lineRule="exact"/>
              <w:rPr>
                <w:sz w:val="20"/>
                <w:szCs w:val="20"/>
                <w:color w:val="auto"/>
              </w:rPr>
            </w:pPr>
            <w:r>
              <w:rPr>
                <w:rFonts w:ascii="Arial" w:cs="Arial" w:eastAsia="Arial" w:hAnsi="Arial"/>
                <w:sz w:val="14"/>
                <w:szCs w:val="14"/>
                <w:b w:val="1"/>
                <w:bCs w:val="1"/>
                <w:color w:val="auto"/>
                <w:w w:val="87"/>
              </w:rPr>
              <w:t>Income (Effective Portion)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left="382"/>
              <w:spacing w:after="0"/>
              <w:rPr>
                <w:sz w:val="20"/>
                <w:szCs w:val="20"/>
                <w:color w:val="auto"/>
              </w:rPr>
            </w:pPr>
            <w:r>
              <w:rPr>
                <w:rFonts w:ascii="Arial" w:cs="Arial" w:eastAsia="Arial" w:hAnsi="Arial"/>
                <w:sz w:val="14"/>
                <w:szCs w:val="14"/>
                <w:b w:val="1"/>
                <w:bCs w:val="1"/>
                <w:color w:val="auto"/>
                <w:w w:val="87"/>
              </w:rPr>
              <w:t>Year Ended September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539</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(13,624)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15,424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(2,945)</w:t>
            </w:r>
          </w:p>
        </w:tc>
        <w:tc>
          <w:tcPr>
            <w:tcW w:w="0" w:type="dxa"/>
            <w:vAlign w:val="bottom"/>
          </w:tcPr>
          <w:p>
            <w:pPr>
              <w:spacing w:after="0"/>
              <w:rPr>
                <w:sz w:val="1"/>
                <w:szCs w:val="1"/>
                <w:color w:val="auto"/>
              </w:rPr>
            </w:pPr>
          </w:p>
        </w:tc>
      </w:tr>
      <w:tr>
        <w:trPr>
          <w:trHeight w:val="216"/>
        </w:trPr>
        <w:tc>
          <w:tcPr>
            <w:tcW w:w="76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(20,242)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24,091</w:t>
            </w:r>
          </w:p>
        </w:tc>
        <w:tc>
          <w:tcPr>
            <w:tcW w:w="5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(1,547)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activity related to the changes in net unrealized (losses) gains on cash flow hedges recorded in accumulated other comprehensive (loss) income, net of tax, is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September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gains on cash flow hedges, net of tax,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(5,522)</w:t>
            </w:r>
          </w:p>
        </w:tc>
        <w:tc>
          <w:tcPr>
            <w:tcW w:w="8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(17,942)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(23,432)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9,162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20,035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losses (gains) into earnings, net of tax</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16,802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(19,380)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(12,152)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(5,522)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(Losses) gains from cash flow hedges recognized in other comprehensive (loss) income were $(29,499), $9,460 and $28,504, or $(23,432), $9,162 and $20,035, net of taxes, during the fiscal years ended September 30, 2015, 2014 and 2013, respectively.</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Of the net losses related to derivatives designated as cash flow hedges and recorded in accumulated other comprehensive (loss) income as of September 30, 2015, a net loss of $9,578 will be reclassified into earnings during fiscal 2016 and will partially offset the foreign currency impact from the underlying exposures. The amount ultimately realized in earnings will likely differ due to future changes in foreign exchange rates.</w:t>
      </w:r>
    </w:p>
    <w:p>
      <w:pPr>
        <w:spacing w:after="0" w:line="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2015, 2014 and 2013, was not material.</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84"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2015, 2014 and 2013, respectively, which partially offsets the foreign currency impact from the underlying exposure, is summarized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1"/>
              </w:rPr>
              <w:t>Gains (Losses)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13"/>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14"/>
          </w:tcPr>
          <w:p>
            <w:pPr>
              <w:jc w:val="center"/>
              <w:ind w:right="680"/>
              <w:spacing w:after="0"/>
              <w:rPr>
                <w:sz w:val="20"/>
                <w:szCs w:val="20"/>
                <w:color w:val="auto"/>
              </w:rPr>
            </w:pPr>
            <w:r>
              <w:rPr>
                <w:rFonts w:ascii="Arial" w:cs="Arial" w:eastAsia="Arial" w:hAnsi="Arial"/>
                <w:sz w:val="14"/>
                <w:szCs w:val="14"/>
                <w:b w:val="1"/>
                <w:bCs w:val="1"/>
                <w:color w:val="auto"/>
                <w:w w:val="87"/>
              </w:rPr>
              <w:t>Year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6"/>
          </w:tcPr>
          <w:p>
            <w:pPr>
              <w:jc w:val="center"/>
              <w:ind w:left="437"/>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Revenue</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339</w:t>
            </w:r>
          </w:p>
        </w:tc>
        <w:tc>
          <w:tcPr>
            <w:tcW w:w="100" w:type="dxa"/>
            <w:vAlign w:val="bottom"/>
          </w:tcPr>
          <w:p>
            <w:pPr>
              <w:spacing w:after="0"/>
              <w:rPr>
                <w:sz w:val="18"/>
                <w:szCs w:val="18"/>
                <w:color w:val="auto"/>
              </w:rPr>
            </w:pPr>
          </w:p>
        </w:tc>
        <w:tc>
          <w:tcPr>
            <w:tcW w:w="60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18</w:t>
            </w: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   362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1160" w:type="dxa"/>
            <w:vAlign w:val="bottom"/>
            <w:gridSpan w:val="8"/>
            <w:shd w:val="clear" w:color="auto" w:fill="CCEEFF"/>
          </w:tcPr>
          <w:p>
            <w:pPr>
              <w:jc w:val="right"/>
              <w:ind w:right="120"/>
              <w:spacing w:after="0"/>
              <w:rPr>
                <w:sz w:val="20"/>
                <w:szCs w:val="20"/>
                <w:color w:val="auto"/>
              </w:rPr>
            </w:pPr>
            <w:r>
              <w:rPr>
                <w:rFonts w:ascii="Arial" w:cs="Arial" w:eastAsia="Arial" w:hAnsi="Arial"/>
                <w:sz w:val="18"/>
                <w:szCs w:val="18"/>
                <w:color w:val="auto"/>
              </w:rPr>
              <w:t>(3,446)</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w w:val="85"/>
              </w:rPr>
              <w:t>(432)</w:t>
            </w: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(821)</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18"/>
                <w:szCs w:val="18"/>
                <w:color w:val="auto"/>
              </w:rPr>
            </w:pPr>
          </w:p>
        </w:tc>
        <w:tc>
          <w:tcPr>
            <w:tcW w:w="1160" w:type="dxa"/>
            <w:vAlign w:val="bottom"/>
            <w:gridSpan w:val="8"/>
          </w:tcPr>
          <w:p>
            <w:pPr>
              <w:jc w:val="right"/>
              <w:ind w:right="180"/>
              <w:spacing w:after="0"/>
              <w:rPr>
                <w:sz w:val="20"/>
                <w:szCs w:val="20"/>
                <w:color w:val="auto"/>
              </w:rPr>
            </w:pPr>
            <w:r>
              <w:rPr>
                <w:rFonts w:ascii="Arial" w:cs="Arial" w:eastAsia="Arial" w:hAnsi="Arial"/>
                <w:sz w:val="18"/>
                <w:szCs w:val="18"/>
                <w:color w:val="auto"/>
              </w:rPr>
              <w:t>9,080</w:t>
            </w: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657</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gridSpan w:val="2"/>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20,986</w:t>
            </w:r>
          </w:p>
        </w:tc>
        <w:tc>
          <w:tcPr>
            <w:tcW w:w="100" w:type="dxa"/>
            <w:vAlign w:val="bottom"/>
          </w:tcPr>
          <w:p>
            <w:pPr>
              <w:spacing w:after="0"/>
              <w:rPr>
                <w:sz w:val="19"/>
                <w:szCs w:val="19"/>
                <w:color w:val="auto"/>
              </w:rPr>
            </w:pPr>
          </w:p>
        </w:tc>
        <w:tc>
          <w:tcPr>
            <w:tcW w:w="1160" w:type="dxa"/>
            <w:vAlign w:val="bottom"/>
            <w:gridSpan w:val="8"/>
          </w:tcPr>
          <w:p>
            <w:pPr>
              <w:jc w:val="right"/>
              <w:ind w:right="180"/>
              <w:spacing w:after="0"/>
              <w:rPr>
                <w:sz w:val="20"/>
                <w:szCs w:val="20"/>
                <w:color w:val="auto"/>
              </w:rPr>
            </w:pPr>
            <w:r>
              <w:rPr>
                <w:rFonts w:ascii="Arial" w:cs="Arial" w:eastAsia="Arial" w:hAnsi="Arial"/>
                <w:sz w:val="18"/>
                <w:szCs w:val="18"/>
                <w:color w:val="auto"/>
              </w:rPr>
              <w:t>$ 5,056</w:t>
            </w:r>
          </w:p>
        </w:tc>
        <w:tc>
          <w:tcPr>
            <w:tcW w:w="104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Accounts Receivable, Net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gridSpan w:val="2"/>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11"/>
          </w:tcPr>
          <w:p>
            <w:pPr>
              <w:jc w:val="right"/>
              <w:ind w:right="460"/>
              <w:spacing w:after="0"/>
              <w:rPr>
                <w:sz w:val="20"/>
                <w:szCs w:val="20"/>
                <w:color w:val="auto"/>
              </w:rPr>
            </w:pPr>
            <w:r>
              <w:rPr>
                <w:rFonts w:ascii="Arial" w:cs="Arial" w:eastAsia="Arial" w:hAnsi="Arial"/>
                <w:sz w:val="14"/>
                <w:szCs w:val="14"/>
                <w:b w:val="1"/>
                <w:bCs w:val="1"/>
                <w:color w:val="auto"/>
                <w:w w:val="95"/>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gridSpan w:val="5"/>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7"/>
              </w:rPr>
              <w:t>$668,424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$617,712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7"/>
          </w:tcPr>
          <w:p>
            <w:pPr>
              <w:jc w:val="right"/>
              <w:ind w:right="80"/>
              <w:spacing w:after="0"/>
              <w:rPr>
                <w:sz w:val="20"/>
                <w:szCs w:val="20"/>
                <w:color w:val="auto"/>
              </w:rPr>
            </w:pPr>
            <w:r>
              <w:rPr>
                <w:rFonts w:ascii="Arial" w:cs="Arial" w:eastAsia="Arial" w:hAnsi="Arial"/>
                <w:sz w:val="18"/>
                <w:szCs w:val="18"/>
                <w:color w:val="auto"/>
              </w:rPr>
              <w:t>80,197</w:t>
            </w:r>
          </w:p>
        </w:tc>
        <w:tc>
          <w:tcPr>
            <w:tcW w:w="1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134,523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Less — allowances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(33,837)</w:t>
            </w: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(36,398)</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7"/>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714,784</w:t>
            </w:r>
          </w:p>
        </w:tc>
        <w:tc>
          <w:tcPr>
            <w:tcW w:w="180" w:type="dxa"/>
            <w:vAlign w:val="bottom"/>
          </w:tcPr>
          <w:p>
            <w:pPr>
              <w:spacing w:after="0"/>
              <w:rPr>
                <w:sz w:val="19"/>
                <w:szCs w:val="19"/>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715,837</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Equipment and Leasehold Improvements, Net</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gridSpan w:val="2"/>
          </w:tcPr>
          <w:p>
            <w:pPr>
              <w:ind w:left="460"/>
              <w:spacing w:after="0"/>
              <w:rPr>
                <w:sz w:val="20"/>
                <w:szCs w:val="20"/>
                <w:color w:val="auto"/>
              </w:rPr>
            </w:pPr>
            <w:r>
              <w:rPr>
                <w:rFonts w:ascii="Arial" w:cs="Arial" w:eastAsia="Arial" w:hAnsi="Arial"/>
                <w:sz w:val="18"/>
                <w:szCs w:val="18"/>
                <w:color w:val="auto"/>
              </w:rPr>
              <w:t>Components of equipment and leasehold improvements, net are: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12"/>
          </w:tcPr>
          <w:p>
            <w:pPr>
              <w:jc w:val="right"/>
              <w:ind w:right="700"/>
              <w:spacing w:after="0"/>
              <w:rPr>
                <w:sz w:val="20"/>
                <w:szCs w:val="20"/>
                <w:color w:val="auto"/>
              </w:rPr>
            </w:pPr>
            <w:r>
              <w:rPr>
                <w:rFonts w:ascii="Arial" w:cs="Arial" w:eastAsia="Arial" w:hAnsi="Arial"/>
                <w:sz w:val="14"/>
                <w:szCs w:val="14"/>
                <w:b w:val="1"/>
                <w:bCs w:val="1"/>
                <w:color w:val="auto"/>
                <w:w w:val="93"/>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6"/>
              </w:rPr>
              <w:t>$ 1,132,152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$ 1,071,720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201,765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192,007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other</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60,904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300" w:type="dxa"/>
            <w:vAlign w:val="bottom"/>
            <w:gridSpan w:val="8"/>
          </w:tcPr>
          <w:p>
            <w:pPr>
              <w:jc w:val="right"/>
              <w:ind w:right="20"/>
              <w:spacing w:after="0"/>
              <w:rPr>
                <w:sz w:val="20"/>
                <w:szCs w:val="20"/>
                <w:color w:val="auto"/>
              </w:rPr>
            </w:pPr>
            <w:r>
              <w:rPr>
                <w:rFonts w:ascii="Arial" w:cs="Arial" w:eastAsia="Arial" w:hAnsi="Arial"/>
                <w:sz w:val="18"/>
                <w:szCs w:val="18"/>
                <w:color w:val="auto"/>
              </w:rPr>
              <w:t>1,394,821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1,328,798</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gridSpan w:val="2"/>
            <w:shd w:val="clear" w:color="auto" w:fill="CCEEFF"/>
          </w:tcPr>
          <w:p>
            <w:pPr>
              <w:spacing w:after="0"/>
              <w:rPr>
                <w:sz w:val="18"/>
                <w:szCs w:val="18"/>
                <w:color w:val="auto"/>
              </w:rPr>
            </w:pPr>
          </w:p>
        </w:tc>
        <w:tc>
          <w:tcPr>
            <w:tcW w:w="9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5"/>
              </w:rPr>
              <w:t>(1,085,501)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(1,039,842)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309,320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   288,956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Total depreciation expense on equipment and leasehold improvements for fiscal 2015, 2014 and 2013, was $108,169, $105,364 and $104,624, respectively. F-24</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September 30, 2015 and 2014, the unamortized software assets developed for internal use were $85,957 and $73,813, respectively, and are presented under Computer equipment in the table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Note 9 — Goodwill and Intangible Assets, Net</w:t>
            </w: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620" w:type="dxa"/>
            <w:vAlign w:val="bottom"/>
            <w:gridSpan w:val="3"/>
          </w:tcPr>
          <w:p>
            <w:pPr>
              <w:ind w:left="46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October 1, 2013</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1,818,334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Goodwill resulting from acquisitions(1)</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gridSpan w:val="3"/>
          </w:tcPr>
          <w:p>
            <w:pPr>
              <w:ind w:left="460"/>
              <w:spacing w:after="0"/>
              <w:rPr>
                <w:sz w:val="20"/>
                <w:szCs w:val="20"/>
                <w:color w:val="auto"/>
              </w:rPr>
            </w:pPr>
            <w:r>
              <w:rPr>
                <w:rFonts w:ascii="Arial" w:cs="Arial" w:eastAsia="Arial" w:hAnsi="Arial"/>
                <w:sz w:val="18"/>
                <w:szCs w:val="18"/>
                <w:color w:val="auto"/>
              </w:rPr>
              <w:t>As of September 30, 2014</w:t>
            </w: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1,925,225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resulting from acquisitions(2)</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2015</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2,049,093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40" w:hanging="452"/>
        <w:spacing w:after="0" w:line="28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Mainly relates to the acquisition of Celcite. In allocating the total preliminary purchase price of Celcite based on estimated fair values, the Company recorded $78,142 of goodwill, $46,432 of customer relationships to be amortized over approximately four years, $22,372 of core technology to be amortized over approximately three years and $1,781 of other intangible assets to be amortized over approximately three years.</w:t>
      </w:r>
    </w:p>
    <w:p>
      <w:pPr>
        <w:spacing w:after="0" w:line="1" w:lineRule="exact"/>
        <w:rPr>
          <w:rFonts w:ascii="Arial" w:cs="Arial" w:eastAsia="Arial" w:hAnsi="Arial"/>
          <w:sz w:val="16"/>
          <w:szCs w:val="16"/>
          <w:color w:val="auto"/>
        </w:rPr>
      </w:pPr>
    </w:p>
    <w:p>
      <w:pPr>
        <w:ind w:left="460" w:right="60" w:hanging="452"/>
        <w:spacing w:after="0" w:line="30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Mainly relates to the acquisition of a substantial majority of the BSS assets of Comverse. In allocating the total preliminary purchase price of the acquired assets based on estimated fair values, the Company recorded $118,101 of goodwill, $97,000 of core technology to be amortized over a weighted average of approximately four years and $38,639 of customer relationships to be amortized over a weighted average of approximately five years.</w:t>
      </w:r>
    </w:p>
    <w:p>
      <w:pPr>
        <w:spacing w:after="0" w:line="2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2015, 2014 or 2013.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Estimated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(in years)</w:t>
            </w:r>
          </w:p>
        </w:tc>
        <w:tc>
          <w:tcPr>
            <w:tcW w:w="8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2015</w:t>
            </w: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Core technology</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531,669</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(398,898)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439,435</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(328,747)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51,996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(51,996)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(22,608)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1,054,766</w:t>
            </w:r>
          </w:p>
        </w:tc>
        <w:tc>
          <w:tcPr>
            <w:tcW w:w="4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(802,249)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2014</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Core technology</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434,669</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(367,609)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398,519</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(297,791)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51,996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(51,996)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(18,227)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916,850</w:t>
            </w:r>
          </w:p>
        </w:tc>
        <w:tc>
          <w:tcPr>
            <w:tcW w:w="4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(735,623)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presents the amortization expense of the Company’s definite-lived purchased intangible assets, included in each financial statement caption reported in the consolidated statements of income:</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Amortization of definite-lived purchased intangible assets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65,017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55,799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34,543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66,626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57,408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36,152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2015 is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6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2016</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90,488</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76,742</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2018</w:t>
            </w:r>
          </w:p>
        </w:tc>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46,958</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22,863</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2020</w:t>
            </w:r>
          </w:p>
        </w:tc>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CCEEFF"/>
          </w:tcPr>
          <w:p>
            <w:pPr>
              <w:spacing w:after="0"/>
              <w:rPr>
                <w:sz w:val="18"/>
                <w:szCs w:val="18"/>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6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252,517</w:t>
            </w:r>
          </w:p>
        </w:tc>
        <w:tc>
          <w:tcPr>
            <w:tcW w:w="10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980" w:type="dxa"/>
            <w:vAlign w:val="bottom"/>
          </w:tcPr>
          <w:p>
            <w:pPr>
              <w:spacing w:after="0"/>
              <w:rPr>
                <w:sz w:val="24"/>
                <w:szCs w:val="24"/>
                <w:color w:val="auto"/>
              </w:rPr>
            </w:pPr>
          </w:p>
        </w:tc>
        <w:tc>
          <w:tcPr>
            <w:tcW w:w="6840" w:type="dxa"/>
            <w:vAlign w:val="bottom"/>
            <w:gridSpan w:val="2"/>
          </w:tcPr>
          <w:p>
            <w:pPr>
              <w:jc w:val="right"/>
              <w:ind w:right="440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6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8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$ 94,128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$73,938</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$50,553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Deferred</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(26,887)</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(6,510)</w:t>
            </w:r>
          </w:p>
        </w:tc>
        <w:tc>
          <w:tcPr>
            <w:tcW w:w="580" w:type="dxa"/>
            <w:vAlign w:val="bottom"/>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Pr>
          <w:p>
            <w:pPr>
              <w:spacing w:after="0"/>
              <w:rPr>
                <w:sz w:val="18"/>
                <w:szCs w:val="18"/>
                <w:color w:val="auto"/>
              </w:rPr>
            </w:pPr>
          </w:p>
        </w:tc>
      </w:tr>
      <w:tr>
        <w:trPr>
          <w:trHeight w:val="27"/>
        </w:trPr>
        <w:tc>
          <w:tcPr>
            <w:tcW w:w="7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$ 67,241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67,428</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63,038</w:t>
            </w:r>
          </w:p>
        </w:tc>
        <w:tc>
          <w:tcPr>
            <w:tcW w:w="100" w:type="dxa"/>
            <w:vAlign w:val="bottom"/>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fiscal years 2014 and 2013, the Company recognized $4,179 and $14,671, respectively, of deferred income tax expense as a result of enacted changes in tax laws or rates. During fiscal 2015, the Company recognized immaterial deferred income tax expense as a result of enacted changes in tax laws or rates.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69,680</w:t>
            </w: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49,624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75,401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72,832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Intangible assets, computer software and intellectual property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14,937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credits, net capital and operating loss carryforwards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114,709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163,913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68,300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47,301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343,027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345,151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Valuation allowances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(112,165)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(128,207)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230,862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216,944</w:t>
            </w:r>
          </w:p>
        </w:tc>
        <w:tc>
          <w:tcPr>
            <w:tcW w:w="0" w:type="dxa"/>
            <w:vAlign w:val="bottom"/>
          </w:tcPr>
          <w:p>
            <w:pPr>
              <w:spacing w:after="0"/>
              <w:rPr>
                <w:sz w:val="1"/>
                <w:szCs w:val="1"/>
                <w:color w:val="auto"/>
              </w:rPr>
            </w:pPr>
          </w:p>
        </w:tc>
      </w:tr>
      <w:tr>
        <w:trPr>
          <w:trHeight w:val="222"/>
        </w:trPr>
        <w:tc>
          <w:tcPr>
            <w:tcW w:w="8220" w:type="dxa"/>
            <w:vAlign w:val="bottom"/>
            <w:gridSpan w:val="2"/>
          </w:tcPr>
          <w:p>
            <w:pPr>
              <w:ind w:left="46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Anticipated withholdings on subsidiaries’ earnings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(58,774)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(56,868)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Intangible assets, computer software and intellectual property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(118,650)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(113,920)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(19,886)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(24,262)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60" w:type="dxa"/>
            <w:vAlign w:val="bottom"/>
            <w:vMerge w:val="restart"/>
          </w:tcPr>
          <w:p>
            <w:pPr>
              <w:ind w:left="2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(197,310)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(195,050)</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33,552</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21,894</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The effective income tax rate varied from the statutory Guernsey tax rate as follows: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11"/>
          </w:tcPr>
          <w:p>
            <w:pPr>
              <w:jc w:val="right"/>
              <w:ind w:right="700"/>
              <w:spacing w:after="0"/>
              <w:rPr>
                <w:sz w:val="20"/>
                <w:szCs w:val="20"/>
                <w:color w:val="auto"/>
              </w:rPr>
            </w:pPr>
            <w:r>
              <w:rPr>
                <w:rFonts w:ascii="Arial" w:cs="Arial" w:eastAsia="Arial" w:hAnsi="Arial"/>
                <w:sz w:val="14"/>
                <w:szCs w:val="14"/>
                <w:b w:val="1"/>
                <w:bCs w:val="1"/>
                <w:color w:val="auto"/>
                <w:w w:val="87"/>
              </w:rPr>
              <w:t>Year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Foreign taxes(1)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60" w:type="dxa"/>
            <w:vAlign w:val="bottom"/>
            <w:vMerge w:val="restart"/>
          </w:tcPr>
          <w:p>
            <w:pPr>
              <w:ind w:left="5080"/>
              <w:spacing w:after="0"/>
              <w:rPr>
                <w:sz w:val="20"/>
                <w:szCs w:val="20"/>
                <w:color w:val="auto"/>
              </w:rPr>
            </w:pPr>
            <w:r>
              <w:rPr>
                <w:rFonts w:ascii="Arial" w:cs="Arial" w:eastAsia="Arial" w:hAnsi="Arial"/>
                <w:sz w:val="18"/>
                <w:szCs w:val="18"/>
                <w:color w:val="auto"/>
              </w:rPr>
              <w:t>F-27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9436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4" w:lineRule="exact"/>
        <w:rPr>
          <w:sz w:val="20"/>
          <w:szCs w:val="20"/>
          <w:color w:val="auto"/>
        </w:rPr>
      </w:pPr>
    </w:p>
    <w:p>
      <w:pPr>
        <w:ind w:left="460" w:hanging="452"/>
        <w:spacing w:after="0" w:line="287"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fiscal 2015, foreign taxes included a net benefit of $7,594 due to settlements of tax audits in certain jurisdictions that resulted in a reduction to the Company’s provision for gross unrecognized tax benefits, partially offset by an increase to the Company’s taxes payable. Foreign taxes in fiscal 2015 also included a decrease of $17,232 that was attributable to the expiration of statutes of limitations related to unrecognized tax benefits accumulated over several years in certain jurisdictions, which was partially offset by a provision for a new uncertain tax position of $6,000 recognized during fiscal 2015. In addition, foreign taxes in fiscal 2015 included a net benefit of $22,895 resulting from the release of valuation allowances on deferred tax assets at several of the Company’s subsidiaries, which will, more likely than not, be realized due to the Company’s projections of future taxable income. In fiscal 2014, foreign taxes included a benefit of $18,709 attributable to the expiration during fiscal 2014 of statutes of limitations related to unrecognized tax benefits accumulated over several years in certain jurisdictions, as well as a benefit of $14,557 as a result of a tax position settled during fiscal 2014. In fiscal 2013, foreign taxes included a benefit of $29,786 attributable to the expiration during fiscal 2013 of statutes of limitations related to unrecognized tax benefits accumulated over several years in certain jurisdictions.</w:t>
      </w:r>
    </w:p>
    <w:p>
      <w:pPr>
        <w:spacing w:after="0" w:line="4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fiscal 2015, the net decrease in valuation allowances was $16,042, which related to the uncertainty of realizing tax benefits primarily for tax credits, net capital and operating loss carryforwards related to certain of the Company’s subsidiaries. As of September 30, 2015, the Company had tax credits, net capital and operating loss carryforwards of $451,247, of which $98,912 have expiration dates through 2035, and the remainder do not expire.</w:t>
      </w:r>
    </w:p>
    <w:p>
      <w:pPr>
        <w:spacing w:after="0" w:line="2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During fiscal 2014, the net increase in valuation allowances was $1,005, which related to the uncertainty of realizing tax benefits primarily for tax credits, net capital and operating loss carryforwards related to certain of the Company’s subsidiaries. As of September 30, 2014, the Company had tax credits, net capital and operating loss carryforwards of $541,666, of which $133,345 have expiration dates through 2034, and the remainder do not expire.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fiscal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$ 123,942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$ 130,371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$ 133,874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22,314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22,821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 authorities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(13,443)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(14,557)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(17,232)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(18,709)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(29,786)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$ 126,706</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$ 123,942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total amount of unrecognized tax benefits, which includes interest and penalties, was $126,706 as of September 30, 2015, and $123,942 as of September 30, 2014, all of which would affect the effective tax rate if realized.</w:t>
      </w:r>
    </w:p>
    <w:p>
      <w:pPr>
        <w:spacing w:after="0" w:line="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As of September 30, 2015, the Company had accrued $22,219 in income taxes payable for interest and penalties relating to unrecognized tax benefits, of which $1,364 was recognized in the statements of income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fiscal 2015. As of September 30, 2014, the Company had accrued $20,855 in income taxes payable for interest and penalties relating to unrecognized tax benefits, of which $1,729 was recognized in the statements of income in fiscal 2014.</w:t>
      </w:r>
    </w:p>
    <w:p>
      <w:pPr>
        <w:spacing w:after="0" w:line="5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The Company is currently under audit in several jurisdictions for the tax years 2007 and onwards. Timing of the resolution of audits is highly uncertain and therefore, as of September 30, 2015, the Company cannot estimate the change in unrecognized tax benefits resulting from these audits within the next 12 months.</w:t>
      </w:r>
    </w:p>
    <w:p>
      <w:pPr>
        <w:ind w:right="700" w:firstLine="456"/>
        <w:spacing w:after="0" w:line="268" w:lineRule="auto"/>
        <w:rPr>
          <w:sz w:val="20"/>
          <w:szCs w:val="20"/>
          <w:color w:val="auto"/>
        </w:rPr>
      </w:pPr>
      <w:r>
        <w:rPr>
          <w:rFonts w:ascii="Arial" w:cs="Arial" w:eastAsia="Arial" w:hAnsi="Arial"/>
          <w:sz w:val="18"/>
          <w:szCs w:val="18"/>
          <w:color w:val="auto"/>
        </w:rPr>
        <w:t>It is reasonably possible that the amount of unrecognized tax benefits may decrease by $3,660 during fiscal 2016 as a result of lapse of statutes of limitations in jurisdictions in which the Company operates.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Repurchase of Shares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 ordinary shares. The current share repurchase plan, adopted by the Company’s Board of Directors on April 30, 2014, authorizes the repurchase of up to $750,000 of the Company’s outstanding ordinary shares with no expiration date. In fiscal 2015, the Company repurchased approximately 8,596 ordinary shares at an average price of $52.80 per share (excluding broker and transaction fees). As of September 30, 2015, the Company had remaining authority to repurchase up to $260,088 of its outstanding ordinary shares. The authorization permits the Company to purchase its ordinary shares in open market or privately negotiated transactions at times and prices that it considers appropriate.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Financing Arrangements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December 2011, the Company entered into a $500,000 five-year revolving credit facility with a syndicate of banks.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in part on the Company’s credit ratings. In December 2014, the credit facility was amended and restated to, among other things, extend the maturity date of the facility to December 2019. As of September 30, 2015, the Company was in compliance with the financial covenants under the revolving credit facility. In September 2015, the Company borrowed an aggregate of $220,000 under the facility and repaid it in October 2015. In September 2014, the Company borrowed an aggregate of $210,000 under the facility and repaid it in October 2014.</w:t>
      </w:r>
    </w:p>
    <w:p>
      <w:pPr>
        <w:spacing w:after="0" w:line="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2015, the Company had additional uncommitted lines of credit available for general corporate and other specific purposes and had outstanding letters of credit and bank guarantees from various banks totaling $73,706. These were supported by a combination of the uncommitted lines of credit that the Company maintains with various banks.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Accrued Expenses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36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Project-related provisions</w:t>
            </w:r>
          </w:p>
        </w:tc>
        <w:tc>
          <w:tcPr>
            <w:tcW w:w="4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$201,719</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$126,037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Dividends payable(1)</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25,697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24,291</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instruments(2)</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Acquisition-related liabilities(3)</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3,266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7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286,888</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241,144</w:t>
            </w:r>
          </w:p>
        </w:tc>
        <w:tc>
          <w:tcPr>
            <w:tcW w:w="100" w:type="dxa"/>
            <w:vAlign w:val="bottom"/>
            <w:shd w:val="clear" w:color="auto" w:fill="CCEEFF"/>
          </w:tcPr>
          <w:p>
            <w:pPr>
              <w:spacing w:after="0"/>
              <w:rPr>
                <w:sz w:val="18"/>
                <w:szCs w:val="18"/>
                <w:color w:val="auto"/>
              </w:rPr>
            </w:pPr>
          </w:p>
        </w:tc>
      </w:tr>
      <w:tr>
        <w:trPr>
          <w:trHeight w:val="222"/>
        </w:trPr>
        <w:tc>
          <w:tcPr>
            <w:tcW w:w="36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535,349</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422,291</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680" w:type="dxa"/>
            <w:vAlign w:val="bottom"/>
          </w:tcPr>
          <w:p>
            <w:pPr>
              <w:spacing w:after="0"/>
              <w:rPr>
                <w:sz w:val="24"/>
                <w:szCs w:val="24"/>
                <w:color w:val="auto"/>
              </w:rPr>
            </w:pPr>
          </w:p>
        </w:tc>
        <w:tc>
          <w:tcPr>
            <w:tcW w:w="5440" w:type="dxa"/>
            <w:vAlign w:val="bottom"/>
            <w:gridSpan w:val="2"/>
          </w:tcPr>
          <w:p>
            <w:pPr>
              <w:jc w:val="right"/>
              <w:ind w:right="3620"/>
              <w:spacing w:after="0"/>
              <w:rPr>
                <w:sz w:val="20"/>
                <w:szCs w:val="20"/>
                <w:color w:val="auto"/>
              </w:rPr>
            </w:pPr>
            <w:r>
              <w:rPr>
                <w:rFonts w:ascii="Arial" w:cs="Arial" w:eastAsia="Arial" w:hAnsi="Arial"/>
                <w:sz w:val="18"/>
                <w:szCs w:val="18"/>
                <w:color w:val="auto"/>
              </w:rPr>
              <w:t>F-29</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943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4" w:lineRule="exact"/>
        <w:rPr>
          <w:sz w:val="20"/>
          <w:szCs w:val="20"/>
          <w:color w:val="auto"/>
        </w:rPr>
      </w:pPr>
    </w:p>
    <w:p>
      <w:pPr>
        <w:ind w:left="460" w:right="72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payable as a result of the July 29, 2015 and the July 29, 2014 dividend declarations. Please see Note 18 to the consolidated financial statements.</w:t>
      </w:r>
    </w:p>
    <w:p>
      <w:pPr>
        <w:ind w:left="460" w:right="3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Please see Note 6 to the consolidated financial statements.</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Classified as a Level 3 liability. Please see Note 4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Interest and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expense, net, consists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8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8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$(4,615)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$(4,075)</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$(4,915)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rPr>
              <w:t>3,142</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3,483</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3,557</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8,130</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3,447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4,279</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(4,113)</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3,243</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3,154</w:t>
            </w:r>
          </w:p>
        </w:tc>
      </w:tr>
      <w:tr>
        <w:trPr>
          <w:trHeight w:val="27"/>
        </w:trPr>
        <w:tc>
          <w:tcPr>
            <w:tcW w:w="7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$ 2,544</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$ 6,098</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$ 6,075</w:t>
            </w:r>
          </w:p>
        </w:tc>
      </w:tr>
      <w:tr>
        <w:trPr>
          <w:trHeight w:val="20"/>
        </w:trPr>
        <w:tc>
          <w:tcPr>
            <w:tcW w:w="7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Contingencies and Commitments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leases office space and vehicles under non-cancelable operating leases in various countries in which it does business. Future minimum non-cancelable lease payments, which include rent and other payments the Company is obligated to make, based on the Company’s contractual obligations as of September 30, 2015 are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2017</w:t>
            </w:r>
          </w:p>
        </w:tc>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2019</w:t>
            </w:r>
          </w:p>
        </w:tc>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7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246,991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Future minimum non-cancelable lease payments, as stated above, do not reflect committed future sublease income of $1,067, $306, $317 and $219 for the years ended September 30, 2016, 2017, 2018, and 2019, respectively.</w:t>
      </w:r>
    </w:p>
    <w:p>
      <w:pPr>
        <w:spacing w:after="0" w:line="51" w:lineRule="exact"/>
        <w:rPr>
          <w:sz w:val="20"/>
          <w:szCs w:val="20"/>
          <w:color w:val="auto"/>
        </w:rPr>
      </w:pPr>
    </w:p>
    <w:p>
      <w:pPr>
        <w:ind w:left="240" w:right="1620" w:firstLine="228"/>
        <w:spacing w:after="0" w:line="391" w:lineRule="auto"/>
        <w:rPr>
          <w:sz w:val="20"/>
          <w:szCs w:val="20"/>
          <w:color w:val="auto"/>
        </w:rPr>
      </w:pPr>
      <w:r>
        <w:rPr>
          <w:rFonts w:ascii="Arial" w:cs="Arial" w:eastAsia="Arial" w:hAnsi="Arial"/>
          <w:sz w:val="18"/>
          <w:szCs w:val="18"/>
          <w:color w:val="auto"/>
        </w:rPr>
        <w:t xml:space="preserve">Rent expense net of sublease income was approximately $47,032, $45,032 and $45,610 for fiscal 2015, 2014 and 2013, respectively. </w:t>
      </w:r>
      <w:r>
        <w:rPr>
          <w:rFonts w:ascii="Arial" w:cs="Arial" w:eastAsia="Arial" w:hAnsi="Arial"/>
          <w:sz w:val="18"/>
          <w:szCs w:val="18"/>
          <w:b w:val="1"/>
          <w:bCs w:val="1"/>
          <w:i w:val="1"/>
          <w:iCs w:val="1"/>
          <w:color w:val="auto"/>
        </w:rPr>
        <w:t>Legal Proceedings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time, the Company believes that the results of any such contingencies, either individually or in the aggregate, will not have a material adverse effect on the Company’s financial position, results of operations or cash flows.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5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fiscal 2015, 2014 and 2013.</w:t>
      </w:r>
    </w:p>
    <w:p>
      <w:pPr>
        <w:spacing w:after="0" w:line="26" w:lineRule="exact"/>
        <w:rPr>
          <w:sz w:val="20"/>
          <w:szCs w:val="20"/>
          <w:color w:val="auto"/>
        </w:rPr>
      </w:pPr>
    </w:p>
    <w:p>
      <w:pPr>
        <w:jc w:val="both"/>
        <w:ind w:right="32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immaterial costs as a result of such obligations in its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Employee Benefits</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amounted to $216,946 and $212,803 as of September 30, 2015 and 2014, respectively, and is included as accrued employee costs in other noncurrent liabilities. This liability is partially funded by amounts on deposit with insurance companies that totaled $170,816 and $172,906 as of September 30, 2015 and 2014, respectively, and are included in other noncurrent assets. The accrued severance expenses were $31,086, $27,490 and $22,326 for fiscal 2015, 2014 and 2013, respectively.</w:t>
      </w:r>
    </w:p>
    <w:p>
      <w:pPr>
        <w:spacing w:after="0" w:line="6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2015, 2014 and 2013 under such plans were not material compared to total operating expenses.</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The pension and other benefits costs related to the non-contributory defined benefit plans were immaterial in fiscal 2015, 2014 and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 and Incentive Plan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January 1998, the Company adopted the 1998 Stock Option and Incentive Plan, or Equity Incentive Plan, which provides for the grant of restricted stock awards, stock options and other equity-based awards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employees, officers, directors, and consultants. The purpose of the Equity Incentive Plan is to enable the Company to attract and retain qualified personnel and to motivate such persons by providing them with an equity participation in the Company. Since its adoption, the Equity Incentive Plan has been amended on several occasions to, among other things, increase the number of ordinary shares issuable under the Equity Incentive Plan and extend its term. The maximum number of ordinary shares currently authorized to be granted under the Equity Incentive Plan is 62,300. Awards granted under the Equity Incentive Plan generally vest over a period of four years and stock options have a term of ten years.</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about options to purchase the Company</w:t>
      </w:r>
      <w:r>
        <w:rPr>
          <w:rFonts w:ascii="Arial" w:cs="Arial" w:eastAsia="Arial" w:hAnsi="Arial"/>
          <w:sz w:val="16"/>
          <w:szCs w:val="16"/>
          <w:b w:val="1"/>
          <w:bCs w:val="1"/>
          <w:color w:val="auto"/>
        </w:rPr>
        <w:t>’</w:t>
      </w:r>
      <w:r>
        <w:rPr>
          <w:rFonts w:ascii="Arial" w:cs="Arial" w:eastAsia="Arial" w:hAnsi="Arial"/>
          <w:sz w:val="16"/>
          <w:szCs w:val="16"/>
          <w:color w:val="auto"/>
        </w:rPr>
        <w:t>s ordinary shares, as well as changes during the fiscal year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w:t>
            </w:r>
          </w:p>
        </w:tc>
        <w:tc>
          <w:tcPr>
            <w:tcW w:w="46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2,418</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(569)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2015(1)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Exercisable as of September 30, 2015(1)</w:t>
            </w: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3"/>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5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40" w:hanging="452"/>
        <w:spacing w:after="0" w:line="457" w:lineRule="auto"/>
        <w:tabs>
          <w:tab w:leader="none" w:pos="449" w:val="left"/>
        </w:tabs>
        <w:numPr>
          <w:ilvl w:val="0"/>
          <w:numId w:val="54"/>
        </w:numPr>
        <w:rPr>
          <w:rFonts w:ascii="Arial" w:cs="Arial" w:eastAsia="Arial" w:hAnsi="Arial"/>
          <w:sz w:val="15"/>
          <w:szCs w:val="15"/>
          <w:color w:val="auto"/>
        </w:rPr>
      </w:pPr>
      <w:r>
        <w:rPr>
          <w:rFonts w:ascii="Arial" w:cs="Arial" w:eastAsia="Arial" w:hAnsi="Arial"/>
          <w:sz w:val="15"/>
          <w:szCs w:val="15"/>
          <w:color w:val="auto"/>
        </w:rPr>
        <w:t>As of September 30, 2015, the weighted average remaining contractual life of outstanding and exercisable options was 7.26 and 5.37 years, respectively. The following table summarizes information relating to awards of restricted shares, as well as changes during the fiscal year ended September 30, 2015:</w:t>
      </w: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Weighted Average</w:t>
            </w: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665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2015</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fiscal 2015, 2014 and 2013 was $51,812, $62,640 and $44,604, respectively.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value of restricted shares vested during fiscal 2015, 2014 and 2013 was $39,734, $26,737 and $20,891, respectively.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2015 was $162,416 and $80,411, respectively.</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years ended September 30, 2015, 2014 and 2013 was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$15,621</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$17,496</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3,400</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3,599</w:t>
            </w:r>
          </w:p>
        </w:tc>
        <w:tc>
          <w:tcPr>
            <w:tcW w:w="58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25,539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23,483</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44,560</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44,578</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40,340</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income tax benefit recognized in the consolidated statements of income for stock-based compensation (including restricted shares) for fiscal 2015, 2014 and 2013 was $5,490, $5,295 and $4,150, respectively.</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2015, there was $38,547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5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2014</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4.50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1.45%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$5.97</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 Please see Note 2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fiscal years ended September 30, 2015, 2014 and 2013: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120" w:type="dxa"/>
            <w:vAlign w:val="bottom"/>
            <w:gridSpan w:val="2"/>
          </w:tcPr>
          <w:p>
            <w:pPr>
              <w:ind w:left="1920"/>
              <w:spacing w:after="0"/>
              <w:rPr>
                <w:sz w:val="20"/>
                <w:szCs w:val="20"/>
                <w:color w:val="auto"/>
              </w:rPr>
            </w:pPr>
            <w:r>
              <w:rPr>
                <w:rFonts w:ascii="Arial" w:cs="Arial" w:eastAsia="Arial" w:hAnsi="Arial"/>
                <w:sz w:val="14"/>
                <w:szCs w:val="14"/>
                <w:b w:val="1"/>
                <w:bCs w:val="1"/>
                <w:color w:val="auto"/>
              </w:rPr>
              <w:t>Dividends Per</w:t>
            </w:r>
          </w:p>
        </w:tc>
        <w:tc>
          <w:tcPr>
            <w:tcW w:w="2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1"/>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Declaration Date</w:t>
            </w:r>
          </w:p>
        </w:tc>
        <w:tc>
          <w:tcPr>
            <w:tcW w:w="3120" w:type="dxa"/>
            <w:vAlign w:val="bottom"/>
            <w:tcBorders>
              <w:bottom w:val="single" w:sz="8" w:color="auto"/>
            </w:tcBorders>
            <w:gridSpan w:val="2"/>
          </w:tcPr>
          <w:p>
            <w:pPr>
              <w:ind w:left="1860"/>
              <w:spacing w:after="0"/>
              <w:rPr>
                <w:sz w:val="20"/>
                <w:szCs w:val="20"/>
                <w:color w:val="auto"/>
              </w:rPr>
            </w:pPr>
            <w:r>
              <w:rPr>
                <w:rFonts w:ascii="Arial" w:cs="Arial" w:eastAsia="Arial" w:hAnsi="Arial"/>
                <w:sz w:val="14"/>
                <w:szCs w:val="14"/>
                <w:b w:val="1"/>
                <w:bCs w:val="1"/>
                <w:color w:val="auto"/>
              </w:rPr>
              <w:t>Ordinary Share</w:t>
            </w:r>
          </w:p>
        </w:tc>
        <w:tc>
          <w:tcPr>
            <w:tcW w:w="20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Record Date</w:t>
            </w:r>
          </w:p>
        </w:tc>
        <w:tc>
          <w:tcPr>
            <w:tcW w:w="14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 Amount</w:t>
            </w: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Payment Date</w:t>
            </w:r>
          </w:p>
        </w:tc>
      </w:tr>
      <w:tr>
        <w:trPr>
          <w:trHeight w:val="221"/>
        </w:trPr>
        <w:tc>
          <w:tcPr>
            <w:tcW w:w="3160" w:type="dxa"/>
            <w:vAlign w:val="bottom"/>
          </w:tcPr>
          <w:p>
            <w:pPr>
              <w:spacing w:after="0"/>
              <w:rPr>
                <w:sz w:val="20"/>
                <w:szCs w:val="20"/>
                <w:color w:val="auto"/>
              </w:rPr>
            </w:pPr>
            <w:r>
              <w:rPr>
                <w:rFonts w:ascii="Arial" w:cs="Arial" w:eastAsia="Arial" w:hAnsi="Arial"/>
                <w:sz w:val="18"/>
                <w:szCs w:val="18"/>
                <w:color w:val="auto"/>
              </w:rPr>
              <w:t>July 29, 2015</w:t>
            </w:r>
          </w:p>
        </w:tc>
        <w:tc>
          <w:tcPr>
            <w:tcW w:w="2180" w:type="dxa"/>
            <w:vAlign w:val="bottom"/>
          </w:tcPr>
          <w:p>
            <w:pPr>
              <w:ind w:left="1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0.170</w:t>
            </w:r>
          </w:p>
        </w:tc>
        <w:tc>
          <w:tcPr>
            <w:tcW w:w="2060" w:type="dxa"/>
            <w:vAlign w:val="bottom"/>
          </w:tcPr>
          <w:p>
            <w:pPr>
              <w:ind w:left="340"/>
              <w:spacing w:after="0"/>
              <w:rPr>
                <w:sz w:val="20"/>
                <w:szCs w:val="20"/>
                <w:color w:val="auto"/>
              </w:rPr>
            </w:pPr>
            <w:r>
              <w:rPr>
                <w:rFonts w:ascii="Arial" w:cs="Arial" w:eastAsia="Arial" w:hAnsi="Arial"/>
                <w:sz w:val="18"/>
                <w:szCs w:val="18"/>
                <w:color w:val="auto"/>
              </w:rPr>
              <w:t>September 30, 2015</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25,697</w:t>
            </w:r>
          </w:p>
        </w:tc>
        <w:tc>
          <w:tcPr>
            <w:tcW w:w="1620" w:type="dxa"/>
            <w:vAlign w:val="bottom"/>
          </w:tcPr>
          <w:p>
            <w:pPr>
              <w:ind w:left="340"/>
              <w:spacing w:after="0"/>
              <w:rPr>
                <w:sz w:val="20"/>
                <w:szCs w:val="20"/>
                <w:color w:val="auto"/>
              </w:rPr>
            </w:pPr>
            <w:r>
              <w:rPr>
                <w:rFonts w:ascii="Arial" w:cs="Arial" w:eastAsia="Arial" w:hAnsi="Arial"/>
                <w:sz w:val="18"/>
                <w:szCs w:val="18"/>
                <w:color w:val="auto"/>
                <w:w w:val="90"/>
              </w:rPr>
              <w:t>October 16, 2015</w:t>
            </w: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April 29, 2015</w:t>
            </w:r>
          </w:p>
        </w:tc>
        <w:tc>
          <w:tcPr>
            <w:tcW w:w="21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0.170</w:t>
            </w: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2015</w:t>
            </w:r>
          </w:p>
        </w:tc>
        <w:tc>
          <w:tcPr>
            <w:tcW w:w="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26,127</w:t>
            </w: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17, 2015</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January 27, 2015</w:t>
            </w:r>
          </w:p>
        </w:tc>
        <w:tc>
          <w:tcPr>
            <w:tcW w:w="2180" w:type="dxa"/>
            <w:vAlign w:val="bottom"/>
          </w:tcPr>
          <w:p>
            <w:pPr>
              <w:ind w:left="1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0.170</w:t>
            </w:r>
          </w:p>
        </w:tc>
        <w:tc>
          <w:tcPr>
            <w:tcW w:w="2060" w:type="dxa"/>
            <w:vAlign w:val="bottom"/>
          </w:tcPr>
          <w:p>
            <w:pPr>
              <w:ind w:left="340"/>
              <w:spacing w:after="0"/>
              <w:rPr>
                <w:sz w:val="20"/>
                <w:szCs w:val="20"/>
                <w:color w:val="auto"/>
              </w:rPr>
            </w:pPr>
            <w:r>
              <w:rPr>
                <w:rFonts w:ascii="Arial" w:cs="Arial" w:eastAsia="Arial" w:hAnsi="Arial"/>
                <w:sz w:val="18"/>
                <w:szCs w:val="18"/>
                <w:color w:val="auto"/>
              </w:rPr>
              <w:t>March 31, 2015</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26,286</w:t>
            </w:r>
          </w:p>
        </w:tc>
        <w:tc>
          <w:tcPr>
            <w:tcW w:w="1620" w:type="dxa"/>
            <w:vAlign w:val="bottom"/>
          </w:tcPr>
          <w:p>
            <w:pPr>
              <w:ind w:left="340"/>
              <w:spacing w:after="0"/>
              <w:rPr>
                <w:sz w:val="20"/>
                <w:szCs w:val="20"/>
                <w:color w:val="auto"/>
              </w:rPr>
            </w:pPr>
            <w:r>
              <w:rPr>
                <w:rFonts w:ascii="Arial" w:cs="Arial" w:eastAsia="Arial" w:hAnsi="Arial"/>
                <w:sz w:val="18"/>
                <w:szCs w:val="18"/>
                <w:color w:val="auto"/>
              </w:rPr>
              <w:t>April 16, 2015</w:t>
            </w:r>
          </w:p>
        </w:tc>
      </w:tr>
      <w:tr>
        <w:trPr>
          <w:trHeight w:val="216"/>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4, 2014</w:t>
            </w:r>
          </w:p>
        </w:tc>
        <w:tc>
          <w:tcPr>
            <w:tcW w:w="218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0.155</w:t>
            </w:r>
          </w:p>
        </w:tc>
        <w:tc>
          <w:tcPr>
            <w:tcW w:w="2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2014</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24,086</w:t>
            </w:r>
          </w:p>
        </w:tc>
        <w:tc>
          <w:tcPr>
            <w:tcW w:w="1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0"/>
              </w:rPr>
              <w:t>January 16, 2015</w:t>
            </w:r>
          </w:p>
        </w:tc>
      </w:tr>
      <w:tr>
        <w:trPr>
          <w:trHeight w:val="329"/>
        </w:trPr>
        <w:tc>
          <w:tcPr>
            <w:tcW w:w="3160" w:type="dxa"/>
            <w:vAlign w:val="bottom"/>
          </w:tcPr>
          <w:p>
            <w:pPr>
              <w:spacing w:after="0"/>
              <w:rPr>
                <w:sz w:val="20"/>
                <w:szCs w:val="20"/>
                <w:color w:val="auto"/>
              </w:rPr>
            </w:pPr>
            <w:r>
              <w:rPr>
                <w:rFonts w:ascii="Arial" w:cs="Arial" w:eastAsia="Arial" w:hAnsi="Arial"/>
                <w:sz w:val="18"/>
                <w:szCs w:val="18"/>
                <w:color w:val="auto"/>
              </w:rPr>
              <w:t>July 29, 2014</w:t>
            </w:r>
          </w:p>
        </w:tc>
        <w:tc>
          <w:tcPr>
            <w:tcW w:w="2180" w:type="dxa"/>
            <w:vAlign w:val="bottom"/>
          </w:tcPr>
          <w:p>
            <w:pPr>
              <w:ind w:left="1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0.155</w:t>
            </w:r>
          </w:p>
        </w:tc>
        <w:tc>
          <w:tcPr>
            <w:tcW w:w="2060" w:type="dxa"/>
            <w:vAlign w:val="bottom"/>
          </w:tcPr>
          <w:p>
            <w:pPr>
              <w:ind w:left="340"/>
              <w:spacing w:after="0"/>
              <w:rPr>
                <w:sz w:val="20"/>
                <w:szCs w:val="20"/>
                <w:color w:val="auto"/>
              </w:rPr>
            </w:pPr>
            <w:r>
              <w:rPr>
                <w:rFonts w:ascii="Arial" w:cs="Arial" w:eastAsia="Arial" w:hAnsi="Arial"/>
                <w:sz w:val="18"/>
                <w:szCs w:val="18"/>
                <w:color w:val="auto"/>
              </w:rPr>
              <w:t>September 30, 2014</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24,291</w:t>
            </w:r>
          </w:p>
        </w:tc>
        <w:tc>
          <w:tcPr>
            <w:tcW w:w="1620" w:type="dxa"/>
            <w:vAlign w:val="bottom"/>
          </w:tcPr>
          <w:p>
            <w:pPr>
              <w:ind w:left="340"/>
              <w:spacing w:after="0"/>
              <w:rPr>
                <w:sz w:val="20"/>
                <w:szCs w:val="20"/>
                <w:color w:val="auto"/>
              </w:rPr>
            </w:pPr>
            <w:r>
              <w:rPr>
                <w:rFonts w:ascii="Arial" w:cs="Arial" w:eastAsia="Arial" w:hAnsi="Arial"/>
                <w:sz w:val="18"/>
                <w:szCs w:val="18"/>
                <w:color w:val="auto"/>
                <w:w w:val="90"/>
              </w:rPr>
              <w:t>October 17, 2014</w:t>
            </w: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April 30, 2014</w:t>
            </w:r>
          </w:p>
        </w:tc>
        <w:tc>
          <w:tcPr>
            <w:tcW w:w="21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0.155</w:t>
            </w: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2014</w:t>
            </w:r>
          </w:p>
        </w:tc>
        <w:tc>
          <w:tcPr>
            <w:tcW w:w="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24,576</w:t>
            </w: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18, 2014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January 29, 2014</w:t>
            </w:r>
          </w:p>
        </w:tc>
        <w:tc>
          <w:tcPr>
            <w:tcW w:w="2180" w:type="dxa"/>
            <w:vAlign w:val="bottom"/>
          </w:tcPr>
          <w:p>
            <w:pPr>
              <w:ind w:left="1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0.155</w:t>
            </w:r>
          </w:p>
        </w:tc>
        <w:tc>
          <w:tcPr>
            <w:tcW w:w="2060" w:type="dxa"/>
            <w:vAlign w:val="bottom"/>
          </w:tcPr>
          <w:p>
            <w:pPr>
              <w:ind w:left="340"/>
              <w:spacing w:after="0"/>
              <w:rPr>
                <w:sz w:val="20"/>
                <w:szCs w:val="20"/>
                <w:color w:val="auto"/>
              </w:rPr>
            </w:pPr>
            <w:r>
              <w:rPr>
                <w:rFonts w:ascii="Arial" w:cs="Arial" w:eastAsia="Arial" w:hAnsi="Arial"/>
                <w:sz w:val="18"/>
                <w:szCs w:val="18"/>
                <w:color w:val="auto"/>
              </w:rPr>
              <w:t>March 31, 2014</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24,799</w:t>
            </w:r>
          </w:p>
        </w:tc>
        <w:tc>
          <w:tcPr>
            <w:tcW w:w="1620" w:type="dxa"/>
            <w:vAlign w:val="bottom"/>
          </w:tcPr>
          <w:p>
            <w:pPr>
              <w:ind w:left="340"/>
              <w:spacing w:after="0"/>
              <w:rPr>
                <w:sz w:val="20"/>
                <w:szCs w:val="20"/>
                <w:color w:val="auto"/>
              </w:rPr>
            </w:pPr>
            <w:r>
              <w:rPr>
                <w:rFonts w:ascii="Arial" w:cs="Arial" w:eastAsia="Arial" w:hAnsi="Arial"/>
                <w:sz w:val="18"/>
                <w:szCs w:val="18"/>
                <w:color w:val="auto"/>
              </w:rPr>
              <w:t>April 17, 2014</w:t>
            </w:r>
          </w:p>
        </w:tc>
      </w:tr>
      <w:tr>
        <w:trPr>
          <w:trHeight w:val="216"/>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5, 2013</w:t>
            </w:r>
          </w:p>
        </w:tc>
        <w:tc>
          <w:tcPr>
            <w:tcW w:w="218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0.130</w:t>
            </w:r>
          </w:p>
        </w:tc>
        <w:tc>
          <w:tcPr>
            <w:tcW w:w="2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2013</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20,752</w:t>
            </w:r>
          </w:p>
        </w:tc>
        <w:tc>
          <w:tcPr>
            <w:tcW w:w="1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0"/>
              </w:rPr>
              <w:t>January 17, 2014</w:t>
            </w:r>
          </w:p>
        </w:tc>
      </w:tr>
      <w:tr>
        <w:trPr>
          <w:trHeight w:val="329"/>
        </w:trPr>
        <w:tc>
          <w:tcPr>
            <w:tcW w:w="3160" w:type="dxa"/>
            <w:vAlign w:val="bottom"/>
          </w:tcPr>
          <w:p>
            <w:pPr>
              <w:spacing w:after="0"/>
              <w:rPr>
                <w:sz w:val="20"/>
                <w:szCs w:val="20"/>
                <w:color w:val="auto"/>
              </w:rPr>
            </w:pPr>
            <w:r>
              <w:rPr>
                <w:rFonts w:ascii="Arial" w:cs="Arial" w:eastAsia="Arial" w:hAnsi="Arial"/>
                <w:sz w:val="18"/>
                <w:szCs w:val="18"/>
                <w:color w:val="auto"/>
              </w:rPr>
              <w:t>July 31, 2013</w:t>
            </w:r>
          </w:p>
        </w:tc>
        <w:tc>
          <w:tcPr>
            <w:tcW w:w="2180" w:type="dxa"/>
            <w:vAlign w:val="bottom"/>
          </w:tcPr>
          <w:p>
            <w:pPr>
              <w:ind w:left="1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0.130</w:t>
            </w:r>
          </w:p>
        </w:tc>
        <w:tc>
          <w:tcPr>
            <w:tcW w:w="2060" w:type="dxa"/>
            <w:vAlign w:val="bottom"/>
          </w:tcPr>
          <w:p>
            <w:pPr>
              <w:ind w:left="340"/>
              <w:spacing w:after="0"/>
              <w:rPr>
                <w:sz w:val="20"/>
                <w:szCs w:val="20"/>
                <w:color w:val="auto"/>
              </w:rPr>
            </w:pPr>
            <w:r>
              <w:rPr>
                <w:rFonts w:ascii="Arial" w:cs="Arial" w:eastAsia="Arial" w:hAnsi="Arial"/>
                <w:sz w:val="18"/>
                <w:szCs w:val="18"/>
                <w:color w:val="auto"/>
              </w:rPr>
              <w:t>September 30, 2013</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20,812</w:t>
            </w:r>
          </w:p>
        </w:tc>
        <w:tc>
          <w:tcPr>
            <w:tcW w:w="1620" w:type="dxa"/>
            <w:vAlign w:val="bottom"/>
          </w:tcPr>
          <w:p>
            <w:pPr>
              <w:ind w:left="340"/>
              <w:spacing w:after="0"/>
              <w:rPr>
                <w:sz w:val="20"/>
                <w:szCs w:val="20"/>
                <w:color w:val="auto"/>
              </w:rPr>
            </w:pPr>
            <w:r>
              <w:rPr>
                <w:rFonts w:ascii="Arial" w:cs="Arial" w:eastAsia="Arial" w:hAnsi="Arial"/>
                <w:sz w:val="18"/>
                <w:szCs w:val="18"/>
                <w:color w:val="auto"/>
                <w:w w:val="90"/>
              </w:rPr>
              <w:t>October 18, 2013</w:t>
            </w: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April 30, 2013</w:t>
            </w:r>
          </w:p>
        </w:tc>
        <w:tc>
          <w:tcPr>
            <w:tcW w:w="21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0.130</w:t>
            </w: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28, 2013</w:t>
            </w:r>
          </w:p>
        </w:tc>
        <w:tc>
          <w:tcPr>
            <w:tcW w:w="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20,929</w:t>
            </w: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19, 2013</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January 30, 2013</w:t>
            </w:r>
          </w:p>
        </w:tc>
        <w:tc>
          <w:tcPr>
            <w:tcW w:w="2180" w:type="dxa"/>
            <w:vAlign w:val="bottom"/>
          </w:tcPr>
          <w:p>
            <w:pPr>
              <w:ind w:left="1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0.130</w:t>
            </w:r>
          </w:p>
        </w:tc>
        <w:tc>
          <w:tcPr>
            <w:tcW w:w="2060" w:type="dxa"/>
            <w:vAlign w:val="bottom"/>
          </w:tcPr>
          <w:p>
            <w:pPr>
              <w:ind w:left="340"/>
              <w:spacing w:after="0"/>
              <w:rPr>
                <w:sz w:val="20"/>
                <w:szCs w:val="20"/>
                <w:color w:val="auto"/>
              </w:rPr>
            </w:pPr>
            <w:r>
              <w:rPr>
                <w:rFonts w:ascii="Arial" w:cs="Arial" w:eastAsia="Arial" w:hAnsi="Arial"/>
                <w:sz w:val="18"/>
                <w:szCs w:val="18"/>
                <w:color w:val="auto"/>
              </w:rPr>
              <w:t>March 28, 2013</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20,927</w:t>
            </w:r>
          </w:p>
        </w:tc>
        <w:tc>
          <w:tcPr>
            <w:tcW w:w="1620" w:type="dxa"/>
            <w:vAlign w:val="bottom"/>
          </w:tcPr>
          <w:p>
            <w:pPr>
              <w:ind w:left="340"/>
              <w:spacing w:after="0"/>
              <w:rPr>
                <w:sz w:val="20"/>
                <w:szCs w:val="20"/>
                <w:color w:val="auto"/>
              </w:rPr>
            </w:pPr>
            <w:r>
              <w:rPr>
                <w:rFonts w:ascii="Arial" w:cs="Arial" w:eastAsia="Arial" w:hAnsi="Arial"/>
                <w:sz w:val="18"/>
                <w:szCs w:val="18"/>
                <w:color w:val="auto"/>
              </w:rPr>
              <w:t>April 19, 2013</w:t>
            </w:r>
          </w:p>
        </w:tc>
      </w:tr>
      <w:tr>
        <w:trPr>
          <w:trHeight w:val="216"/>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6, 2012</w:t>
            </w:r>
          </w:p>
        </w:tc>
        <w:tc>
          <w:tcPr>
            <w:tcW w:w="218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0.130</w:t>
            </w:r>
          </w:p>
        </w:tc>
        <w:tc>
          <w:tcPr>
            <w:tcW w:w="2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2012</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21,032</w:t>
            </w:r>
          </w:p>
        </w:tc>
        <w:tc>
          <w:tcPr>
            <w:tcW w:w="1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0"/>
              </w:rPr>
              <w:t>January 18, 2013</w:t>
            </w: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payable as a result of the July 29, 2015 declaration was included in accrued expenses and other current liabilities as of September 30, 2015.</w:t>
      </w:r>
    </w:p>
    <w:p>
      <w:pPr>
        <w:spacing w:after="0" w:line="113"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On November 10, 2015, the Company’s Board of Directors approved the next quarterly dividend payment, at the rate of $0.170 per share, and set December 31, 2015 as the record date for determining the shareholders entitled to receive the dividend, which is payable on January 15, 2016.</w:t>
      </w:r>
    </w:p>
    <w:p>
      <w:pPr>
        <w:spacing w:after="0" w:line="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November 10, 2015, the Company’s Board of Directors also approved, subject to shareholder approval at the February 2016 annual general meeting of shareholders, an increase in the quarterly cash dividend to $0.195 per share, anticipated to be paid in April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Numerator for basic and diluted earnings per share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441,596</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422,122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412,439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Denominator for basic earnings per share — weighted average number of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152,832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159,012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assumed conversion of 0.50% convertible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Effect of dilutive stock options granted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2,372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2"/>
              </w:rPr>
              <w:t>Denominator for dilutive earnings per share — adjusted weighted average shares and assumed</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155,218</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161,366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163,118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2"/>
            <w:vMerge w:val="continue"/>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506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numerator for basic and diluted earnings per share excludes income attributable to participating restricted shares, and the denominator for basic and diluted earnings per share does not include shares attributable to participating restricted shares.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effect of the repurchase of ordinary shares by the Company has been included in the calculation of basic earnings per share.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fiscal years ended September 30, 2015, 2014 and 2013, 724, 1,064 and 3,005 shares, respectively, on a weighted average basis, were attributable to antidilutive outstanding stock options and therefore were not included in the calculation of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 and Sales to Significant Customers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entertainment and media industry service providers.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280" w:type="dxa"/>
            <w:vAlign w:val="bottom"/>
            <w:gridSpan w:val="3"/>
          </w:tcPr>
          <w:p>
            <w:pPr>
              <w:jc w:val="right"/>
              <w:ind w:right="22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Revenue</w:t>
            </w:r>
          </w:p>
        </w:tc>
        <w:tc>
          <w:tcPr>
            <w:tcW w:w="4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North America (mainly United States)</w:t>
            </w:r>
          </w:p>
        </w:tc>
        <w:tc>
          <w:tcPr>
            <w:tcW w:w="2980" w:type="dxa"/>
            <w:vAlign w:val="bottom"/>
            <w:gridSpan w:val="3"/>
          </w:tcPr>
          <w:p>
            <w:pPr>
              <w:jc w:val="right"/>
              <w:ind w:right="80"/>
              <w:spacing w:after="0"/>
              <w:rPr>
                <w:sz w:val="20"/>
                <w:szCs w:val="20"/>
                <w:color w:val="auto"/>
              </w:rPr>
            </w:pPr>
            <w:r>
              <w:rPr>
                <w:rFonts w:ascii="Arial" w:cs="Arial" w:eastAsia="Arial" w:hAnsi="Arial"/>
                <w:sz w:val="18"/>
                <w:szCs w:val="18"/>
                <w:color w:val="auto"/>
              </w:rPr>
              <w:t>$ 2,555,539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$ 2,589,613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8"/>
              </w:rPr>
              <w:t>$ 2,423,067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w:t>
            </w:r>
          </w:p>
        </w:tc>
        <w:tc>
          <w:tcPr>
            <w:tcW w:w="2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422,095</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450,669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398,400</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523,355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524,387</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$ 3,643,538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$ 3,563,637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$ 3,345,854</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7"/>
          </w:tcPr>
          <w:p>
            <w:pPr>
              <w:ind w:lef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60" w:type="dxa"/>
            <w:vAlign w:val="bottom"/>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gridSpan w:val="2"/>
          </w:tcPr>
          <w:p>
            <w:pPr>
              <w:spacing w:after="0"/>
              <w:rPr>
                <w:sz w:val="12"/>
                <w:szCs w:val="12"/>
                <w:color w:val="auto"/>
              </w:rPr>
            </w:pPr>
          </w:p>
        </w:tc>
        <w:tc>
          <w:tcPr>
            <w:tcW w:w="58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154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Long-lived Assets(1)</w:t>
            </w:r>
          </w:p>
        </w:tc>
        <w:tc>
          <w:tcPr>
            <w:tcW w:w="322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Europe</w:t>
            </w: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$102,434</w:t>
            </w: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$ 88,218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79,693</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77,273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2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59,581</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56,289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ind w:left="220"/>
              <w:spacing w:after="0"/>
              <w:rPr>
                <w:sz w:val="20"/>
                <w:szCs w:val="20"/>
                <w:color w:val="auto"/>
              </w:rPr>
            </w:pPr>
            <w:r>
              <w:rPr>
                <w:rFonts w:ascii="Arial" w:cs="Arial" w:eastAsia="Arial" w:hAnsi="Arial"/>
                <w:sz w:val="18"/>
                <w:szCs w:val="18"/>
                <w:color w:val="auto"/>
              </w:rPr>
              <w:t>India</w:t>
            </w: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34,472</w:t>
            </w: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27,479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2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33,140</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39,697</w:t>
            </w:r>
          </w:p>
        </w:tc>
        <w:tc>
          <w:tcPr>
            <w:tcW w:w="100" w:type="dxa"/>
            <w:vAlign w:val="bottom"/>
            <w:shd w:val="clear" w:color="auto" w:fill="CCEEFF"/>
          </w:tcPr>
          <w:p>
            <w:pPr>
              <w:spacing w:after="0"/>
              <w:rPr>
                <w:sz w:val="18"/>
                <w:szCs w:val="18"/>
                <w:color w:val="auto"/>
              </w:rPr>
            </w:pPr>
          </w:p>
        </w:tc>
      </w:tr>
      <w:tr>
        <w:trPr>
          <w:trHeight w:val="222"/>
        </w:trPr>
        <w:tc>
          <w:tcPr>
            <w:tcW w:w="5220" w:type="dxa"/>
            <w:vAlign w:val="bottom"/>
            <w:gridSpan w:val="5"/>
          </w:tcPr>
          <w:p>
            <w:pPr>
              <w:ind w:left="46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309,320</w:t>
            </w:r>
          </w:p>
        </w:tc>
        <w:tc>
          <w:tcPr>
            <w:tcW w:w="3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288,956</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Equipment and leasehold improvements.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Customer Information</w:t>
      </w:r>
    </w:p>
    <w:p>
      <w:pPr>
        <w:spacing w:after="0" w:line="9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Customer experience solutions include the following offerings: revenue and customer management, operational support systems (OSS), network control, optimization and virtualization, digital lifestyle services, big data analytics, machine-to-machine (M2M) solutions and mobile financial services. Customer experience solutions also include a comprehensive line of services such as strategic business consulting, systems integration and transformation, managed services and testing. Directory includes comprehensive set of products and services for local marketing service providers and search and directory publishers.</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4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28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9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solutions</w:t>
            </w:r>
          </w:p>
        </w:tc>
        <w:tc>
          <w:tcPr>
            <w:tcW w:w="2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$ 3,542,531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$ 3,435,478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$ 3,185,637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Directory</w:t>
            </w:r>
          </w:p>
        </w:tc>
        <w:tc>
          <w:tcPr>
            <w:tcW w:w="2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$ 3,643,538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$ 3,563,637</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$ 3,345,854</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had one customer that accounted for at least ten percent of its total revenue in each of fiscal 2015, 2014 and 2013. The percentage of revenue from this customer out of total revenue during fiscal 2015, 2014 and 2013 was 34%, 33% and 28%,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Selected Quarterly Results of Operations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926,776</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$907,897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$902,578</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906,287</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109,700</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141,521</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91,130</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107,782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116,261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130,990</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0.59</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900,261</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$902,477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$896,854</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864,045</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126,107</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123,848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120,690</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100,503</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109,827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110,357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101,435</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r>
      <w:tr>
        <w:trPr>
          <w:trHeight w:val="222"/>
        </w:trPr>
        <w:tc>
          <w:tcPr>
            <w:tcW w:w="358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0.63</w:t>
            </w: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r>
      <w:tr>
        <w:trPr>
          <w:trHeight w:val="356"/>
        </w:trPr>
        <w:tc>
          <w:tcPr>
            <w:tcW w:w="3580" w:type="dxa"/>
            <w:vAlign w:val="bottom"/>
          </w:tcPr>
          <w:p>
            <w:pPr>
              <w:spacing w:after="0"/>
              <w:rPr>
                <w:sz w:val="24"/>
                <w:szCs w:val="24"/>
                <w:color w:val="auto"/>
              </w:rPr>
            </w:pPr>
          </w:p>
        </w:tc>
        <w:tc>
          <w:tcPr>
            <w:tcW w:w="1960" w:type="dxa"/>
            <w:vAlign w:val="bottom"/>
            <w:gridSpan w:val="2"/>
          </w:tcPr>
          <w:p>
            <w:pPr>
              <w:ind w:left="1500"/>
              <w:spacing w:after="0"/>
              <w:rPr>
                <w:sz w:val="20"/>
                <w:szCs w:val="20"/>
                <w:color w:val="auto"/>
              </w:rPr>
            </w:pPr>
            <w:r>
              <w:rPr>
                <w:rFonts w:ascii="Arial" w:cs="Arial" w:eastAsia="Arial" w:hAnsi="Arial"/>
                <w:sz w:val="18"/>
                <w:szCs w:val="18"/>
                <w:color w:val="auto"/>
              </w:rPr>
              <w:t>F-36</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Accounts Receivable</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Valuation Allowances on</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2"/>
          </w:tcPr>
          <w:p>
            <w:pPr>
              <w:jc w:val="right"/>
              <w:ind w:right="1840"/>
              <w:spacing w:after="0"/>
              <w:rPr>
                <w:sz w:val="20"/>
                <w:szCs w:val="20"/>
                <w:color w:val="auto"/>
              </w:rPr>
            </w:pPr>
            <w:r>
              <w:rPr>
                <w:rFonts w:ascii="Arial" w:cs="Arial" w:eastAsia="Arial" w:hAnsi="Arial"/>
                <w:sz w:val="14"/>
                <w:szCs w:val="14"/>
                <w:b w:val="1"/>
                <w:bCs w:val="1"/>
                <w:color w:val="auto"/>
                <w:w w:val="93"/>
              </w:rPr>
              <w:t>Allowances</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Deferred Tax Assets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1, 2012</w:t>
            </w:r>
          </w:p>
        </w:tc>
        <w:tc>
          <w:tcPr>
            <w:tcW w:w="1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1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117,011</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5,851</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23,199(1)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1,176(3)</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2"/>
          </w:tcPr>
          <w:p>
            <w:pPr>
              <w:jc w:val="right"/>
              <w:ind w:right="1500"/>
              <w:spacing w:after="0"/>
              <w:rPr>
                <w:sz w:val="20"/>
                <w:szCs w:val="20"/>
                <w:color w:val="auto"/>
              </w:rPr>
            </w:pPr>
            <w:r>
              <w:rPr>
                <w:rFonts w:ascii="Arial" w:cs="Arial" w:eastAsia="Arial" w:hAnsi="Arial"/>
                <w:sz w:val="18"/>
                <w:szCs w:val="18"/>
                <w:color w:val="auto"/>
              </w:rPr>
              <w:t>(3,256)</w:t>
            </w:r>
          </w:p>
        </w:tc>
        <w:tc>
          <w:tcPr>
            <w:tcW w:w="4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(15,560)(4)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1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15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6,100</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12,725(5)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2"/>
          </w:tcPr>
          <w:p>
            <w:pPr>
              <w:jc w:val="right"/>
              <w:ind w:right="1500"/>
              <w:spacing w:after="0"/>
              <w:rPr>
                <w:sz w:val="20"/>
                <w:szCs w:val="20"/>
                <w:color w:val="auto"/>
              </w:rPr>
            </w:pPr>
            <w:r>
              <w:rPr>
                <w:rFonts w:ascii="Arial" w:cs="Arial" w:eastAsia="Arial" w:hAnsi="Arial"/>
                <w:sz w:val="18"/>
                <w:szCs w:val="18"/>
                <w:color w:val="auto"/>
              </w:rPr>
              <w:t>(2,791)</w:t>
            </w:r>
          </w:p>
        </w:tc>
        <w:tc>
          <w:tcPr>
            <w:tcW w:w="4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(16,138)(7)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1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5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13,328</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24,040(8)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2"/>
          </w:tcPr>
          <w:p>
            <w:pPr>
              <w:jc w:val="right"/>
              <w:ind w:right="1500"/>
              <w:spacing w:after="0"/>
              <w:rPr>
                <w:sz w:val="20"/>
                <w:szCs w:val="20"/>
                <w:color w:val="auto"/>
              </w:rPr>
            </w:pPr>
            <w:r>
              <w:rPr>
                <w:rFonts w:ascii="Arial" w:cs="Arial" w:eastAsia="Arial" w:hAnsi="Arial"/>
                <w:sz w:val="18"/>
                <w:szCs w:val="18"/>
                <w:color w:val="auto"/>
              </w:rPr>
              <w:t>(16,441)</w:t>
            </w:r>
          </w:p>
        </w:tc>
        <w:tc>
          <w:tcPr>
            <w:tcW w:w="4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(40,082)(9)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2015</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112,165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2013.</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Valuation allowances on deferred tax assets recorded in connection with an immaterial acquisition in fiscal 2013.</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$109 was related to an immaterial acquisition in fiscal 2013 and was charged to other accounts during fiscal 2013.</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$7,707 of valuation allowances on deferred tax assets were written off against the related deferred tax assets, and the remaining deductions in the valuation allowances on net deferred tax assets were released primarily to earnings.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2014.</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mainly valuation allowances on deferred tax assets incurred in connection with an immaterial acquisition in fiscal 2014.</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$9,641 of valuation allowances on deferred tax assets were written off against the related deferred tax assets, and the remaining deductions in the valuation allowances on net deferred tax assets were released to earnings.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2015.</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$2,235 of valuation allowances on deferred tax assets were written off against the related deferred tax assets, and the remaining deductions in the valuation allowances on net deferred tax assets were released to earnings.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40"/>
          </w:cols>
          <w:pgMar w:left="240" w:top="459" w:right="319" w:bottom="1440" w:gutter="0" w:footer="0" w:header="0"/>
        </w:sectPr>
      </w:pPr>
    </w:p>
    <w:bookmarkStart w:id="107" w:name="page108"/>
    <w:bookmarkEnd w:id="107"/>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Securities and Exchange Commission. Double asterisks denote omissions.</w:t>
      </w:r>
    </w:p>
    <w:p>
      <w:pPr>
        <w:spacing w:after="0" w:line="247"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No. 02026713.A.034</w:t>
      </w:r>
    </w:p>
    <w:p>
      <w:pPr>
        <w:spacing w:after="0" w:line="225"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4.b.3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Agreement Number 02026713.A.034</w:t>
      </w:r>
    </w:p>
    <w:p>
      <w:pPr>
        <w:spacing w:after="0" w:line="2770" w:lineRule="exact"/>
        <w:rPr>
          <w:sz w:val="20"/>
          <w:szCs w:val="20"/>
          <w:color w:val="auto"/>
        </w:rPr>
      </w:pPr>
    </w:p>
    <w:p>
      <w:pPr>
        <w:sectPr>
          <w:pgSz w:w="11900" w:h="16838" w:orient="portrait"/>
          <w:cols w:equalWidth="0" w:num="2">
            <w:col w:w="7940" w:space="720"/>
            <w:col w:w="2680"/>
          </w:cols>
          <w:pgMar w:left="320" w:top="121" w:right="239" w:bottom="1440" w:gutter="0" w:footer="0" w:header="0"/>
        </w:sect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121" w:right="2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34,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right="120" w:hanging="452"/>
        <w:spacing w:after="0" w:line="282" w:lineRule="auto"/>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3, “AT&amp;T Supplier Information Security Requirements”, </w:t>
      </w:r>
      <w:r>
        <w:rPr>
          <w:rFonts w:ascii="Arial" w:cs="Arial" w:eastAsia="Arial" w:hAnsi="Arial"/>
          <w:sz w:val="18"/>
          <w:szCs w:val="18"/>
          <w:color w:val="auto"/>
        </w:rPr>
        <w:t>of</w:t>
      </w:r>
      <w:r>
        <w:rPr>
          <w:rFonts w:ascii="Arial" w:cs="Arial" w:eastAsia="Arial" w:hAnsi="Arial"/>
          <w:sz w:val="18"/>
          <w:szCs w:val="18"/>
          <w:b w:val="1"/>
          <w:bCs w:val="1"/>
          <w:color w:val="auto"/>
        </w:rPr>
        <w:t xml:space="preserve"> Appendix 8, “AT&amp;T Rules, Supplier Information Security Requirements and Limited Offshore Remote Access”</w:t>
      </w:r>
      <w:r>
        <w:rPr>
          <w:rFonts w:ascii="Arial" w:cs="Arial" w:eastAsia="Arial" w:hAnsi="Arial"/>
          <w:sz w:val="18"/>
          <w:szCs w:val="18"/>
          <w:color w:val="auto"/>
        </w:rPr>
        <w:t>, is deleted in its entirety and replaced with the following:</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AT&amp;T Supplier Information Security Requirements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AT&amp;T Supplier Information Security Requirements (SISR) – v5.2, December 1, 2013</w:t>
      </w:r>
    </w:p>
    <w:p>
      <w:pPr>
        <w:spacing w:after="0" w:line="121" w:lineRule="exact"/>
        <w:rPr>
          <w:sz w:val="20"/>
          <w:szCs w:val="20"/>
          <w:color w:val="auto"/>
        </w:rPr>
      </w:pPr>
    </w:p>
    <w:p>
      <w:pPr>
        <w:ind w:left="460" w:right="260"/>
        <w:spacing w:after="0" w:line="286" w:lineRule="auto"/>
        <w:rPr>
          <w:sz w:val="20"/>
          <w:szCs w:val="20"/>
          <w:color w:val="auto"/>
        </w:rPr>
      </w:pPr>
      <w:r>
        <w:rPr>
          <w:rFonts w:ascii="Arial" w:cs="Arial" w:eastAsia="Arial" w:hAnsi="Arial"/>
          <w:sz w:val="17"/>
          <w:szCs w:val="17"/>
          <w:color w:val="auto"/>
        </w:rPr>
        <w:t xml:space="preserve">The following AT&amp;T Supplier Information Security Requirements (“Security Requirements”) apply to Amdocs, its affiliates, its Subcontractors, and each of their employees and/or temporary workers, contractors, vendors and/or agents who perform any Services for, on behalf of, and/or through AT&amp;T and/or any other obligations (for the purpose of this Appendix, each or all “Supplier”) that include </w:t>
      </w:r>
      <w:r>
        <w:rPr>
          <w:rFonts w:ascii="Arial" w:cs="Arial" w:eastAsia="Arial" w:hAnsi="Arial"/>
          <w:sz w:val="17"/>
          <w:szCs w:val="17"/>
          <w:b w:val="1"/>
          <w:bCs w:val="1"/>
          <w:u w:val="single" w:color="auto"/>
          <w:color w:val="auto"/>
        </w:rPr>
        <w:t>any</w:t>
      </w:r>
      <w:r>
        <w:rPr>
          <w:rFonts w:ascii="Arial" w:cs="Arial" w:eastAsia="Arial" w:hAnsi="Arial"/>
          <w:sz w:val="17"/>
          <w:szCs w:val="17"/>
          <w:color w:val="auto"/>
        </w:rPr>
        <w:t xml:space="preserve"> of the following</w:t>
      </w:r>
      <w:r>
        <w:rPr>
          <w:rFonts w:ascii="Arial" w:cs="Arial" w:eastAsia="Arial" w:hAnsi="Arial"/>
          <w:sz w:val="17"/>
          <w:szCs w:val="17"/>
          <w:b w:val="1"/>
          <w:bCs w:val="1"/>
          <w:color w:val="auto"/>
        </w:rPr>
        <w:t>:</w:t>
      </w:r>
    </w:p>
    <w:p>
      <w:pPr>
        <w:spacing w:after="0" w:line="71"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Supplier’s performance of Services that involve the collection, storage, handling, or disposal of AT&amp;T’s Information;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Supplier-offered or -supported AT&amp;T branded services using non-AT&amp;T Information Resources (as defined below);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Connectivity to AT&amp;T’s Nonpublic Information Resources (as defined below);</w:t>
      </w:r>
    </w:p>
    <w:p>
      <w:pPr>
        <w:spacing w:after="0" w:line="130"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Custom Software development pursuant to Section 3.33 to the Master Services Agreement No. 02026713 to the extent produced or developed by or on behalf of Supplier, or forming part of any software pursuant to the Agreement to which these Security Requirements are attached (including under any statement of work, exhibit, order or other document under, subordinate to, or referencing this Agreement) for the development of which AT&amp;T has been charged monies; or</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Website hosting and development for AT&amp;T and/or AT&amp;T’s customers.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9" w:name="page110"/>
    <w:bookmarkEnd w:id="109"/>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81" w:lineRule="exact"/>
        <w:rPr>
          <w:sz w:val="20"/>
          <w:szCs w:val="20"/>
          <w:color w:val="auto"/>
        </w:rPr>
      </w:pPr>
    </w:p>
    <w:p>
      <w:pPr>
        <w:ind w:left="380" w:right="80"/>
        <w:spacing w:after="0" w:line="291" w:lineRule="auto"/>
        <w:rPr>
          <w:sz w:val="20"/>
          <w:szCs w:val="20"/>
          <w:color w:val="auto"/>
        </w:rPr>
      </w:pPr>
      <w:r>
        <w:rPr>
          <w:rFonts w:ascii="Arial" w:cs="Arial" w:eastAsia="Arial" w:hAnsi="Arial"/>
          <w:sz w:val="16"/>
          <w:szCs w:val="16"/>
          <w:color w:val="auto"/>
        </w:rPr>
        <w:t>Supplier represents and warrants that during the term of this Agreement and thereafter (as applicable with respect to Supplier’s obligations under the Survival of Obligations clause) Supplier is, and shall continue to be, in compliance with its obligations as set forth herein. In addition to all other remedies specified in the Agreement, Supplier agrees that AT&amp;T shall be entitled to seek an injunction, specific performance or other equitable relief and be reimbursed the costs (including reasonable attorney’s fees) by Supplier to enforce the obligations in these Security Requirements, including those that survive Termination, Cancellation or expiration of this Agreement. The provisions of this Appendix shall not be deemed to, and shall not, limit any more stringent security or other obligations of the Agreement. Section and paragraph headings contained in parentheses following paragraphs in the table, below, in this Appendix are for reference purposes only and are not to affect the meaning or interpretation of this Agreement.</w:t>
      </w:r>
    </w:p>
    <w:p>
      <w:pPr>
        <w:spacing w:after="0" w:line="59" w:lineRule="exact"/>
        <w:rPr>
          <w:sz w:val="20"/>
          <w:szCs w:val="20"/>
          <w:color w:val="auto"/>
        </w:rPr>
      </w:pPr>
    </w:p>
    <w:p>
      <w:pPr>
        <w:ind w:left="380" w:right="160"/>
        <w:spacing w:after="0" w:line="286" w:lineRule="auto"/>
        <w:rPr>
          <w:sz w:val="20"/>
          <w:szCs w:val="20"/>
          <w:color w:val="auto"/>
        </w:rPr>
      </w:pPr>
      <w:r>
        <w:rPr>
          <w:rFonts w:ascii="Arial" w:cs="Arial" w:eastAsia="Arial" w:hAnsi="Arial"/>
          <w:sz w:val="17"/>
          <w:szCs w:val="17"/>
          <w:color w:val="auto"/>
        </w:rPr>
        <w:t>AT&amp;T reserves the right to update or modify its Security Requirements from time to time. Upon notification by AT&amp;T of its need to modify the Security Requirements, Supplier agrees to promptly negotiate in good faith and expedite execution of an amendment to this Agreement to incorporate any such modification. Supplier acknowledges that AT&amp;T may require modifications to Security Requirements:</w:t>
      </w:r>
    </w:p>
    <w:p>
      <w:pPr>
        <w:spacing w:after="0" w:line="71" w:lineRule="exact"/>
        <w:rPr>
          <w:sz w:val="20"/>
          <w:szCs w:val="20"/>
          <w:color w:val="auto"/>
        </w:rPr>
      </w:pPr>
    </w:p>
    <w:p>
      <w:pPr>
        <w:ind w:left="820" w:hanging="44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extension or renewal of the Agreement;</w:t>
      </w:r>
    </w:p>
    <w:p>
      <w:pPr>
        <w:spacing w:after="0" w:line="130" w:lineRule="exact"/>
        <w:rPr>
          <w:rFonts w:ascii="Arial" w:cs="Arial" w:eastAsia="Arial" w:hAnsi="Arial"/>
          <w:sz w:val="18"/>
          <w:szCs w:val="18"/>
          <w:color w:val="auto"/>
        </w:rPr>
      </w:pPr>
    </w:p>
    <w:p>
      <w:pPr>
        <w:ind w:left="820" w:hanging="44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any change in work scope or other substantive modification of the Agreement; or</w:t>
      </w:r>
    </w:p>
    <w:p>
      <w:pPr>
        <w:spacing w:after="0" w:line="130" w:lineRule="exact"/>
        <w:rPr>
          <w:rFonts w:ascii="Arial" w:cs="Arial" w:eastAsia="Arial" w:hAnsi="Arial"/>
          <w:sz w:val="18"/>
          <w:szCs w:val="18"/>
          <w:color w:val="auto"/>
        </w:rPr>
      </w:pPr>
    </w:p>
    <w:p>
      <w:pPr>
        <w:ind w:left="820" w:hanging="44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such time that AT&amp;T deems necessary.</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 Definitions: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Unless otherwise set forth or expanded herein, defined terms shall have the same meaning as set forth in the main body of the Agreement.</w:t>
      </w:r>
    </w:p>
    <w:p>
      <w:pPr>
        <w:spacing w:after="0" w:line="125" w:lineRule="exact"/>
        <w:rPr>
          <w:sz w:val="20"/>
          <w:szCs w:val="20"/>
          <w:color w:val="auto"/>
        </w:rPr>
      </w:pPr>
    </w:p>
    <w:p>
      <w:pPr>
        <w:ind w:left="620" w:right="360" w:hanging="213"/>
        <w:spacing w:after="0" w:line="282" w:lineRule="auto"/>
        <w:rPr>
          <w:sz w:val="20"/>
          <w:szCs w:val="20"/>
          <w:color w:val="auto"/>
        </w:rPr>
      </w:pPr>
      <w:r>
        <w:rPr>
          <w:rFonts w:ascii="Arial" w:cs="Arial" w:eastAsia="Arial" w:hAnsi="Arial"/>
          <w:sz w:val="18"/>
          <w:szCs w:val="18"/>
          <w:b w:val="1"/>
          <w:bCs w:val="1"/>
          <w:color w:val="auto"/>
        </w:rPr>
        <w:t xml:space="preserve">“Customer Facing System” </w:t>
      </w:r>
      <w:r>
        <w:rPr>
          <w:rFonts w:ascii="Arial" w:cs="Arial" w:eastAsia="Arial" w:hAnsi="Arial"/>
          <w:sz w:val="18"/>
          <w:szCs w:val="18"/>
          <w:color w:val="auto"/>
        </w:rPr>
        <w:t>means an Information Resource accessible from public networks, intended for use by AT&amp;T and/or its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resides in a Demilitarized Zone (DMZ), as defined below, and where that DMZ:</w:t>
      </w:r>
    </w:p>
    <w:p>
      <w:pPr>
        <w:spacing w:after="0" w:line="71" w:lineRule="exact"/>
        <w:rPr>
          <w:sz w:val="20"/>
          <w:szCs w:val="20"/>
          <w:color w:val="auto"/>
        </w:rPr>
      </w:pPr>
    </w:p>
    <w:p>
      <w:pPr>
        <w:ind w:left="2300" w:right="20" w:hanging="441"/>
        <w:spacing w:after="0" w:line="277" w:lineRule="auto"/>
        <w:tabs>
          <w:tab w:leader="none" w:pos="2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 protected by firewalls located between the Internet and the DMZ, between that DMZ and all other DMZs, and between the DMZ and the AT&amp;T intranet,</w:t>
      </w:r>
    </w:p>
    <w:p>
      <w:pPr>
        <w:spacing w:after="0" w:line="75" w:lineRule="exact"/>
        <w:rPr>
          <w:rFonts w:ascii="Arial" w:cs="Arial" w:eastAsia="Arial" w:hAnsi="Arial"/>
          <w:sz w:val="18"/>
          <w:szCs w:val="18"/>
          <w:color w:val="auto"/>
        </w:rPr>
      </w:pPr>
    </w:p>
    <w:p>
      <w:pPr>
        <w:ind w:left="2300" w:hanging="441"/>
        <w:spacing w:after="0"/>
        <w:tabs>
          <w:tab w:leader="none" w:pos="2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Prohibits incoming TELNET connections from public networks, and</w:t>
      </w:r>
    </w:p>
    <w:p>
      <w:pPr>
        <w:spacing w:after="0" w:line="130" w:lineRule="exact"/>
        <w:rPr>
          <w:rFonts w:ascii="Arial" w:cs="Arial" w:eastAsia="Arial" w:hAnsi="Arial"/>
          <w:sz w:val="18"/>
          <w:szCs w:val="18"/>
          <w:color w:val="auto"/>
        </w:rPr>
      </w:pPr>
    </w:p>
    <w:p>
      <w:pPr>
        <w:ind w:left="2300" w:right="400" w:hanging="441"/>
        <w:spacing w:after="0" w:line="277" w:lineRule="auto"/>
        <w:tabs>
          <w:tab w:leader="none" w:pos="2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Prohibits incoming File Transfer Protocol (FTP) connections from public networks except to specific systems known as “FTP drop boxes”.</w:t>
      </w:r>
    </w:p>
    <w:p>
      <w:pPr>
        <w:spacing w:after="0" w:line="62" w:lineRule="exact"/>
        <w:rPr>
          <w:sz w:val="20"/>
          <w:szCs w:val="20"/>
          <w:color w:val="auto"/>
        </w:rPr>
      </w:pPr>
    </w:p>
    <w:p>
      <w:pPr>
        <w:ind w:left="380" w:right="80"/>
        <w:spacing w:after="0" w:line="277" w:lineRule="auto"/>
        <w:rPr>
          <w:sz w:val="20"/>
          <w:szCs w:val="20"/>
          <w:color w:val="auto"/>
        </w:rPr>
      </w:pPr>
      <w:r>
        <w:rPr>
          <w:rFonts w:ascii="Arial" w:cs="Arial" w:eastAsia="Arial" w:hAnsi="Arial"/>
          <w:sz w:val="18"/>
          <w:szCs w:val="18"/>
          <w:color w:val="auto"/>
        </w:rPr>
        <w:t>Note: A Customer Facing System which also is used by AT&amp;T employees, contractors, vendors or suppliers to perform work on behalf of AT&amp;T is not considered a Customer Facing System when performing such work.</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 xml:space="preserve">“CPNI” </w:t>
      </w:r>
      <w:r>
        <w:rPr>
          <w:rFonts w:ascii="Arial" w:cs="Arial" w:eastAsia="Arial" w:hAnsi="Arial"/>
          <w:sz w:val="17"/>
          <w:szCs w:val="17"/>
          <w:color w:val="auto"/>
        </w:rPr>
        <w:t>(Customer Proprietary Network Information) as that term is defined in the Telecommunications Act of 1996, 47 U.S.C. §222 (h)(1).</w:t>
      </w:r>
    </w:p>
    <w:p>
      <w:pPr>
        <w:spacing w:after="0" w:line="16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274" w:right="239" w:bottom="1440" w:gutter="0" w:footer="0" w:header="0"/>
        </w:sectPr>
      </w:pPr>
    </w:p>
    <w:bookmarkStart w:id="110" w:name="page111"/>
    <w:bookmarkEnd w:id="110"/>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77" w:lineRule="exact"/>
        <w:rPr>
          <w:sz w:val="20"/>
          <w:szCs w:val="20"/>
          <w:color w:val="auto"/>
        </w:rPr>
      </w:pPr>
    </w:p>
    <w:p>
      <w:pPr>
        <w:ind w:left="620" w:right="160" w:hanging="213"/>
        <w:spacing w:after="0" w:line="258" w:lineRule="auto"/>
        <w:rPr>
          <w:sz w:val="20"/>
          <w:szCs w:val="20"/>
          <w:color w:val="auto"/>
        </w:rPr>
      </w:pPr>
      <w:r>
        <w:rPr>
          <w:rFonts w:ascii="Arial" w:cs="Arial" w:eastAsia="Arial" w:hAnsi="Arial"/>
          <w:sz w:val="18"/>
          <w:szCs w:val="18"/>
          <w:b w:val="1"/>
          <w:bCs w:val="1"/>
          <w:color w:val="auto"/>
        </w:rPr>
        <w:t xml:space="preserve">“Demilitarized Zone” </w:t>
      </w:r>
      <w:r>
        <w:rPr>
          <w:rFonts w:ascii="Arial" w:cs="Arial" w:eastAsia="Arial" w:hAnsi="Arial"/>
          <w:sz w:val="18"/>
          <w:szCs w:val="18"/>
          <w:color w:val="auto"/>
        </w:rPr>
        <w:t>or</w:t>
      </w:r>
      <w:r>
        <w:rPr>
          <w:rFonts w:ascii="Arial" w:cs="Arial" w:eastAsia="Arial" w:hAnsi="Arial"/>
          <w:sz w:val="18"/>
          <w:szCs w:val="18"/>
          <w:b w:val="1"/>
          <w:bCs w:val="1"/>
          <w:color w:val="auto"/>
        </w:rPr>
        <w:t xml:space="preserve"> “DMZ” </w:t>
      </w:r>
      <w:r>
        <w:rPr>
          <w:rFonts w:ascii="Arial" w:cs="Arial" w:eastAsia="Arial" w:hAnsi="Arial"/>
          <w:sz w:val="18"/>
          <w:szCs w:val="18"/>
          <w:color w:val="auto"/>
        </w:rPr>
        <w:t>is a network or sub-network that sits between a trusted internal network, such as a corporate private Local Area</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(LAN), and an untrusted external network, such as the public Internet. A DMZ helps prevent outside users from gaining direct access to internal Information Resources. Inbound packets from the untrusted external network must terminate within the DMZ and must not be allowed to flow directly through to the trusted internal network. All inbound packets which flow to the trusted internal network must only originate within the DMZ.</w:t>
      </w:r>
    </w:p>
    <w:p>
      <w:pPr>
        <w:spacing w:after="0" w:line="80" w:lineRule="exact"/>
        <w:rPr>
          <w:sz w:val="20"/>
          <w:szCs w:val="20"/>
          <w:color w:val="auto"/>
        </w:rPr>
      </w:pPr>
    </w:p>
    <w:p>
      <w:pPr>
        <w:ind w:left="620" w:right="440"/>
        <w:spacing w:after="0" w:line="277" w:lineRule="auto"/>
        <w:rPr>
          <w:sz w:val="20"/>
          <w:szCs w:val="20"/>
          <w:color w:val="auto"/>
        </w:rPr>
      </w:pPr>
      <w:r>
        <w:rPr>
          <w:rFonts w:ascii="Arial" w:cs="Arial" w:eastAsia="Arial" w:hAnsi="Arial"/>
          <w:sz w:val="18"/>
          <w:szCs w:val="18"/>
          <w:color w:val="auto"/>
        </w:rPr>
        <w:t>The DMZ must be separated from the untrusted external network by use of a Security Gateway and must be separated from the trusted internal network by use of either:</w:t>
      </w:r>
    </w:p>
    <w:p>
      <w:pPr>
        <w:spacing w:after="0" w:line="76" w:lineRule="exact"/>
        <w:rPr>
          <w:sz w:val="20"/>
          <w:szCs w:val="20"/>
          <w:color w:val="auto"/>
        </w:rPr>
      </w:pPr>
    </w:p>
    <w:p>
      <w:pPr>
        <w:ind w:left="2880" w:hanging="562"/>
        <w:spacing w:after="0"/>
        <w:tabs>
          <w:tab w:leader="none" w:pos="2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another Security Gateway, or</w:t>
      </w:r>
    </w:p>
    <w:p>
      <w:pPr>
        <w:spacing w:after="0" w:line="130" w:lineRule="exact"/>
        <w:rPr>
          <w:rFonts w:ascii="Arial" w:cs="Arial" w:eastAsia="Arial" w:hAnsi="Arial"/>
          <w:sz w:val="18"/>
          <w:szCs w:val="18"/>
          <w:color w:val="auto"/>
        </w:rPr>
      </w:pPr>
    </w:p>
    <w:p>
      <w:pPr>
        <w:ind w:left="2880" w:right="320" w:hanging="562"/>
        <w:spacing w:after="0" w:line="259" w:lineRule="auto"/>
        <w:tabs>
          <w:tab w:leader="none" w:pos="2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same Security Gateway used to separate the DMZ from the untrusted external network, in which case the Security Gateway must ensure that packets received from the untrusted external network are either immediately deleted or if not deleted are routed only to the DMZ with no other processing of such inbound packets performed other than possibly writing the packets to a log.</w:t>
      </w:r>
    </w:p>
    <w:p>
      <w:pPr>
        <w:spacing w:after="0" w:line="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must only be located within the trusted internal network:</w:t>
      </w:r>
    </w:p>
    <w:p>
      <w:pPr>
        <w:spacing w:after="0" w:line="131" w:lineRule="exact"/>
        <w:rPr>
          <w:sz w:val="20"/>
          <w:szCs w:val="20"/>
          <w:color w:val="auto"/>
        </w:rPr>
      </w:pPr>
    </w:p>
    <w:p>
      <w:pPr>
        <w:ind w:left="2880" w:hanging="562"/>
        <w:spacing w:after="0"/>
        <w:tabs>
          <w:tab w:leader="none" w:pos="2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AT&amp;T’s Sensitive Personal Information (SPI) stored without the use of Strong Encryption,</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official record copy of information to be accessed from requests originating from the untrusted external network,</w:t>
      </w:r>
    </w:p>
    <w:p>
      <w:pPr>
        <w:spacing w:after="0" w:line="153" w:lineRule="exact"/>
        <w:rPr>
          <w:rFonts w:ascii="Arial" w:cs="Arial" w:eastAsia="Arial" w:hAnsi="Arial"/>
          <w:sz w:val="16"/>
          <w:szCs w:val="16"/>
          <w:color w:val="auto"/>
        </w:rPr>
      </w:pPr>
    </w:p>
    <w:p>
      <w:pPr>
        <w:ind w:left="2880" w:right="580" w:hanging="562"/>
        <w:spacing w:after="0" w:line="277" w:lineRule="auto"/>
        <w:tabs>
          <w:tab w:leader="none" w:pos="2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official record copy of information to be modified as the result of requests originating from the untrusted external network,</w:t>
      </w:r>
    </w:p>
    <w:p>
      <w:pPr>
        <w:spacing w:after="0" w:line="75" w:lineRule="exact"/>
        <w:rPr>
          <w:rFonts w:ascii="Arial" w:cs="Arial" w:eastAsia="Arial" w:hAnsi="Arial"/>
          <w:sz w:val="18"/>
          <w:szCs w:val="18"/>
          <w:color w:val="auto"/>
        </w:rPr>
      </w:pPr>
    </w:p>
    <w:p>
      <w:pPr>
        <w:ind w:left="2880" w:hanging="562"/>
        <w:spacing w:after="0"/>
        <w:tabs>
          <w:tab w:leader="none" w:pos="2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Database servers,</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exported logs, and</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Development environments and source code.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must not be located within the DMZ:</w:t>
      </w:r>
    </w:p>
    <w:p>
      <w:pPr>
        <w:spacing w:after="0" w:line="131" w:lineRule="exact"/>
        <w:rPr>
          <w:sz w:val="20"/>
          <w:szCs w:val="20"/>
          <w:color w:val="auto"/>
        </w:rPr>
      </w:pPr>
    </w:p>
    <w:p>
      <w:pPr>
        <w:ind w:left="2880" w:hanging="562"/>
        <w:spacing w:after="0"/>
        <w:tabs>
          <w:tab w:leader="none" w:pos="2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Authentication credentials not protected by the use of Strong Encryption.</w:t>
      </w:r>
    </w:p>
    <w:p>
      <w:pPr>
        <w:spacing w:after="0" w:line="113" w:lineRule="exact"/>
        <w:rPr>
          <w:sz w:val="20"/>
          <w:szCs w:val="20"/>
          <w:color w:val="auto"/>
        </w:rPr>
      </w:pPr>
    </w:p>
    <w:p>
      <w:pPr>
        <w:ind w:left="620" w:right="300" w:hanging="213"/>
        <w:spacing w:after="0" w:line="282" w:lineRule="auto"/>
        <w:rPr>
          <w:sz w:val="20"/>
          <w:szCs w:val="20"/>
          <w:color w:val="auto"/>
        </w:rPr>
      </w:pPr>
      <w:r>
        <w:rPr>
          <w:rFonts w:ascii="Arial" w:cs="Arial" w:eastAsia="Arial" w:hAnsi="Arial"/>
          <w:sz w:val="18"/>
          <w:szCs w:val="18"/>
          <w:b w:val="1"/>
          <w:bCs w:val="1"/>
          <w:color w:val="auto"/>
        </w:rPr>
        <w:t xml:space="preserve">“Incident Management Process” </w:t>
      </w:r>
      <w:r>
        <w:rPr>
          <w:rFonts w:ascii="Arial" w:cs="Arial" w:eastAsia="Arial" w:hAnsi="Arial"/>
          <w:sz w:val="18"/>
          <w:szCs w:val="18"/>
          <w:color w:val="auto"/>
        </w:rPr>
        <w:t>is a Supplier-developed documented procedure to be followed in the event of an actual or suspected attack upon,</w:t>
      </w:r>
      <w:r>
        <w:rPr>
          <w:rFonts w:ascii="Arial" w:cs="Arial" w:eastAsia="Arial" w:hAnsi="Arial"/>
          <w:sz w:val="18"/>
          <w:szCs w:val="18"/>
          <w:b w:val="1"/>
          <w:bCs w:val="1"/>
          <w:color w:val="auto"/>
        </w:rPr>
        <w:t xml:space="preserve"> </w:t>
      </w:r>
      <w:r>
        <w:rPr>
          <w:rFonts w:ascii="Arial" w:cs="Arial" w:eastAsia="Arial" w:hAnsi="Arial"/>
          <w:sz w:val="18"/>
          <w:szCs w:val="18"/>
          <w:color w:val="auto"/>
        </w:rPr>
        <w:t>intrusion upon, unauthorized access to, loss of, or other breach involving AT&amp;T’s Information Resources.</w:t>
      </w:r>
    </w:p>
    <w:p>
      <w:pPr>
        <w:spacing w:after="0" w:line="54" w:lineRule="exact"/>
        <w:rPr>
          <w:sz w:val="20"/>
          <w:szCs w:val="20"/>
          <w:color w:val="auto"/>
        </w:rPr>
      </w:pPr>
    </w:p>
    <w:p>
      <w:pPr>
        <w:jc w:val="both"/>
        <w:ind w:left="620" w:right="140" w:hanging="213"/>
        <w:spacing w:after="0" w:line="266" w:lineRule="auto"/>
        <w:rPr>
          <w:sz w:val="20"/>
          <w:szCs w:val="20"/>
          <w:color w:val="auto"/>
        </w:rPr>
      </w:pPr>
      <w:r>
        <w:rPr>
          <w:rFonts w:ascii="Arial" w:cs="Arial" w:eastAsia="Arial" w:hAnsi="Arial"/>
          <w:sz w:val="18"/>
          <w:szCs w:val="18"/>
          <w:b w:val="1"/>
          <w:bCs w:val="1"/>
          <w:color w:val="auto"/>
        </w:rPr>
        <w:t xml:space="preserve">“Information Resources” </w:t>
      </w:r>
      <w:r>
        <w:rPr>
          <w:rFonts w:ascii="Arial" w:cs="Arial" w:eastAsia="Arial" w:hAnsi="Arial"/>
          <w:sz w:val="18"/>
          <w:szCs w:val="18"/>
          <w:color w:val="auto"/>
        </w:rPr>
        <w:t>means systems, applications, networks, network elements and other computing and information storage devices,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smart phones, tablets, and USB memory sticks, and AT&amp;T’s Information stored, transmitted, or processed with these resources in conjunction with supporting AT&amp;T and/or used by Supplier in fulfillment of its obligations under this Agreement.</w:t>
      </w:r>
    </w:p>
    <w:p>
      <w:pPr>
        <w:spacing w:after="0" w:line="68" w:lineRule="exact"/>
        <w:rPr>
          <w:sz w:val="20"/>
          <w:szCs w:val="20"/>
          <w:color w:val="auto"/>
        </w:rPr>
      </w:pPr>
    </w:p>
    <w:p>
      <w:pPr>
        <w:ind w:left="620" w:right="200" w:hanging="213"/>
        <w:spacing w:after="0" w:line="282" w:lineRule="auto"/>
        <w:rPr>
          <w:sz w:val="20"/>
          <w:szCs w:val="20"/>
          <w:color w:val="auto"/>
        </w:rPr>
      </w:pPr>
      <w:r>
        <w:rPr>
          <w:rFonts w:ascii="Arial" w:cs="Arial" w:eastAsia="Arial" w:hAnsi="Arial"/>
          <w:sz w:val="18"/>
          <w:szCs w:val="18"/>
          <w:b w:val="1"/>
          <w:bCs w:val="1"/>
          <w:color w:val="auto"/>
        </w:rPr>
        <w:t xml:space="preserve">“Location Based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“LBI” </w:t>
      </w:r>
      <w:r>
        <w:rPr>
          <w:rFonts w:ascii="Arial" w:cs="Arial" w:eastAsia="Arial" w:hAnsi="Arial"/>
          <w:sz w:val="18"/>
          <w:szCs w:val="18"/>
          <w:color w:val="auto"/>
        </w:rPr>
        <w:t>means information that identifies the current or past location of a specific individual’s mobile device. LBI</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two factors both of which must</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274" w:right="239" w:bottom="1440" w:gutter="0" w:footer="0" w:header="0"/>
        </w:sectPr>
      </w:pPr>
    </w:p>
    <w:bookmarkStart w:id="111" w:name="page112"/>
    <w:bookmarkEnd w:id="111"/>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81" w:lineRule="exact"/>
        <w:rPr>
          <w:sz w:val="20"/>
          <w:szCs w:val="20"/>
          <w:color w:val="auto"/>
        </w:rPr>
      </w:pPr>
    </w:p>
    <w:p>
      <w:pPr>
        <w:ind w:left="620" w:right="20"/>
        <w:spacing w:after="0" w:line="255" w:lineRule="auto"/>
        <w:rPr>
          <w:sz w:val="20"/>
          <w:szCs w:val="20"/>
          <w:color w:val="auto"/>
        </w:rPr>
      </w:pPr>
      <w:r>
        <w:rPr>
          <w:rFonts w:ascii="Arial" w:cs="Arial" w:eastAsia="Arial" w:hAnsi="Arial"/>
          <w:sz w:val="18"/>
          <w:szCs w:val="18"/>
          <w:color w:val="auto"/>
        </w:rPr>
        <w:t>be present and able to be associated with each other. These two factors are: (1) a mobile device’s physical location (e.g. a map address, or latitude and longitude together with altitude where known) derived from the mobile device through activities such as GPS (Global Positioning System ) or network connectivity rather than as a result of user action (e.g. revealing location in the content of an email or SMS text message), and (2) an individual’s identity derived from a unique identifier assigned to that mobile device such as customer name, MSISDN (Mobile Subscriber Integrated Services Digital Network-Number), IMSI (International Mobile Subscriber Identity), IMEI (International Mobile Station Equipment Identity) or ICCID (Integrated Circuit Card Identifier).</w:t>
      </w:r>
    </w:p>
    <w:p>
      <w:pPr>
        <w:spacing w:after="0" w:line="81" w:lineRule="exact"/>
        <w:rPr>
          <w:sz w:val="20"/>
          <w:szCs w:val="20"/>
          <w:color w:val="auto"/>
        </w:rPr>
      </w:pPr>
    </w:p>
    <w:p>
      <w:pPr>
        <w:ind w:left="620" w:right="360" w:hanging="213"/>
        <w:spacing w:after="0" w:line="289" w:lineRule="auto"/>
        <w:rPr>
          <w:sz w:val="20"/>
          <w:szCs w:val="20"/>
          <w:color w:val="auto"/>
        </w:rPr>
      </w:pPr>
      <w:r>
        <w:rPr>
          <w:rFonts w:ascii="Arial" w:cs="Arial" w:eastAsia="Arial" w:hAnsi="Arial"/>
          <w:sz w:val="17"/>
          <w:szCs w:val="17"/>
          <w:b w:val="1"/>
          <w:bCs w:val="1"/>
          <w:color w:val="auto"/>
        </w:rPr>
        <w:t xml:space="preserve">“Mobile and Portable Devices” </w:t>
      </w:r>
      <w:r>
        <w:rPr>
          <w:rFonts w:ascii="Arial" w:cs="Arial" w:eastAsia="Arial" w:hAnsi="Arial"/>
          <w:sz w:val="17"/>
          <w:szCs w:val="17"/>
          <w:color w:val="auto"/>
        </w:rPr>
        <w:t>means mobile and/or portable computers, devices, media and systems capable of being easily carried, moved,</w:t>
      </w:r>
      <w:r>
        <w:rPr>
          <w:rFonts w:ascii="Arial" w:cs="Arial" w:eastAsia="Arial" w:hAnsi="Arial"/>
          <w:sz w:val="17"/>
          <w:szCs w:val="17"/>
          <w:b w:val="1"/>
          <w:bCs w:val="1"/>
          <w:color w:val="auto"/>
        </w:rPr>
        <w:t xml:space="preserve"> </w:t>
      </w:r>
      <w:r>
        <w:rPr>
          <w:rFonts w:ascii="Arial" w:cs="Arial" w:eastAsia="Arial" w:hAnsi="Arial"/>
          <w:sz w:val="17"/>
          <w:szCs w:val="17"/>
          <w:color w:val="auto"/>
        </w:rPr>
        <w:t>transported or conveyed that are used in connection with the Agreement. Examples of such devices include laptop computers, tablets, USB hard drives, USB memory sticks, Personal Digital Assistants (PDAs), and wireless phones, such as smartphones.</w:t>
      </w:r>
    </w:p>
    <w:p>
      <w:pPr>
        <w:spacing w:after="0" w:line="50" w:lineRule="exact"/>
        <w:rPr>
          <w:sz w:val="20"/>
          <w:szCs w:val="20"/>
          <w:color w:val="auto"/>
        </w:rPr>
      </w:pPr>
    </w:p>
    <w:p>
      <w:pPr>
        <w:ind w:left="620" w:right="500" w:hanging="213"/>
        <w:spacing w:after="0" w:line="282" w:lineRule="auto"/>
        <w:rPr>
          <w:sz w:val="20"/>
          <w:szCs w:val="20"/>
          <w:color w:val="auto"/>
        </w:rPr>
      </w:pPr>
      <w:r>
        <w:rPr>
          <w:rFonts w:ascii="Arial" w:cs="Arial" w:eastAsia="Arial" w:hAnsi="Arial"/>
          <w:sz w:val="18"/>
          <w:szCs w:val="18"/>
          <w:b w:val="1"/>
          <w:bCs w:val="1"/>
          <w:color w:val="auto"/>
        </w:rPr>
        <w:t xml:space="preserve">“Nonpublic Information Resources” </w:t>
      </w:r>
      <w:r>
        <w:rPr>
          <w:rFonts w:ascii="Arial" w:cs="Arial" w:eastAsia="Arial" w:hAnsi="Arial"/>
          <w:sz w:val="18"/>
          <w:szCs w:val="18"/>
          <w:color w:val="auto"/>
        </w:rPr>
        <w:t>means those Information Resources used under the Agreement to which access is restricted and cannot be</w:t>
      </w:r>
      <w:r>
        <w:rPr>
          <w:rFonts w:ascii="Arial" w:cs="Arial" w:eastAsia="Arial" w:hAnsi="Arial"/>
          <w:sz w:val="18"/>
          <w:szCs w:val="18"/>
          <w:b w:val="1"/>
          <w:bCs w:val="1"/>
          <w:color w:val="auto"/>
        </w:rPr>
        <w:t xml:space="preserve"> </w:t>
      </w:r>
      <w:r>
        <w:rPr>
          <w:rFonts w:ascii="Arial" w:cs="Arial" w:eastAsia="Arial" w:hAnsi="Arial"/>
          <w:sz w:val="18"/>
          <w:szCs w:val="18"/>
          <w:color w:val="auto"/>
        </w:rPr>
        <w:t>gained without proper authorization and identification.</w:t>
      </w:r>
    </w:p>
    <w:p>
      <w:pPr>
        <w:spacing w:after="0" w:line="54" w:lineRule="exact"/>
        <w:rPr>
          <w:sz w:val="20"/>
          <w:szCs w:val="20"/>
          <w:color w:val="auto"/>
        </w:rPr>
      </w:pPr>
    </w:p>
    <w:p>
      <w:pPr>
        <w:ind w:left="620" w:right="100" w:hanging="213"/>
        <w:spacing w:after="0" w:line="255" w:lineRule="auto"/>
        <w:rPr>
          <w:sz w:val="20"/>
          <w:szCs w:val="20"/>
          <w:color w:val="auto"/>
        </w:rPr>
      </w:pPr>
      <w:r>
        <w:rPr>
          <w:rFonts w:ascii="Arial" w:cs="Arial" w:eastAsia="Arial" w:hAnsi="Arial"/>
          <w:sz w:val="18"/>
          <w:szCs w:val="18"/>
          <w:b w:val="1"/>
          <w:bCs w:val="1"/>
          <w:color w:val="auto"/>
        </w:rPr>
        <w:t xml:space="preserve">“Sensitive Personal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“SPI” </w:t>
      </w:r>
      <w:r>
        <w:rPr>
          <w:rFonts w:ascii="Arial" w:cs="Arial" w:eastAsia="Arial" w:hAnsi="Arial"/>
          <w:sz w:val="18"/>
          <w:szCs w:val="18"/>
          <w:color w:val="auto"/>
        </w:rPr>
        <w:t>means any information that: (a) requires a high degree of protection by law and where loss or</w:t>
      </w:r>
      <w:r>
        <w:rPr>
          <w:rFonts w:ascii="Arial" w:cs="Arial" w:eastAsia="Arial" w:hAnsi="Arial"/>
          <w:sz w:val="18"/>
          <w:szCs w:val="18"/>
          <w:b w:val="1"/>
          <w:bCs w:val="1"/>
          <w:color w:val="auto"/>
        </w:rPr>
        <w:t xml:space="preserve"> </w:t>
      </w:r>
      <w:r>
        <w:rPr>
          <w:rFonts w:ascii="Arial" w:cs="Arial" w:eastAsia="Arial" w:hAnsi="Arial"/>
          <w:sz w:val="18"/>
          <w:szCs w:val="18"/>
          <w:color w:val="auto"/>
        </w:rPr>
        <w:t>unauthorized disclosure would require notification by AT&amp;T to government agencies, individuals or law enforcement, and (b) any information that, if made public, could expose individuals to a risk of physical harm, fraud, or identity theft. Examples of SPI include, but are not limited to, social security numbers, national government, such as passport and visa numbers, state- or province-issued identification numbers, driver’s license numbers, dates of birth, bank account numbers, credit card numbers, customer authentication credentials, Protected Health Information (PHI) as defined by the Health Insurance Portability and Accountability Act (HIPAA) and Location Based Information (LBI) (as defined above). Note: Authentication credentials, encryption keys, and encryption passwords used to protect Sensitive Personal Information are themselves classified as Sensitive Personal Information.</w:t>
      </w:r>
    </w:p>
    <w:p>
      <w:pPr>
        <w:spacing w:after="0" w:line="77" w:lineRule="exact"/>
        <w:rPr>
          <w:sz w:val="20"/>
          <w:szCs w:val="20"/>
          <w:color w:val="auto"/>
        </w:rPr>
      </w:pPr>
    </w:p>
    <w:p>
      <w:pPr>
        <w:ind w:left="620" w:right="500" w:hanging="213"/>
        <w:spacing w:after="0" w:line="314" w:lineRule="auto"/>
        <w:rPr>
          <w:sz w:val="20"/>
          <w:szCs w:val="20"/>
          <w:color w:val="auto"/>
        </w:rPr>
      </w:pPr>
      <w:r>
        <w:rPr>
          <w:rFonts w:ascii="Arial" w:cs="Arial" w:eastAsia="Arial" w:hAnsi="Arial"/>
          <w:sz w:val="16"/>
          <w:szCs w:val="16"/>
          <w:b w:val="1"/>
          <w:bCs w:val="1"/>
          <w:color w:val="auto"/>
        </w:rPr>
        <w:t xml:space="preserve">“Security Gateway” </w:t>
      </w:r>
      <w:r>
        <w:rPr>
          <w:rFonts w:ascii="Arial" w:cs="Arial" w:eastAsia="Arial" w:hAnsi="Arial"/>
          <w:sz w:val="16"/>
          <w:szCs w:val="16"/>
          <w:color w:val="auto"/>
        </w:rPr>
        <w:t>means a set of control mechanisms between two or more networks having different trust levels which filter and log traffic</w:t>
      </w:r>
      <w:r>
        <w:rPr>
          <w:rFonts w:ascii="Arial" w:cs="Arial" w:eastAsia="Arial" w:hAnsi="Arial"/>
          <w:sz w:val="16"/>
          <w:szCs w:val="16"/>
          <w:b w:val="1"/>
          <w:bCs w:val="1"/>
          <w:color w:val="auto"/>
        </w:rPr>
        <w:t xml:space="preserve"> </w:t>
      </w:r>
      <w:r>
        <w:rPr>
          <w:rFonts w:ascii="Arial" w:cs="Arial" w:eastAsia="Arial" w:hAnsi="Arial"/>
          <w:sz w:val="16"/>
          <w:szCs w:val="16"/>
          <w:color w:val="auto"/>
        </w:rPr>
        <w:t>passing, or attempting to pass, between networks, and the associated administrative and management servers. Examples of Security Gateways include firewalls, firewall management servers, hop boxes, session border controllers, proxy servers, and intrusion prevention devices.</w:t>
      </w:r>
    </w:p>
    <w:p>
      <w:pPr>
        <w:spacing w:after="0" w:line="34" w:lineRule="exact"/>
        <w:rPr>
          <w:sz w:val="20"/>
          <w:szCs w:val="20"/>
          <w:color w:val="auto"/>
        </w:rPr>
      </w:pPr>
    </w:p>
    <w:p>
      <w:pPr>
        <w:ind w:left="620" w:right="400" w:hanging="213"/>
        <w:spacing w:after="0" w:line="266" w:lineRule="auto"/>
        <w:rPr>
          <w:sz w:val="20"/>
          <w:szCs w:val="20"/>
          <w:color w:val="auto"/>
        </w:rPr>
      </w:pPr>
      <w:r>
        <w:rPr>
          <w:rFonts w:ascii="Arial" w:cs="Arial" w:eastAsia="Arial" w:hAnsi="Arial"/>
          <w:sz w:val="18"/>
          <w:szCs w:val="18"/>
          <w:b w:val="1"/>
          <w:bCs w:val="1"/>
          <w:color w:val="auto"/>
        </w:rPr>
        <w:t xml:space="preserve">“Strong Authentication” </w:t>
      </w:r>
      <w:r>
        <w:rPr>
          <w:rFonts w:ascii="Arial" w:cs="Arial" w:eastAsia="Arial" w:hAnsi="Arial"/>
          <w:sz w:val="18"/>
          <w:szCs w:val="18"/>
          <w:color w:val="auto"/>
        </w:rPr>
        <w:t>means the use of authentication mechanisms and authentication methodologies stronger than the passwords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Requirement 34 herein. Examples of Strong Authentication mechanisms and methodologies include digital certificates, two-factor authentication, and one-time passwords.</w:t>
      </w:r>
    </w:p>
    <w:p>
      <w:pPr>
        <w:spacing w:after="0" w:line="10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274" w:right="239" w:bottom="1440" w:gutter="0" w:footer="0" w:header="0"/>
        </w:sectPr>
      </w:pPr>
    </w:p>
    <w:bookmarkStart w:id="112" w:name="page113"/>
    <w:bookmarkEnd w:id="112"/>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77" w:lineRule="exact"/>
        <w:rPr>
          <w:sz w:val="20"/>
          <w:szCs w:val="20"/>
          <w:color w:val="auto"/>
        </w:rPr>
      </w:pPr>
    </w:p>
    <w:p>
      <w:pPr>
        <w:ind w:left="700" w:right="80" w:hanging="213"/>
        <w:spacing w:after="0" w:line="277" w:lineRule="auto"/>
        <w:rPr>
          <w:sz w:val="20"/>
          <w:szCs w:val="20"/>
          <w:color w:val="auto"/>
        </w:rPr>
      </w:pPr>
      <w:r>
        <w:rPr>
          <w:rFonts w:ascii="Arial" w:cs="Arial" w:eastAsia="Arial" w:hAnsi="Arial"/>
          <w:sz w:val="17"/>
          <w:szCs w:val="17"/>
          <w:b w:val="1"/>
          <w:bCs w:val="1"/>
          <w:color w:val="auto"/>
        </w:rPr>
        <w:t xml:space="preserve">“Strong Encryption” </w:t>
      </w:r>
      <w:r>
        <w:rPr>
          <w:rFonts w:ascii="Arial" w:cs="Arial" w:eastAsia="Arial" w:hAnsi="Arial"/>
          <w:sz w:val="17"/>
          <w:szCs w:val="17"/>
          <w:color w:val="auto"/>
        </w:rPr>
        <w:t>means the use of encryption technologies with minimum key lengths of 128-bits for symmetric encryption and 1024-bits for</w:t>
      </w:r>
      <w:r>
        <w:rPr>
          <w:rFonts w:ascii="Arial" w:cs="Arial" w:eastAsia="Arial" w:hAnsi="Arial"/>
          <w:sz w:val="17"/>
          <w:szCs w:val="17"/>
          <w:b w:val="1"/>
          <w:bCs w:val="1"/>
          <w:color w:val="auto"/>
        </w:rPr>
        <w:t xml:space="preserve"> </w:t>
      </w:r>
      <w:r>
        <w:rPr>
          <w:rFonts w:ascii="Arial" w:cs="Arial" w:eastAsia="Arial" w:hAnsi="Arial"/>
          <w:sz w:val="17"/>
          <w:szCs w:val="17"/>
          <w:color w:val="auto"/>
        </w:rPr>
        <w:t>asymmetric encryption whose strength provides reasonable assurance that it will protect the encrypted information from unauthorized access, and is adequate to protect the confidentiality and privacy of the encrypted information, and which incorporates a documented procedure approved by the Supplier’s appropriate management level, for the management of the encryption keys and associated processes adequate to protect the confidentiality and privacy of the keys and passwords used as inputs to the encryption algorithm.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Security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foregoing, Supplier shall: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System Security</w:t>
      </w:r>
    </w:p>
    <w:p>
      <w:pPr>
        <w:spacing w:after="0" w:line="135" w:lineRule="exact"/>
        <w:rPr>
          <w:sz w:val="20"/>
          <w:szCs w:val="20"/>
          <w:color w:val="auto"/>
        </w:rPr>
      </w:pPr>
    </w:p>
    <w:p>
      <w:pPr>
        <w:ind w:left="460" w:right="320" w:hanging="452"/>
        <w:spacing w:after="0" w:line="27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Actively monitor industry resources (e.g., </w:t>
      </w:r>
      <w:r>
        <w:rPr>
          <w:rFonts w:ascii="Arial" w:cs="Arial" w:eastAsia="Arial" w:hAnsi="Arial"/>
          <w:sz w:val="18"/>
          <w:szCs w:val="18"/>
          <w:u w:val="single" w:color="auto"/>
          <w:color w:val="auto"/>
        </w:rPr>
        <w:t>www.cert.org</w:t>
      </w:r>
      <w:r>
        <w:rPr>
          <w:rFonts w:ascii="Arial" w:cs="Arial" w:eastAsia="Arial" w:hAnsi="Arial"/>
          <w:sz w:val="18"/>
          <w:szCs w:val="18"/>
          <w:color w:val="auto"/>
        </w:rPr>
        <w:t>, pertinent software vendor mailing lists &amp; websites) for timely notification of all applicable security alerts pertaining to Supplier’s Information Resources. (Security Alerts)</w:t>
      </w:r>
    </w:p>
    <w:p>
      <w:pPr>
        <w:spacing w:after="0" w:line="75" w:lineRule="exact"/>
        <w:rPr>
          <w:rFonts w:ascii="Arial" w:cs="Arial" w:eastAsia="Arial" w:hAnsi="Arial"/>
          <w:sz w:val="18"/>
          <w:szCs w:val="18"/>
          <w:color w:val="auto"/>
        </w:rPr>
      </w:pPr>
    </w:p>
    <w:p>
      <w:pPr>
        <w:ind w:left="460" w:right="340" w:hanging="452"/>
        <w:spacing w:after="0" w:line="286"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commercially available and to the extent practicable, [**], and in addition immediately following all significant changes and upgrades, scan externally-facing Information Resources, including, but not limited to, networks, servers, &amp; applications, with applicable industry-standard security vulnerability scanning software to uncover security vulnerabilities. (Externally-facing System Scanning)</w:t>
      </w:r>
    </w:p>
    <w:p>
      <w:pPr>
        <w:spacing w:after="0" w:line="70" w:lineRule="exact"/>
        <w:rPr>
          <w:rFonts w:ascii="Arial" w:cs="Arial" w:eastAsia="Arial" w:hAnsi="Arial"/>
          <w:sz w:val="17"/>
          <w:szCs w:val="17"/>
          <w:color w:val="auto"/>
        </w:rPr>
      </w:pPr>
    </w:p>
    <w:p>
      <w:pPr>
        <w:ind w:left="460" w:right="140" w:hanging="452"/>
        <w:spacing w:after="0" w:line="276"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commercially available and to the extent practicable, [**], and in addition immediately following all significant changes and upgrades, scan internal Information Resources, including, but not limited to, networks, servers, applications &amp; databases, with applicable industry-standard security vulnerability scanning software to uncover security vulnerabilities, ensure that such Information Resources are properly hardened as documented in Security Requirement 9 below, and identify any unauthorized wireless networks, unless documented policies and processes are in place to proactively prevent the creation of unauthorized wireless networks. (Internal System Scanning)</w:t>
      </w:r>
    </w:p>
    <w:p>
      <w:pPr>
        <w:spacing w:after="0" w:line="77" w:lineRule="exact"/>
        <w:rPr>
          <w:rFonts w:ascii="Arial" w:cs="Arial" w:eastAsia="Arial" w:hAnsi="Arial"/>
          <w:sz w:val="17"/>
          <w:szCs w:val="17"/>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environments where such technology is commercially available and to the extent practicable, deploy one or more Intrusion Detection Systems (IDS) , Intrusion Prevention Systems (IPS), or Intrusion Detection and Prevention Systems (IDP) in an active mode of operation that monitors all traffic entering and leaving Information Resources in conjunction with the Agreement. (Intrusion Detection Systems)</w:t>
      </w:r>
    </w:p>
    <w:p>
      <w:pPr>
        <w:spacing w:after="0" w:line="86" w:lineRule="exact"/>
        <w:rPr>
          <w:rFonts w:ascii="Arial" w:cs="Arial" w:eastAsia="Arial" w:hAnsi="Arial"/>
          <w:sz w:val="18"/>
          <w:szCs w:val="18"/>
          <w:color w:val="auto"/>
        </w:rPr>
      </w:pPr>
    </w:p>
    <w:p>
      <w:pPr>
        <w:jc w:val="both"/>
        <w:ind w:left="460" w:right="140" w:hanging="452"/>
        <w:spacing w:after="0" w:line="31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Have and use a documented process to remediate security vulnerabilities in the Information Resources, including, but not limited to, those discovered through industry publications, vulnerability scanning, virus scanning, and the review of security logs, and apply appropriate security patches promptly with respect to the probability that such vulnerability can be or is in the process of being exploited. (Remediating/Patching Service Vulnerabilities)</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Assign security administration responsibilities for configuring host operating systems to specific individuals. (Security Administration Responsibilities)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Ensure that its information security staff has reasonable and necessary experience in information and network security. (Necessary Staff Experience)</w:t>
      </w:r>
    </w:p>
    <w:p>
      <w:pPr>
        <w:spacing w:after="0" w:line="153" w:lineRule="exact"/>
        <w:rPr>
          <w:rFonts w:ascii="Arial" w:cs="Arial" w:eastAsia="Arial" w:hAnsi="Arial"/>
          <w:sz w:val="16"/>
          <w:szCs w:val="16"/>
          <w:color w:val="auto"/>
        </w:rPr>
      </w:pPr>
    </w:p>
    <w:p>
      <w:pPr>
        <w:ind w:left="460" w:right="20" w:hanging="452"/>
        <w:spacing w:after="0" w:line="31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commercially available and to the extent practicable, ensure that all of Supplier’s Information Resources are and remain ‘hardened’ including, but not limited to, removing or disabling unused network services (e.g., finger, rlogin, ftp, and simple Transmission Control Protocol/Internet Protocol (TCP/IP) services) and installing a system firewall, Transmission Control Protocol (TCP) wrappers or similar technology. (Hardened Systems)</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all default account names and/or default passwords. (Changing Default Account Names and Passwords)</w:t>
      </w:r>
    </w:p>
    <w:p>
      <w:pPr>
        <w:spacing w:after="0" w:line="130"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 system administrator (also known as root, privileged, or super user) access to operating systems intended for use by multiple users only to individuals requiring such high-level access in the performance of their jobs. (Limit Super User Privileges)</w:t>
      </w:r>
    </w:p>
    <w:p>
      <w:pPr>
        <w:spacing w:after="0" w:line="75"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Require application, database, network and system administrators to restrict access by users to only the commands, data and Information Resources necessary for them to perform authorized functions. (Administrators to Restrict User Access)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Physical Security</w:t>
      </w:r>
    </w:p>
    <w:p>
      <w:pPr>
        <w:spacing w:after="0" w:line="135" w:lineRule="exact"/>
        <w:rPr>
          <w:sz w:val="20"/>
          <w:szCs w:val="20"/>
          <w:color w:val="auto"/>
        </w:rPr>
      </w:pPr>
    </w:p>
    <w:p>
      <w:pPr>
        <w:ind w:left="460" w:right="220" w:hanging="452"/>
        <w:spacing w:after="0" w:line="27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Ensure that all of Supplier’s Information Resources intended for use by multiple users are located in secure physical facilities with access limited and restricted to authorized individuals only. (Information Resources in Secure Facilities)</w:t>
      </w:r>
    </w:p>
    <w:p>
      <w:pPr>
        <w:spacing w:after="0" w:line="75"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Monitor and record, for audit purposes, access to the physical facilities containing Information Resources intended for use by multiple users used in connection with Supplier’s performance of its obligations under the Agreement. (Monitoring and Recording Access)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Network Security</w:t>
      </w:r>
    </w:p>
    <w:p>
      <w:pPr>
        <w:spacing w:after="0" w:line="135" w:lineRule="exact"/>
        <w:rPr>
          <w:sz w:val="20"/>
          <w:szCs w:val="20"/>
          <w:color w:val="auto"/>
        </w:rPr>
      </w:pPr>
    </w:p>
    <w:p>
      <w:pPr>
        <w:ind w:left="460" w:right="80" w:hanging="452"/>
        <w:spacing w:after="0" w:line="26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 providing Internet-based services to AT&amp;T, protect AT&amp;T’s Information by the implementation of a network DMZ. Web servers providing service to AT&amp;T shall reside in the DMZ. Information Resources storing AT&amp;T’s Information (such as application and database servers) shall reside in a trusted internal network. (Internet Services Must Use DMZ)</w:t>
      </w:r>
    </w:p>
    <w:p>
      <w:pPr>
        <w:spacing w:after="0" w:line="86"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AT&amp;T’s request, provide to AT&amp;T a logical network diagram documenting the Information Resources (including, but not limited to, Security Gateways, servers, etc.) that will support AT&amp;T. (Provision of Logical Network Diagram)</w:t>
      </w:r>
    </w:p>
    <w:p>
      <w:pPr>
        <w:spacing w:after="0" w:line="75"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Have a documented process and controls in place to detect and handle unauthorized attempts to access AT&amp;T’s Information. (Detection and Handling of Unauthorized Access).</w:t>
      </w:r>
    </w:p>
    <w:p>
      <w:pPr>
        <w:spacing w:after="0" w:line="197" w:lineRule="exact"/>
        <w:rPr>
          <w:rFonts w:ascii="Arial" w:cs="Arial" w:eastAsia="Arial" w:hAnsi="Arial"/>
          <w:sz w:val="18"/>
          <w:szCs w:val="18"/>
          <w:color w:val="auto"/>
        </w:rPr>
      </w:pPr>
    </w:p>
    <w:p>
      <w:pPr>
        <w:ind w:left="820" w:right="160" w:hanging="812"/>
        <w:spacing w:after="0" w:line="277" w:lineRule="auto"/>
        <w:tabs>
          <w:tab w:leader="none" w:pos="4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Use Strong Encryption for the transfer of AT&amp;T’s Information outside of AT&amp;T-controlled or Supplier-controlled networks or when transmitting AT&amp;T’s Information over any untrusted network.</w:t>
      </w:r>
    </w:p>
    <w:p>
      <w:pPr>
        <w:spacing w:after="0" w:line="62" w:lineRule="exact"/>
        <w:rPr>
          <w:sz w:val="20"/>
          <w:szCs w:val="20"/>
          <w:color w:val="auto"/>
        </w:rPr>
      </w:pPr>
    </w:p>
    <w:p>
      <w:pPr>
        <w:ind w:left="820" w:right="520" w:hanging="353"/>
        <w:spacing w:after="0" w:line="277"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Additionally, [**], always use Strong Encryption to protect AT&amp;T’s SPI when transmitted over any AT&amp;T-controlled or Supplier-controlled network.</w:t>
      </w:r>
    </w:p>
    <w:p>
      <w:pPr>
        <w:spacing w:after="0" w:line="62" w:lineRule="exact"/>
        <w:rPr>
          <w:sz w:val="20"/>
          <w:szCs w:val="20"/>
          <w:color w:val="auto"/>
        </w:rPr>
      </w:pPr>
    </w:p>
    <w:p>
      <w:pPr>
        <w:ind w:left="460" w:right="160"/>
        <w:spacing w:after="0" w:line="286" w:lineRule="auto"/>
        <w:rPr>
          <w:sz w:val="20"/>
          <w:szCs w:val="20"/>
          <w:color w:val="auto"/>
        </w:rPr>
      </w:pPr>
      <w:r>
        <w:rPr>
          <w:rFonts w:ascii="Arial" w:cs="Arial" w:eastAsia="Arial" w:hAnsi="Arial"/>
          <w:sz w:val="17"/>
          <w:szCs w:val="17"/>
          <w:color w:val="auto"/>
        </w:rPr>
        <w:t>(Note: This also applies to AT&amp;T’s Information contained in email, or the attachments embedded within the email, as the case may be. For greater clarity, if, for example, the text in an email does not contain AT&amp;T’s Information, but the embedded attachments within that email do contain AT&amp;T’s Information, then the embedded attachments, but not the email, need to be encrypted.) (Encryption of Information in Transit)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8"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 strong authentication for any remote access use of Nonpublic Information Resources. (Remote Access Authentication)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Information Security</w:t>
      </w:r>
    </w:p>
    <w:p>
      <w:pPr>
        <w:spacing w:after="0" w:line="135" w:lineRule="exact"/>
        <w:rPr>
          <w:sz w:val="20"/>
          <w:szCs w:val="20"/>
          <w:color w:val="auto"/>
        </w:rPr>
      </w:pPr>
    </w:p>
    <w:p>
      <w:pPr>
        <w:ind w:left="460" w:right="8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Isolate AT&amp;T’s applications and AT&amp;T’s Information from any other customer’s or Supplier’s own applications and information either by using physically separate servers or alternatively by using logical access controls where physical separation of servers is not implemented. (Separate AT&amp;T’s Information from non-AT&amp;T Information)</w:t>
      </w:r>
    </w:p>
    <w:p>
      <w:pPr>
        <w:spacing w:after="0" w:line="86"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Have documented procedures for the secure backup and recovery of AT&amp;T’s Information which shall include, at a minimum, procedures for the transport, storage, and disposal of the backup copies of AT&amp;T’s Information and, upon AT&amp;T’s request, provide such documented procedures to AT&amp;T. (Secure Backup, Transport, Storage and Disposal of AT&amp;T’s Information)</w:t>
      </w:r>
    </w:p>
    <w:p>
      <w:pPr>
        <w:spacing w:after="0" w:line="86" w:lineRule="exact"/>
        <w:rPr>
          <w:rFonts w:ascii="Arial" w:cs="Arial" w:eastAsia="Arial" w:hAnsi="Arial"/>
          <w:sz w:val="18"/>
          <w:szCs w:val="18"/>
          <w:color w:val="auto"/>
        </w:rPr>
      </w:pPr>
    </w:p>
    <w:p>
      <w:pPr>
        <w:ind w:left="460" w:right="60" w:hanging="452"/>
        <w:spacing w:after="0" w:line="279"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Maintain and, upon AT&amp;T’s request, furnish to AT&amp;T a documented business continuity plan that ensures that Supplier can meet its contractual obligations under the Agreement, including the requirements of any applicable Statement of Work or Service Level Agreement. Such plan shall include the requirement that the included procedures be regularly tested in accordance with Supplier’s documented risk management plan. Supplier shall promptly review its business continuity plan to address additional threat scenarios. (Business Continuity Plan)</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Use Strong Encryption to protect AT&amp;T’s SPI when stored. (Encryption of SPI at Rest/Storage)</w:t>
      </w:r>
    </w:p>
    <w:p>
      <w:pPr>
        <w:spacing w:after="0" w:line="130"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 access to AT&amp;T’s Information, including, but not limited to, paper hard copies, only to authorized persons or systems. (Limit Access to AT&amp;T’s Information Regardless of Form)</w:t>
      </w:r>
    </w:p>
    <w:p>
      <w:pPr>
        <w:spacing w:after="0" w:line="75" w:lineRule="exact"/>
        <w:rPr>
          <w:rFonts w:ascii="Arial" w:cs="Arial" w:eastAsia="Arial" w:hAnsi="Arial"/>
          <w:sz w:val="18"/>
          <w:szCs w:val="18"/>
          <w:color w:val="auto"/>
        </w:rPr>
      </w:pPr>
    </w:p>
    <w:p>
      <w:pPr>
        <w:ind w:left="460" w:right="420" w:hanging="452"/>
        <w:spacing w:after="0" w:line="302"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Be compliant with government- and generally known industry-mandated information security standards to the extent applicable to the Services provided by Supplier. (Examples of such standards include, but are not limited to, the Payment Card Industry-Data Security Standards (PCI-DSS), National Automated Clearing House Associates (NACHA) Rules, and Electronic Data Interchange (EDI) standards, and the information security requirements documented within laws, such as HIPAA.) (Compliance with Industry and Government Requirements)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In the event any such government- or industry-mandated information security standards cause Amdocs to incur additional costs to be compliant, [**].</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no additional charge to AT&amp;T: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Upon AT&amp;T’s request, provide copies of any of AT&amp;T’s Information to AT&amp;T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Return, or, at AT&amp;T’s option, destroy all of AT&amp;T’s Information, including electronic and hard copies, [**] after the sooner of:</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expiration or Termination of the Agreement;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AT&amp;T’s request for the return of AT&amp;T’s Information;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date when Supplier no longer needs AT&amp;T’s Information to perform Services under the Agreement.</w:t>
      </w:r>
    </w:p>
    <w:p>
      <w:pPr>
        <w:spacing w:after="0" w:line="130"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the event that AT&amp;T approves destruction as an alternative to returning AT&amp;T’s Information, then certify in writing the destruction (e.g., degaussing, overwriting, performing a secure erase, performing a chip erase, shredding, cutting, punching holes, breaking, etc.) as rendering the AT&amp;T’s Information non-retrievable.</w:t>
      </w:r>
    </w:p>
    <w:p>
      <w:pPr>
        <w:spacing w:after="0" w:line="86"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In the event that Supplier needs to retain copies of AT&amp;T’s Information [**] either the expiration or Termination of the Agreement, or AT&amp;T’s request for the return or destruction of AT&amp;T’s Information, Supplier shall be allowed to retain such copies when elsewhere agreed to in writing with AT&amp;T. </w:t>
      </w:r>
      <w:r>
        <w:rPr>
          <w:rFonts w:ascii="Arial" w:cs="Arial" w:eastAsia="Arial" w:hAnsi="Arial"/>
          <w:sz w:val="18"/>
          <w:szCs w:val="18"/>
          <w:u w:val="single" w:color="auto"/>
          <w:color w:val="auto"/>
        </w:rPr>
        <w:t>Exception</w:t>
      </w:r>
      <w:r>
        <w:rPr>
          <w:rFonts w:ascii="Arial" w:cs="Arial" w:eastAsia="Arial" w:hAnsi="Arial"/>
          <w:sz w:val="18"/>
          <w:szCs w:val="18"/>
          <w:color w:val="auto"/>
        </w:rPr>
        <w:t>: Copies of AT&amp;T’s Information retained as part of a backup-and-recovery, business continuity or disaster recovery process may be retained for [**] the expiration or Termination of the Agreement without obtaining agreement in writing from AT&amp;T allowing such retention provided that all such copies are destroyed within [**] of creation. (Return of AT&amp;T’s Information)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8" w:lineRule="exact"/>
        <w:rPr>
          <w:sz w:val="20"/>
          <w:szCs w:val="20"/>
          <w:color w:val="auto"/>
        </w:rPr>
      </w:pPr>
    </w:p>
    <w:p>
      <w:pPr>
        <w:ind w:left="460" w:right="240" w:hanging="452"/>
        <w:spacing w:after="0" w:line="279"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Unless otherwise instructed by AT&amp;T in writing, when collecting, generating or creating Information for, through or on behalf of AT&amp;T or under the AT&amp;T brand, ensure that such Information shall be AT&amp;T’s Information and, whenever practicable, label such Information of AT&amp;T as “AT&amp;T Proprietary Information” or, at a minimum, label AT&amp;T’s Information as “Confidential” or “Proprietary”. Supplier acknowledges that AT&amp;T’s Information shall remain AT&amp;T-owned Information irrespective of labeling or absence thereof. (Confidential or Proprietary Markings)</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Assign unique UserIDs to individual users. (Unique User IDs)</w:t>
      </w:r>
    </w:p>
    <w:p>
      <w:pPr>
        <w:spacing w:after="0" w:line="130" w:lineRule="exact"/>
        <w:rPr>
          <w:rFonts w:ascii="Arial" w:cs="Arial" w:eastAsia="Arial" w:hAnsi="Arial"/>
          <w:sz w:val="18"/>
          <w:szCs w:val="18"/>
          <w:color w:val="auto"/>
        </w:rPr>
      </w:pPr>
    </w:p>
    <w:p>
      <w:pPr>
        <w:jc w:val="both"/>
        <w:ind w:left="460" w:right="30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Have and use a documented UserID Lifecycle Management process including, but not limited to, procedures for approved account creation, timely account removal, and account modification (e.g., changes to privileges, span of access, functions/roles) for all Information Resources and across all environments (e.g., production, test, development, etc.). Such process shall include review of access privileges and account validity to be performed [**]. (UserID Life Cycle Management)</w:t>
      </w:r>
    </w:p>
    <w:p>
      <w:pPr>
        <w:spacing w:after="0" w:line="92"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Enforce the rule of least privilege (i.e., limiting access to only the commands and Information Resources necessary to perform authorized functions according to one’s job function). (Rule of Least Privilege)</w:t>
      </w:r>
    </w:p>
    <w:p>
      <w:pPr>
        <w:spacing w:after="0" w:line="75"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Limit failed login attempts to no more than [**] successive attempts and lock the user account upon reaching that limit. Access to the user account can be reactivated subsequently through a manual process requiring verification of the user’s identity or, where such capability exists, can be automatically reactivated after [**] from the last failed login attempt.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this requirement. (Limit Failed Logins)</w:t>
      </w:r>
    </w:p>
    <w:p>
      <w:pPr>
        <w:spacing w:after="0" w:line="92" w:lineRule="exact"/>
        <w:rPr>
          <w:rFonts w:ascii="Arial" w:cs="Arial" w:eastAsia="Arial" w:hAnsi="Arial"/>
          <w:sz w:val="18"/>
          <w:szCs w:val="18"/>
          <w:color w:val="auto"/>
        </w:rPr>
      </w:pPr>
    </w:p>
    <w:p>
      <w:pPr>
        <w:jc w:val="both"/>
        <w:ind w:left="460" w:right="320" w:hanging="452"/>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Terminate interactive sessions, or activate a secure, locking screensaver requiring authentication, after a period of inactivity [**].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this requirement. (Terminate Inactive Interactive Sessions)</w:t>
      </w:r>
    </w:p>
    <w:p>
      <w:pPr>
        <w:spacing w:after="0" w:line="86"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Require password expiration at regular intervals not to exceed [**].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this requirement. (Expire Passwords)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131" w:lineRule="exact"/>
        <w:rPr>
          <w:sz w:val="20"/>
          <w:szCs w:val="20"/>
          <w:color w:val="auto"/>
        </w:rPr>
      </w:pPr>
    </w:p>
    <w:p>
      <w:pPr>
        <w:ind w:left="900" w:right="36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Use an authentication method based on the sensitivity of AT&amp;T’s Information. Whenever authentication credentials are stored, Supplier shall protect them using Strong Encryption.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8"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When passwords are used, they shall be complex and shall at least meet the following password construction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Be a minimum of six (6) characters in length.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Contain characters from at least two (2) of these groupings: alphabetic, numeric, and special characters.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 be the same as the UserID with which they are associated.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Passwords must not contain repeating or sequential characters or numbers.</w:t>
      </w:r>
    </w:p>
    <w:p>
      <w:pPr>
        <w:spacing w:after="0" w:line="117"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the password construction requirements.</w:t>
      </w:r>
    </w:p>
    <w:p>
      <w:pPr>
        <w:spacing w:after="0" w:line="76" w:lineRule="exact"/>
        <w:rPr>
          <w:sz w:val="20"/>
          <w:szCs w:val="20"/>
          <w:color w:val="auto"/>
        </w:rPr>
      </w:pPr>
    </w:p>
    <w:p>
      <w:pPr>
        <w:ind w:left="900" w:right="100" w:hanging="446"/>
        <w:spacing w:after="0" w:line="312" w:lineRule="auto"/>
        <w:tabs>
          <w:tab w:leader="none" w:pos="9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Applications housing more sensitive copies of AT&amp;T’s Information, as identified in writing by AT&amp;T, may require an authentication mechanism stronger than passwords. In such case the authentication mechanism shall be mutually agreed to in advance in writing. Examples of stronger authentication methods include Strong Authentication, passphrases, and biometrics. (Passwords and Construction Rules)</w:t>
      </w:r>
    </w:p>
    <w:p>
      <w:pPr>
        <w:spacing w:after="0" w:line="52" w:lineRule="exact"/>
        <w:rPr>
          <w:rFonts w:ascii="Arial" w:cs="Arial" w:eastAsia="Arial" w:hAnsi="Arial"/>
          <w:sz w:val="16"/>
          <w:szCs w:val="16"/>
          <w:color w:val="auto"/>
        </w:rPr>
      </w:pPr>
    </w:p>
    <w:p>
      <w:pPr>
        <w:ind w:left="460" w:right="320" w:hanging="452"/>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Use a secure method for the conveyance of authentication credentials (e.g., passwords) and authentication mechanisms (e.g., tokens or smart cards). (Use Secure Method to Convey UserIDs and Passwords)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Warning Banner</w:t>
      </w:r>
    </w:p>
    <w:p>
      <w:pPr>
        <w:spacing w:after="0" w:line="135" w:lineRule="exact"/>
        <w:rPr>
          <w:sz w:val="20"/>
          <w:szCs w:val="20"/>
          <w:color w:val="auto"/>
        </w:rPr>
      </w:pPr>
    </w:p>
    <w:p>
      <w:pPr>
        <w:ind w:left="460" w:right="36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AT&amp;T branded products or services or for software developed for AT&amp;T, the Supplier shall display a warning banner on login screens or pages provided by AT&amp;T. (Display Warning Banners)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Software and Data Integrity</w:t>
      </w:r>
    </w:p>
    <w:p>
      <w:pPr>
        <w:spacing w:after="0" w:line="135" w:lineRule="exact"/>
        <w:rPr>
          <w:sz w:val="20"/>
          <w:szCs w:val="20"/>
          <w:color w:val="auto"/>
        </w:rPr>
      </w:pPr>
    </w:p>
    <w:p>
      <w:pPr>
        <w:ind w:left="460" w:right="120" w:hanging="452"/>
        <w:spacing w:after="0" w:line="286"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environments where antivirus software is commercially available and to the extent practicable, have current antivirus software installed and running to scan for and promptly remove or quarantine viruses and other malware. (Note: For the avoidance of doubt, this requirement also applies to Mobile and Portable Devices where antivirus software is commercially available.) (Scan and Remove Viruses)</w:t>
      </w:r>
    </w:p>
    <w:p>
      <w:pPr>
        <w:spacing w:after="0" w:line="70" w:lineRule="exact"/>
        <w:rPr>
          <w:rFonts w:ascii="Arial" w:cs="Arial" w:eastAsia="Arial" w:hAnsi="Arial"/>
          <w:sz w:val="17"/>
          <w:szCs w:val="17"/>
          <w:color w:val="auto"/>
        </w:rPr>
      </w:pPr>
    </w:p>
    <w:p>
      <w:pPr>
        <w:ind w:left="460" w:right="58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Separate non-production Information Resources from production Information Resources. (Separate Production and Non-Production Information Resources)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Have a documented change control process including back out procedures for all production environments. (Software Change Control Process)</w:t>
      </w:r>
    </w:p>
    <w:p>
      <w:pPr>
        <w:spacing w:after="0" w:line="142" w:lineRule="exact"/>
        <w:rPr>
          <w:rFonts w:ascii="Arial" w:cs="Arial" w:eastAsia="Arial" w:hAnsi="Arial"/>
          <w:sz w:val="17"/>
          <w:szCs w:val="17"/>
          <w:color w:val="auto"/>
        </w:rPr>
      </w:pPr>
    </w:p>
    <w:p>
      <w:pPr>
        <w:ind w:left="460" w:right="40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applications which utilize a database that allows modifications to AT&amp;T’s Information, have database transaction logging features enabled and retain database transaction logs [**]. (Utilize Database Transaction Logging)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31" w:lineRule="exact"/>
        <w:rPr>
          <w:sz w:val="20"/>
          <w:szCs w:val="20"/>
          <w:color w:val="auto"/>
        </w:rPr>
      </w:pPr>
    </w:p>
    <w:p>
      <w:pPr>
        <w:ind w:left="900" w:right="112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all software developed under this Agreement, review such software to find and remediate security vulnerabilities during initial implementation and upon any modifications and updates.</w:t>
      </w:r>
    </w:p>
    <w:p>
      <w:pPr>
        <w:spacing w:after="0" w:line="75" w:lineRule="exact"/>
        <w:rPr>
          <w:rFonts w:ascii="Arial" w:cs="Arial" w:eastAsia="Arial" w:hAnsi="Arial"/>
          <w:sz w:val="18"/>
          <w:szCs w:val="18"/>
          <w:color w:val="auto"/>
        </w:rPr>
      </w:pPr>
    </w:p>
    <w:p>
      <w:pPr>
        <w:ind w:left="900" w:right="240" w:hanging="446"/>
        <w:spacing w:after="0" w:line="34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Where technically feasible, for all software used, furnished and/or supported under the Agreement, review such software to find and remediate security vulnerabilities during initial implementation and upon any modifications and updates. (Review Code for Vulnerabilities)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8" w:lineRule="exact"/>
        <w:rPr>
          <w:sz w:val="20"/>
          <w:szCs w:val="20"/>
          <w:color w:val="auto"/>
        </w:rPr>
      </w:pPr>
    </w:p>
    <w:p>
      <w:pPr>
        <w:ind w:left="460" w:right="60" w:hanging="452"/>
        <w:spacing w:after="0" w:line="26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Perform quality assurance testing for the security components (e.g., testing of identification, authentication, and authorization functions), as well as any other activity designed to validate the security architecture, during initial implementation and upon any modifications and updates. (Quality Assurance Test Security Components)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Privacy Issues</w:t>
      </w:r>
    </w:p>
    <w:p>
      <w:pPr>
        <w:spacing w:after="0" w:line="135"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 access to any of AT&amp;T’s CPNI and AT&amp;T’s SPI to authorized individuals. (Restrict Access to AT&amp;T CPNI and SPI)</w:t>
      </w:r>
    </w:p>
    <w:p>
      <w:pPr>
        <w:spacing w:after="0" w:line="130" w:lineRule="exact"/>
        <w:rPr>
          <w:rFonts w:ascii="Arial" w:cs="Arial" w:eastAsia="Arial" w:hAnsi="Arial"/>
          <w:sz w:val="18"/>
          <w:szCs w:val="18"/>
          <w:color w:val="auto"/>
        </w:rPr>
      </w:pPr>
    </w:p>
    <w:p>
      <w:pPr>
        <w:ind w:left="460" w:right="480" w:hanging="452"/>
        <w:spacing w:after="0" w:line="291"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 store AT&amp;T’s CPNI and AT&amp;T’s SPI on removable media (e.g., USB flash drives, thumb drives, memory sticks, tapes, CDs, or external hard drives) except: (a) for backup, business continuity, disaster recovery, and data interchange purposes as allowed and required under contract, and</w:t>
      </w: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(b) using Strong Encryption.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AT&amp;T’s CPNI stored for distribution to AT&amp;T’s customers may be exempted from this requirement. (Control AT&amp;T CPNI and SPI on Removable Media)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Monitoring and Auditing Controls</w:t>
      </w:r>
    </w:p>
    <w:p>
      <w:pPr>
        <w:spacing w:after="0" w:line="135"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Restrict access to security logs to authorized individuals, and protect security logs from unauthorized modification. (Restrict Access to Security Logs)</w:t>
      </w:r>
    </w:p>
    <w:p>
      <w:pPr>
        <w:spacing w:after="0" w:line="153" w:lineRule="exact"/>
        <w:rPr>
          <w:rFonts w:ascii="Arial" w:cs="Arial" w:eastAsia="Arial" w:hAnsi="Arial"/>
          <w:sz w:val="16"/>
          <w:szCs w:val="16"/>
          <w:color w:val="auto"/>
        </w:rPr>
      </w:pPr>
    </w:p>
    <w:p>
      <w:pPr>
        <w:ind w:left="460" w:right="640" w:hanging="452"/>
        <w:spacing w:after="0" w:line="277"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 on [**], all security and security-related logs for anomalies and document and resolve all logged security problems in a timely manner. (Review Security Logs and Resolve Security Problems)</w:t>
      </w:r>
    </w:p>
    <w:p>
      <w:pPr>
        <w:spacing w:after="0" w:line="75" w:lineRule="exact"/>
        <w:rPr>
          <w:rFonts w:ascii="Arial" w:cs="Arial" w:eastAsia="Arial" w:hAnsi="Arial"/>
          <w:sz w:val="18"/>
          <w:szCs w:val="18"/>
          <w:color w:val="auto"/>
        </w:rPr>
      </w:pPr>
    </w:p>
    <w:p>
      <w:pPr>
        <w:ind w:left="460" w:right="80" w:hanging="452"/>
        <w:spacing w:after="0" w:line="286"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Retain complete and accurate records relating to its performance of its obligations arising out of these Security Requirements and Supplier’s compliance herewith in a format that will permit assessment or audit for a period of [**], or longer as may be required pursuant to a court order or civil or regulatory proceeding. Notwithstanding the foregoing, Supplier shall only be required to maintain security logs for a [**]. (Retain Records)</w:t>
      </w:r>
    </w:p>
    <w:p>
      <w:pPr>
        <w:spacing w:after="0" w:line="70" w:lineRule="exact"/>
        <w:rPr>
          <w:rFonts w:ascii="Arial" w:cs="Arial" w:eastAsia="Arial" w:hAnsi="Arial"/>
          <w:sz w:val="17"/>
          <w:szCs w:val="17"/>
          <w:color w:val="auto"/>
        </w:rPr>
      </w:pPr>
    </w:p>
    <w:p>
      <w:pPr>
        <w:ind w:left="460" w:hanging="452"/>
        <w:spacing w:after="0" w:line="255"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Permit AT&amp;T to conduct an assessment or audit to verify Supplier’s compliance with the contractual obligations in connection with these AT&amp;T Supplier Information Security Requirements. Upon AT&amp;T’s request for audit, Supplier shall schedule a security audit to commence [**] days from such request. In the event that AT&amp;T, in its sole discretion, deems that a security breach has occurred, which has not been promptly reported to AT&amp;T in compliance with the Supplier’s Incident Management Process, Supplier shall schedule the audit to commence within [**] of AT&amp;T’s notice requiring an audit. This provision shall not be deemed to, and shall not, limit any more stringent audit obligations permitting the examination of Supplier’s records contained in the Agreement. (Audit Rights)</w:t>
      </w:r>
    </w:p>
    <w:p>
      <w:pPr>
        <w:spacing w:after="0" w:line="98"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of receipt of the assessment or audit report, provide AT&amp;T a written report outlining the corrective actions that Supplier has implemented or proposes to implement with the schedule and current status of each corrective action. Supplier shall update this report to AT&amp;T [**] reporting the status of all corrective actions through the date of implementation. Supplier shall implement all corrective actions [**] of Supplier’s receipt of the audit report. (Remediate Audit Findings)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Reporting Violations</w:t>
      </w:r>
    </w:p>
    <w:p>
      <w:pPr>
        <w:spacing w:after="0" w:line="135" w:lineRule="exact"/>
        <w:rPr>
          <w:sz w:val="20"/>
          <w:szCs w:val="20"/>
          <w:color w:val="auto"/>
        </w:rPr>
      </w:pPr>
    </w:p>
    <w:p>
      <w:pPr>
        <w:ind w:left="460" w:right="26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Have and use an Incident Management Process and promptly notify AT&amp;T whenever there is an attack upon, intrusion upon, unauthorized access to, loss of, or other breach of AT&amp;T’s Information Resources at: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Asset Protection by telephone at 800-807-4205 from within the US and at 1-908-658-0380 from elsewhere,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Supplier’s contact within AT&amp;T for Service-related issues.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and Use Incident Response Procedures)</w:t>
      </w:r>
    </w:p>
    <w:p>
      <w:pPr>
        <w:spacing w:after="0" w:line="131" w:lineRule="exact"/>
        <w:rPr>
          <w:sz w:val="20"/>
          <w:szCs w:val="20"/>
          <w:color w:val="auto"/>
        </w:rPr>
      </w:pPr>
    </w:p>
    <w:p>
      <w:pPr>
        <w:ind w:left="460" w:right="120" w:hanging="452"/>
        <w:spacing w:after="0" w:line="257"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After notifying AT&amp;T whenever there is an attack upon, intrusion upon, unauthorized access to, loss of, or other breach of AT&amp;T’s Information Resources, provide AT&amp;T with regular status updates, including, but not limited to, actions taken to resolve such incident, at mutually agreed intervals or times for the duration of the incident and, [**] of the closure of the incident, provide AT&amp;T with a written report describing the incident, actions taken by the Supplier during its response and the Supplier’s plans for future actions to prevent a similar incident from occurring. (Provide AT&amp;T Incident Response Status and Final Resolution)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Software Development</w:t>
      </w:r>
    </w:p>
    <w:p>
      <w:pPr>
        <w:spacing w:after="0" w:line="13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Policies and Procedures</w:t>
      </w:r>
    </w:p>
    <w:p>
      <w:pPr>
        <w:spacing w:after="0" w:line="135" w:lineRule="exact"/>
        <w:rPr>
          <w:sz w:val="20"/>
          <w:szCs w:val="20"/>
          <w:color w:val="auto"/>
        </w:rPr>
      </w:pPr>
    </w:p>
    <w:p>
      <w:pPr>
        <w:ind w:left="460" w:hanging="452"/>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Ensure that all personnel, subcontractors or representatives performing work under this Agreement are in compliance with these Security Requirements. (All Work to Be In Compliance with SISR)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460" w:right="60" w:hanging="452"/>
        <w:spacing w:after="0" w:line="286"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Deactivate or Return all AT&amp;T-owned or -provided access devices (including, but not limited to, SecurID</w:t>
      </w:r>
      <w:r>
        <w:rPr>
          <w:rFonts w:ascii="Arial" w:cs="Arial" w:eastAsia="Arial" w:hAnsi="Arial"/>
          <w:sz w:val="14"/>
          <w:szCs w:val="14"/>
          <w:color w:val="auto"/>
        </w:rPr>
        <w:t>®</w:t>
      </w:r>
      <w:r>
        <w:rPr>
          <w:rFonts w:ascii="Arial" w:cs="Arial" w:eastAsia="Arial" w:hAnsi="Arial"/>
          <w:sz w:val="17"/>
          <w:szCs w:val="17"/>
          <w:color w:val="auto"/>
        </w:rPr>
        <w:t xml:space="preserve"> tokens and/or software) as soon as practicable, but in no event [**] after the sooner of: (a) expiration or Termination of the Agreement; (b) AT&amp;T’s request for the return of such property; or (c) the date when Supplier no longer need such devices. (Return all AT&amp;T Owned or Provided Access Devices)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Mobile and Portable Devices</w:t>
      </w:r>
    </w:p>
    <w:p>
      <w:pPr>
        <w:spacing w:after="0" w:line="135" w:lineRule="exact"/>
        <w:rPr>
          <w:sz w:val="20"/>
          <w:szCs w:val="20"/>
          <w:color w:val="auto"/>
        </w:rPr>
      </w:pPr>
    </w:p>
    <w:p>
      <w:pPr>
        <w:ind w:left="880" w:right="120" w:hanging="872"/>
        <w:spacing w:after="0" w:line="277" w:lineRule="auto"/>
        <w:tabs>
          <w:tab w:leader="none" w:pos="4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Supplier shall not store any of AT&amp;T’s SPI on Mobile and Portable Devices unless AT&amp;T’s SPI stored on such devices is protected by the use of Strong Encryption.</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At execution of Amendment 34, Supplier shall use Strong Encryption to protect all of AT&amp;T’s Information stored on Mobile and Portable Devices that are laptop computers.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By [**], for AT&amp;T’s Information that is not SPI, Supplier shall use Strong Encryption to protect all of AT&amp;T’s Information stored on Mobile and Portable Devices that are not laptop computers.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Supplier reserves the right to discuss with AT&amp;T if issues are encountered during the implementation of Strong Encryption.</w:t>
      </w:r>
    </w:p>
    <w:p>
      <w:pPr>
        <w:spacing w:after="0" w:line="131" w:lineRule="exact"/>
        <w:rPr>
          <w:sz w:val="20"/>
          <w:szCs w:val="20"/>
          <w:color w:val="auto"/>
        </w:rPr>
      </w:pPr>
    </w:p>
    <w:p>
      <w:pPr>
        <w:ind w:left="880" w:right="100" w:hanging="872"/>
        <w:spacing w:after="0" w:line="277" w:lineRule="auto"/>
        <w:tabs>
          <w:tab w:leader="none" w:pos="4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Supplier shall not use Mobile and Portable Devices to receive, transmit or remotely access AT&amp;T’s SPI unless the SPI so transmitted is protected by the use of Strong Encryption.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02026713.A.034</w:t>
      </w:r>
    </w:p>
    <w:p>
      <w:pPr>
        <w:spacing w:after="0" w:line="158" w:lineRule="exact"/>
        <w:rPr>
          <w:sz w:val="20"/>
          <w:szCs w:val="20"/>
          <w:color w:val="auto"/>
        </w:rPr>
      </w:pPr>
    </w:p>
    <w:p>
      <w:pPr>
        <w:ind w:left="900" w:right="42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execution of Amendment 34, Supplier shall use Strong Encryption to protect all of AT&amp;T’s Information received by, transmitted using or remotely accessed by:</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Network-aware Mobile and Portable Devices that are laptop computers; and</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other types of network-aware Mobile and Portable Devices whenever such transmissions take place over any network that is not part of the Supplier’s trusted, Supplier-controlled network.</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By [**], for AT&amp;T’s Information that is not SPI, Supplier shall use Strong Encryption to protect all of AT&amp;T’s Information when received by, transmitted using or remotely accessed by Mobile and Portable Devices that are not laptop computers.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Supplier reserves the right to discuss with AT&amp;T if issues are encountered during the implementation of Strong Encryption.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131" w:lineRule="exact"/>
        <w:rPr>
          <w:sz w:val="20"/>
          <w:szCs w:val="20"/>
          <w:color w:val="auto"/>
        </w:rPr>
      </w:pPr>
    </w:p>
    <w:p>
      <w:pPr>
        <w:jc w:val="both"/>
        <w:ind w:left="900" w:right="100" w:hanging="446"/>
        <w:spacing w:after="0" w:line="264"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When using network-aware Mobile and Portable Devices that are not laptop computers to access and/or store AT&amp;T’s Information, such devices must be capable of deleting all stored copies of AT&amp;T’s Information upon receipt over the network of a properly authenticated command. (Note: Such capability is often referred to as a “remote wipe” capability.)</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Have documented policies, procedures and standards in place to ensure that the authorized individual who should be in physical control of a network-aware Mobile and Portable Device that is not a laptop computer and that is storing AT&amp;T’s Information promptly initiates deletion of all AT&amp;T’s Information when the device becomes lost or stolen.</w:t>
      </w:r>
    </w:p>
    <w:p>
      <w:pPr>
        <w:spacing w:after="0" w:line="86"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Have documented policies, procedures and standards in place to ensure that Mobile and Portable Devices that are not laptop computers and are not network aware, will automatically delete all stored copies of AT&amp;T’s Information after no more than three times the number of consecutive failed login attempts documented within Security Requirement 31.</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Have documented policies, procedures and standards in place which ensure that any Mobile and Portable Devices used to access and/or store AT&amp;T’s Information: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Are in the physical possession of authorized individuals;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Are physically secured when not in the physical possession of authorized individuals;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Have their data storage promptly and securely deleted when not in the physical possession of authorized individuals nor physically secured.</w:t>
      </w:r>
    </w:p>
    <w:p>
      <w:pPr>
        <w:spacing w:after="0" w:line="142" w:lineRule="exact"/>
        <w:rPr>
          <w:rFonts w:ascii="Arial" w:cs="Arial" w:eastAsia="Arial" w:hAnsi="Arial"/>
          <w:sz w:val="17"/>
          <w:szCs w:val="17"/>
          <w:color w:val="auto"/>
        </w:rPr>
      </w:pPr>
    </w:p>
    <w:p>
      <w:pPr>
        <w:ind w:left="460" w:right="16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Prior to allowing access to AT&amp;T’s Information stored on or through the use of Mobile and Portable Devices, Supplier shall have and use a process to ensure that: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user is authorized for such access;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identity of the user has been authenticated.</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Implement a policy that prohibits the use of any Mobile and Portable Devices that are not administered and/or managed by Supplier or AT&amp;T to access and/or store AT&amp;T’s Information.</w:t>
      </w:r>
    </w:p>
    <w:p>
      <w:pPr>
        <w:spacing w:after="0" w:line="75"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 the use of, and controls for, all Supplier-administered or -managed Mobile and Portable Devices to ensure that the Mobile and Portable Devices can meet the applicable Security Requirements.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Gateways</w:t>
      </w:r>
    </w:p>
    <w:p>
      <w:pPr>
        <w:spacing w:after="0" w:line="256" w:lineRule="exact"/>
        <w:rPr>
          <w:sz w:val="20"/>
          <w:szCs w:val="20"/>
          <w:color w:val="auto"/>
        </w:rPr>
      </w:pPr>
    </w:p>
    <w:p>
      <w:pPr>
        <w:ind w:left="460" w:right="38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Require Strong Authentication for administrative and/or management access to Security Gateways, including, but not limited to, any access for the purpose of reviewing log files.</w:t>
      </w:r>
    </w:p>
    <w:p>
      <w:pPr>
        <w:spacing w:after="0" w:line="75" w:lineRule="exact"/>
        <w:rPr>
          <w:rFonts w:ascii="Arial" w:cs="Arial" w:eastAsia="Arial" w:hAnsi="Arial"/>
          <w:sz w:val="18"/>
          <w:szCs w:val="18"/>
          <w:color w:val="auto"/>
        </w:rPr>
      </w:pPr>
    </w:p>
    <w:p>
      <w:pPr>
        <w:ind w:left="460" w:right="40" w:hanging="452"/>
        <w:spacing w:after="0" w:line="308"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Have and use documented controls, policies, processes and procedures to ensure that unauthorized users do not have administrative and/or management access to Security Gateways, and that user authorization levels to administer and manage Security Gateways are appropriate.</w:t>
      </w:r>
    </w:p>
    <w:p>
      <w:pPr>
        <w:spacing w:after="0" w:line="51" w:lineRule="exact"/>
        <w:rPr>
          <w:rFonts w:ascii="Arial" w:cs="Arial" w:eastAsia="Arial" w:hAnsi="Arial"/>
          <w:sz w:val="17"/>
          <w:szCs w:val="17"/>
          <w:color w:val="auto"/>
        </w:rPr>
      </w:pPr>
    </w:p>
    <w:p>
      <w:pPr>
        <w:ind w:left="460" w:right="6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least [**], ensure that Security Gateway configurations are hardened by selecting a sample of Security Gateways and verifying that each default rule set and set of configuration parameters ensures the following: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Internet Protocol (IP) source routing is disabled,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loopback address is prohibited from entering the internal network,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Internet Control Message Protocol (ICMP) redirects are disabled,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rule sets end with a “DENY ALL” statement,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rule is traceable to a specific business request.</w:t>
      </w:r>
    </w:p>
    <w:p>
      <w:pPr>
        <w:spacing w:after="0" w:line="130"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Ensure that monitoring tools are used to validate that all aspects of Security Gateways (e.g., hardware, firmware, and software) are continuously operational.</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Ensure that all Security Gateways are configured and implemented such that all non-operational Security Gateways shall deny all access.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Wireless Networking</w:t>
      </w:r>
    </w:p>
    <w:p>
      <w:pPr>
        <w:spacing w:after="0" w:line="256" w:lineRule="exact"/>
        <w:rPr>
          <w:sz w:val="20"/>
          <w:szCs w:val="20"/>
          <w:color w:val="auto"/>
        </w:rPr>
      </w:pPr>
    </w:p>
    <w:p>
      <w:pPr>
        <w:ind w:left="460" w:right="180" w:hanging="452"/>
        <w:spacing w:after="0" w:line="25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When using radio frequency (RF) based wireless networking technologies to perform or support Services for AT&amp;T, ensure that all of AT&amp;T’s Information transmitted is protected by the use of appropriate encryption technologies sufficient to protect the confidentiality of AT&amp;T’s Information; provided, however, that in any event such encryption shall use no less than key lengths of 256-bits for symmetric encryption and 256-bits for asymmetric encryption. Exception: The use of RF-based wireless headsets, keyboards, microphones, and pointing devices, such as mice, touch pads, and digital drawing tablets, is excluded from this requirement.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Connectivity Requirements</w:t>
      </w:r>
    </w:p>
    <w:p>
      <w:pPr>
        <w:spacing w:after="0" w:line="256" w:lineRule="exact"/>
        <w:rPr>
          <w:sz w:val="20"/>
          <w:szCs w:val="20"/>
          <w:color w:val="auto"/>
        </w:rPr>
      </w:pPr>
    </w:p>
    <w:p>
      <w:pPr>
        <w:ind w:left="460" w:right="200" w:hanging="452"/>
        <w:spacing w:after="0" w:line="302"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event that a data connection agreement, such as a “Master Data Connection Agreement,” “Data Connection Agreement,” and/or “Connection Supplement” (“DCA”) exists between the Parties, and incorporates the Agreement by reference, or is otherwise integrated with, or used to govern the Parties’ connectivity obligations under, this Agreement, agree that any information security requirements incorporated within such DCA are hereby superseded by the terms of these Security Requirements, effective as of the date these Security Requirements become effective under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21" w:name="page122"/>
    <w:bookmarkEnd w:id="121"/>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81" w:lineRule="exact"/>
        <w:rPr>
          <w:sz w:val="20"/>
          <w:szCs w:val="20"/>
          <w:color w:val="auto"/>
        </w:rPr>
      </w:pPr>
    </w:p>
    <w:p>
      <w:pPr>
        <w:ind w:left="460" w:right="540"/>
        <w:spacing w:after="0" w:line="286" w:lineRule="auto"/>
        <w:rPr>
          <w:sz w:val="20"/>
          <w:szCs w:val="20"/>
          <w:color w:val="auto"/>
        </w:rPr>
      </w:pPr>
      <w:r>
        <w:rPr>
          <w:rFonts w:ascii="Arial" w:cs="Arial" w:eastAsia="Arial" w:hAnsi="Arial"/>
          <w:sz w:val="17"/>
          <w:szCs w:val="17"/>
          <w:color w:val="auto"/>
        </w:rPr>
        <w:t>the Agreement, and the terms of such DCA are amended to require that the Security Requirements and not the information security requirements incorporated within the DCA are controlling in the Agreement (as well as any agreements subordinate to the Agreement). Notwithstanding the foregoing, the DCA remains in full force and effect for all other agreements between the Parties to which it applies.</w:t>
      </w:r>
    </w:p>
    <w:p>
      <w:pPr>
        <w:spacing w:after="0" w:line="71" w:lineRule="exact"/>
        <w:rPr>
          <w:sz w:val="20"/>
          <w:szCs w:val="20"/>
          <w:color w:val="auto"/>
        </w:rPr>
      </w:pPr>
    </w:p>
    <w:p>
      <w:pPr>
        <w:ind w:left="460" w:right="36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event that Supplier has, or will be provided, connectivity to AT&amp;T’s or AT&amp;T’s customers’ Nonpublic Information Resources in conjunction with this Agreement, then in addition to the foregoing:</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Use only the mutually agreed upon facilities and connection methodologies to interconnect AT&amp;T’s and AT&amp;T’s customers’ Nonpublic Information Resources with Supplier’s Information Resources.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NOT establish interconnection to AT&amp;T’s and AT&amp;T’s customers’ Nonpublic Information Resources without the prior consent of AT&amp;T.</w:t>
      </w:r>
    </w:p>
    <w:p>
      <w:pPr>
        <w:spacing w:after="0" w:line="142" w:lineRule="exact"/>
        <w:rPr>
          <w:rFonts w:ascii="Arial" w:cs="Arial" w:eastAsia="Arial" w:hAnsi="Arial"/>
          <w:sz w:val="17"/>
          <w:szCs w:val="17"/>
          <w:color w:val="auto"/>
        </w:rPr>
      </w:pPr>
    </w:p>
    <w:p>
      <w:pPr>
        <w:ind w:left="900" w:right="100" w:hanging="446"/>
        <w:spacing w:after="0" w:line="308" w:lineRule="auto"/>
        <w:tabs>
          <w:tab w:leader="none" w:pos="9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Provide AT&amp;T access to any applicable Supplier facilities during normal business hours for the maintenance and support of any equipment (e.g., router) provided by AT&amp;T under the Agreement for connectivity to AT&amp;T’s and AT&amp;T’s customers’ Nonpublic Information Resources.</w:t>
      </w:r>
    </w:p>
    <w:p>
      <w:pPr>
        <w:spacing w:after="0" w:line="51" w:lineRule="exact"/>
        <w:rPr>
          <w:rFonts w:ascii="Arial" w:cs="Arial" w:eastAsia="Arial" w:hAnsi="Arial"/>
          <w:sz w:val="17"/>
          <w:szCs w:val="17"/>
          <w:color w:val="auto"/>
        </w:rPr>
      </w:pPr>
    </w:p>
    <w:p>
      <w:pPr>
        <w:ind w:left="900" w:right="600" w:hanging="446"/>
        <w:spacing w:after="0" w:line="277"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Use any equipment provided by AT&amp;T under this Agreement for connectivity to AT&amp;T’s and AT&amp;T’s customers’ Nonpublic Information Resources only for the furnishing of those Services or functions explicitly defined in the Agreement.</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If the agreed upon connectivity methodology requires that Supplier implement a Security Gateway, maintain logs of all sessions using such Security Gateway. These session logs must include sufficiently detailed information to identify the end user or application, origination IP address, destination IP address, ports/service protocols used and duration of access. These session logs must be retained for a [**].</w:t>
      </w:r>
    </w:p>
    <w:p>
      <w:pPr>
        <w:spacing w:after="0" w:line="70" w:lineRule="exact"/>
        <w:rPr>
          <w:rFonts w:ascii="Arial" w:cs="Arial" w:eastAsia="Arial" w:hAnsi="Arial"/>
          <w:sz w:val="17"/>
          <w:szCs w:val="17"/>
          <w:color w:val="auto"/>
        </w:rPr>
      </w:pPr>
    </w:p>
    <w:p>
      <w:pPr>
        <w:ind w:left="460" w:right="36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event that Supplier has, or will be provided, connectivity to AT&amp;T’s or AT&amp;T’s customers’ Nonpublic Information Resources in conjunction with this Agreement, in addition to other rights set forth herein, permit AT&amp;T to:</w:t>
      </w:r>
    </w:p>
    <w:p>
      <w:pPr>
        <w:spacing w:after="0" w:line="75" w:lineRule="exact"/>
        <w:rPr>
          <w:rFonts w:ascii="Arial" w:cs="Arial" w:eastAsia="Arial" w:hAnsi="Arial"/>
          <w:sz w:val="18"/>
          <w:szCs w:val="18"/>
          <w:color w:val="auto"/>
        </w:rPr>
      </w:pPr>
    </w:p>
    <w:p>
      <w:pPr>
        <w:jc w:val="both"/>
        <w:ind w:left="900" w:right="260" w:hanging="446"/>
        <w:spacing w:after="0" w:line="286" w:lineRule="auto"/>
        <w:tabs>
          <w:tab w:leader="none" w:pos="9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Gather information relating to access, including Supplier’s access to, AT&amp;T’s and AT&amp;T’s customers’ Nonpublic Information Resources. This information may be collected, retained and analyzed by AT&amp;T to identify potential security risks without further notice. This information may include trace files, statistics, network addresses, and the actual data or screens accessed or transferred.</w:t>
      </w:r>
    </w:p>
    <w:p>
      <w:pPr>
        <w:spacing w:after="0" w:line="70" w:lineRule="exact"/>
        <w:rPr>
          <w:rFonts w:ascii="Arial" w:cs="Arial" w:eastAsia="Arial" w:hAnsi="Arial"/>
          <w:sz w:val="17"/>
          <w:szCs w:val="17"/>
          <w:color w:val="auto"/>
        </w:rPr>
      </w:pPr>
    </w:p>
    <w:p>
      <w:pPr>
        <w:ind w:left="900" w:right="80" w:hanging="446"/>
        <w:spacing w:after="0" w:line="308" w:lineRule="auto"/>
        <w:tabs>
          <w:tab w:leader="none" w:pos="9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Immediately suspend or terminate any interconnection to AT&amp;T’s and AT&amp;T’s customers’ Nonpublic Information Resources if AT&amp;T, in its sole discretion, believes there has been a breach of security or unauthorized access to or misuse of AT&amp;T data facilities or Information.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4" w:lineRule="exact"/>
        <w:rPr>
          <w:sz w:val="20"/>
          <w:szCs w:val="20"/>
          <w:color w:val="auto"/>
        </w:rPr>
      </w:pPr>
    </w:p>
    <w:p>
      <w:pPr>
        <w:ind w:left="460" w:right="120" w:hanging="452"/>
        <w:spacing w:after="0" w:line="282" w:lineRule="auto"/>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6.5, “Background Check/Drug Screening”, </w:t>
      </w:r>
      <w:r>
        <w:rPr>
          <w:rFonts w:ascii="Arial" w:cs="Arial" w:eastAsia="Arial" w:hAnsi="Arial"/>
          <w:sz w:val="18"/>
          <w:szCs w:val="18"/>
          <w:color w:val="auto"/>
        </w:rPr>
        <w:t>is deleted in its entirety and replaced with,</w:t>
      </w:r>
      <w:r>
        <w:rPr>
          <w:rFonts w:ascii="Arial" w:cs="Arial" w:eastAsia="Arial" w:hAnsi="Arial"/>
          <w:sz w:val="18"/>
          <w:szCs w:val="18"/>
          <w:b w:val="1"/>
          <w:bCs w:val="1"/>
          <w:color w:val="auto"/>
        </w:rPr>
        <w:t xml:space="preserve"> Section 6.5, “Background Check/Drug Screening” </w:t>
      </w:r>
      <w:r>
        <w:rPr>
          <w:rFonts w:ascii="Arial" w:cs="Arial" w:eastAsia="Arial" w:hAnsi="Arial"/>
          <w:sz w:val="18"/>
          <w:szCs w:val="18"/>
          <w:color w:val="auto"/>
        </w:rPr>
        <w:t>as follows:</w:t>
      </w:r>
    </w:p>
    <w:p>
      <w:pPr>
        <w:spacing w:after="0" w:line="54" w:lineRule="exact"/>
        <w:rPr>
          <w:sz w:val="20"/>
          <w:szCs w:val="20"/>
          <w:color w:val="auto"/>
        </w:rPr>
      </w:pPr>
    </w:p>
    <w:p>
      <w:pPr>
        <w:ind w:left="920" w:right="940"/>
        <w:spacing w:after="0" w:line="282" w:lineRule="auto"/>
        <w:rPr>
          <w:sz w:val="20"/>
          <w:szCs w:val="20"/>
          <w:color w:val="auto"/>
        </w:rPr>
      </w:pPr>
      <w:r>
        <w:rPr>
          <w:rFonts w:ascii="Arial" w:cs="Arial" w:eastAsia="Arial" w:hAnsi="Arial"/>
          <w:sz w:val="18"/>
          <w:szCs w:val="18"/>
          <w:b w:val="1"/>
          <w:bCs w:val="1"/>
          <w:color w:val="auto"/>
        </w:rPr>
        <w:t xml:space="preserve">Background Check/Drug Screening [**] </w:t>
      </w:r>
      <w:r>
        <w:rPr>
          <w:rFonts w:ascii="Arial" w:cs="Arial" w:eastAsia="Arial" w:hAnsi="Arial"/>
          <w:sz w:val="18"/>
          <w:szCs w:val="18"/>
          <w:color w:val="auto"/>
        </w:rPr>
        <w:t>With respect to any Amdocs Personnel providing Services Amdocs shall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Appendix 6.5 (Background Checks/Drug Screening).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Pennington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 Pennington</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Deidre D. Byer</w:t>
            </w:r>
          </w:p>
        </w:tc>
      </w:tr>
      <w:tr>
        <w:trPr>
          <w:trHeight w:val="209"/>
        </w:trPr>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Operations</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Global Supply Chain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12-29-2014</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12/29/2014</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02026713.A.034</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Appendix 6.5</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Background Check/Drug Screening</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two pages were omitted. [**].</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274"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35,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50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This Agreement with an Effective Date of August 7, 2003, shall remain in effect for a term ending on June 30, 2015, unless earlier Terminated or Canceled as provided in this Agreement. The Parties may extend the term of this Agreement by agreement in writing.</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Pennington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Deirdre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Pennington</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Deidre D. Byer</w:t>
            </w:r>
          </w:p>
        </w:tc>
      </w:tr>
      <w:tr>
        <w:trPr>
          <w:trHeight w:val="209"/>
        </w:trPr>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Operations</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Global Supply Chain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3/31/2015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3/31/2015</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36,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54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This Agreement with an Effective Date of August 7, 2003, shall remain in effect for a term ending on July 31, 2015, unless earlier Terminated or Canceled as provided in this Agreement. The Parties may extend the term of this Agreement by agreement in writing.</w:t>
      </w:r>
    </w:p>
    <w:p>
      <w:pPr>
        <w:spacing w:after="0" w:line="47" w:lineRule="exact"/>
        <w:rPr>
          <w:rFonts w:ascii="Arial" w:cs="Arial" w:eastAsia="Arial" w:hAnsi="Arial"/>
          <w:sz w:val="16"/>
          <w:szCs w:val="16"/>
          <w:b w:val="1"/>
          <w:bCs w:val="1"/>
          <w:color w:val="auto"/>
        </w:rPr>
      </w:pPr>
    </w:p>
    <w:p>
      <w:pPr>
        <w:ind w:left="460" w:right="220" w:hanging="452"/>
        <w:spacing w:after="0" w:line="282" w:lineRule="auto"/>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1.2(2), “IT Professional Service Price(s)”, </w:t>
      </w:r>
      <w:r>
        <w:rPr>
          <w:rFonts w:ascii="Arial" w:cs="Arial" w:eastAsia="Arial" w:hAnsi="Arial"/>
          <w:sz w:val="18"/>
          <w:szCs w:val="18"/>
          <w:color w:val="auto"/>
        </w:rPr>
        <w:t>is hereby deleted and replaced with</w:t>
      </w:r>
      <w:r>
        <w:rPr>
          <w:rFonts w:ascii="Arial" w:cs="Arial" w:eastAsia="Arial" w:hAnsi="Arial"/>
          <w:sz w:val="18"/>
          <w:szCs w:val="18"/>
          <w:b w:val="1"/>
          <w:bCs w:val="1"/>
          <w:color w:val="auto"/>
        </w:rPr>
        <w:t xml:space="preserve"> Appendix 1.2(2), “IT Professional Service Price(s)”</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16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8" w:name="page129"/>
    <w:bookmarkEnd w:id="128"/>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02026713.A.036</w:t>
      </w:r>
    </w:p>
    <w:p>
      <w:pPr>
        <w:spacing w:after="0" w:line="177"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Tinis</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Ioannis Tinis</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Deidre D. Byer</w:t>
            </w:r>
          </w:p>
        </w:tc>
      </w:tr>
      <w:tr>
        <w:trPr>
          <w:trHeight w:val="209"/>
        </w:trPr>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Operations</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Global Supply Chain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6/30/2015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6/30/2015</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1.2(2)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 Professional Service Price(s)</w:t>
      </w:r>
    </w:p>
    <w:p>
      <w:pPr>
        <w:spacing w:after="0" w:line="234"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Job Classification Descriptions</w:t>
      </w:r>
    </w:p>
    <w:p>
      <w:pPr>
        <w:spacing w:after="0" w:line="117" w:lineRule="exact"/>
        <w:rPr>
          <w:rFonts w:ascii="Arial" w:cs="Arial" w:eastAsia="Arial" w:hAnsi="Arial"/>
          <w:sz w:val="18"/>
          <w:szCs w:val="18"/>
          <w:b w:val="1"/>
          <w:bCs w:val="1"/>
          <w:color w:val="auto"/>
        </w:rPr>
      </w:pPr>
    </w:p>
    <w:p>
      <w:pPr>
        <w:ind w:left="460" w:right="1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Senior Project Manager/Senior Team Lead</w:t>
      </w:r>
      <w:r>
        <w:rPr>
          <w:rFonts w:ascii="Arial" w:cs="Arial" w:eastAsia="Arial" w:hAnsi="Arial"/>
          <w:sz w:val="18"/>
          <w:szCs w:val="18"/>
          <w:color w:val="auto"/>
        </w:rPr>
        <w:t>: [**] or more years’ experience in information technology with at least [**] years in a Project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or Team Lead role. Proven ability to manage and lead projects of a large scale. Project Management Certification or Degree. Leadership and communication skills.</w:t>
      </w:r>
    </w:p>
    <w:p>
      <w:pPr>
        <w:spacing w:after="0" w:line="68" w:lineRule="exact"/>
        <w:rPr>
          <w:rFonts w:ascii="Arial" w:cs="Arial" w:eastAsia="Arial" w:hAnsi="Arial"/>
          <w:sz w:val="18"/>
          <w:szCs w:val="18"/>
          <w:b w:val="1"/>
          <w:bCs w:val="1"/>
          <w:color w:val="auto"/>
        </w:rPr>
      </w:pPr>
    </w:p>
    <w:p>
      <w:pPr>
        <w:ind w:left="460" w:right="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Project Manager/Team Leader</w:t>
      </w:r>
      <w:r>
        <w:rPr>
          <w:rFonts w:ascii="Arial" w:cs="Arial" w:eastAsia="Arial" w:hAnsi="Arial"/>
          <w:sz w:val="18"/>
          <w:szCs w:val="18"/>
          <w:color w:val="auto"/>
        </w:rPr>
        <w:t>: [**] or more years’ experience in information technology with at least [**] years in a Project Manager or Team Lead</w:t>
      </w:r>
      <w:r>
        <w:rPr>
          <w:rFonts w:ascii="Arial" w:cs="Arial" w:eastAsia="Arial" w:hAnsi="Arial"/>
          <w:sz w:val="18"/>
          <w:szCs w:val="18"/>
          <w:b w:val="1"/>
          <w:bCs w:val="1"/>
          <w:color w:val="auto"/>
        </w:rPr>
        <w:t xml:space="preserve"> </w:t>
      </w:r>
      <w:r>
        <w:rPr>
          <w:rFonts w:ascii="Arial" w:cs="Arial" w:eastAsia="Arial" w:hAnsi="Arial"/>
          <w:sz w:val="18"/>
          <w:szCs w:val="18"/>
          <w:color w:val="auto"/>
        </w:rPr>
        <w:t>role. Supplier Certified as a specialist in at least two applications or systems areas relevant to the project. Demonstrated leadership experience, and solid communication skills; able to work independently and manage other employees.</w:t>
      </w:r>
    </w:p>
    <w:p>
      <w:pPr>
        <w:spacing w:after="0" w:line="68" w:lineRule="exact"/>
        <w:rPr>
          <w:rFonts w:ascii="Arial" w:cs="Arial" w:eastAsia="Arial" w:hAnsi="Arial"/>
          <w:sz w:val="18"/>
          <w:szCs w:val="18"/>
          <w:b w:val="1"/>
          <w:bCs w:val="1"/>
          <w:color w:val="auto"/>
        </w:rPr>
      </w:pPr>
    </w:p>
    <w:p>
      <w:pPr>
        <w:jc w:val="both"/>
        <w:ind w:left="460" w:right="2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Senior Programmer /Analyst</w:t>
      </w:r>
      <w:r>
        <w:rPr>
          <w:rFonts w:ascii="Arial" w:cs="Arial" w:eastAsia="Arial" w:hAnsi="Arial"/>
          <w:sz w:val="18"/>
          <w:szCs w:val="18"/>
          <w:color w:val="auto"/>
        </w:rPr>
        <w:t>: [**] or more years’ programming or equivalent technical experience; good communication skills; application design</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Supplier Certified as a specialist in at least one application or system relevant to the project. Ability to create clear, concise and detailed design documents.</w:t>
      </w:r>
    </w:p>
    <w:p>
      <w:pPr>
        <w:spacing w:after="0" w:line="68" w:lineRule="exact"/>
        <w:rPr>
          <w:rFonts w:ascii="Arial" w:cs="Arial" w:eastAsia="Arial" w:hAnsi="Arial"/>
          <w:sz w:val="18"/>
          <w:szCs w:val="18"/>
          <w:b w:val="1"/>
          <w:bCs w:val="1"/>
          <w:color w:val="auto"/>
        </w:rPr>
      </w:pPr>
    </w:p>
    <w:p>
      <w:pPr>
        <w:ind w:left="460" w:right="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Programmer Analyst</w:t>
      </w:r>
      <w:r>
        <w:rPr>
          <w:rFonts w:ascii="Arial" w:cs="Arial" w:eastAsia="Arial" w:hAnsi="Arial"/>
          <w:sz w:val="18"/>
          <w:szCs w:val="18"/>
          <w:color w:val="auto"/>
        </w:rPr>
        <w:t>: [**] or more years’ experience, program design and development experience; knowledge of applications or systems relevant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project; ability to write documentation and conduct unit and system level tests.</w:t>
      </w:r>
    </w:p>
    <w:p>
      <w:pPr>
        <w:spacing w:after="0" w:line="53" w:lineRule="exact"/>
        <w:rPr>
          <w:rFonts w:ascii="Arial" w:cs="Arial" w:eastAsia="Arial" w:hAnsi="Arial"/>
          <w:sz w:val="18"/>
          <w:szCs w:val="18"/>
          <w:b w:val="1"/>
          <w:bCs w:val="1"/>
          <w:color w:val="auto"/>
        </w:rPr>
      </w:pPr>
    </w:p>
    <w:p>
      <w:pPr>
        <w:ind w:left="460" w:right="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Entry Level Programmer</w:t>
      </w:r>
      <w:r>
        <w:rPr>
          <w:rFonts w:ascii="Arial" w:cs="Arial" w:eastAsia="Arial" w:hAnsi="Arial"/>
          <w:sz w:val="18"/>
          <w:szCs w:val="18"/>
          <w:color w:val="auto"/>
        </w:rPr>
        <w:t>: Entry Level, typically with a university degree or equivalent qualifications, with one year or less programming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of structured programming and computer science principles require to meet the needs of AT&amp;T.</w:t>
      </w:r>
    </w:p>
    <w:p>
      <w:pPr>
        <w:spacing w:after="0" w:line="53" w:lineRule="exact"/>
        <w:rPr>
          <w:rFonts w:ascii="Arial" w:cs="Arial" w:eastAsia="Arial" w:hAnsi="Arial"/>
          <w:sz w:val="18"/>
          <w:szCs w:val="18"/>
          <w:b w:val="1"/>
          <w:bCs w:val="1"/>
          <w:color w:val="auto"/>
        </w:rPr>
      </w:pPr>
    </w:p>
    <w:p>
      <w:pPr>
        <w:ind w:left="460" w:right="80"/>
        <w:spacing w:after="0" w:line="292" w:lineRule="auto"/>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Senior System Architect</w:t>
      </w:r>
      <w:r>
        <w:rPr>
          <w:rFonts w:ascii="Arial" w:cs="Arial" w:eastAsia="Arial" w:hAnsi="Arial"/>
          <w:sz w:val="16"/>
          <w:szCs w:val="16"/>
          <w:color w:val="auto"/>
        </w:rPr>
        <w:t>: The Senior System Architect is responsible for the same activities as the Technical Architect but has a broader scope of</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and more in-depth business and technical knowledge. Responsible for multiple projects or large complex projects with cross-functional teams and business processes. Demonstrate expert knowledge in multiple technical and business functional areas as well as performing a larger leadership role in the organization. Apply broad in-depth business and technical knowledge to establish technical direction and priorities. Resolve and work on issues across multiple functional areas. Effectively monitor and take action to ensure coordination and effectiveness of all components and activities and decide on issues requiring escalation. Incumbents understand the system flow for a project throughout an entire functional area (e.g., Billing, Customer Care) not just a subsystem area. They have medium to long range planning responsibilities.</w:t>
      </w:r>
    </w:p>
    <w:p>
      <w:pPr>
        <w:spacing w:after="0" w:line="53" w:lineRule="exact"/>
        <w:rPr>
          <w:rFonts w:ascii="Arial" w:cs="Arial" w:eastAsia="Arial" w:hAnsi="Arial"/>
          <w:sz w:val="18"/>
          <w:szCs w:val="18"/>
          <w:b w:val="1"/>
          <w:bCs w:val="1"/>
          <w:color w:val="auto"/>
        </w:rPr>
      </w:pPr>
    </w:p>
    <w:p>
      <w:pPr>
        <w:ind w:left="460" w:right="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System Architect</w:t>
      </w:r>
      <w:r>
        <w:rPr>
          <w:rFonts w:ascii="Arial" w:cs="Arial" w:eastAsia="Arial" w:hAnsi="Arial"/>
          <w:sz w:val="18"/>
          <w:szCs w:val="18"/>
          <w:color w:val="auto"/>
        </w:rPr>
        <w:t>: Responsible for providing technical system solutions and determining overall design direction. Provide technical leadership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the technical integrity within a subsystem or application. Also provide technical expertise to generate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0" w:name="page131"/>
    <w:bookmarkEnd w:id="130"/>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02026713.A.036</w:t>
      </w:r>
    </w:p>
    <w:p>
      <w:pPr>
        <w:spacing w:after="0" w:line="181" w:lineRule="exact"/>
        <w:rPr>
          <w:sz w:val="20"/>
          <w:szCs w:val="20"/>
          <w:color w:val="auto"/>
        </w:rPr>
      </w:pPr>
    </w:p>
    <w:p>
      <w:pPr>
        <w:ind w:left="460" w:right="60"/>
        <w:spacing w:after="0" w:line="302" w:lineRule="auto"/>
        <w:rPr>
          <w:sz w:val="20"/>
          <w:szCs w:val="20"/>
          <w:color w:val="auto"/>
        </w:rPr>
      </w:pPr>
      <w:r>
        <w:rPr>
          <w:rFonts w:ascii="Arial" w:cs="Arial" w:eastAsia="Arial" w:hAnsi="Arial"/>
          <w:sz w:val="16"/>
          <w:szCs w:val="16"/>
          <w:color w:val="auto"/>
        </w:rPr>
        <w:t>maintainable, quality solutions. Includes documenting system requirements, creating application designs, validating high level designs to ensure accuracy and completeness against the business requirements and programming the solutions. Attend project meetings when technical advice is needed and communicate the project design to other architects. May resolve design issues and develop strategies to make ongoing improvements that support system flexibility and performance. Assess the technical feasibility of new technologies to enable integration into existing processes.</w:t>
      </w:r>
    </w:p>
    <w:p>
      <w:pPr>
        <w:spacing w:after="0" w:line="42" w:lineRule="exact"/>
        <w:rPr>
          <w:sz w:val="20"/>
          <w:szCs w:val="20"/>
          <w:color w:val="auto"/>
        </w:rPr>
      </w:pPr>
    </w:p>
    <w:p>
      <w:pPr>
        <w:ind w:left="460" w:right="180"/>
        <w:spacing w:after="0" w:line="290" w:lineRule="auto"/>
        <w:rPr>
          <w:sz w:val="20"/>
          <w:szCs w:val="20"/>
          <w:color w:val="auto"/>
        </w:rPr>
      </w:pPr>
      <w:r>
        <w:rPr>
          <w:rFonts w:ascii="Arial" w:cs="Arial" w:eastAsia="Arial" w:hAnsi="Arial"/>
          <w:sz w:val="16"/>
          <w:szCs w:val="16"/>
          <w:b w:val="1"/>
          <w:bCs w:val="1"/>
          <w:u w:val="single" w:color="auto"/>
          <w:color w:val="auto"/>
        </w:rPr>
        <w:t>Senior Data Base Administrator</w:t>
      </w:r>
      <w:r>
        <w:rPr>
          <w:rFonts w:ascii="Arial" w:cs="Arial" w:eastAsia="Arial" w:hAnsi="Arial"/>
          <w:sz w:val="16"/>
          <w:szCs w:val="16"/>
          <w:color w:val="auto"/>
        </w:rPr>
        <w:t>: Responsible for high level database administration and related tasks on multiple DMBS platforms. Participates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evaluation, selection and implementation of appropriate DBMS based on client requirements. May create logical model and transform logical design into efficient physical databases, performing data normalization/denormalization, and considering volume, capacity and requirements for performance, data conversion, purge/archive and operation viability. Responsible for implementing database architecture strategies. Manage database administration projects that may span across parts of the enterprise and ensure that deliverables are completed on time. Strives to drive overall costs lower for database performance, data conversion, and administration services. Acts as consultant to clients and other IT organizations on database-related issues. Leads efforts to implement standards across the enterprise for ease of support and recovery in relation to database administration (database security, disaster recovery, scripts, and database documentation). Evaluates and deploys new technology to improve database efficiency and recoverability. Performs advanced problem determination and recoveries. Mentors Database Administrators and Associate Analysts.</w:t>
      </w:r>
    </w:p>
    <w:p>
      <w:pPr>
        <w:spacing w:after="0" w:line="52" w:lineRule="exact"/>
        <w:rPr>
          <w:sz w:val="20"/>
          <w:szCs w:val="20"/>
          <w:color w:val="auto"/>
        </w:rPr>
      </w:pPr>
    </w:p>
    <w:p>
      <w:pPr>
        <w:ind w:left="460" w:right="180"/>
        <w:spacing w:after="0" w:line="292" w:lineRule="auto"/>
        <w:rPr>
          <w:sz w:val="20"/>
          <w:szCs w:val="20"/>
          <w:color w:val="auto"/>
        </w:rPr>
      </w:pPr>
      <w:r>
        <w:rPr>
          <w:rFonts w:ascii="Arial" w:cs="Arial" w:eastAsia="Arial" w:hAnsi="Arial"/>
          <w:sz w:val="16"/>
          <w:szCs w:val="16"/>
          <w:b w:val="1"/>
          <w:bCs w:val="1"/>
          <w:u w:val="single" w:color="auto"/>
          <w:color w:val="auto"/>
        </w:rPr>
        <w:t>Database Administrator</w:t>
      </w:r>
      <w:r>
        <w:rPr>
          <w:rFonts w:ascii="Arial" w:cs="Arial" w:eastAsia="Arial" w:hAnsi="Arial"/>
          <w:sz w:val="16"/>
          <w:szCs w:val="16"/>
          <w:color w:val="auto"/>
        </w:rPr>
        <w:t>: Responsible for database administration and related tasks on one or more DMBS platforms. Under the guidance of the Sr.</w:t>
      </w:r>
      <w:r>
        <w:rPr>
          <w:rFonts w:ascii="Arial" w:cs="Arial" w:eastAsia="Arial" w:hAnsi="Arial"/>
          <w:sz w:val="16"/>
          <w:szCs w:val="16"/>
          <w:b w:val="1"/>
          <w:bCs w:val="1"/>
          <w:color w:val="auto"/>
        </w:rPr>
        <w:t xml:space="preserve"> </w:t>
      </w:r>
      <w:r>
        <w:rPr>
          <w:rFonts w:ascii="Arial" w:cs="Arial" w:eastAsia="Arial" w:hAnsi="Arial"/>
          <w:sz w:val="16"/>
          <w:szCs w:val="16"/>
          <w:color w:val="auto"/>
        </w:rPr>
        <w:t>DBA, may create logical model and transform logical design into efficient physical databases, performing data normalization/denormalization, and considering volume, capacity and requirements for performance, data conversion, purge/archive and operation viability. Responsible for meeting assigned deliverables. Responsible for assisting in driving overall costs lower for database performance, data conversion, and administration services. Works with clients and other IT organizations to ensure positive impact. May consult with clients on database admin-related issues and design considerations. Implements standards across the enterprise for ease of support and recovery in relation to database administration (database security, disaster recovery, scripts, and database documentation standards).</w:t>
      </w:r>
    </w:p>
    <w:p>
      <w:pPr>
        <w:spacing w:after="0" w:line="310"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Rates before July 1, 2015</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1"/>
          <w:numId w:val="100"/>
        </w:numPr>
        <w:rPr>
          <w:rFonts w:ascii="Arial" w:cs="Arial" w:eastAsia="Arial" w:hAnsi="Arial"/>
          <w:sz w:val="18"/>
          <w:szCs w:val="18"/>
          <w:b w:val="1"/>
          <w:bCs w:val="1"/>
          <w:color w:val="auto"/>
        </w:rPr>
      </w:pPr>
      <w:r>
        <w:rPr>
          <w:rFonts w:ascii="Arial" w:cs="Arial" w:eastAsia="Arial" w:hAnsi="Arial"/>
          <w:sz w:val="18"/>
          <w:szCs w:val="18"/>
          <w:color w:val="auto"/>
        </w:rPr>
        <w:t>The fixed price for Software Development work [**]</w:t>
      </w:r>
    </w:p>
    <w:p>
      <w:pPr>
        <w:spacing w:after="0" w:line="126" w:lineRule="exact"/>
        <w:rPr>
          <w:rFonts w:ascii="Arial" w:cs="Arial" w:eastAsia="Arial" w:hAnsi="Arial"/>
          <w:sz w:val="18"/>
          <w:szCs w:val="18"/>
          <w:b w:val="1"/>
          <w:bCs w:val="1"/>
          <w:color w:val="auto"/>
        </w:rPr>
      </w:pPr>
    </w:p>
    <w:p>
      <w:pPr>
        <w:ind w:left="900" w:hanging="446"/>
        <w:spacing w:after="0"/>
        <w:tabs>
          <w:tab w:leader="none" w:pos="900"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Mobility Software Development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 with the following exception:</w:t>
      </w:r>
    </w:p>
    <w:p>
      <w:pPr>
        <w:spacing w:after="0" w:line="131" w:lineRule="exact"/>
        <w:rPr>
          <w:sz w:val="20"/>
          <w:szCs w:val="20"/>
          <w:color w:val="auto"/>
        </w:rPr>
      </w:pPr>
    </w:p>
    <w:p>
      <w:pPr>
        <w:ind w:left="1460" w:hanging="547"/>
        <w:spacing w:after="0"/>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02026713.A.036</w:t>
      </w:r>
    </w:p>
    <w:p>
      <w:pPr>
        <w:spacing w:after="0" w:line="154" w:lineRule="exact"/>
        <w:rPr>
          <w:sz w:val="20"/>
          <w:szCs w:val="20"/>
          <w:color w:val="auto"/>
        </w:rPr>
      </w:pPr>
    </w:p>
    <w:p>
      <w:pPr>
        <w:ind w:left="900" w:hanging="446"/>
        <w:spacing w:after="0"/>
        <w:tabs>
          <w:tab w:leader="none" w:pos="90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Support</w:t>
      </w:r>
    </w:p>
    <w:p>
      <w:pPr>
        <w:spacing w:after="0" w:line="121" w:lineRule="exact"/>
        <w:rPr>
          <w:rFonts w:ascii="Arial" w:cs="Arial" w:eastAsia="Arial" w:hAnsi="Arial"/>
          <w:sz w:val="18"/>
          <w:szCs w:val="18"/>
          <w:b w:val="1"/>
          <w:bCs w:val="1"/>
          <w:color w:val="auto"/>
        </w:rPr>
      </w:pPr>
    </w:p>
    <w:p>
      <w:pPr>
        <w:spacing w:after="0"/>
        <w:tabs>
          <w:tab w:leader="none" w:pos="0" w:val="left"/>
        </w:tabs>
        <w:numPr>
          <w:ilvl w:val="2"/>
          <w:numId w:val="102"/>
        </w:numPr>
        <w:rPr>
          <w:rFonts w:ascii="Arial" w:cs="Arial" w:eastAsia="Arial" w:hAnsi="Arial"/>
          <w:sz w:val="18"/>
          <w:szCs w:val="18"/>
          <w:color w:val="auto"/>
        </w:rPr>
      </w:pP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Requirements/Consulting</w:t>
      </w:r>
    </w:p>
    <w:p>
      <w:pPr>
        <w:spacing w:after="0" w:line="121" w:lineRule="exact"/>
        <w:rPr>
          <w:rFonts w:ascii="Arial" w:cs="Arial" w:eastAsia="Arial" w:hAnsi="Arial"/>
          <w:sz w:val="18"/>
          <w:szCs w:val="18"/>
          <w:b w:val="1"/>
          <w:bCs w:val="1"/>
          <w:color w:val="auto"/>
        </w:rPr>
      </w:pPr>
    </w:p>
    <w:p>
      <w:pPr>
        <w:spacing w:after="0"/>
        <w:tabs>
          <w:tab w:leader="none" w:pos="0" w:val="left"/>
        </w:tabs>
        <w:numPr>
          <w:ilvl w:val="2"/>
          <w:numId w:val="102"/>
        </w:numPr>
        <w:rPr>
          <w:rFonts w:ascii="Arial" w:cs="Arial" w:eastAsia="Arial" w:hAnsi="Arial"/>
          <w:sz w:val="18"/>
          <w:szCs w:val="18"/>
          <w:color w:val="auto"/>
        </w:rPr>
      </w:pP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Testing</w:t>
      </w:r>
    </w:p>
    <w:p>
      <w:pPr>
        <w:spacing w:after="0" w:line="121" w:lineRule="exact"/>
        <w:rPr>
          <w:rFonts w:ascii="Arial" w:cs="Arial" w:eastAsia="Arial" w:hAnsi="Arial"/>
          <w:sz w:val="18"/>
          <w:szCs w:val="18"/>
          <w:b w:val="1"/>
          <w:bCs w:val="1"/>
          <w:color w:val="auto"/>
        </w:rPr>
      </w:pPr>
    </w:p>
    <w:p>
      <w:pPr>
        <w:ind w:left="920" w:right="820" w:firstLine="1"/>
        <w:spacing w:after="0" w:line="277" w:lineRule="auto"/>
        <w:tabs>
          <w:tab w:leader="none" w:pos="131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This rate is conditional upon maintaining the current level or volume of testing services provided to AT&amp;T upon signature of this Amendment. [**].</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Rates on and after July 1, 2015</w:t>
      </w:r>
    </w:p>
    <w:p>
      <w:pPr>
        <w:spacing w:after="0" w:line="134" w:lineRule="exact"/>
        <w:rPr>
          <w:rFonts w:ascii="Arial" w:cs="Arial" w:eastAsia="Arial" w:hAnsi="Arial"/>
          <w:sz w:val="18"/>
          <w:szCs w:val="18"/>
          <w:b w:val="1"/>
          <w:bCs w:val="1"/>
          <w:color w:val="auto"/>
        </w:rPr>
      </w:pPr>
    </w:p>
    <w:p>
      <w:pPr>
        <w:ind w:left="900" w:right="120" w:hanging="446"/>
        <w:spacing w:after="0" w:line="264" w:lineRule="auto"/>
        <w:tabs>
          <w:tab w:leader="none" w:pos="900"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All rates defined below are based on a fixed price monthly amount of [**] and are applicable to new Work Orders, additions of scope to existing Work Orders, and extensions of existing Work Orders executed between the Parties against this Master Services Agreement after the Effective Date of the Letter of Agreement No. 20150505.066.C.</w:t>
      </w:r>
    </w:p>
    <w:p>
      <w:pPr>
        <w:spacing w:after="0" w:line="82" w:lineRule="exact"/>
        <w:rPr>
          <w:rFonts w:ascii="Arial" w:cs="Arial" w:eastAsia="Arial" w:hAnsi="Arial"/>
          <w:sz w:val="18"/>
          <w:szCs w:val="18"/>
          <w:b w:val="1"/>
          <w:bCs w:val="1"/>
          <w:color w:val="auto"/>
        </w:rPr>
      </w:pPr>
    </w:p>
    <w:p>
      <w:pPr>
        <w:ind w:left="900" w:hanging="446"/>
        <w:spacing w:after="0"/>
        <w:tabs>
          <w:tab w:leader="none" w:pos="900" w:val="left"/>
        </w:tabs>
        <w:numPr>
          <w:ilvl w:val="1"/>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fixed price for Consulting Services is a blended rate of [**].</w:t>
      </w:r>
    </w:p>
    <w:p>
      <w:pPr>
        <w:spacing w:after="0" w:line="127"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Non-Consulting and Requirements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fixed price for Non-Consulting and Requirements Services is a blended rate of [**].</w:t>
      </w:r>
    </w:p>
    <w:p>
      <w:pPr>
        <w:spacing w:after="0" w:line="127"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Support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fixed price for Production Support Services is a blended rate of [**].</w:t>
      </w:r>
    </w:p>
    <w:p>
      <w:pPr>
        <w:spacing w:after="0" w:line="127"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fixed price for Development Services is a blended rate of [**].</w:t>
      </w:r>
    </w:p>
    <w:p>
      <w:pPr>
        <w:spacing w:after="0" w:line="127"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Testing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fixed price for Testing Services is a blended rate of [**].</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37,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September 30, 2015, unless earlier Terminated or Canceled as provided in this Agreement. The Parties may extend the term of this Agreement by agreement in writing.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Drury</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C. Drury</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Deidre D. Byer</w:t>
            </w:r>
          </w:p>
        </w:tc>
      </w:tr>
      <w:tr>
        <w:trPr>
          <w:trHeight w:val="209"/>
        </w:trPr>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Global Supply Chain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7/29/2015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7/29/2015</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38,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November 30, 2015, unless earlier Terminated or Canceled as provided in this Agreement. The Parties may extend the term of this Agreement by agreement in writing.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Tinis</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Wehde</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Ioannis Tinis</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Steve Wehde</w:t>
            </w:r>
          </w:p>
        </w:tc>
      </w:tr>
      <w:tr>
        <w:trPr>
          <w:trHeight w:val="209"/>
        </w:trPr>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Operations</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Global Supply Chain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9/29/2015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29, 2015</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39,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2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January 31, 2016, unless earlier Terminated or Canceled as provided in this Agreement. The Parties may extend the term of this Agreement by agreement in writing.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Cohen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Wehde</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Todd Cohen</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 Wehde</w:t>
            </w:r>
          </w:p>
        </w:tc>
      </w:tr>
      <w:tr>
        <w:trPr>
          <w:trHeight w:val="209"/>
        </w:trPr>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Global Supply Chain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11-30-2015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30, 2015</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Subsidiaries of Amdocs Limited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Jurisdiction of</w:t>
            </w: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Incorporation or</w:t>
            </w: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8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List of the Subsidiaries*</w:t>
            </w:r>
          </w:p>
        </w:tc>
        <w:tc>
          <w:tcPr>
            <w:tcW w:w="2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Business Name</w:t>
            </w:r>
          </w:p>
        </w:tc>
        <w:tc>
          <w:tcPr>
            <w:tcW w:w="1340" w:type="dxa"/>
            <w:vAlign w:val="bottom"/>
          </w:tcPr>
          <w:p>
            <w:pPr>
              <w:spacing w:after="0"/>
              <w:rPr>
                <w:sz w:val="15"/>
                <w:szCs w:val="15"/>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color w:val="auto"/>
              </w:rPr>
              <w:t>Amdocs Astrum Limited</w:t>
            </w:r>
          </w:p>
        </w:tc>
        <w:tc>
          <w:tcPr>
            <w:tcW w:w="3340" w:type="dxa"/>
            <w:vAlign w:val="bottom"/>
            <w:gridSpan w:val="3"/>
          </w:tcPr>
          <w:p>
            <w:pPr>
              <w:ind w:left="200"/>
              <w:spacing w:after="0" w:line="195" w:lineRule="exact"/>
              <w:rPr>
                <w:sz w:val="20"/>
                <w:szCs w:val="20"/>
                <w:color w:val="auto"/>
              </w:rPr>
            </w:pPr>
            <w:r>
              <w:rPr>
                <w:rFonts w:ascii="Arial" w:cs="Arial" w:eastAsia="Arial" w:hAnsi="Arial"/>
                <w:sz w:val="18"/>
                <w:szCs w:val="18"/>
                <w:color w:val="auto"/>
              </w:rPr>
              <w:t>Ireland</w:t>
            </w:r>
          </w:p>
        </w:tc>
        <w:tc>
          <w:tcPr>
            <w:tcW w:w="2900" w:type="dxa"/>
            <w:vAlign w:val="bottom"/>
            <w:gridSpan w:val="2"/>
          </w:tcPr>
          <w:p>
            <w:pPr>
              <w:ind w:left="620"/>
              <w:spacing w:after="0" w:line="195" w:lineRule="exact"/>
              <w:rPr>
                <w:sz w:val="20"/>
                <w:szCs w:val="20"/>
                <w:color w:val="auto"/>
              </w:rPr>
            </w:pPr>
            <w:r>
              <w:rPr>
                <w:rFonts w:ascii="Arial" w:cs="Arial" w:eastAsia="Arial" w:hAnsi="Arial"/>
                <w:sz w:val="18"/>
                <w:szCs w:val="18"/>
                <w:color w:val="auto"/>
              </w:rPr>
              <w:t>Amdocs Astrum Limited</w:t>
            </w:r>
          </w:p>
        </w:tc>
        <w:tc>
          <w:tcPr>
            <w:tcW w:w="1340" w:type="dxa"/>
            <w:vAlign w:val="bottom"/>
          </w:tcPr>
          <w:p>
            <w:pPr>
              <w:spacing w:after="0"/>
              <w:rPr>
                <w:sz w:val="16"/>
                <w:szCs w:val="16"/>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w w:val="94"/>
              </w:rPr>
              <w:t>Amdocs Development Centre India Private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India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w w:val="89"/>
              </w:rPr>
              <w:t>Amdocs Development Centre India Private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Republic of Cyprus</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Development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Inc.</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State of Delaware, USA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Inc.</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Holdings ULC</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Canada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Holdings ULC</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International GmbH</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Switzerland</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International GmbH</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(Israel)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Israel</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(Israel)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Management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United Kingdom</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Management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Software Solutions Limited Liability</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Software Solutions Limited Liability</w:t>
            </w: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Hungary</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Company</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Software Systems Ltd.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Ireland</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Software Systems Ltd.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(UK)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United Kingdom</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(UK)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European Software Marketing Ltd.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Island of Guernsey, Channel Islands</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European Software Marketing Ltd.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Canadian Managed Services, Inc.</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Canada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Canadian Managed Services, Inc.</w:t>
            </w: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Sypress, Inc.</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State of Delaware, USA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Sypress,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Each subsidiary listed is directly or indirectly wholly-owned by Amdocs Limited.</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Eli Gelman, certify that:</w:t>
      </w:r>
    </w:p>
    <w:p>
      <w:pPr>
        <w:spacing w:after="0" w:line="90"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40" w:firstLine="443"/>
        <w:spacing w:after="0" w:line="332" w:lineRule="auto"/>
        <w:tabs>
          <w:tab w:leader="none" w:pos="11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5" w:lineRule="exact"/>
        <w:rPr>
          <w:rFonts w:ascii="Arial" w:cs="Arial" w:eastAsia="Arial" w:hAnsi="Arial"/>
          <w:sz w:val="16"/>
          <w:szCs w:val="16"/>
          <w:color w:val="auto"/>
        </w:rPr>
      </w:pPr>
    </w:p>
    <w:p>
      <w:pPr>
        <w:ind w:right="300" w:firstLine="464"/>
        <w:spacing w:after="0" w:line="332" w:lineRule="auto"/>
        <w:tabs>
          <w:tab w:leader="none" w:pos="62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2015</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90" w:lineRule="exact"/>
        <w:rPr>
          <w:sz w:val="20"/>
          <w:szCs w:val="20"/>
          <w:color w:val="auto"/>
        </w:rPr>
      </w:pPr>
    </w:p>
    <w:p>
      <w:pPr>
        <w:ind w:left="640" w:hanging="17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40" w:firstLine="443"/>
        <w:spacing w:after="0" w:line="332" w:lineRule="auto"/>
        <w:tabs>
          <w:tab w:leader="none" w:pos="114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5" w:lineRule="exact"/>
        <w:rPr>
          <w:rFonts w:ascii="Arial" w:cs="Arial" w:eastAsia="Arial" w:hAnsi="Arial"/>
          <w:sz w:val="16"/>
          <w:szCs w:val="16"/>
          <w:color w:val="auto"/>
        </w:rPr>
      </w:pPr>
    </w:p>
    <w:p>
      <w:pPr>
        <w:ind w:right="300" w:firstLine="464"/>
        <w:spacing w:after="0" w:line="332" w:lineRule="auto"/>
        <w:tabs>
          <w:tab w:leader="none" w:pos="62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2015</w:t>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2015 as filed with the Securities and Exchange Commission on the date hereof (the “Report”), the undersigned, Eli Gelman, Chief Executive Officer of the Company, hereby certifies, pursuant to 18 U.S.C. Section 1350, that to the best of his knowledge and belief:</w:t>
      </w:r>
    </w:p>
    <w:p>
      <w:pPr>
        <w:spacing w:after="0" w:line="59" w:lineRule="exact"/>
        <w:rPr>
          <w:sz w:val="20"/>
          <w:szCs w:val="20"/>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 Gelman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2015</w:t>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2015 as filed with the Securities and Exchange Commission on the date hereof (the “Report”), the undersigned, Tamar Rapaport-Dagim, Chief Financial Officer of the Company, hereby certifies, pursuant to 18 U.S.C. Section 1350, that to the best of her knowledge and belief:</w:t>
      </w:r>
    </w:p>
    <w:p>
      <w:pPr>
        <w:spacing w:after="0" w:line="59" w:lineRule="exact"/>
        <w:rPr>
          <w:sz w:val="20"/>
          <w:szCs w:val="20"/>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Tamar Rapaport-Dagim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2015</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in the head note to Item 3. Key Information — Selected Financial Data included in this Annual Report (Form 20-F)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Amdocs Limited and to the incorporation by reference in the following Registration Statements:</w:t>
      </w:r>
    </w:p>
    <w:p>
      <w:pPr>
        <w:spacing w:after="0" w:line="8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333-91847</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333-193659</w:t>
      </w:r>
    </w:p>
    <w:p>
      <w:pPr>
        <w:spacing w:after="0" w:line="84"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of our reports dated December 10, 2015, with respect to the consolidated financial statements and schedule of Amdocs Limited and the effectiveness of internal control over financial reporting of Amdocs Limited, included in this Annual Report (Form 20-F) of Amdocs Limited for the year ended September 30,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1)"/>
      <w:numFmt w:val="decimal"/>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lvl w:ilvl="1">
      <w:lvlJc w:val="left"/>
      <w:lvlText w:val="•"/>
      <w:numFmt w:val="bullet"/>
      <w:start w:val="1"/>
    </w:lvl>
  </w:abstractNum>
  <w:abstractNum w:abstractNumId="25">
    <w:nsid w:val="5F5E7FD0"/>
    <w:multiLevelType w:val="hybridMultilevel"/>
    <w:lvl w:ilvl="0">
      <w:lvlJc w:val="left"/>
      <w:lvlText w:val="•"/>
      <w:numFmt w:val="bullet"/>
      <w:start w:val="1"/>
    </w:lvl>
    <w:lvl w:ilvl="1">
      <w:lvlJc w:val="left"/>
      <w:lvlText w:val="•"/>
      <w:numFmt w:val="bullet"/>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1)"/>
      <w:numFmt w:val="decimal"/>
      <w:start w:val="3"/>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1)"/>
      <w:numFmt w:val="lowerRoman"/>
      <w:start w:val="1"/>
    </w:lvl>
  </w:abstractNum>
  <w:abstractNum w:abstractNumId="38">
    <w:nsid w:val="BF72B14"/>
    <w:multiLevelType w:val="hybridMultilevel"/>
    <w:lvl w:ilvl="0">
      <w:lvlJc w:val="left"/>
      <w:lvlText w:val="(%1)"/>
      <w:numFmt w:val="lowerRoman"/>
      <w:start w:val="3"/>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8"/>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lowerRoman"/>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2"/>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1)"/>
      <w:numFmt w:val="decimal"/>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upperLetter"/>
      <w:start w:val="1"/>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1."/>
      <w:numFmt w:val="decimal"/>
      <w:start w:val="8"/>
    </w:lvl>
  </w:abstractNum>
  <w:abstractNum w:abstractNumId="66">
    <w:nsid w:val="2DF6D648"/>
    <w:multiLevelType w:val="hybridMultilevel"/>
    <w:lvl w:ilvl="0">
      <w:lvlJc w:val="left"/>
      <w:lvlText w:val="%1."/>
      <w:numFmt w:val="decimal"/>
      <w:start w:val="13"/>
    </w:lvl>
  </w:abstractNum>
  <w:abstractNum w:abstractNumId="67">
    <w:nsid w:val="46B7D447"/>
    <w:multiLevelType w:val="hybridMultilevel"/>
    <w:lvl w:ilvl="0">
      <w:lvlJc w:val="left"/>
      <w:lvlText w:val="%1."/>
      <w:numFmt w:val="decimal"/>
      <w:start w:val="15"/>
    </w:lvl>
  </w:abstractNum>
  <w:abstractNum w:abstractNumId="68">
    <w:nsid w:val="4A2AC315"/>
    <w:multiLevelType w:val="hybridMultilevel"/>
    <w:lvl w:ilvl="0">
      <w:lvlJc w:val="left"/>
      <w:lvlText w:val="%1."/>
      <w:numFmt w:val="lowerLetter"/>
      <w:start w:val="2"/>
    </w:lvl>
  </w:abstractNum>
  <w:abstractNum w:abstractNumId="69">
    <w:nsid w:val="39EE015C"/>
    <w:multiLevelType w:val="hybridMultilevel"/>
    <w:lvl w:ilvl="0">
      <w:lvlJc w:val="left"/>
      <w:lvlText w:val="%1."/>
      <w:numFmt w:val="decimal"/>
      <w:start w:val="19"/>
    </w:lvl>
  </w:abstractNum>
  <w:abstractNum w:abstractNumId="70">
    <w:nsid w:val="57FC4FBB"/>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71">
    <w:nsid w:val="CC1016F"/>
    <w:multiLevelType w:val="hybridMultilevel"/>
    <w:lvl w:ilvl="0">
      <w:lvlJc w:val="left"/>
      <w:lvlText w:val="%1."/>
      <w:numFmt w:val="decimal"/>
      <w:start w:val="27"/>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2"/>
    </w:lvl>
    <w:lvl w:ilvl="1">
      <w:lvlJc w:val="left"/>
      <w:lvlText w:val="•"/>
      <w:numFmt w:val="bullet"/>
      <w:start w:val="1"/>
    </w:lvl>
  </w:abstractNum>
  <w:abstractNum w:abstractNumId="74">
    <w:nsid w:val="26F324BA"/>
    <w:multiLevelType w:val="hybridMultilevel"/>
    <w:lvl w:ilvl="0">
      <w:lvlJc w:val="left"/>
      <w:lvlText w:val="%1"/>
      <w:numFmt w:val="decimal"/>
      <w:start w:val="1"/>
    </w:lvl>
    <w:lvl w:ilvl="1">
      <w:lvlJc w:val="left"/>
      <w:lvlText w:val="%2."/>
      <w:numFmt w:val="lowerLetter"/>
      <w:start w:val="3"/>
    </w:lvl>
  </w:abstractNum>
  <w:abstractNum w:abstractNumId="75">
    <w:nsid w:val="7F01579B"/>
    <w:multiLevelType w:val="hybridMultilevel"/>
    <w:lvl w:ilvl="0">
      <w:lvlJc w:val="left"/>
      <w:lvlText w:val="%1."/>
      <w:numFmt w:val="decimal"/>
      <w:start w:val="35"/>
    </w:lvl>
    <w:lvl w:ilvl="1">
      <w:lvlJc w:val="left"/>
      <w:lvlText w:val="%2"/>
      <w:numFmt w:val="lowerLetter"/>
      <w:start w:val="1"/>
    </w:lvl>
  </w:abstractNum>
  <w:abstractNum w:abstractNumId="76">
    <w:nsid w:val="49DA307D"/>
    <w:multiLevelType w:val="hybridMultilevel"/>
    <w:lvl w:ilvl="0">
      <w:lvlJc w:val="left"/>
      <w:lvlText w:val="%1."/>
      <w:numFmt w:val="decimal"/>
      <w:start w:val="36"/>
    </w:lvl>
  </w:abstractNum>
  <w:abstractNum w:abstractNumId="77">
    <w:nsid w:val="7055A5F5"/>
    <w:multiLevelType w:val="hybridMultilevel"/>
    <w:lvl w:ilvl="0">
      <w:lvlJc w:val="left"/>
      <w:lvlText w:val="%1."/>
      <w:numFmt w:val="decimal"/>
      <w:start w:val="37"/>
    </w:lvl>
  </w:abstractNum>
  <w:abstractNum w:abstractNumId="78">
    <w:nsid w:val="5FB8370B"/>
    <w:multiLevelType w:val="hybridMultilevel"/>
    <w:lvl w:ilvl="0">
      <w:lvlJc w:val="left"/>
      <w:lvlText w:val="%1."/>
      <w:numFmt w:val="lowerLetter"/>
      <w:start w:val="1"/>
    </w:lvl>
  </w:abstractNum>
  <w:abstractNum w:abstractNumId="79">
    <w:nsid w:val="50801EE1"/>
    <w:multiLevelType w:val="hybridMultilevel"/>
    <w:lvl w:ilvl="0">
      <w:lvlJc w:val="left"/>
      <w:lvlText w:val="%1."/>
      <w:numFmt w:val="decimal"/>
      <w:start w:val="42"/>
    </w:lvl>
  </w:abstractNum>
  <w:abstractNum w:abstractNumId="80">
    <w:nsid w:val="488AC1A"/>
    <w:multiLevelType w:val="hybridMultilevel"/>
    <w:lvl w:ilvl="0">
      <w:lvlJc w:val="left"/>
      <w:lvlText w:val="%1."/>
      <w:numFmt w:val="decimal"/>
      <w:start w:val="43"/>
    </w:lvl>
  </w:abstractNum>
  <w:abstractNum w:abstractNumId="81">
    <w:nsid w:val="5FB8011C"/>
    <w:multiLevelType w:val="hybridMultilevel"/>
    <w:lvl w:ilvl="0">
      <w:lvlJc w:val="left"/>
      <w:lvlText w:val="%1."/>
      <w:numFmt w:val="decimal"/>
      <w:start w:val="45"/>
    </w:lvl>
  </w:abstractNum>
  <w:abstractNum w:abstractNumId="82">
    <w:nsid w:val="6AA78F7F"/>
    <w:multiLevelType w:val="hybridMultilevel"/>
    <w:lvl w:ilvl="0">
      <w:lvlJc w:val="left"/>
      <w:lvlText w:val="%1."/>
      <w:numFmt w:val="decimal"/>
      <w:start w:val="50"/>
    </w:lvl>
    <w:lvl w:ilvl="1">
      <w:lvlJc w:val="left"/>
      <w:lvlText w:val="%2."/>
      <w:numFmt w:val="lowerLetter"/>
      <w:start w:val="1"/>
    </w:lvl>
  </w:abstractNum>
  <w:abstractNum w:abstractNumId="83">
    <w:nsid w:val="7672BD23"/>
    <w:multiLevelType w:val="hybridMultilevel"/>
    <w:lvl w:ilvl="0">
      <w:lvlJc w:val="left"/>
      <w:lvlText w:val="%1."/>
      <w:numFmt w:val="decimal"/>
      <w:start w:val="51"/>
    </w:lvl>
  </w:abstractNum>
  <w:abstractNum w:abstractNumId="84">
    <w:nsid w:val="6FC75AF8"/>
    <w:multiLevelType w:val="hybridMultilevel"/>
    <w:lvl w:ilvl="0">
      <w:lvlJc w:val="left"/>
      <w:lvlText w:val="%1."/>
      <w:numFmt w:val="decimal"/>
      <w:start w:val="52"/>
    </w:lvl>
  </w:abstractNum>
  <w:abstractNum w:abstractNumId="85">
    <w:nsid w:val="6A5F7029"/>
    <w:multiLevelType w:val="hybridMultilevel"/>
    <w:lvl w:ilvl="0">
      <w:lvlJc w:val="left"/>
      <w:lvlText w:val="%1."/>
      <w:numFmt w:val="decimal"/>
      <w:start w:val="53"/>
    </w:lvl>
  </w:abstractNum>
  <w:abstractNum w:abstractNumId="86">
    <w:nsid w:val="7D5E18F8"/>
    <w:multiLevelType w:val="hybridMultilevel"/>
    <w:lvl w:ilvl="0">
      <w:lvlJc w:val="left"/>
      <w:lvlText w:val="%1."/>
      <w:numFmt w:val="decimal"/>
      <w:start w:val="56"/>
    </w:lvl>
    <w:lvl w:ilvl="1">
      <w:lvlJc w:val="left"/>
      <w:lvlText w:val="%2."/>
      <w:numFmt w:val="lowerLetter"/>
      <w:start w:val="2"/>
    </w:lvl>
  </w:abstractNum>
  <w:abstractNum w:abstractNumId="87">
    <w:nsid w:val="5F3534A4"/>
    <w:multiLevelType w:val="hybridMultilevel"/>
    <w:lvl w:ilvl="0">
      <w:lvlJc w:val="left"/>
      <w:lvlText w:val="%1."/>
      <w:numFmt w:val="decimal"/>
      <w:start w:val="57"/>
    </w:lvl>
  </w:abstractNum>
  <w:abstractNum w:abstractNumId="88">
    <w:nsid w:val="73A1821B"/>
    <w:multiLevelType w:val="hybridMultilevel"/>
    <w:lvl w:ilvl="0">
      <w:lvlJc w:val="left"/>
      <w:lvlText w:val="%1."/>
      <w:numFmt w:val="lowerLetter"/>
      <w:start w:val="2"/>
    </w:lvl>
    <w:lvl w:ilvl="1">
      <w:lvlJc w:val="left"/>
      <w:lvlText w:val="%2."/>
      <w:numFmt w:val="lowerRoman"/>
      <w:start w:val="1"/>
    </w:lvl>
  </w:abstractNum>
  <w:abstractNum w:abstractNumId="89">
    <w:nsid w:val="7DE67713"/>
    <w:multiLevelType w:val="hybridMultilevel"/>
    <w:lvl w:ilvl="0">
      <w:lvlJc w:val="left"/>
      <w:lvlText w:val="%1"/>
      <w:numFmt w:val="decimal"/>
      <w:start w:val="1"/>
    </w:lvl>
    <w:lvl w:ilvl="1">
      <w:lvlJc w:val="left"/>
      <w:lvlText w:val="%2."/>
      <w:numFmt w:val="lowerLetter"/>
      <w:start w:val="1"/>
    </w:lvl>
  </w:abstractNum>
  <w:abstractNum w:abstractNumId="90">
    <w:nsid w:val="555C55B5"/>
    <w:multiLevelType w:val="hybridMultilevel"/>
    <w:lvl w:ilvl="0">
      <w:lvlJc w:val="left"/>
      <w:lvlText w:val="%1."/>
      <w:numFmt w:val="decimal"/>
      <w:start w:val="59"/>
    </w:lvl>
    <w:lvl w:ilvl="1">
      <w:lvlJc w:val="left"/>
      <w:lvlText w:val="%2."/>
      <w:numFmt w:val="lowerLetter"/>
      <w:start w:val="1"/>
    </w:lvl>
  </w:abstractNum>
  <w:abstractNum w:abstractNumId="91">
    <w:nsid w:val="3FA62ACA"/>
    <w:multiLevelType w:val="hybridMultilevel"/>
    <w:lvl w:ilvl="0">
      <w:lvlJc w:val="left"/>
      <w:lvlText w:val="%1."/>
      <w:numFmt w:val="decimal"/>
      <w:start w:val="63"/>
    </w:lvl>
    <w:lvl w:ilvl="1">
      <w:lvlJc w:val="left"/>
      <w:lvlText w:val="%2."/>
      <w:numFmt w:val="lowerLetter"/>
      <w:start w:val="1"/>
    </w:lvl>
  </w:abstractNum>
  <w:abstractNum w:abstractNumId="92">
    <w:nsid w:val="14FCE74E"/>
    <w:multiLevelType w:val="hybridMultilevel"/>
    <w:lvl w:ilvl="0">
      <w:lvlJc w:val="left"/>
      <w:lvlText w:val="%1."/>
      <w:numFmt w:val="decimal"/>
      <w:start w:val="68"/>
    </w:lvl>
  </w:abstractNum>
  <w:abstractNum w:abstractNumId="93">
    <w:nsid w:val="6A3DD3E8"/>
    <w:multiLevelType w:val="hybridMultilevel"/>
    <w:lvl w:ilvl="0">
      <w:lvlJc w:val="left"/>
      <w:lvlText w:val="%1."/>
      <w:numFmt w:val="decimal"/>
      <w:start w:val="69"/>
    </w:lvl>
  </w:abstractNum>
  <w:abstractNum w:abstractNumId="94">
    <w:nsid w:val="71C91298"/>
    <w:multiLevelType w:val="hybridMultilevel"/>
    <w:lvl w:ilvl="0">
      <w:lvlJc w:val="left"/>
      <w:lvlText w:val="%1."/>
      <w:numFmt w:val="decimal"/>
      <w:start w:val="70"/>
    </w:lvl>
    <w:lvl w:ilvl="1">
      <w:lvlJc w:val="left"/>
      <w:lvlText w:val="%2."/>
      <w:numFmt w:val="lowerLetter"/>
      <w:start w:val="1"/>
    </w:lvl>
  </w:abstractNum>
  <w:abstractNum w:abstractNumId="95">
    <w:nsid w:val="9DAF632"/>
    <w:multiLevelType w:val="hybridMultilevel"/>
    <w:lvl w:ilvl="0">
      <w:lvlJc w:val="left"/>
      <w:lvlText w:val="%1."/>
      <w:numFmt w:val="decimal"/>
      <w:start w:val="2"/>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1."/>
      <w:numFmt w:val="decimal"/>
      <w:start w:val="1"/>
    </w:lvl>
  </w:abstractNum>
  <w:abstractNum w:abstractNumId="98">
    <w:nsid w:val="5092CA79"/>
    <w:multiLevelType w:val="hybridMultilevel"/>
    <w:lvl w:ilvl="0">
      <w:lvlJc w:val="left"/>
      <w:lvlText w:val="%1."/>
      <w:numFmt w:val="upperLetter"/>
      <w:start w:val="1"/>
    </w:lvl>
  </w:abstractNum>
  <w:abstractNum w:abstractNumId="99">
    <w:nsid w:val="1D545C4D"/>
    <w:multiLevelType w:val="hybridMultilevel"/>
    <w:lvl w:ilvl="0">
      <w:lvlJc w:val="left"/>
      <w:lvlText w:val="%1."/>
      <w:numFmt w:val="upperLetter"/>
      <w:start w:val="2"/>
    </w:lvl>
    <w:lvl w:ilvl="1">
      <w:lvlJc w:val="left"/>
      <w:lvlText w:val="%2."/>
      <w:numFmt w:val="lowerRoman"/>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upperLetter"/>
      <w:start w:val="1"/>
    </w:lvl>
    <w:lvl w:ilvl="1">
      <w:lvlJc w:val="left"/>
      <w:lvlText w:val="%2."/>
      <w:numFmt w:val="lowerRoman"/>
      <w:start w:val="3"/>
    </w:lvl>
    <w:lvl w:ilvl="2">
      <w:lvlJc w:val="left"/>
      <w:lvlText w:val="[**]."/>
      <w:numFmt w:val="bullet"/>
      <w:start w:val="1"/>
    </w:lvl>
  </w:abstractNum>
  <w:abstractNum w:abstractNumId="102">
    <w:nsid w:val="2A155DBC"/>
    <w:multiLevelType w:val="hybridMultilevel"/>
    <w:lvl w:ilvl="0">
      <w:lvlJc w:val="left"/>
      <w:lvlText w:val="%1."/>
      <w:numFmt w:val="upperLetter"/>
      <w:start w:val="3"/>
    </w:lvl>
    <w:lvl w:ilvl="1">
      <w:lvlJc w:val="left"/>
      <w:lvlText w:val="%2."/>
      <w:numFmt w:val="lowerRoman"/>
      <w:start w:val="1"/>
    </w:lvl>
    <w:lvl w:ilvl="2">
      <w:lvlJc w:val="left"/>
      <w:lvlText w:val="[**]."/>
      <w:numFmt w:val="bullet"/>
      <w:start w:val="1"/>
    </w:lvl>
  </w:abstractNum>
  <w:abstractNum w:abstractNumId="103">
    <w:nsid w:val="1D9F6E5F"/>
    <w:multiLevelType w:val="hybridMultilevel"/>
    <w:lvl w:ilvl="0">
      <w:lvlJc w:val="left"/>
      <w:lvlText w:val="%1."/>
      <w:numFmt w:val="lowerRoman"/>
      <w:start w:val="3"/>
    </w:lvl>
  </w:abstractNum>
  <w:abstractNum w:abstractNumId="104">
    <w:nsid w:val="97E1B4E"/>
    <w:multiLevelType w:val="hybridMultilevel"/>
    <w:lvl w:ilvl="0">
      <w:lvlJc w:val="left"/>
      <w:lvlText w:val="%1."/>
      <w:numFmt w:val="lowerRoman"/>
      <w:start w:val="4"/>
    </w:lvl>
  </w:abstractNum>
  <w:abstractNum w:abstractNumId="105">
    <w:nsid w:val="51088277"/>
    <w:multiLevelType w:val="hybridMultilevel"/>
    <w:lvl w:ilvl="0">
      <w:lvlJc w:val="left"/>
      <w:lvlText w:val="%1."/>
      <w:numFmt w:val="lowerRoman"/>
      <w:start w:val="5"/>
    </w:lvl>
  </w:abstractNum>
  <w:abstractNum w:abstractNumId="106">
    <w:nsid w:val="1CA0C5FA"/>
    <w:multiLevelType w:val="hybridMultilevel"/>
    <w:lvl w:ilvl="0">
      <w:lvlJc w:val="left"/>
      <w:lvlText w:val="%1."/>
      <w:numFmt w:val="lowerRoman"/>
      <w:start w:val="6"/>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2019-12-07T04:25:32Z</dcterms:created>
  <dcterms:modified xsi:type="dcterms:W3CDTF">2019-12-07T04:25:32Z</dcterms:modified>
</cp:coreProperties>
</file>