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w:t>
      </w:r>
      <w:r>
        <w:rPr>
          <w:rFonts w:ascii="Times New Roman" w:cs="Times New Roman" w:eastAsia="Times New Roman" w:hAnsi="Times New Roman"/>
          <w:sz w:val="10"/>
          <w:szCs w:val="10"/>
          <w:color w:val="auto"/>
        </w:rPr>
        <w:t>,</w:t>
      </w:r>
      <w:r>
        <w:rPr>
          <w:rFonts w:ascii="Times New Roman" w:cs="Times New Roman" w:eastAsia="Times New Roman" w:hAnsi="Times New Roman"/>
          <w:sz w:val="22"/>
          <w:szCs w:val="22"/>
          <w:b w:val="1"/>
          <w:bCs w:val="1"/>
          <w:color w:val="auto"/>
        </w:rPr>
        <w:t xml:space="preserve">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RULE 13a-16 OR 15d-16 OF</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 Ended June 30, 2025</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1-14840</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AMDOCS LIMITED</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Hirzel House, Smith Street,</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 Peter Port, Island of Guernsey, GY1 2NG</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Amdocs, Inc.</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625 Maryville Centre Drive, Suite 200 Saint Louis, Missouri 63141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39"/>
        <w:spacing w:after="0" w:line="207" w:lineRule="exact"/>
        <w:tabs>
          <w:tab w:leader="none" w:pos="3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pursuant to Rule 12g3-2(b) under the Securities Exchange Act of 1934:</w:t>
      </w:r>
    </w:p>
    <w:p>
      <w:pPr>
        <w:spacing w:after="0" w:line="166" w:lineRule="exact"/>
        <w:rPr>
          <w:sz w:val="24"/>
          <w:szCs w:val="24"/>
          <w:color w:val="auto"/>
        </w:rPr>
      </w:pPr>
    </w:p>
    <w:p>
      <w:pPr>
        <w:jc w:val="center"/>
        <w:ind w:right="-19"/>
        <w:spacing w:after="0" w:line="207" w:lineRule="exact"/>
        <w:tabs>
          <w:tab w:leader="none" w:pos="4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 connection with Rule 12g3-2(b): 82-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1076325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tbl>
      <w:tblPr>
        <w:tblLayout w:type="fixed"/>
        <w:tblInd w:w="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20" w:type="dxa"/>
            <w:vAlign w:val="bottom"/>
            <w:gridSpan w:val="2"/>
          </w:tcPr>
          <w:p>
            <w:pPr>
              <w:jc w:val="center"/>
              <w:ind w:right="2340"/>
              <w:spacing w:after="0"/>
              <w:rPr>
                <w:sz w:val="20"/>
                <w:szCs w:val="20"/>
                <w:color w:val="auto"/>
              </w:rPr>
            </w:pPr>
            <w:r>
              <w:rPr>
                <w:rFonts w:ascii="Times New Roman" w:cs="Times New Roman" w:eastAsia="Times New Roman" w:hAnsi="Times New Roman"/>
                <w:sz w:val="18"/>
                <w:szCs w:val="18"/>
                <w:color w:val="auto"/>
              </w:rPr>
              <w:t>AMDOCS LIMITED</w:t>
            </w:r>
          </w:p>
        </w:tc>
        <w:tc>
          <w:tcPr>
            <w:tcW w:w="190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20" w:type="dxa"/>
            <w:vAlign w:val="bottom"/>
            <w:gridSpan w:val="2"/>
          </w:tcPr>
          <w:p>
            <w:pPr>
              <w:jc w:val="center"/>
              <w:ind w:right="2340"/>
              <w:spacing w:after="0"/>
              <w:rPr>
                <w:sz w:val="20"/>
                <w:szCs w:val="20"/>
                <w:color w:val="auto"/>
              </w:rPr>
            </w:pPr>
            <w:r>
              <w:rPr>
                <w:rFonts w:ascii="Times New Roman" w:cs="Times New Roman" w:eastAsia="Times New Roman" w:hAnsi="Times New Roman"/>
                <w:sz w:val="18"/>
                <w:szCs w:val="18"/>
                <w:color w:val="auto"/>
              </w:rPr>
              <w:t>FORM 6-K</w:t>
            </w:r>
          </w:p>
        </w:tc>
        <w:tc>
          <w:tcPr>
            <w:tcW w:w="1900" w:type="dxa"/>
            <w:vAlign w:val="bottom"/>
          </w:tcPr>
          <w:p>
            <w:pPr>
              <w:spacing w:after="0"/>
              <w:rPr>
                <w:sz w:val="24"/>
                <w:szCs w:val="24"/>
                <w:color w:val="auto"/>
              </w:rPr>
            </w:pPr>
          </w:p>
        </w:tc>
      </w:tr>
      <w:tr>
        <w:trPr>
          <w:trHeight w:val="432"/>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0" w:type="dxa"/>
            <w:vAlign w:val="bottom"/>
            <w:gridSpan w:val="5"/>
          </w:tcPr>
          <w:p>
            <w:pPr>
              <w:jc w:val="center"/>
              <w:ind w:right="1740"/>
              <w:spacing w:after="0"/>
              <w:rPr>
                <w:sz w:val="20"/>
                <w:szCs w:val="20"/>
                <w:color w:val="auto"/>
              </w:rPr>
            </w:pPr>
            <w:r>
              <w:rPr>
                <w:rFonts w:ascii="Times New Roman" w:cs="Times New Roman" w:eastAsia="Times New Roman" w:hAnsi="Times New Roman"/>
                <w:sz w:val="18"/>
                <w:szCs w:val="18"/>
                <w:color w:val="auto"/>
                <w:w w:val="99"/>
              </w:rPr>
              <w:t>REPORT OF FOREIGN PRIVATE ISSUER</w:t>
            </w:r>
          </w:p>
        </w:tc>
        <w:tc>
          <w:tcPr>
            <w:tcW w:w="1900" w:type="dxa"/>
            <w:vAlign w:val="bottom"/>
          </w:tcPr>
          <w:p>
            <w:pPr>
              <w:spacing w:after="0"/>
              <w:rPr>
                <w:sz w:val="24"/>
                <w:szCs w:val="24"/>
                <w:color w:val="auto"/>
              </w:rPr>
            </w:pPr>
          </w:p>
        </w:tc>
      </w:tr>
      <w:tr>
        <w:trPr>
          <w:trHeight w:val="414"/>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0" w:type="dxa"/>
            <w:vAlign w:val="bottom"/>
            <w:gridSpan w:val="5"/>
          </w:tcPr>
          <w:p>
            <w:pPr>
              <w:jc w:val="center"/>
              <w:ind w:right="1740"/>
              <w:spacing w:after="0"/>
              <w:rPr>
                <w:sz w:val="20"/>
                <w:szCs w:val="20"/>
                <w:color w:val="auto"/>
              </w:rPr>
            </w:pPr>
            <w:r>
              <w:rPr>
                <w:rFonts w:ascii="Times New Roman" w:cs="Times New Roman" w:eastAsia="Times New Roman" w:hAnsi="Times New Roman"/>
                <w:sz w:val="18"/>
                <w:szCs w:val="18"/>
                <w:color w:val="auto"/>
              </w:rPr>
              <w:t>FOR THE QUARTER ENDED JUNE 30,</w:t>
            </w:r>
          </w:p>
        </w:tc>
        <w:tc>
          <w:tcPr>
            <w:tcW w:w="1900" w:type="dxa"/>
            <w:vAlign w:val="bottom"/>
          </w:tcPr>
          <w:p>
            <w:pPr>
              <w:spacing w:after="0"/>
              <w:rPr>
                <w:sz w:val="24"/>
                <w:szCs w:val="24"/>
                <w:color w:val="auto"/>
              </w:rPr>
            </w:pPr>
          </w:p>
        </w:tc>
      </w:tr>
      <w:tr>
        <w:trPr>
          <w:trHeight w:val="216"/>
        </w:trPr>
        <w:tc>
          <w:tcPr>
            <w:tcW w:w="6580" w:type="dxa"/>
            <w:vAlign w:val="bottom"/>
            <w:gridSpan w:val="15"/>
          </w:tcPr>
          <w:p>
            <w:pPr>
              <w:jc w:val="center"/>
              <w:ind w:left="4450"/>
              <w:spacing w:after="0"/>
              <w:rPr>
                <w:sz w:val="20"/>
                <w:szCs w:val="20"/>
                <w:color w:val="auto"/>
              </w:rPr>
            </w:pPr>
            <w:r>
              <w:rPr>
                <w:rFonts w:ascii="Times New Roman" w:cs="Times New Roman" w:eastAsia="Times New Roman" w:hAnsi="Times New Roman"/>
                <w:sz w:val="18"/>
                <w:szCs w:val="18"/>
                <w:color w:val="auto"/>
                <w:w w:val="99"/>
              </w:rPr>
              <w:t>2025</w:t>
            </w:r>
          </w:p>
        </w:tc>
        <w:tc>
          <w:tcPr>
            <w:tcW w:w="236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20" w:type="dxa"/>
            <w:vAlign w:val="bottom"/>
            <w:gridSpan w:val="2"/>
          </w:tcPr>
          <w:p>
            <w:pPr>
              <w:jc w:val="center"/>
              <w:ind w:right="2340"/>
              <w:spacing w:after="0"/>
              <w:rPr>
                <w:sz w:val="20"/>
                <w:szCs w:val="20"/>
                <w:color w:val="auto"/>
              </w:rPr>
            </w:pPr>
            <w:r>
              <w:rPr>
                <w:rFonts w:ascii="Times New Roman" w:cs="Times New Roman" w:eastAsia="Times New Roman" w:hAnsi="Times New Roman"/>
                <w:sz w:val="18"/>
                <w:szCs w:val="18"/>
                <w:color w:val="auto"/>
                <w:w w:val="99"/>
              </w:rPr>
              <w:t>INDEX</w:t>
            </w:r>
          </w:p>
        </w:tc>
        <w:tc>
          <w:tcPr>
            <w:tcW w:w="1900" w:type="dxa"/>
            <w:vAlign w:val="bottom"/>
          </w:tcPr>
          <w:p>
            <w:pPr>
              <w:spacing w:after="0"/>
              <w:rPr>
                <w:sz w:val="20"/>
                <w:szCs w:val="20"/>
                <w:color w:val="auto"/>
              </w:rPr>
            </w:pPr>
          </w:p>
        </w:tc>
      </w:tr>
      <w:tr>
        <w:trPr>
          <w:trHeight w:val="392"/>
        </w:trPr>
        <w:tc>
          <w:tcPr>
            <w:tcW w:w="28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PART I FINANCIAL INFORMATION</w:t>
            </w:r>
          </w:p>
        </w:tc>
        <w:tc>
          <w:tcPr>
            <w:tcW w:w="6060" w:type="dxa"/>
            <w:vAlign w:val="bottom"/>
            <w:gridSpan w:val="8"/>
          </w:tcPr>
          <w:p>
            <w:pPr>
              <w:spacing w:after="0"/>
              <w:rPr>
                <w:sz w:val="24"/>
                <w:szCs w:val="24"/>
                <w:color w:val="auto"/>
              </w:rPr>
            </w:pPr>
          </w:p>
        </w:tc>
        <w:tc>
          <w:tcPr>
            <w:tcW w:w="19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180" w:type="dxa"/>
            <w:vAlign w:val="bottom"/>
          </w:tcPr>
          <w:p>
            <w:pPr>
              <w:spacing w:after="0"/>
              <w:rPr>
                <w:sz w:val="17"/>
                <w:szCs w:val="17"/>
                <w:color w:val="auto"/>
              </w:rPr>
            </w:pPr>
          </w:p>
        </w:tc>
        <w:tc>
          <w:tcPr>
            <w:tcW w:w="20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Item 1. Financial Statements</w:t>
            </w:r>
          </w:p>
        </w:tc>
        <w:tc>
          <w:tcPr>
            <w:tcW w:w="6700" w:type="dxa"/>
            <w:vAlign w:val="bottom"/>
            <w:gridSpan w:val="12"/>
          </w:tcPr>
          <w:p>
            <w:pPr>
              <w:spacing w:after="0"/>
              <w:rPr>
                <w:sz w:val="17"/>
                <w:szCs w:val="17"/>
                <w:color w:val="auto"/>
              </w:rPr>
            </w:pPr>
          </w:p>
        </w:tc>
        <w:tc>
          <w:tcPr>
            <w:tcW w:w="1900" w:type="dxa"/>
            <w:vAlign w:val="bottom"/>
          </w:tcPr>
          <w:p>
            <w:pPr>
              <w:ind w:left="1720"/>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18"/>
        </w:trPr>
        <w:tc>
          <w:tcPr>
            <w:tcW w:w="180" w:type="dxa"/>
            <w:vAlign w:val="bottom"/>
          </w:tcPr>
          <w:p>
            <w:pPr>
              <w:spacing w:after="0"/>
              <w:rPr>
                <w:sz w:val="18"/>
                <w:szCs w:val="18"/>
                <w:color w:val="auto"/>
              </w:rPr>
            </w:pPr>
          </w:p>
        </w:tc>
        <w:tc>
          <w:tcPr>
            <w:tcW w:w="8760" w:type="dxa"/>
            <w:vAlign w:val="bottom"/>
            <w:gridSpan w:val="15"/>
          </w:tcPr>
          <w:p>
            <w:pPr>
              <w:ind w:left="200"/>
              <w:spacing w:after="0"/>
              <w:rPr>
                <w:sz w:val="20"/>
                <w:szCs w:val="20"/>
                <w:color w:val="auto"/>
              </w:rPr>
            </w:pPr>
            <w:r>
              <w:rPr>
                <w:rFonts w:ascii="Times New Roman" w:cs="Times New Roman" w:eastAsia="Times New Roman" w:hAnsi="Times New Roman"/>
                <w:sz w:val="18"/>
                <w:szCs w:val="18"/>
                <w:color w:val="auto"/>
              </w:rPr>
              <w:t>Unaudited Consolidated Financial Statements</w:t>
            </w:r>
          </w:p>
        </w:tc>
        <w:tc>
          <w:tcPr>
            <w:tcW w:w="1900" w:type="dxa"/>
            <w:vAlign w:val="bottom"/>
          </w:tcPr>
          <w:p>
            <w:pPr>
              <w:spacing w:after="0"/>
              <w:rPr>
                <w:sz w:val="18"/>
                <w:szCs w:val="18"/>
                <w:color w:val="auto"/>
              </w:rPr>
            </w:pPr>
          </w:p>
        </w:tc>
      </w:tr>
      <w:tr>
        <w:trPr>
          <w:trHeight w:val="194"/>
        </w:trPr>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36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1900" w:type="dxa"/>
            <w:vAlign w:val="bottom"/>
          </w:tcPr>
          <w:p>
            <w:pPr>
              <w:ind w:left="1720"/>
              <w:spacing w:after="0" w:line="194"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3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Income</w:t>
            </w:r>
          </w:p>
        </w:tc>
        <w:tc>
          <w:tcPr>
            <w:tcW w:w="1900" w:type="dxa"/>
            <w:vAlign w:val="bottom"/>
          </w:tcPr>
          <w:p>
            <w:pPr>
              <w:ind w:left="1720"/>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7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4580" w:type="dxa"/>
            <w:vAlign w:val="bottom"/>
            <w:gridSpan w:val="3"/>
          </w:tcPr>
          <w:p>
            <w:pPr>
              <w:spacing w:after="0"/>
              <w:rPr>
                <w:sz w:val="17"/>
                <w:szCs w:val="17"/>
                <w:color w:val="auto"/>
              </w:rPr>
            </w:pPr>
          </w:p>
        </w:tc>
        <w:tc>
          <w:tcPr>
            <w:tcW w:w="1900" w:type="dxa"/>
            <w:vAlign w:val="bottom"/>
          </w:tcPr>
          <w:p>
            <w:pPr>
              <w:ind w:left="1720"/>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6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Changes in Equity</w:t>
            </w:r>
          </w:p>
        </w:tc>
        <w:tc>
          <w:tcPr>
            <w:tcW w:w="5000" w:type="dxa"/>
            <w:vAlign w:val="bottom"/>
            <w:gridSpan w:val="5"/>
          </w:tcPr>
          <w:p>
            <w:pPr>
              <w:spacing w:after="0"/>
              <w:rPr>
                <w:sz w:val="17"/>
                <w:szCs w:val="17"/>
                <w:color w:val="auto"/>
              </w:rPr>
            </w:pPr>
          </w:p>
        </w:tc>
        <w:tc>
          <w:tcPr>
            <w:tcW w:w="1900" w:type="dxa"/>
            <w:vAlign w:val="bottom"/>
          </w:tcPr>
          <w:p>
            <w:pPr>
              <w:ind w:left="1720"/>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3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1900" w:type="dxa"/>
            <w:vAlign w:val="bottom"/>
          </w:tcPr>
          <w:p>
            <w:pPr>
              <w:ind w:left="1720"/>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3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1900" w:type="dxa"/>
            <w:vAlign w:val="bottom"/>
          </w:tcPr>
          <w:p>
            <w:pPr>
              <w:ind w:left="1720"/>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7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Item 2. Operating and Financial Review and Prospects</w:t>
            </w:r>
          </w:p>
        </w:tc>
        <w:tc>
          <w:tcPr>
            <w:tcW w:w="1900" w:type="dxa"/>
            <w:vAlign w:val="bottom"/>
          </w:tcPr>
          <w:p>
            <w:pPr>
              <w:ind w:left="1720"/>
              <w:spacing w:after="0" w:line="196" w:lineRule="exact"/>
              <w:rPr>
                <w:sz w:val="20"/>
                <w:szCs w:val="20"/>
                <w:color w:val="auto"/>
              </w:rPr>
            </w:pPr>
            <w:r>
              <w:rPr>
                <w:rFonts w:ascii="Times New Roman" w:cs="Times New Roman" w:eastAsia="Times New Roman" w:hAnsi="Times New Roman"/>
                <w:sz w:val="18"/>
                <w:szCs w:val="18"/>
                <w:color w:val="auto"/>
                <w:w w:val="88"/>
              </w:rPr>
              <w:t>22</w:t>
            </w:r>
          </w:p>
        </w:tc>
      </w:tr>
      <w:tr>
        <w:trPr>
          <w:trHeight w:val="20"/>
        </w:trPr>
        <w:tc>
          <w:tcPr>
            <w:tcW w:w="18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89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PART II OTHER INFORMATION</w:t>
            </w:r>
          </w:p>
        </w:tc>
        <w:tc>
          <w:tcPr>
            <w:tcW w:w="1900" w:type="dxa"/>
            <w:vAlign w:val="bottom"/>
          </w:tcPr>
          <w:p>
            <w:pPr>
              <w:ind w:left="1720"/>
              <w:spacing w:after="0" w:line="196" w:lineRule="exact"/>
              <w:rPr>
                <w:sz w:val="20"/>
                <w:szCs w:val="20"/>
                <w:color w:val="auto"/>
              </w:rPr>
            </w:pPr>
            <w:r>
              <w:rPr>
                <w:rFonts w:ascii="Times New Roman" w:cs="Times New Roman" w:eastAsia="Times New Roman" w:hAnsi="Times New Roman"/>
                <w:sz w:val="18"/>
                <w:szCs w:val="18"/>
                <w:color w:val="auto"/>
                <w:w w:val="88"/>
              </w:rPr>
              <w:t>32</w:t>
            </w:r>
          </w:p>
        </w:tc>
      </w:tr>
      <w:tr>
        <w:trPr>
          <w:trHeight w:val="20"/>
        </w:trPr>
        <w:tc>
          <w:tcPr>
            <w:tcW w:w="1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20" w:type="dxa"/>
            <w:vAlign w:val="bottom"/>
            <w:gridSpan w:val="9"/>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40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Item 1. Changes in Securities, Use of Proceeds and Issuer Purchases of Equity Securities</w:t>
            </w:r>
          </w:p>
        </w:tc>
        <w:tc>
          <w:tcPr>
            <w:tcW w:w="2360" w:type="dxa"/>
            <w:vAlign w:val="bottom"/>
          </w:tcPr>
          <w:p>
            <w:pPr>
              <w:spacing w:after="0"/>
              <w:rPr>
                <w:sz w:val="17"/>
                <w:szCs w:val="17"/>
                <w:color w:val="auto"/>
              </w:rPr>
            </w:pPr>
          </w:p>
        </w:tc>
        <w:tc>
          <w:tcPr>
            <w:tcW w:w="1900" w:type="dxa"/>
            <w:vAlign w:val="bottom"/>
          </w:tcPr>
          <w:p>
            <w:pPr>
              <w:ind w:left="1720"/>
              <w:spacing w:after="0" w:line="196" w:lineRule="exact"/>
              <w:rPr>
                <w:sz w:val="20"/>
                <w:szCs w:val="20"/>
                <w:color w:val="auto"/>
              </w:rPr>
            </w:pPr>
            <w:r>
              <w:rPr>
                <w:rFonts w:ascii="Times New Roman" w:cs="Times New Roman" w:eastAsia="Times New Roman" w:hAnsi="Times New Roman"/>
                <w:sz w:val="18"/>
                <w:szCs w:val="18"/>
                <w:color w:val="auto"/>
                <w:w w:val="88"/>
              </w:rPr>
              <w:t>32</w:t>
            </w:r>
          </w:p>
        </w:tc>
      </w:tr>
      <w:tr>
        <w:trPr>
          <w:trHeight w:val="196"/>
        </w:trPr>
        <w:tc>
          <w:tcPr>
            <w:tcW w:w="180" w:type="dxa"/>
            <w:vAlign w:val="bottom"/>
          </w:tcPr>
          <w:p>
            <w:pPr>
              <w:spacing w:after="0"/>
              <w:rPr>
                <w:sz w:val="17"/>
                <w:szCs w:val="17"/>
                <w:color w:val="auto"/>
              </w:rPr>
            </w:pPr>
          </w:p>
        </w:tc>
        <w:tc>
          <w:tcPr>
            <w:tcW w:w="210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Item 2. Reports on Form 6-K</w:t>
            </w:r>
          </w:p>
        </w:tc>
        <w:tc>
          <w:tcPr>
            <w:tcW w:w="6660" w:type="dxa"/>
            <w:vAlign w:val="bottom"/>
            <w:gridSpan w:val="11"/>
          </w:tcPr>
          <w:p>
            <w:pPr>
              <w:spacing w:after="0"/>
              <w:rPr>
                <w:sz w:val="17"/>
                <w:szCs w:val="17"/>
                <w:color w:val="auto"/>
              </w:rPr>
            </w:pPr>
          </w:p>
        </w:tc>
        <w:tc>
          <w:tcPr>
            <w:tcW w:w="1900" w:type="dxa"/>
            <w:vAlign w:val="bottom"/>
          </w:tcPr>
          <w:p>
            <w:pPr>
              <w:ind w:left="1720"/>
              <w:spacing w:after="0" w:line="196" w:lineRule="exact"/>
              <w:rPr>
                <w:sz w:val="20"/>
                <w:szCs w:val="20"/>
                <w:color w:val="auto"/>
              </w:rPr>
            </w:pPr>
            <w:r>
              <w:rPr>
                <w:rFonts w:ascii="Times New Roman" w:cs="Times New Roman" w:eastAsia="Times New Roman" w:hAnsi="Times New Roman"/>
                <w:sz w:val="18"/>
                <w:szCs w:val="18"/>
                <w:color w:val="auto"/>
                <w:w w:val="88"/>
              </w:rPr>
              <w:t>32</w:t>
            </w:r>
          </w:p>
        </w:tc>
      </w:tr>
      <w:tr>
        <w:trPr>
          <w:trHeight w:val="196"/>
        </w:trPr>
        <w:tc>
          <w:tcPr>
            <w:tcW w:w="11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SIGNATURES</w:t>
            </w:r>
          </w:p>
        </w:tc>
        <w:tc>
          <w:tcPr>
            <w:tcW w:w="7820" w:type="dxa"/>
            <w:vAlign w:val="bottom"/>
            <w:gridSpan w:val="13"/>
          </w:tcPr>
          <w:p>
            <w:pPr>
              <w:spacing w:after="0"/>
              <w:rPr>
                <w:sz w:val="17"/>
                <w:szCs w:val="17"/>
                <w:color w:val="auto"/>
              </w:rPr>
            </w:pPr>
          </w:p>
        </w:tc>
        <w:tc>
          <w:tcPr>
            <w:tcW w:w="1900" w:type="dxa"/>
            <w:vAlign w:val="bottom"/>
          </w:tcPr>
          <w:p>
            <w:pPr>
              <w:ind w:left="1720"/>
              <w:spacing w:after="0" w:line="196" w:lineRule="exact"/>
              <w:rPr>
                <w:sz w:val="20"/>
                <w:szCs w:val="20"/>
                <w:color w:val="auto"/>
              </w:rPr>
            </w:pPr>
            <w:r>
              <w:rPr>
                <w:rFonts w:ascii="Times New Roman" w:cs="Times New Roman" w:eastAsia="Times New Roman" w:hAnsi="Times New Roman"/>
                <w:sz w:val="18"/>
                <w:szCs w:val="18"/>
                <w:color w:val="auto"/>
                <w:w w:val="88"/>
              </w:rPr>
              <w:t>33</w:t>
            </w: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7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tcPr>
          <w:p>
            <w:pPr>
              <w:jc w:val="right"/>
              <w:ind w:right="271"/>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r>
      <w:tr>
        <w:trPr>
          <w:trHeight w:val="173"/>
        </w:trPr>
        <w:tc>
          <w:tcPr>
            <w:tcW w:w="7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center"/>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267,312</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346,085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interest-bearing investments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168,242</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956,558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1,028,357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228,498</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1,651,845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1,771,182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767,083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755,601</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assets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194,216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149,254</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2,886,655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2,844,908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156,933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160,729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675,496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704,468</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6,332,228</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6,386,142</w:t>
            </w:r>
          </w:p>
        </w:tc>
        <w:tc>
          <w:tcPr>
            <w:tcW w:w="100" w:type="dxa"/>
            <w:vAlign w:val="bottom"/>
            <w:shd w:val="clear" w:color="auto" w:fill="CFF0FC"/>
          </w:tcPr>
          <w:p>
            <w:pPr>
              <w:spacing w:after="0"/>
              <w:rPr>
                <w:sz w:val="18"/>
                <w:szCs w:val="18"/>
                <w:color w:val="auto"/>
              </w:rPr>
            </w:pPr>
          </w:p>
        </w:tc>
      </w:tr>
      <w:tr>
        <w:trPr>
          <w:trHeight w:val="209"/>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407,100</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305,928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627,301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778,939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personnel costs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230,812</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39,772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39,983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115,247</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1,351,152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1,470,909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 and taxes payable</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197,923</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152,118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103,462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net of unamortized debt issuance costs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646,291</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417,145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468,380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2,786,799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2,886,965</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Amdocs Limited Shareholders' equity:</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Shares — Authorized 25,000 shares; £0.01 par value; 0 shares issued</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and outstanding</w:t>
            </w:r>
          </w:p>
        </w:tc>
        <w:tc>
          <w:tcPr>
            <w:tcW w:w="2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Ordinary Shares — Authorized 700,000 shares; £0.01 par value; 290,302 and</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288,485 issued and 109,992 and112,891 outstanding, respectively</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100" w:type="dxa"/>
            <w:vAlign w:val="bottom"/>
          </w:tcPr>
          <w:p>
            <w:pPr>
              <w:spacing w:after="0"/>
              <w:rPr>
                <w:sz w:val="20"/>
                <w:szCs w:val="20"/>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4,543,090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4,413,503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at cost 180,310 and 175,594 ordinary shares, respectively</w:t>
            </w:r>
          </w:p>
        </w:tc>
        <w:tc>
          <w:tcPr>
            <w:tcW w:w="2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(8,199,358)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(7,784,434)</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(4,410)</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7,125,783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6,827,719</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Amdocs Limited Shareholders' equity</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3,503,473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3,456,976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42,201</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3,545,429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3,499,177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6,332,228</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6,386,142</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-3762375</wp:posOffset>
            </wp:positionV>
            <wp:extent cx="68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-3762375</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-2099310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-2099310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-153670</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2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2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6"/>
        </w:trPr>
        <w:tc>
          <w:tcPr>
            <w:tcW w:w="5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4"/>
          </w:tcPr>
          <w:p>
            <w:pPr>
              <w:jc w:val="right"/>
              <w:ind w:right="50"/>
              <w:spacing w:after="0" w:line="146" w:lineRule="exact"/>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3"/>
          </w:tcPr>
          <w:p>
            <w:pPr>
              <w:jc w:val="right"/>
              <w:ind w:right="76"/>
              <w:spacing w:after="0" w:line="146" w:lineRule="exact"/>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89"/>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3"/>
              <w:spacing w:after="0" w:line="189" w:lineRule="exact"/>
              <w:rPr>
                <w:sz w:val="20"/>
                <w:szCs w:val="20"/>
                <w:color w:val="auto"/>
              </w:rPr>
            </w:pPr>
            <w:r>
              <w:rPr>
                <w:rFonts w:ascii="Times New Roman" w:cs="Times New Roman" w:eastAsia="Times New Roman" w:hAnsi="Times New Roman"/>
                <w:sz w:val="14"/>
                <w:szCs w:val="14"/>
                <w:b w:val="1"/>
                <w:bCs w:val="1"/>
                <w:color w:val="auto"/>
              </w:rPr>
              <w:t>2025</w:t>
            </w:r>
            <w:r>
              <w:rPr>
                <w:rFonts w:ascii="Times New Roman" w:cs="Times New Roman" w:eastAsia="Times New Roman" w:hAnsi="Times New Roman"/>
                <w:sz w:val="19"/>
                <w:szCs w:val="19"/>
                <w:b w:val="1"/>
                <w:bCs w:val="1"/>
                <w:color w:val="auto"/>
                <w:vertAlign w:val="superscript"/>
              </w:rPr>
              <w:t>(a)</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40"/>
              <w:spacing w:after="0" w:line="189" w:lineRule="exact"/>
              <w:rPr>
                <w:sz w:val="20"/>
                <w:szCs w:val="20"/>
                <w:color w:val="auto"/>
              </w:rPr>
            </w:pPr>
            <w:r>
              <w:rPr>
                <w:rFonts w:ascii="Times New Roman" w:cs="Times New Roman" w:eastAsia="Times New Roman" w:hAnsi="Times New Roman"/>
                <w:sz w:val="14"/>
                <w:szCs w:val="14"/>
                <w:b w:val="1"/>
                <w:bCs w:val="1"/>
                <w:color w:val="auto"/>
              </w:rPr>
              <w:t>2025</w:t>
            </w:r>
            <w:r>
              <w:rPr>
                <w:rFonts w:ascii="Times New Roman" w:cs="Times New Roman" w:eastAsia="Times New Roman" w:hAnsi="Times New Roman"/>
                <w:sz w:val="19"/>
                <w:szCs w:val="19"/>
                <w:b w:val="1"/>
                <w:bCs w:val="1"/>
                <w:color w:val="auto"/>
                <w:vertAlign w:val="superscript"/>
              </w:rPr>
              <w:t>(a)</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1,144,437</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1,250,059</w:t>
            </w: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3,382,695</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3,741,107</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711,147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809,970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2,091,455</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2,424,710</w:t>
            </w: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90,368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252,980</w:t>
            </w: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270,729</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127,589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144,027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384,301</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434,140</w:t>
            </w: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48,137</w:t>
            </w: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47,719</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14,715</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6,783</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47,875</w:t>
            </w:r>
          </w:p>
        </w:tc>
      </w:tr>
      <w:tr>
        <w:trPr>
          <w:trHeight w:val="20"/>
        </w:trPr>
        <w:tc>
          <w:tcPr>
            <w:tcW w:w="5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941,967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1,074,191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2,783,656</w:t>
            </w: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3,225,173</w:t>
            </w:r>
          </w:p>
        </w:tc>
      </w:tr>
      <w:tr>
        <w:trPr>
          <w:trHeight w:val="20"/>
        </w:trPr>
        <w:tc>
          <w:tcPr>
            <w:tcW w:w="5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202,470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175,868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599,039</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515,934</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(11,705)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(26,579)</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(28,300)</w:t>
            </w:r>
          </w:p>
        </w:tc>
      </w:tr>
      <w:tr>
        <w:trPr>
          <w:trHeight w:val="20"/>
        </w:trPr>
        <w:tc>
          <w:tcPr>
            <w:tcW w:w="5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190,765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168,996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572,460</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487,634</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101,805</w:t>
            </w: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78,489</w:t>
            </w:r>
          </w:p>
        </w:tc>
      </w:tr>
      <w:tr>
        <w:trPr>
          <w:trHeight w:val="20"/>
        </w:trPr>
        <w:tc>
          <w:tcPr>
            <w:tcW w:w="5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154,802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140,998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470,655</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409,145</w:t>
            </w: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5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2,278</w:t>
            </w:r>
          </w:p>
        </w:tc>
        <w:tc>
          <w:tcPr>
            <w:tcW w:w="280" w:type="dxa"/>
            <w:vAlign w:val="bottom"/>
          </w:tcPr>
          <w:p>
            <w:pPr>
              <w:spacing w:after="0"/>
              <w:rPr>
                <w:sz w:val="17"/>
                <w:szCs w:val="17"/>
                <w:color w:val="auto"/>
              </w:rPr>
            </w:pPr>
          </w:p>
        </w:tc>
        <w:tc>
          <w:tcPr>
            <w:tcW w:w="9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2,389</w:t>
            </w:r>
          </w:p>
        </w:tc>
      </w:tr>
      <w:tr>
        <w:trPr>
          <w:trHeight w:val="20"/>
        </w:trPr>
        <w:tc>
          <w:tcPr>
            <w:tcW w:w="5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Amdocs Limited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154,001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140,289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468,377</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406,756</w:t>
            </w: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5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Basic earnings per share attributable to Amdocs Limited</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4.19</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3.50</w:t>
            </w:r>
          </w:p>
        </w:tc>
      </w:tr>
      <w:tr>
        <w:trPr>
          <w:trHeight w:val="20"/>
        </w:trPr>
        <w:tc>
          <w:tcPr>
            <w:tcW w:w="5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earnings per share attributable to Amdocs Limited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4.17</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3.48</w:t>
            </w:r>
          </w:p>
        </w:tc>
      </w:tr>
      <w:tr>
        <w:trPr>
          <w:trHeight w:val="20"/>
        </w:trPr>
        <w:tc>
          <w:tcPr>
            <w:tcW w:w="5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per ordinary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1.533</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1.393</w:t>
            </w:r>
          </w:p>
        </w:tc>
      </w:tr>
      <w:tr>
        <w:trPr>
          <w:trHeight w:val="20"/>
        </w:trPr>
        <w:tc>
          <w:tcPr>
            <w:tcW w:w="5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-2699385</wp:posOffset>
            </wp:positionV>
            <wp:extent cx="33604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042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-1628140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-1628140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-1628140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-1628140</wp:posOffset>
            </wp:positionV>
            <wp:extent cx="77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-770890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-753745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-770890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-753745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-770890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-753745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-770890</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-753745</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-462280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-445135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-462280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-445135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-462280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-445135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-462280</wp:posOffset>
            </wp:positionV>
            <wp:extent cx="77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-445135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-153670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-153670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-153670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ind w:right="160" w:firstLine="51"/>
        <w:spacing w:after="0" w:line="282" w:lineRule="auto"/>
        <w:tabs>
          <w:tab w:leader="none" w:pos="27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first quarter of fiscal year 2025, we phased out several low-margin, non-core business activities, which were included in the three and nine months ended June 30, 2024, for more details see ‘Item 2. Operating and Financial Review and Prospects’</w:t>
      </w:r>
      <w:r>
        <w:rPr>
          <w:rFonts w:ascii="Times New Roman" w:cs="Times New Roman" w:eastAsia="Times New Roman" w:hAnsi="Times New Roman"/>
          <w:sz w:val="21"/>
          <w:szCs w:val="21"/>
          <w:color w:val="auto"/>
        </w:rPr>
        <w: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150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15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5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154,802</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140,998</w:t>
            </w: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470,655</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409,145</w:t>
            </w: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change in fair value of cash flow hedges(1)</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33,644</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(4,907)</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30,248</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35,264</w:t>
            </w:r>
          </w:p>
        </w:tc>
      </w:tr>
      <w:tr>
        <w:trPr>
          <w:trHeight w:val="216"/>
        </w:trPr>
        <w:tc>
          <w:tcPr>
            <w:tcW w:w="5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change in fair value of available-for-sale securities(2)</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3,499</w:t>
            </w: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7,398</w:t>
            </w:r>
          </w:p>
        </w:tc>
      </w:tr>
      <w:tr>
        <w:trPr>
          <w:trHeight w:val="20"/>
        </w:trPr>
        <w:tc>
          <w:tcPr>
            <w:tcW w:w="15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34,333</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(3,220)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33,747</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42,662</w:t>
            </w:r>
          </w:p>
        </w:tc>
      </w:tr>
      <w:tr>
        <w:trPr>
          <w:trHeight w:val="20"/>
        </w:trPr>
        <w:tc>
          <w:tcPr>
            <w:tcW w:w="1500" w:type="dxa"/>
            <w:vAlign w:val="bottom"/>
            <w:shd w:val="clear" w:color="auto" w:fill="CFF0FC"/>
          </w:tcPr>
          <w:p>
            <w:pPr>
              <w:spacing w:after="0" w:line="20" w:lineRule="exact"/>
              <w:rPr>
                <w:sz w:val="1"/>
                <w:szCs w:val="1"/>
                <w:color w:val="auto"/>
              </w:rPr>
            </w:pPr>
          </w:p>
        </w:tc>
        <w:tc>
          <w:tcPr>
            <w:tcW w:w="4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189,135</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504,402</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451,807</w:t>
            </w:r>
          </w:p>
        </w:tc>
      </w:tr>
      <w:tr>
        <w:trPr>
          <w:trHeight w:val="20"/>
        </w:trPr>
        <w:tc>
          <w:tcPr>
            <w:tcW w:w="15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582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801</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709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2,278</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2,389</w:t>
            </w:r>
          </w:p>
        </w:tc>
      </w:tr>
      <w:tr>
        <w:trPr>
          <w:trHeight w:val="20"/>
        </w:trPr>
        <w:tc>
          <w:tcPr>
            <w:tcW w:w="1500" w:type="dxa"/>
            <w:vAlign w:val="bottom"/>
            <w:tcBorders>
              <w:top w:val="single" w:sz="8" w:color="CFF0FC"/>
            </w:tcBorders>
            <w:shd w:val="clear" w:color="auto" w:fill="CFF0FC"/>
          </w:tcPr>
          <w:p>
            <w:pPr>
              <w:spacing w:after="0" w:line="20" w:lineRule="exact"/>
              <w:rPr>
                <w:sz w:val="1"/>
                <w:szCs w:val="1"/>
                <w:color w:val="auto"/>
              </w:rPr>
            </w:pPr>
          </w:p>
        </w:tc>
        <w:tc>
          <w:tcPr>
            <w:tcW w:w="43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000000"/>
          </w:tcPr>
          <w:p>
            <w:pPr>
              <w:spacing w:after="0" w:line="20" w:lineRule="exact"/>
              <w:rPr>
                <w:sz w:val="1"/>
                <w:szCs w:val="1"/>
                <w:color w:val="auto"/>
              </w:rPr>
            </w:pPr>
          </w:p>
        </w:tc>
        <w:tc>
          <w:tcPr>
            <w:tcW w:w="860" w:type="dxa"/>
            <w:vAlign w:val="bottom"/>
            <w:tcBorders>
              <w:top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000000"/>
          </w:tcPr>
          <w:p>
            <w:pPr>
              <w:spacing w:after="0" w:line="20" w:lineRule="exact"/>
              <w:rPr>
                <w:sz w:val="1"/>
                <w:szCs w:val="1"/>
                <w:color w:val="auto"/>
              </w:rPr>
            </w:pPr>
          </w:p>
        </w:tc>
        <w:tc>
          <w:tcPr>
            <w:tcW w:w="860" w:type="dxa"/>
            <w:vAlign w:val="bottom"/>
            <w:tcBorders>
              <w:top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58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Comprehensive income attributable to Amdocs Limited</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188,334</w:t>
            </w:r>
          </w:p>
        </w:tc>
        <w:tc>
          <w:tcPr>
            <w:tcW w:w="240" w:type="dxa"/>
            <w:vAlign w:val="bottom"/>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137,069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502,124</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449,418</w:t>
            </w:r>
          </w:p>
        </w:tc>
      </w:tr>
      <w:tr>
        <w:trPr>
          <w:trHeight w:val="20"/>
        </w:trPr>
        <w:tc>
          <w:tcPr>
            <w:tcW w:w="15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1500" w:type="dxa"/>
            <w:vAlign w:val="bottom"/>
            <w:tcBorders>
              <w:bottom w:val="single" w:sz="8" w:color="auto"/>
            </w:tcBorders>
          </w:tcPr>
          <w:p>
            <w:pPr>
              <w:spacing w:after="0"/>
              <w:rPr>
                <w:sz w:val="10"/>
                <w:szCs w:val="10"/>
                <w:color w:val="auto"/>
              </w:rPr>
            </w:pPr>
          </w:p>
        </w:tc>
        <w:tc>
          <w:tcPr>
            <w:tcW w:w="4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-591185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-591185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-591185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-591185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-282575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-264795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-264795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-282575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-264795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-264795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 w:lineRule="exact"/>
        <w:rPr>
          <w:sz w:val="20"/>
          <w:szCs w:val="20"/>
          <w:color w:val="auto"/>
        </w:rPr>
      </w:pPr>
    </w:p>
    <w:p>
      <w:pPr>
        <w:ind w:left="380" w:hanging="372"/>
        <w:spacing w:after="0" w:line="261" w:lineRule="auto"/>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tax of $2,485 and $622 for the three months ended June 30, 2025 and 2024, respectively, and of $2,295 and $1,844 for the nine months ended June 30, 2025 and 2024, respectively.</w:t>
      </w: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tax impact for the three and nine months ended June 30, 2025 and 2024.</w:t>
      </w:r>
    </w:p>
    <w:p>
      <w:pPr>
        <w:spacing w:after="0" w:line="1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280" w:type="dxa"/>
            <w:vAlign w:val="bottom"/>
          </w:tcPr>
          <w:p>
            <w:pPr>
              <w:spacing w:after="0"/>
              <w:rPr>
                <w:sz w:val="11"/>
                <w:szCs w:val="11"/>
                <w:color w:val="auto"/>
              </w:rPr>
            </w:pPr>
          </w:p>
        </w:tc>
        <w:tc>
          <w:tcPr>
            <w:tcW w:w="1580" w:type="dxa"/>
            <w:vAlign w:val="bottom"/>
            <w:tcBorders>
              <w:bottom w:val="single" w:sz="8" w:color="auto"/>
            </w:tcBorders>
            <w:gridSpan w:val="5"/>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4"/>
              </w:rPr>
              <w:t>Amdocs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ve</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Limited</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rPr>
              <w:t>Non-</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Treasury</w:t>
            </w:r>
          </w:p>
        </w:tc>
        <w:tc>
          <w:tcPr>
            <w:tcW w:w="90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Income (Loss)</w:t>
            </w:r>
          </w:p>
        </w:tc>
        <w:tc>
          <w:tcPr>
            <w:tcW w:w="80" w:type="dxa"/>
            <w:vAlign w:val="bottom"/>
          </w:tcPr>
          <w:p>
            <w:pPr>
              <w:spacing w:after="0"/>
              <w:rPr>
                <w:sz w:val="10"/>
                <w:szCs w:val="10"/>
                <w:color w:val="auto"/>
              </w:rPr>
            </w:pPr>
          </w:p>
        </w:tc>
        <w:tc>
          <w:tcPr>
            <w:tcW w:w="760" w:type="dxa"/>
            <w:vAlign w:val="bottom"/>
            <w:gridSpan w:val="2"/>
          </w:tcPr>
          <w:p>
            <w:pPr>
              <w:jc w:val="right"/>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4"/>
              </w:rPr>
              <w:t>Retained</w:t>
            </w:r>
          </w:p>
        </w:tc>
        <w:tc>
          <w:tcPr>
            <w:tcW w:w="7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Shareholders’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controlling</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7"/>
        </w:trPr>
        <w:tc>
          <w:tcPr>
            <w:tcW w:w="3280" w:type="dxa"/>
            <w:vAlign w:val="bottom"/>
          </w:tcPr>
          <w:p>
            <w:pPr>
              <w:spacing w:after="0"/>
              <w:rPr>
                <w:sz w:val="11"/>
                <w:szCs w:val="11"/>
                <w:color w:val="auto"/>
              </w:rPr>
            </w:pPr>
          </w:p>
        </w:tc>
        <w:tc>
          <w:tcPr>
            <w:tcW w:w="6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3"/>
              </w:rPr>
              <w:t>(1)</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Interests (2)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28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March 31,2025</w:t>
            </w:r>
          </w:p>
        </w:tc>
        <w:tc>
          <w:tcPr>
            <w:tcW w:w="6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111,219</w:t>
            </w:r>
          </w:p>
        </w:tc>
        <w:tc>
          <w:tcPr>
            <w:tcW w:w="140" w:type="dxa"/>
            <w:vAlign w:val="bottom"/>
            <w:shd w:val="clear" w:color="auto" w:fill="CFF0FC"/>
          </w:tcPr>
          <w:p>
            <w:pPr>
              <w:spacing w:after="0"/>
              <w:rPr>
                <w:sz w:val="10"/>
                <w:szCs w:val="10"/>
                <w:color w:val="auto"/>
              </w:rPr>
            </w:pPr>
          </w:p>
        </w:tc>
        <w:tc>
          <w:tcPr>
            <w:tcW w:w="2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4,617</w:t>
            </w:r>
          </w:p>
        </w:tc>
        <w:tc>
          <w:tcPr>
            <w:tcW w:w="3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4,495,539</w:t>
            </w:r>
          </w:p>
        </w:tc>
        <w:tc>
          <w:tcPr>
            <w:tcW w:w="360" w:type="dxa"/>
            <w:vAlign w:val="bottom"/>
            <w:gridSpan w:val="2"/>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(8,064,154)</w:t>
            </w: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(4,996)</w:t>
            </w: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7,029,751</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3,460,757</w:t>
            </w:r>
          </w:p>
        </w:tc>
        <w:tc>
          <w:tcPr>
            <w:tcW w:w="120" w:type="dxa"/>
            <w:vAlign w:val="bottom"/>
            <w:shd w:val="clear" w:color="auto" w:fill="CFF0FC"/>
          </w:tcPr>
          <w:p>
            <w:pPr>
              <w:spacing w:after="0"/>
              <w:rPr>
                <w:sz w:val="10"/>
                <w:szCs w:val="10"/>
                <w:color w:val="auto"/>
              </w:rPr>
            </w:pPr>
          </w:p>
        </w:tc>
        <w:tc>
          <w:tcPr>
            <w:tcW w:w="14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41,469</w:t>
            </w:r>
          </w:p>
        </w:tc>
        <w:tc>
          <w:tcPr>
            <w:tcW w:w="120" w:type="dxa"/>
            <w:vAlign w:val="bottom"/>
            <w:shd w:val="clear" w:color="auto" w:fill="CFF0FC"/>
          </w:tcPr>
          <w:p>
            <w:pPr>
              <w:spacing w:after="0"/>
              <w:rPr>
                <w:sz w:val="10"/>
                <w:szCs w:val="10"/>
                <w:color w:val="auto"/>
              </w:rPr>
            </w:pPr>
          </w:p>
        </w:tc>
        <w:tc>
          <w:tcPr>
            <w:tcW w:w="220" w:type="dxa"/>
            <w:vAlign w:val="bottom"/>
            <w:gridSpan w:val="2"/>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3,502,226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Comprehensive income:</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80" w:type="dxa"/>
            <w:vAlign w:val="bottom"/>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8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154,001</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154,001</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801</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154,802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Other comprehensive income</w:t>
            </w:r>
          </w:p>
        </w:tc>
        <w:tc>
          <w:tcPr>
            <w:tcW w:w="8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34,333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34,333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34,333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280" w:type="dxa"/>
            <w:vAlign w:val="bottom"/>
            <w:shd w:val="clear" w:color="auto" w:fill="CFF0FC"/>
          </w:tcPr>
          <w:p>
            <w:pPr>
              <w:ind w:left="100"/>
              <w:spacing w:after="0" w:line="115" w:lineRule="exact"/>
              <w:rPr>
                <w:sz w:val="20"/>
                <w:szCs w:val="20"/>
                <w:color w:val="auto"/>
              </w:rPr>
            </w:pPr>
            <w:r>
              <w:rPr>
                <w:rFonts w:ascii="Times New Roman" w:cs="Times New Roman" w:eastAsia="Times New Roman" w:hAnsi="Times New Roman"/>
                <w:sz w:val="11"/>
                <w:szCs w:val="11"/>
                <w:color w:val="auto"/>
              </w:rPr>
              <w:t>Comprehensive income</w:t>
            </w:r>
          </w:p>
        </w:tc>
        <w:tc>
          <w:tcPr>
            <w:tcW w:w="820" w:type="dxa"/>
            <w:vAlign w:val="bottom"/>
            <w:gridSpan w:val="2"/>
            <w:shd w:val="clear" w:color="auto" w:fill="CFF0FC"/>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2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188,334</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801</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189,135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Employee stock options exercised</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74</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4,733</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4,734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4,734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Repurchase of shares</w:t>
            </w:r>
          </w:p>
        </w:tc>
        <w:tc>
          <w:tcPr>
            <w:tcW w:w="820" w:type="dxa"/>
            <w:vAlign w:val="bottom"/>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(1,517)</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(135,204)</w:t>
            </w:r>
          </w:p>
        </w:tc>
        <w:tc>
          <w:tcPr>
            <w:tcW w:w="10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(135,204)</w:t>
            </w: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(135,204)</w:t>
            </w:r>
          </w:p>
        </w:tc>
        <w:tc>
          <w:tcPr>
            <w:tcW w:w="0" w:type="dxa"/>
            <w:vAlign w:val="bottom"/>
          </w:tcPr>
          <w:p>
            <w:pPr>
              <w:spacing w:after="0"/>
              <w:rPr>
                <w:sz w:val="1"/>
                <w:szCs w:val="1"/>
                <w:color w:val="auto"/>
              </w:rPr>
            </w:pPr>
          </w:p>
        </w:tc>
      </w:tr>
      <w:tr>
        <w:trPr>
          <w:trHeight w:val="121"/>
        </w:trPr>
        <w:tc>
          <w:tcPr>
            <w:tcW w:w="32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Cash dividends declared ($0.527 per ordinary share)</w:t>
            </w:r>
          </w:p>
        </w:tc>
        <w:tc>
          <w:tcPr>
            <w:tcW w:w="8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6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(57,969)</w:t>
            </w:r>
          </w:p>
        </w:tc>
        <w:tc>
          <w:tcPr>
            <w:tcW w:w="10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(57,969)</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(57,969)</w:t>
            </w:r>
          </w:p>
        </w:tc>
        <w:tc>
          <w:tcPr>
            <w:tcW w:w="0" w:type="dxa"/>
            <w:vAlign w:val="bottom"/>
          </w:tcPr>
          <w:p>
            <w:pPr>
              <w:spacing w:after="0"/>
              <w:rPr>
                <w:sz w:val="1"/>
                <w:szCs w:val="1"/>
                <w:color w:val="auto"/>
              </w:rPr>
            </w:pPr>
          </w:p>
        </w:tc>
      </w:tr>
      <w:tr>
        <w:trPr>
          <w:trHeight w:val="122"/>
        </w:trPr>
        <w:tc>
          <w:tcPr>
            <w:tcW w:w="32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Issuance of restricted stock, net of forfeitures</w:t>
            </w:r>
          </w:p>
        </w:tc>
        <w:tc>
          <w:tcPr>
            <w:tcW w:w="820" w:type="dxa"/>
            <w:vAlign w:val="bottom"/>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2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Employee share purchase plan</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228</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16,857</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16,860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16,860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Equity-based compensation expense related to employees</w:t>
            </w:r>
          </w:p>
        </w:tc>
        <w:tc>
          <w:tcPr>
            <w:tcW w:w="8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25,961</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25,961</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25,961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Distribution to noncontrolling interests (2)</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(314)</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(314)</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28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June 30,2025</w:t>
            </w:r>
          </w:p>
        </w:tc>
        <w:tc>
          <w:tcPr>
            <w:tcW w:w="6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109,992</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4,621</w:t>
            </w:r>
          </w:p>
        </w:tc>
        <w:tc>
          <w:tcPr>
            <w:tcW w:w="3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4,543,090</w:t>
            </w:r>
          </w:p>
        </w:tc>
        <w:tc>
          <w:tcPr>
            <w:tcW w:w="360" w:type="dxa"/>
            <w:vAlign w:val="bottom"/>
            <w:gridSpan w:val="2"/>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(8,199,358)</w:t>
            </w: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29,337</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7,125,783</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3,503,473</w:t>
            </w:r>
          </w:p>
        </w:tc>
        <w:tc>
          <w:tcPr>
            <w:tcW w:w="120" w:type="dxa"/>
            <w:vAlign w:val="bottom"/>
            <w:shd w:val="clear" w:color="auto" w:fill="CFF0FC"/>
          </w:tcPr>
          <w:p>
            <w:pPr>
              <w:spacing w:after="0"/>
              <w:rPr>
                <w:sz w:val="11"/>
                <w:szCs w:val="11"/>
                <w:color w:val="auto"/>
              </w:rPr>
            </w:pPr>
          </w:p>
        </w:tc>
        <w:tc>
          <w:tcPr>
            <w:tcW w:w="14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41,956</w:t>
            </w:r>
          </w:p>
        </w:tc>
        <w:tc>
          <w:tcPr>
            <w:tcW w:w="120" w:type="dxa"/>
            <w:vAlign w:val="bottom"/>
            <w:shd w:val="clear" w:color="auto" w:fill="CFF0FC"/>
          </w:tcPr>
          <w:p>
            <w:pPr>
              <w:spacing w:after="0"/>
              <w:rPr>
                <w:sz w:val="11"/>
                <w:szCs w:val="11"/>
                <w:color w:val="auto"/>
              </w:rPr>
            </w:pPr>
          </w:p>
        </w:tc>
        <w:tc>
          <w:tcPr>
            <w:tcW w:w="220" w:type="dxa"/>
            <w:vAlign w:val="bottom"/>
            <w:gridSpan w:val="2"/>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3,545,429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tcPr>
          <w:p>
            <w:pPr>
              <w:spacing w:after="0"/>
              <w:rPr>
                <w:sz w:val="19"/>
                <w:szCs w:val="19"/>
                <w:color w:val="auto"/>
              </w:rPr>
            </w:pPr>
          </w:p>
        </w:tc>
        <w:tc>
          <w:tcPr>
            <w:tcW w:w="1580" w:type="dxa"/>
            <w:vAlign w:val="bottom"/>
            <w:tcBorders>
              <w:bottom w:val="single" w:sz="8" w:color="auto"/>
            </w:tcBorders>
            <w:gridSpan w:val="5"/>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3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4"/>
              </w:rPr>
              <w:t>Amdocs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Limited</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rPr>
              <w:t>Non-</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Treasury</w:t>
            </w:r>
          </w:p>
        </w:tc>
        <w:tc>
          <w:tcPr>
            <w:tcW w:w="100" w:type="dxa"/>
            <w:vAlign w:val="bottom"/>
          </w:tcPr>
          <w:p>
            <w:pPr>
              <w:spacing w:after="0"/>
              <w:rPr>
                <w:sz w:val="10"/>
                <w:szCs w:val="10"/>
                <w:color w:val="auto"/>
              </w:rPr>
            </w:pPr>
          </w:p>
        </w:tc>
        <w:tc>
          <w:tcPr>
            <w:tcW w:w="80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ve</w:t>
            </w:r>
          </w:p>
        </w:tc>
        <w:tc>
          <w:tcPr>
            <w:tcW w:w="80" w:type="dxa"/>
            <w:vAlign w:val="bottom"/>
          </w:tcPr>
          <w:p>
            <w:pPr>
              <w:spacing w:after="0"/>
              <w:rPr>
                <w:sz w:val="10"/>
                <w:szCs w:val="10"/>
                <w:color w:val="auto"/>
              </w:rPr>
            </w:pPr>
          </w:p>
        </w:tc>
        <w:tc>
          <w:tcPr>
            <w:tcW w:w="760" w:type="dxa"/>
            <w:vAlign w:val="bottom"/>
            <w:gridSpan w:val="2"/>
          </w:tcPr>
          <w:p>
            <w:pPr>
              <w:jc w:val="right"/>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4"/>
              </w:rPr>
              <w:t>Retained</w:t>
            </w:r>
          </w:p>
        </w:tc>
        <w:tc>
          <w:tcPr>
            <w:tcW w:w="7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Shareholders’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controlling</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7"/>
        </w:trPr>
        <w:tc>
          <w:tcPr>
            <w:tcW w:w="3280" w:type="dxa"/>
            <w:vAlign w:val="bottom"/>
          </w:tcPr>
          <w:p>
            <w:pPr>
              <w:spacing w:after="0"/>
              <w:rPr>
                <w:sz w:val="11"/>
                <w:szCs w:val="11"/>
                <w:color w:val="auto"/>
              </w:rPr>
            </w:pPr>
          </w:p>
        </w:tc>
        <w:tc>
          <w:tcPr>
            <w:tcW w:w="6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Loss (1)</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Interests (2)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28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March 31,2024</w:t>
            </w:r>
          </w:p>
        </w:tc>
        <w:tc>
          <w:tcPr>
            <w:tcW w:w="6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115,917</w:t>
            </w:r>
          </w:p>
        </w:tc>
        <w:tc>
          <w:tcPr>
            <w:tcW w:w="140" w:type="dxa"/>
            <w:vAlign w:val="bottom"/>
            <w:shd w:val="clear" w:color="auto" w:fill="CFF0FC"/>
          </w:tcPr>
          <w:p>
            <w:pPr>
              <w:spacing w:after="0"/>
              <w:rPr>
                <w:sz w:val="10"/>
                <w:szCs w:val="10"/>
                <w:color w:val="auto"/>
              </w:rPr>
            </w:pPr>
          </w:p>
        </w:tc>
        <w:tc>
          <w:tcPr>
            <w:tcW w:w="2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4,593</w:t>
            </w:r>
          </w:p>
        </w:tc>
        <w:tc>
          <w:tcPr>
            <w:tcW w:w="30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4,332,690</w:t>
            </w:r>
          </w:p>
        </w:tc>
        <w:tc>
          <w:tcPr>
            <w:tcW w:w="360" w:type="dxa"/>
            <w:vAlign w:val="bottom"/>
            <w:gridSpan w:val="2"/>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(7,495,254)</w:t>
            </w: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(7,390)</w:t>
            </w: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6,709,773</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3,544,412</w:t>
            </w:r>
          </w:p>
        </w:tc>
        <w:tc>
          <w:tcPr>
            <w:tcW w:w="120" w:type="dxa"/>
            <w:vAlign w:val="bottom"/>
            <w:shd w:val="clear" w:color="auto" w:fill="CFF0FC"/>
          </w:tcPr>
          <w:p>
            <w:pPr>
              <w:spacing w:after="0"/>
              <w:rPr>
                <w:sz w:val="10"/>
                <w:szCs w:val="10"/>
                <w:color w:val="auto"/>
              </w:rPr>
            </w:pPr>
          </w:p>
        </w:tc>
        <w:tc>
          <w:tcPr>
            <w:tcW w:w="14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43,109</w:t>
            </w:r>
          </w:p>
        </w:tc>
        <w:tc>
          <w:tcPr>
            <w:tcW w:w="120" w:type="dxa"/>
            <w:vAlign w:val="bottom"/>
            <w:shd w:val="clear" w:color="auto" w:fill="CFF0FC"/>
          </w:tcPr>
          <w:p>
            <w:pPr>
              <w:spacing w:after="0"/>
              <w:rPr>
                <w:sz w:val="10"/>
                <w:szCs w:val="10"/>
                <w:color w:val="auto"/>
              </w:rPr>
            </w:pPr>
          </w:p>
        </w:tc>
        <w:tc>
          <w:tcPr>
            <w:tcW w:w="220" w:type="dxa"/>
            <w:vAlign w:val="bottom"/>
            <w:gridSpan w:val="2"/>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3,587,521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Comprehensive income:</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8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140,289</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140,289</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709</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140,998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8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Other comprehensive loss</w:t>
            </w:r>
          </w:p>
        </w:tc>
        <w:tc>
          <w:tcPr>
            <w:tcW w:w="8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(3,220)</w:t>
            </w:r>
          </w:p>
        </w:tc>
        <w:tc>
          <w:tcPr>
            <w:tcW w:w="80" w:type="dxa"/>
            <w:vAlign w:val="bottom"/>
          </w:tcPr>
          <w:p>
            <w:pPr>
              <w:spacing w:after="0"/>
              <w:rPr>
                <w:sz w:val="10"/>
                <w:szCs w:val="10"/>
                <w:color w:val="auto"/>
              </w:rPr>
            </w:pPr>
          </w:p>
        </w:tc>
        <w:tc>
          <w:tcPr>
            <w:tcW w:w="7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(3,220)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(3,220)</w:t>
            </w:r>
          </w:p>
        </w:tc>
        <w:tc>
          <w:tcPr>
            <w:tcW w:w="0" w:type="dxa"/>
            <w:vAlign w:val="bottom"/>
          </w:tcPr>
          <w:p>
            <w:pPr>
              <w:spacing w:after="0"/>
              <w:rPr>
                <w:sz w:val="1"/>
                <w:szCs w:val="1"/>
                <w:color w:val="auto"/>
              </w:rPr>
            </w:pPr>
          </w:p>
        </w:tc>
      </w:tr>
      <w:tr>
        <w:trPr>
          <w:trHeight w:val="115"/>
        </w:trPr>
        <w:tc>
          <w:tcPr>
            <w:tcW w:w="3280" w:type="dxa"/>
            <w:vAlign w:val="bottom"/>
            <w:shd w:val="clear" w:color="auto" w:fill="CFF0FC"/>
          </w:tcPr>
          <w:p>
            <w:pPr>
              <w:ind w:left="100"/>
              <w:spacing w:after="0" w:line="115" w:lineRule="exact"/>
              <w:rPr>
                <w:sz w:val="20"/>
                <w:szCs w:val="20"/>
                <w:color w:val="auto"/>
              </w:rPr>
            </w:pPr>
            <w:r>
              <w:rPr>
                <w:rFonts w:ascii="Times New Roman" w:cs="Times New Roman" w:eastAsia="Times New Roman" w:hAnsi="Times New Roman"/>
                <w:sz w:val="11"/>
                <w:szCs w:val="11"/>
                <w:color w:val="auto"/>
              </w:rPr>
              <w:t>Comprehensive income</w:t>
            </w:r>
          </w:p>
        </w:tc>
        <w:tc>
          <w:tcPr>
            <w:tcW w:w="820" w:type="dxa"/>
            <w:vAlign w:val="bottom"/>
            <w:gridSpan w:val="2"/>
            <w:shd w:val="clear" w:color="auto" w:fill="CFF0FC"/>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2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137,069</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709</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137,778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Employee stock options exercised</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3,131</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3,132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3,132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Repurchase of shares</w:t>
            </w:r>
          </w:p>
        </w:tc>
        <w:tc>
          <w:tcPr>
            <w:tcW w:w="820" w:type="dxa"/>
            <w:vAlign w:val="bottom"/>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(2,053)</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(169,375)</w:t>
            </w:r>
          </w:p>
        </w:tc>
        <w:tc>
          <w:tcPr>
            <w:tcW w:w="10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(169,375)</w:t>
            </w: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(169,375)</w:t>
            </w:r>
          </w:p>
        </w:tc>
        <w:tc>
          <w:tcPr>
            <w:tcW w:w="0" w:type="dxa"/>
            <w:vAlign w:val="bottom"/>
          </w:tcPr>
          <w:p>
            <w:pPr>
              <w:spacing w:after="0"/>
              <w:rPr>
                <w:sz w:val="1"/>
                <w:szCs w:val="1"/>
                <w:color w:val="auto"/>
              </w:rPr>
            </w:pPr>
          </w:p>
        </w:tc>
      </w:tr>
      <w:tr>
        <w:trPr>
          <w:trHeight w:val="122"/>
        </w:trPr>
        <w:tc>
          <w:tcPr>
            <w:tcW w:w="32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Cash dividends declared ($0.479 per ordinary share)</w:t>
            </w:r>
          </w:p>
        </w:tc>
        <w:tc>
          <w:tcPr>
            <w:tcW w:w="8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6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(54,703)</w:t>
            </w:r>
          </w:p>
        </w:tc>
        <w:tc>
          <w:tcPr>
            <w:tcW w:w="10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(54,703)</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(54,703)</w:t>
            </w:r>
          </w:p>
        </w:tc>
        <w:tc>
          <w:tcPr>
            <w:tcW w:w="0" w:type="dxa"/>
            <w:vAlign w:val="bottom"/>
          </w:tcPr>
          <w:p>
            <w:pPr>
              <w:spacing w:after="0"/>
              <w:rPr>
                <w:sz w:val="1"/>
                <w:szCs w:val="1"/>
                <w:color w:val="auto"/>
              </w:rPr>
            </w:pPr>
          </w:p>
        </w:tc>
      </w:tr>
      <w:tr>
        <w:trPr>
          <w:trHeight w:val="121"/>
        </w:trPr>
        <w:tc>
          <w:tcPr>
            <w:tcW w:w="32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Issuance of restricted stock, net of forfeitures</w:t>
            </w: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2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Employee share purchase plan</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273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17,812</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17,815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17,815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Equity-based compensation expense related to employees</w:t>
            </w:r>
          </w:p>
        </w:tc>
        <w:tc>
          <w:tcPr>
            <w:tcW w:w="8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26,112</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26,112</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26,112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Distribution to noncontrolling interests (2)</w:t>
            </w:r>
          </w:p>
        </w:tc>
        <w:tc>
          <w:tcPr>
            <w:tcW w:w="8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(1,460)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(1,460)</w:t>
            </w:r>
          </w:p>
        </w:tc>
        <w:tc>
          <w:tcPr>
            <w:tcW w:w="0" w:type="dxa"/>
            <w:vAlign w:val="bottom"/>
          </w:tcPr>
          <w:p>
            <w:pPr>
              <w:spacing w:after="0"/>
              <w:rPr>
                <w:sz w:val="1"/>
                <w:szCs w:val="1"/>
                <w:color w:val="auto"/>
              </w:rPr>
            </w:pPr>
          </w:p>
        </w:tc>
      </w:tr>
      <w:tr>
        <w:trPr>
          <w:trHeight w:val="115"/>
        </w:trPr>
        <w:tc>
          <w:tcPr>
            <w:tcW w:w="328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June 30,2024</w:t>
            </w: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114,191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4,597</w:t>
            </w:r>
          </w:p>
        </w:tc>
        <w:tc>
          <w:tcPr>
            <w:tcW w:w="24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4,379,745</w:t>
            </w:r>
          </w:p>
        </w:tc>
        <w:tc>
          <w:tcPr>
            <w:tcW w:w="24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(7,664,629)</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(10,610)</w:t>
            </w:r>
          </w:p>
        </w:tc>
        <w:tc>
          <w:tcPr>
            <w:tcW w:w="2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6,795,359</w:t>
            </w:r>
          </w:p>
        </w:tc>
        <w:tc>
          <w:tcPr>
            <w:tcW w:w="22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3,504,462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42,358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3,546,820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-1610995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-1593850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-1610995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-1593850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-1610995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-1593850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-1610995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-1593850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-1610995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-1593850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-1610995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-1593850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-1610995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-1593850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-1610995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-1593850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028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____________</w:t>
      </w:r>
    </w:p>
    <w:p>
      <w:pPr>
        <w:spacing w:after="0" w:line="33" w:lineRule="exact"/>
        <w:rPr>
          <w:sz w:val="20"/>
          <w:szCs w:val="20"/>
          <w:color w:val="auto"/>
        </w:rPr>
      </w:pPr>
    </w:p>
    <w:p>
      <w:pPr>
        <w:ind w:left="380" w:hanging="372"/>
        <w:spacing w:after="0" w:line="253" w:lineRule="auto"/>
        <w:tabs>
          <w:tab w:leader="none" w:pos="3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June 30, 2025 and 2024, accumulated other comprehensive income (loss) is comprised of unrealized gain on derivatives, net of tax, of $33,285 and $587 unrealized loss on short-term interest-bearing investments, net of tax, of $(1,739) and $(8,805), and unrealized loss on defined benefit plan, net of tax, of $(2,209) and $(2,392), respectively.</w:t>
      </w:r>
    </w:p>
    <w:p>
      <w:pPr>
        <w:ind w:left="380" w:hanging="372"/>
        <w:spacing w:after="0" w:line="261" w:lineRule="auto"/>
        <w:tabs>
          <w:tab w:leader="none" w:pos="38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Starting fiscal year 2023, the Company distributes earnings to the noncontrolling interests, for further details please refer to Note 2, “A summary of Significant Accounting Policies, ” in the Company’s Annual Report on Form 20-F for the fiscal year 2024.</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280" w:type="dxa"/>
            <w:vAlign w:val="bottom"/>
          </w:tcPr>
          <w:p>
            <w:pPr>
              <w:spacing w:after="0"/>
              <w:rPr>
                <w:sz w:val="11"/>
                <w:szCs w:val="11"/>
                <w:color w:val="auto"/>
              </w:rPr>
            </w:pPr>
          </w:p>
        </w:tc>
        <w:tc>
          <w:tcPr>
            <w:tcW w:w="1500" w:type="dxa"/>
            <w:vAlign w:val="bottom"/>
            <w:tcBorders>
              <w:bottom w:val="single" w:sz="8" w:color="auto"/>
            </w:tcBorders>
            <w:gridSpan w:val="4"/>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4"/>
              </w:rPr>
              <w:t>Amdocs</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ve</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Limited</w:t>
            </w:r>
          </w:p>
        </w:tc>
        <w:tc>
          <w:tcPr>
            <w:tcW w:w="60" w:type="dxa"/>
            <w:vAlign w:val="bottom"/>
          </w:tcPr>
          <w:p>
            <w:pPr>
              <w:spacing w:after="0"/>
              <w:rPr>
                <w:sz w:val="10"/>
                <w:szCs w:val="10"/>
                <w:color w:val="auto"/>
              </w:rPr>
            </w:pPr>
          </w:p>
        </w:tc>
        <w:tc>
          <w:tcPr>
            <w:tcW w:w="80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4"/>
              </w:rPr>
              <w:t>Non-</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rPr>
              <w:t>Treasury</w:t>
            </w:r>
          </w:p>
        </w:tc>
        <w:tc>
          <w:tcPr>
            <w:tcW w:w="90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Income (Loss)</w:t>
            </w:r>
          </w:p>
        </w:tc>
        <w:tc>
          <w:tcPr>
            <w:tcW w:w="80" w:type="dxa"/>
            <w:vAlign w:val="bottom"/>
          </w:tcPr>
          <w:p>
            <w:pPr>
              <w:spacing w:after="0"/>
              <w:rPr>
                <w:sz w:val="10"/>
                <w:szCs w:val="10"/>
                <w:color w:val="auto"/>
              </w:rPr>
            </w:pPr>
          </w:p>
        </w:tc>
        <w:tc>
          <w:tcPr>
            <w:tcW w:w="68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Retained</w:t>
            </w:r>
          </w:p>
        </w:tc>
        <w:tc>
          <w:tcPr>
            <w:tcW w:w="80" w:type="dxa"/>
            <w:vAlign w:val="bottom"/>
          </w:tcPr>
          <w:p>
            <w:pPr>
              <w:spacing w:after="0"/>
              <w:rPr>
                <w:sz w:val="10"/>
                <w:szCs w:val="10"/>
                <w:color w:val="auto"/>
              </w:rPr>
            </w:pPr>
          </w:p>
        </w:tc>
        <w:tc>
          <w:tcPr>
            <w:tcW w:w="94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Shareholders’</w:t>
            </w:r>
          </w:p>
        </w:tc>
        <w:tc>
          <w:tcPr>
            <w:tcW w:w="60" w:type="dxa"/>
            <w:vAlign w:val="bottom"/>
          </w:tcPr>
          <w:p>
            <w:pPr>
              <w:spacing w:after="0"/>
              <w:rPr>
                <w:sz w:val="10"/>
                <w:szCs w:val="10"/>
                <w:color w:val="auto"/>
              </w:rPr>
            </w:pPr>
          </w:p>
        </w:tc>
        <w:tc>
          <w:tcPr>
            <w:tcW w:w="80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controlling</w:t>
            </w:r>
          </w:p>
        </w:tc>
        <w:tc>
          <w:tcPr>
            <w:tcW w:w="140" w:type="dxa"/>
            <w:vAlign w:val="bottom"/>
          </w:tcPr>
          <w:p>
            <w:pPr>
              <w:spacing w:after="0"/>
              <w:rPr>
                <w:sz w:val="10"/>
                <w:szCs w:val="10"/>
                <w:color w:val="auto"/>
              </w:rPr>
            </w:pPr>
          </w:p>
        </w:tc>
        <w:tc>
          <w:tcPr>
            <w:tcW w:w="78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7"/>
        </w:trPr>
        <w:tc>
          <w:tcPr>
            <w:tcW w:w="3280" w:type="dxa"/>
            <w:vAlign w:val="bottom"/>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3"/>
              </w:rPr>
              <w:t>(1)</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220" w:type="dxa"/>
            <w:vAlign w:val="bottom"/>
          </w:tcPr>
          <w:p>
            <w:pPr>
              <w:spacing w:after="0"/>
              <w:rPr>
                <w:sz w:val="11"/>
                <w:szCs w:val="11"/>
                <w:color w:val="auto"/>
              </w:rPr>
            </w:pPr>
          </w:p>
        </w:tc>
        <w:tc>
          <w:tcPr>
            <w:tcW w:w="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interests (2)</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28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September 30, 2024</w:t>
            </w: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112,891</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4,598</w:t>
            </w:r>
          </w:p>
        </w:tc>
        <w:tc>
          <w:tcPr>
            <w:tcW w:w="28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4,413,503</w:t>
            </w:r>
          </w:p>
        </w:tc>
        <w:tc>
          <w:tcPr>
            <w:tcW w:w="32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(7,784,434)</w:t>
            </w: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(4,410)</w:t>
            </w: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6,827,719</w:t>
            </w:r>
          </w:p>
        </w:tc>
        <w:tc>
          <w:tcPr>
            <w:tcW w:w="120" w:type="dxa"/>
            <w:vAlign w:val="bottom"/>
            <w:shd w:val="clear" w:color="auto" w:fill="CFF0FC"/>
          </w:tcPr>
          <w:p>
            <w:pPr>
              <w:spacing w:after="0"/>
              <w:rPr>
                <w:sz w:val="10"/>
                <w:szCs w:val="10"/>
                <w:color w:val="auto"/>
              </w:rPr>
            </w:pPr>
          </w:p>
        </w:tc>
        <w:tc>
          <w:tcPr>
            <w:tcW w:w="200" w:type="dxa"/>
            <w:vAlign w:val="bottom"/>
            <w:gridSpan w:val="2"/>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3,456,976</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42,201</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3,499,177</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Comprehensive income:</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88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468,377</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468,377</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2,278</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470,655</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8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Other comprehensive income</w:t>
            </w:r>
          </w:p>
        </w:tc>
        <w:tc>
          <w:tcPr>
            <w:tcW w:w="8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33,747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33,747</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33,747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280" w:type="dxa"/>
            <w:vAlign w:val="bottom"/>
            <w:shd w:val="clear" w:color="auto" w:fill="CFF0FC"/>
          </w:tcPr>
          <w:p>
            <w:pPr>
              <w:ind w:left="100"/>
              <w:spacing w:after="0" w:line="115" w:lineRule="exact"/>
              <w:rPr>
                <w:sz w:val="20"/>
                <w:szCs w:val="20"/>
                <w:color w:val="auto"/>
              </w:rPr>
            </w:pPr>
            <w:r>
              <w:rPr>
                <w:rFonts w:ascii="Times New Roman" w:cs="Times New Roman" w:eastAsia="Times New Roman" w:hAnsi="Times New Roman"/>
                <w:sz w:val="11"/>
                <w:szCs w:val="11"/>
                <w:color w:val="auto"/>
              </w:rPr>
              <w:t>Comprehensive income</w:t>
            </w:r>
          </w:p>
        </w:tc>
        <w:tc>
          <w:tcPr>
            <w:tcW w:w="880" w:type="dxa"/>
            <w:vAlign w:val="bottom"/>
            <w:gridSpan w:val="2"/>
            <w:shd w:val="clear" w:color="auto" w:fill="CFF0FC"/>
          </w:tcPr>
          <w:p>
            <w:pPr>
              <w:jc w:val="right"/>
              <w:ind w:right="2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502,124</w:t>
            </w:r>
          </w:p>
        </w:tc>
        <w:tc>
          <w:tcPr>
            <w:tcW w:w="22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2,278</w:t>
            </w:r>
          </w:p>
        </w:tc>
        <w:tc>
          <w:tcPr>
            <w:tcW w:w="2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504,402</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Employee stock options exercised</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287</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18,080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18,084</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18,084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Repurchase of shares</w:t>
            </w:r>
          </w:p>
        </w:tc>
        <w:tc>
          <w:tcPr>
            <w:tcW w:w="88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(4,715)</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(414,924)</w:t>
            </w:r>
          </w:p>
        </w:tc>
        <w:tc>
          <w:tcPr>
            <w:tcW w:w="10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(414,924)</w:t>
            </w:r>
          </w:p>
        </w:tc>
        <w:tc>
          <w:tcPr>
            <w:tcW w:w="6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(414,924)</w:t>
            </w:r>
          </w:p>
        </w:tc>
        <w:tc>
          <w:tcPr>
            <w:tcW w:w="0" w:type="dxa"/>
            <w:vAlign w:val="bottom"/>
          </w:tcPr>
          <w:p>
            <w:pPr>
              <w:spacing w:after="0"/>
              <w:rPr>
                <w:sz w:val="1"/>
                <w:szCs w:val="1"/>
                <w:color w:val="auto"/>
              </w:rPr>
            </w:pPr>
          </w:p>
        </w:tc>
      </w:tr>
      <w:tr>
        <w:trPr>
          <w:trHeight w:val="122"/>
        </w:trPr>
        <w:tc>
          <w:tcPr>
            <w:tcW w:w="32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Cash dividends declared ($1.533 per ordinary share)</w:t>
            </w:r>
          </w:p>
        </w:tc>
        <w:tc>
          <w:tcPr>
            <w:tcW w:w="8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8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(170,313)</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(170,313)</w:t>
            </w:r>
          </w:p>
        </w:tc>
        <w:tc>
          <w:tcPr>
            <w:tcW w:w="6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(170,313)</w:t>
            </w:r>
          </w:p>
        </w:tc>
        <w:tc>
          <w:tcPr>
            <w:tcW w:w="0" w:type="dxa"/>
            <w:vAlign w:val="bottom"/>
          </w:tcPr>
          <w:p>
            <w:pPr>
              <w:spacing w:after="0"/>
              <w:rPr>
                <w:sz w:val="1"/>
                <w:szCs w:val="1"/>
                <w:color w:val="auto"/>
              </w:rPr>
            </w:pPr>
          </w:p>
        </w:tc>
      </w:tr>
      <w:tr>
        <w:trPr>
          <w:trHeight w:val="122"/>
        </w:trPr>
        <w:tc>
          <w:tcPr>
            <w:tcW w:w="32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Issuance of restricted stock, net of forfeitures</w:t>
            </w: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1,050</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Employee share purchase plan</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479</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33,373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33,379</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33,379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Equity-based compensation expense related to employees</w:t>
            </w:r>
          </w:p>
        </w:tc>
        <w:tc>
          <w:tcPr>
            <w:tcW w:w="88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78,134</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78,134</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78,134</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Distribution to noncontrolling interests (2)</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(2,523)</w:t>
            </w:r>
          </w:p>
        </w:tc>
        <w:tc>
          <w:tcPr>
            <w:tcW w:w="14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(2,523)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28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June 30, 2025</w:t>
            </w: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109,992</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4,621</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4,543,090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(8,199,358 )</w:t>
            </w: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29,337</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7,125,783</w:t>
            </w:r>
          </w:p>
        </w:tc>
        <w:tc>
          <w:tcPr>
            <w:tcW w:w="12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3,503,473</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41,956</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3,545,429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tcPr>
          <w:p>
            <w:pPr>
              <w:spacing w:after="0"/>
              <w:rPr>
                <w:sz w:val="19"/>
                <w:szCs w:val="19"/>
                <w:color w:val="auto"/>
              </w:rPr>
            </w:pPr>
          </w:p>
        </w:tc>
        <w:tc>
          <w:tcPr>
            <w:tcW w:w="1500" w:type="dxa"/>
            <w:vAlign w:val="bottom"/>
            <w:tcBorders>
              <w:bottom w:val="single" w:sz="8" w:color="auto"/>
            </w:tcBorders>
            <w:gridSpan w:val="4"/>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3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4"/>
              </w:rPr>
              <w:t>Amdocs</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Limited</w:t>
            </w:r>
          </w:p>
        </w:tc>
        <w:tc>
          <w:tcPr>
            <w:tcW w:w="60" w:type="dxa"/>
            <w:vAlign w:val="bottom"/>
          </w:tcPr>
          <w:p>
            <w:pPr>
              <w:spacing w:after="0"/>
              <w:rPr>
                <w:sz w:val="10"/>
                <w:szCs w:val="10"/>
                <w:color w:val="auto"/>
              </w:rPr>
            </w:pPr>
          </w:p>
        </w:tc>
        <w:tc>
          <w:tcPr>
            <w:tcW w:w="80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4"/>
              </w:rPr>
              <w:t>Non-</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rPr>
              <w:t>Treasury</w:t>
            </w:r>
          </w:p>
        </w:tc>
        <w:tc>
          <w:tcPr>
            <w:tcW w:w="100" w:type="dxa"/>
            <w:vAlign w:val="bottom"/>
          </w:tcPr>
          <w:p>
            <w:pPr>
              <w:spacing w:after="0"/>
              <w:rPr>
                <w:sz w:val="10"/>
                <w:szCs w:val="10"/>
                <w:color w:val="auto"/>
              </w:rPr>
            </w:pPr>
          </w:p>
        </w:tc>
        <w:tc>
          <w:tcPr>
            <w:tcW w:w="80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ve</w:t>
            </w:r>
          </w:p>
        </w:tc>
        <w:tc>
          <w:tcPr>
            <w:tcW w:w="80" w:type="dxa"/>
            <w:vAlign w:val="bottom"/>
          </w:tcPr>
          <w:p>
            <w:pPr>
              <w:spacing w:after="0"/>
              <w:rPr>
                <w:sz w:val="10"/>
                <w:szCs w:val="10"/>
                <w:color w:val="auto"/>
              </w:rPr>
            </w:pPr>
          </w:p>
        </w:tc>
        <w:tc>
          <w:tcPr>
            <w:tcW w:w="68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Retained</w:t>
            </w:r>
          </w:p>
        </w:tc>
        <w:tc>
          <w:tcPr>
            <w:tcW w:w="80" w:type="dxa"/>
            <w:vAlign w:val="bottom"/>
          </w:tcPr>
          <w:p>
            <w:pPr>
              <w:spacing w:after="0"/>
              <w:rPr>
                <w:sz w:val="10"/>
                <w:szCs w:val="10"/>
                <w:color w:val="auto"/>
              </w:rPr>
            </w:pPr>
          </w:p>
        </w:tc>
        <w:tc>
          <w:tcPr>
            <w:tcW w:w="94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Shareholders’</w:t>
            </w:r>
          </w:p>
        </w:tc>
        <w:tc>
          <w:tcPr>
            <w:tcW w:w="60" w:type="dxa"/>
            <w:vAlign w:val="bottom"/>
          </w:tcPr>
          <w:p>
            <w:pPr>
              <w:spacing w:after="0"/>
              <w:rPr>
                <w:sz w:val="10"/>
                <w:szCs w:val="10"/>
                <w:color w:val="auto"/>
              </w:rPr>
            </w:pPr>
          </w:p>
        </w:tc>
        <w:tc>
          <w:tcPr>
            <w:tcW w:w="80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controlling</w:t>
            </w:r>
          </w:p>
        </w:tc>
        <w:tc>
          <w:tcPr>
            <w:tcW w:w="140" w:type="dxa"/>
            <w:vAlign w:val="bottom"/>
          </w:tcPr>
          <w:p>
            <w:pPr>
              <w:spacing w:after="0"/>
              <w:rPr>
                <w:sz w:val="10"/>
                <w:szCs w:val="10"/>
                <w:color w:val="auto"/>
              </w:rPr>
            </w:pPr>
          </w:p>
        </w:tc>
        <w:tc>
          <w:tcPr>
            <w:tcW w:w="78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7"/>
        </w:trPr>
        <w:tc>
          <w:tcPr>
            <w:tcW w:w="3280" w:type="dxa"/>
            <w:vAlign w:val="bottom"/>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Loss (1)</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220" w:type="dxa"/>
            <w:vAlign w:val="bottom"/>
          </w:tcPr>
          <w:p>
            <w:pPr>
              <w:spacing w:after="0"/>
              <w:rPr>
                <w:sz w:val="11"/>
                <w:szCs w:val="11"/>
                <w:color w:val="auto"/>
              </w:rPr>
            </w:pPr>
          </w:p>
        </w:tc>
        <w:tc>
          <w:tcPr>
            <w:tcW w:w="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interests (2)</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28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September 30, 2023</w:t>
            </w: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117,348</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4,571</w:t>
            </w:r>
          </w:p>
        </w:tc>
        <w:tc>
          <w:tcPr>
            <w:tcW w:w="28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4,244,256</w:t>
            </w:r>
          </w:p>
        </w:tc>
        <w:tc>
          <w:tcPr>
            <w:tcW w:w="32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(7,221,313)</w:t>
            </w: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(53,272)</w:t>
            </w: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6,549,517</w:t>
            </w:r>
          </w:p>
        </w:tc>
        <w:tc>
          <w:tcPr>
            <w:tcW w:w="120" w:type="dxa"/>
            <w:vAlign w:val="bottom"/>
            <w:shd w:val="clear" w:color="auto" w:fill="CFF0FC"/>
          </w:tcPr>
          <w:p>
            <w:pPr>
              <w:spacing w:after="0"/>
              <w:rPr>
                <w:sz w:val="10"/>
                <w:szCs w:val="10"/>
                <w:color w:val="auto"/>
              </w:rPr>
            </w:pPr>
          </w:p>
        </w:tc>
        <w:tc>
          <w:tcPr>
            <w:tcW w:w="200" w:type="dxa"/>
            <w:vAlign w:val="bottom"/>
            <w:gridSpan w:val="2"/>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3,523,759</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43,173</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3,566,932</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Comprehensive income:</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shd w:val="clear" w:color="auto" w:fill="CFF0FC"/>
          </w:tcPr>
          <w:p>
            <w:pPr>
              <w:ind w:left="100"/>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88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406,756</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406,756</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2,389</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409,145</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Other comprehensive income</w:t>
            </w:r>
          </w:p>
        </w:tc>
        <w:tc>
          <w:tcPr>
            <w:tcW w:w="8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42,662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42,662</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42,662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280" w:type="dxa"/>
            <w:vAlign w:val="bottom"/>
            <w:shd w:val="clear" w:color="auto" w:fill="CFF0FC"/>
          </w:tcPr>
          <w:p>
            <w:pPr>
              <w:ind w:left="100"/>
              <w:spacing w:after="0" w:line="115" w:lineRule="exact"/>
              <w:rPr>
                <w:sz w:val="20"/>
                <w:szCs w:val="20"/>
                <w:color w:val="auto"/>
              </w:rPr>
            </w:pPr>
            <w:r>
              <w:rPr>
                <w:rFonts w:ascii="Times New Roman" w:cs="Times New Roman" w:eastAsia="Times New Roman" w:hAnsi="Times New Roman"/>
                <w:sz w:val="11"/>
                <w:szCs w:val="11"/>
                <w:color w:val="auto"/>
              </w:rPr>
              <w:t>Comprehensive income</w:t>
            </w:r>
          </w:p>
        </w:tc>
        <w:tc>
          <w:tcPr>
            <w:tcW w:w="880" w:type="dxa"/>
            <w:vAlign w:val="bottom"/>
            <w:gridSpan w:val="2"/>
            <w:shd w:val="clear" w:color="auto" w:fill="CFF0FC"/>
          </w:tcPr>
          <w:p>
            <w:pPr>
              <w:jc w:val="right"/>
              <w:ind w:right="2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449,418</w:t>
            </w:r>
          </w:p>
        </w:tc>
        <w:tc>
          <w:tcPr>
            <w:tcW w:w="22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2,389</w:t>
            </w:r>
          </w:p>
        </w:tc>
        <w:tc>
          <w:tcPr>
            <w:tcW w:w="2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451,807</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Employee stock options exercised</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312</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19,173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19,178</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19,178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Repurchase of shares</w:t>
            </w:r>
          </w:p>
        </w:tc>
        <w:tc>
          <w:tcPr>
            <w:tcW w:w="88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(5,212)</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(443,316)</w:t>
            </w:r>
          </w:p>
        </w:tc>
        <w:tc>
          <w:tcPr>
            <w:tcW w:w="10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(443,316)</w:t>
            </w:r>
          </w:p>
        </w:tc>
        <w:tc>
          <w:tcPr>
            <w:tcW w:w="6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(443,316)</w:t>
            </w:r>
          </w:p>
        </w:tc>
        <w:tc>
          <w:tcPr>
            <w:tcW w:w="0" w:type="dxa"/>
            <w:vAlign w:val="bottom"/>
          </w:tcPr>
          <w:p>
            <w:pPr>
              <w:spacing w:after="0"/>
              <w:rPr>
                <w:sz w:val="1"/>
                <w:szCs w:val="1"/>
                <w:color w:val="auto"/>
              </w:rPr>
            </w:pPr>
          </w:p>
        </w:tc>
      </w:tr>
      <w:tr>
        <w:trPr>
          <w:trHeight w:val="122"/>
        </w:trPr>
        <w:tc>
          <w:tcPr>
            <w:tcW w:w="32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Cash dividends declared ($1.393 per ordinary share)</w:t>
            </w:r>
          </w:p>
        </w:tc>
        <w:tc>
          <w:tcPr>
            <w:tcW w:w="8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8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(160,914)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(160,914)</w:t>
            </w:r>
          </w:p>
        </w:tc>
        <w:tc>
          <w:tcPr>
            <w:tcW w:w="6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(160,914)</w:t>
            </w:r>
          </w:p>
        </w:tc>
        <w:tc>
          <w:tcPr>
            <w:tcW w:w="0" w:type="dxa"/>
            <w:vAlign w:val="bottom"/>
          </w:tcPr>
          <w:p>
            <w:pPr>
              <w:spacing w:after="0"/>
              <w:rPr>
                <w:sz w:val="1"/>
                <w:szCs w:val="1"/>
                <w:color w:val="auto"/>
              </w:rPr>
            </w:pPr>
          </w:p>
        </w:tc>
      </w:tr>
      <w:tr>
        <w:trPr>
          <w:trHeight w:val="121"/>
        </w:trPr>
        <w:tc>
          <w:tcPr>
            <w:tcW w:w="32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Issuance of restricted stock, net of forfeitures</w:t>
            </w: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1,195</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15</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15</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15</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Employee share purchase plan</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548</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37,779</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37,785</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37,785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Equity-based compensation expense related to employees</w:t>
            </w:r>
          </w:p>
        </w:tc>
        <w:tc>
          <w:tcPr>
            <w:tcW w:w="88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78,537</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78,537</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78,537</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Distribution to noncontrolling interests (2)</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(3,204)</w:t>
            </w:r>
          </w:p>
        </w:tc>
        <w:tc>
          <w:tcPr>
            <w:tcW w:w="14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(3,204)</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28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June 30, 2024</w:t>
            </w: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114,191</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4,597</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4,379,745</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(7,664,629 )</w:t>
            </w: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(10,610)</w:t>
            </w: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6,795,359</w:t>
            </w:r>
          </w:p>
        </w:tc>
        <w:tc>
          <w:tcPr>
            <w:tcW w:w="12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3,504,462</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42,358</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3,546,820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-1628140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-1610995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-1628140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-1610995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-1628140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-1610995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-1628140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-1610995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-1628140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-1610995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-1628140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-1610995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-1628140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-1610995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-1628140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-1610995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-1628140</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-1610995</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amounts in thousands)</w:t>
      </w:r>
    </w:p>
    <w:p>
      <w:pPr>
        <w:spacing w:after="0" w:line="200"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150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470,655</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409,145</w:t>
            </w:r>
          </w:p>
        </w:tc>
        <w:tc>
          <w:tcPr>
            <w:tcW w:w="100" w:type="dxa"/>
            <w:vAlign w:val="bottom"/>
          </w:tcPr>
          <w:p>
            <w:pPr>
              <w:spacing w:after="0"/>
              <w:rPr>
                <w:sz w:val="18"/>
                <w:szCs w:val="18"/>
                <w:color w:val="auto"/>
              </w:rPr>
            </w:pPr>
          </w:p>
        </w:tc>
      </w:tr>
      <w:tr>
        <w:trPr>
          <w:trHeight w:val="216"/>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143,738</w:t>
            </w:r>
          </w:p>
        </w:tc>
        <w:tc>
          <w:tcPr>
            <w:tcW w:w="100" w:type="dxa"/>
            <w:vAlign w:val="bottom"/>
          </w:tcPr>
          <w:p>
            <w:pPr>
              <w:spacing w:after="0"/>
              <w:rPr>
                <w:sz w:val="18"/>
                <w:szCs w:val="18"/>
                <w:color w:val="auto"/>
              </w:rPr>
            </w:pPr>
          </w:p>
        </w:tc>
      </w:tr>
      <w:tr>
        <w:trPr>
          <w:trHeight w:val="216"/>
        </w:trPr>
        <w:tc>
          <w:tcPr>
            <w:tcW w:w="68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FF0FC"/>
          </w:tcPr>
          <w:p>
            <w:pPr>
              <w:spacing w:after="0"/>
              <w:rPr>
                <w:sz w:val="18"/>
                <w:szCs w:val="18"/>
                <w:color w:val="auto"/>
              </w:rPr>
            </w:pPr>
          </w:p>
        </w:tc>
      </w:tr>
      <w:tr>
        <w:trPr>
          <w:trHeight w:val="216"/>
        </w:trPr>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78,537</w:t>
            </w:r>
          </w:p>
        </w:tc>
        <w:tc>
          <w:tcPr>
            <w:tcW w:w="100" w:type="dxa"/>
            <w:vAlign w:val="bottom"/>
          </w:tcPr>
          <w:p>
            <w:pPr>
              <w:spacing w:after="0"/>
              <w:rPr>
                <w:sz w:val="18"/>
                <w:szCs w:val="18"/>
                <w:color w:val="auto"/>
              </w:rPr>
            </w:pPr>
          </w:p>
        </w:tc>
      </w:tr>
      <w:tr>
        <w:trPr>
          <w:trHeight w:val="216"/>
        </w:trPr>
        <w:tc>
          <w:tcPr>
            <w:tcW w:w="68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(12,347)</w:t>
            </w:r>
          </w:p>
        </w:tc>
      </w:tr>
      <w:tr>
        <w:trPr>
          <w:trHeight w:val="216"/>
        </w:trPr>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from short-term interest-bearing investments</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100" w:type="dxa"/>
            <w:vAlign w:val="bottom"/>
          </w:tcPr>
          <w:p>
            <w:pPr>
              <w:spacing w:after="0"/>
              <w:rPr>
                <w:sz w:val="18"/>
                <w:szCs w:val="18"/>
                <w:color w:val="auto"/>
              </w:rPr>
            </w:pPr>
          </w:p>
        </w:tc>
      </w:tr>
      <w:tr>
        <w:trPr>
          <w:trHeight w:val="216"/>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changes in operating assets and liabilities, net of amounts acquired:</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(88,805)</w:t>
            </w:r>
          </w:p>
        </w:tc>
      </w:tr>
      <w:tr>
        <w:trPr>
          <w:trHeight w:val="216"/>
        </w:trPr>
        <w:tc>
          <w:tcPr>
            <w:tcW w:w="68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(71,825)</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(9,276)</w:t>
            </w:r>
          </w:p>
        </w:tc>
      </w:tr>
      <w:tr>
        <w:trPr>
          <w:trHeight w:val="216"/>
        </w:trPr>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(21,207)</w:t>
            </w:r>
          </w:p>
        </w:tc>
      </w:tr>
      <w:tr>
        <w:trPr>
          <w:trHeight w:val="216"/>
        </w:trPr>
        <w:tc>
          <w:tcPr>
            <w:tcW w:w="68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assets and liabilities, net</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(10,440)</w:t>
            </w:r>
          </w:p>
        </w:tc>
      </w:tr>
      <w:tr>
        <w:trPr>
          <w:trHeight w:val="216"/>
        </w:trPr>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 accrued expenses and accrued personnel</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(85,590)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125,063</w:t>
            </w:r>
          </w:p>
        </w:tc>
        <w:tc>
          <w:tcPr>
            <w:tcW w:w="100" w:type="dxa"/>
            <w:vAlign w:val="bottom"/>
          </w:tcPr>
          <w:p>
            <w:pPr>
              <w:spacing w:after="0"/>
              <w:rPr>
                <w:sz w:val="18"/>
                <w:szCs w:val="18"/>
                <w:color w:val="auto"/>
              </w:rPr>
            </w:pPr>
          </w:p>
        </w:tc>
      </w:tr>
      <w:tr>
        <w:trPr>
          <w:trHeight w:val="216"/>
        </w:trPr>
        <w:tc>
          <w:tcPr>
            <w:tcW w:w="68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(41,927)</w:t>
            </w:r>
          </w:p>
        </w:tc>
      </w:tr>
      <w:tr>
        <w:trPr>
          <w:trHeight w:val="216"/>
        </w:trPr>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taxes payable, net</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(17,781)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(62,328)</w:t>
            </w:r>
          </w:p>
        </w:tc>
      </w:tr>
      <w:tr>
        <w:trPr>
          <w:trHeight w:val="216"/>
        </w:trPr>
        <w:tc>
          <w:tcPr>
            <w:tcW w:w="68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(63,150)</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(9,304)</w:t>
            </w:r>
          </w:p>
        </w:tc>
      </w:tr>
      <w:tr>
        <w:trPr>
          <w:trHeight w:val="20"/>
        </w:trPr>
        <w:tc>
          <w:tcPr>
            <w:tcW w:w="1500" w:type="dxa"/>
            <w:vAlign w:val="bottom"/>
            <w:shd w:val="clear" w:color="auto" w:fill="CFF0FC"/>
          </w:tcPr>
          <w:p>
            <w:pPr>
              <w:spacing w:after="0" w:line="20" w:lineRule="exact"/>
              <w:rPr>
                <w:sz w:val="1"/>
                <w:szCs w:val="1"/>
                <w:color w:val="auto"/>
              </w:rPr>
            </w:pPr>
          </w:p>
        </w:tc>
        <w:tc>
          <w:tcPr>
            <w:tcW w:w="538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519,256</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506,506</w:t>
            </w:r>
          </w:p>
        </w:tc>
        <w:tc>
          <w:tcPr>
            <w:tcW w:w="100" w:type="dxa"/>
            <w:vAlign w:val="bottom"/>
          </w:tcPr>
          <w:p>
            <w:pPr>
              <w:spacing w:after="0"/>
              <w:rPr>
                <w:sz w:val="18"/>
                <w:szCs w:val="18"/>
                <w:color w:val="auto"/>
              </w:rPr>
            </w:pPr>
          </w:p>
        </w:tc>
      </w:tr>
      <w:tr>
        <w:trPr>
          <w:trHeight w:val="210"/>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86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property and equipment, net (b)</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(72,740)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(79,683)</w:t>
            </w:r>
          </w:p>
        </w:tc>
      </w:tr>
      <w:tr>
        <w:trPr>
          <w:trHeight w:val="216"/>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sale of short-term interest-bearing investments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94,718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49,516</w:t>
            </w:r>
          </w:p>
        </w:tc>
        <w:tc>
          <w:tcPr>
            <w:tcW w:w="100" w:type="dxa"/>
            <w:vAlign w:val="bottom"/>
            <w:shd w:val="clear" w:color="auto" w:fill="CFF0FC"/>
          </w:tcPr>
          <w:p>
            <w:pPr>
              <w:spacing w:after="0"/>
              <w:rPr>
                <w:sz w:val="18"/>
                <w:szCs w:val="18"/>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short-term interest-bearing investments</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(9,061)</w:t>
            </w:r>
          </w:p>
        </w:tc>
      </w:tr>
      <w:tr>
        <w:trPr>
          <w:trHeight w:val="216"/>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paid for business and intangible assets acquisitions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(61,406)</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(86,824)</w:t>
            </w: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from equity investments and other</w:t>
            </w:r>
          </w:p>
        </w:tc>
        <w:tc>
          <w:tcPr>
            <w:tcW w:w="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100" w:type="dxa"/>
            <w:vAlign w:val="bottom"/>
          </w:tcPr>
          <w:p>
            <w:pPr>
              <w:spacing w:after="0"/>
              <w:rPr>
                <w:sz w:val="18"/>
                <w:szCs w:val="18"/>
                <w:color w:val="auto"/>
              </w:rPr>
            </w:pPr>
          </w:p>
        </w:tc>
      </w:tr>
      <w:tr>
        <w:trPr>
          <w:trHeight w:val="210"/>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(22,655)</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(121,870)</w:t>
            </w:r>
          </w:p>
        </w:tc>
      </w:tr>
      <w:tr>
        <w:trPr>
          <w:trHeight w:val="210"/>
        </w:trPr>
        <w:tc>
          <w:tcPr>
            <w:tcW w:w="688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86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(414,924)</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(443,316)</w:t>
            </w: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employee stock option exercises</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19,120</w:t>
            </w:r>
          </w:p>
        </w:tc>
        <w:tc>
          <w:tcPr>
            <w:tcW w:w="100" w:type="dxa"/>
            <w:vAlign w:val="bottom"/>
          </w:tcPr>
          <w:p>
            <w:pPr>
              <w:spacing w:after="0"/>
              <w:rPr>
                <w:sz w:val="18"/>
                <w:szCs w:val="18"/>
                <w:color w:val="auto"/>
              </w:rPr>
            </w:pPr>
          </w:p>
        </w:tc>
      </w:tr>
      <w:tr>
        <w:trPr>
          <w:trHeight w:val="216"/>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of dividends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(166,425)</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(157,264)</w:t>
            </w: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 to noncontrolling interests</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(3,204)</w:t>
            </w:r>
          </w:p>
        </w:tc>
      </w:tr>
      <w:tr>
        <w:trPr>
          <w:trHeight w:val="216"/>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of contingent consideration and deferred payment of business acquisitions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(9,599)</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(2,063)</w:t>
            </w:r>
          </w:p>
        </w:tc>
      </w:tr>
      <w:tr>
        <w:trPr>
          <w:trHeight w:val="20"/>
        </w:trPr>
        <w:tc>
          <w:tcPr>
            <w:tcW w:w="1500" w:type="dxa"/>
            <w:vAlign w:val="bottom"/>
            <w:shd w:val="clear" w:color="auto" w:fill="CFF0FC"/>
          </w:tcPr>
          <w:p>
            <w:pPr>
              <w:spacing w:after="0" w:line="20" w:lineRule="exact"/>
              <w:rPr>
                <w:sz w:val="1"/>
                <w:szCs w:val="1"/>
                <w:color w:val="auto"/>
              </w:rPr>
            </w:pPr>
          </w:p>
        </w:tc>
        <w:tc>
          <w:tcPr>
            <w:tcW w:w="538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(575,374)</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(586,727)</w:t>
            </w:r>
          </w:p>
        </w:tc>
      </w:tr>
      <w:tr>
        <w:trPr>
          <w:trHeight w:val="20"/>
        </w:trPr>
        <w:tc>
          <w:tcPr>
            <w:tcW w:w="15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(78,773)</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(202,091)</w:t>
            </w: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346,085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520,080</w:t>
            </w:r>
          </w:p>
        </w:tc>
        <w:tc>
          <w:tcPr>
            <w:tcW w:w="100" w:type="dxa"/>
            <w:vAlign w:val="bottom"/>
          </w:tcPr>
          <w:p>
            <w:pPr>
              <w:spacing w:after="0"/>
              <w:rPr>
                <w:sz w:val="18"/>
                <w:szCs w:val="18"/>
                <w:color w:val="auto"/>
              </w:rPr>
            </w:pPr>
          </w:p>
        </w:tc>
      </w:tr>
      <w:tr>
        <w:trPr>
          <w:trHeight w:val="250"/>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2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267,312</w:t>
            </w:r>
          </w:p>
        </w:tc>
        <w:tc>
          <w:tcPr>
            <w:tcW w:w="16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317,989</w:t>
            </w:r>
          </w:p>
        </w:tc>
        <w:tc>
          <w:tcPr>
            <w:tcW w:w="100" w:type="dxa"/>
            <w:vAlign w:val="bottom"/>
            <w:shd w:val="clear" w:color="auto" w:fill="CFF0FC"/>
          </w:tcPr>
          <w:p>
            <w:pPr>
              <w:spacing w:after="0"/>
              <w:rPr>
                <w:sz w:val="21"/>
                <w:szCs w:val="21"/>
                <w:color w:val="auto"/>
              </w:rPr>
            </w:pPr>
          </w:p>
        </w:tc>
      </w:tr>
      <w:tr>
        <w:trPr>
          <w:trHeight w:val="197"/>
        </w:trPr>
        <w:tc>
          <w:tcPr>
            <w:tcW w:w="6880" w:type="dxa"/>
            <w:vAlign w:val="bottom"/>
            <w:tcBorders>
              <w:top w:val="single" w:sz="8" w:color="CFF0FC"/>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86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taxes, net of refunds (c)</w:t>
            </w:r>
          </w:p>
        </w:tc>
        <w:tc>
          <w:tcPr>
            <w:tcW w:w="1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109,224</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154,782</w:t>
            </w:r>
          </w:p>
        </w:tc>
        <w:tc>
          <w:tcPr>
            <w:tcW w:w="100" w:type="dxa"/>
            <w:vAlign w:val="bottom"/>
          </w:tcPr>
          <w:p>
            <w:pPr>
              <w:spacing w:after="0"/>
              <w:rPr>
                <w:sz w:val="18"/>
                <w:szCs w:val="18"/>
                <w:color w:val="auto"/>
              </w:rPr>
            </w:pPr>
          </w:p>
        </w:tc>
      </w:tr>
      <w:tr>
        <w:trPr>
          <w:trHeight w:val="216"/>
        </w:trPr>
        <w:tc>
          <w:tcPr>
            <w:tcW w:w="68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34,312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29,788</w:t>
            </w:r>
          </w:p>
        </w:tc>
        <w:tc>
          <w:tcPr>
            <w:tcW w:w="100" w:type="dxa"/>
            <w:vAlign w:val="bottom"/>
            <w:shd w:val="clear" w:color="auto" w:fill="CFF0FC"/>
          </w:tcPr>
          <w:p>
            <w:pPr>
              <w:spacing w:after="0"/>
              <w:rPr>
                <w:sz w:val="18"/>
                <w:szCs w:val="18"/>
                <w:color w:val="auto"/>
              </w:rPr>
            </w:pPr>
          </w:p>
        </w:tc>
      </w:tr>
      <w:tr>
        <w:trPr>
          <w:trHeight w:val="121"/>
        </w:trPr>
        <w:tc>
          <w:tcPr>
            <w:tcW w:w="1500" w:type="dxa"/>
            <w:vAlign w:val="bottom"/>
            <w:tcBorders>
              <w:bottom w:val="single" w:sz="8" w:color="auto"/>
            </w:tcBorders>
          </w:tcPr>
          <w:p>
            <w:pPr>
              <w:spacing w:after="0"/>
              <w:rPr>
                <w:sz w:val="10"/>
                <w:szCs w:val="10"/>
                <w:color w:val="auto"/>
              </w:rPr>
            </w:pPr>
          </w:p>
        </w:tc>
        <w:tc>
          <w:tcPr>
            <w:tcW w:w="5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-3188335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-3188335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-2065020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-2065020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-1233805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-659765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-642620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 w:lineRule="exact"/>
        <w:rPr>
          <w:sz w:val="20"/>
          <w:szCs w:val="20"/>
          <w:color w:val="auto"/>
        </w:rPr>
      </w:pPr>
    </w:p>
    <w:p>
      <w:pPr>
        <w:ind w:firstLine="431"/>
        <w:spacing w:after="0" w:line="269" w:lineRule="auto"/>
        <w:tabs>
          <w:tab w:leader="none" w:pos="659"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under "Purchase of property and equipment, net” include immaterial proceeds from sale of property and equipment for the nine months ended June 30, 2025 and 2024.</w:t>
      </w:r>
    </w:p>
    <w:p>
      <w:pPr>
        <w:ind w:left="600" w:hanging="228"/>
        <w:spacing w:after="0"/>
        <w:tabs>
          <w:tab w:leader="none" w:pos="6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further details, see also Note 10.</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378"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Entity and Basis of Presentation</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Amdocs Limited (the “Company”) is a leading provider of software and services to communications, entertainment and media service providers of all sizes throughout the world. The Company and its consolidated subsidiaries operate in one segment and design, develop, market, support, implement and operate its open and modular cloud portfolio.</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is a Guernsey limited company, which directly or indirectly holds numerous subsidiaries around the world, the vast majority of which are wholly-owned. The majority of the Company’s customers are in North America, Europe, Asia-Pacific and the Latin America region. The Company’s main development facilities are located in Brazil, Canada, Cyprus, India, Ireland, Israel, Mexico, the Philippines, the United Kingdom and the United States.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unaudited consolidated financial statements of the Company have been prepared in accordance with U.S. generally accepted accounting principles, or GAAP and are denominated in U.S. dollars.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opinion of the Company’s management, all adjustments considered necessary for a fair presentation of the unaudited interim consolidated financial statements have been included herein and are of a normal recurring nature. 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2024, set forth in the Company’s Annual Report on Form 20-F filed on December 17, 2024 with the U.S. Securities and Exchange Commission, or the SEC. There have been no material changes to the Company’s significant accounting policies from its Annual Report on Form 20-F for the fiscal year ended September 30,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From time to time, certain immaterial amounts in prior year financial statements may be reclassified to conform to the current year presentation.</w:t>
      </w:r>
    </w:p>
    <w:p>
      <w:pPr>
        <w:spacing w:after="0" w:line="181"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Standards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No. 2024-03,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Statement-Reporting Comprehensive Income-Expense Disaggregation Disclosures", </w:t>
      </w:r>
      <w:r>
        <w:rPr>
          <w:rFonts w:ascii="Times New Roman" w:cs="Times New Roman" w:eastAsia="Times New Roman" w:hAnsi="Times New Roman"/>
          <w:sz w:val="18"/>
          <w:szCs w:val="18"/>
          <w:color w:val="auto"/>
        </w:rPr>
        <w:t>to disclose in the notes of the financial statements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specific expense categories. This ASU will be effective for the Company's annual report for fiscal year 2028 and for interim period reporting beginning in fiscal year 2029, with early adoption permitted and should be applied either prospectively or retroactively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is currently evaluating the impact of the adoption on its consolidated financial statements.</w:t>
      </w:r>
    </w:p>
    <w:p>
      <w:pPr>
        <w:spacing w:after="0" w:line="15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which requires disclosure of disaggregated income taxes paid, prescribes standard categories for the components of the effective tax rate reconciliation, and modifies other income tax-related disclosures. This ASU will be effective for the Company's annual report for fiscal year 2026 and allows adoption on a prospective basis, with a retrospective option. This ASU will only have an impact on the Company's income tax disclosures. The Company is currently evaluating the impact of the adoption on its consolidated financial statements.</w:t>
      </w:r>
    </w:p>
    <w:p>
      <w:pPr>
        <w:spacing w:after="0" w:line="14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xml:space="preserve"> which enhances the disclosures required for operating segments in the annual and interim consolidated financial statements. This ASU will be effective for the Company's annual report for fiscal year 2025 and for interim period reporting beginning in fiscal year 2026 on a retrospective basis with early adoption permitted. The Company is currently evaluating the impact of the adoption on its consolidated financial statements.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2"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0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nine months ended June 30, 2025, the Company completed three business acquisitions for an aggregate net consideration of approximately $59,000 in cash, and a potential for additional consideration which may be paid later based on achievement of certain performance metrics. The majority of this amount was paid for the acquisition of Profinit, a data science and engineering company. These acquisitions, individually and in the aggregate, were not material in the period presented. In allocating the total consideration based on the preliminary estimated fair values for Profinit, the Company recorded $29,165 of goodwill, and $19,324 of customer relationships to be amortized over approximately five years.</w:t>
      </w:r>
    </w:p>
    <w:p>
      <w:pPr>
        <w:spacing w:after="0" w:line="14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nine months ended June 30, 2024, the Company completed two business acquisitions for an aggregate net consideration of approximately $84,007 in cash, and a potential for additional consideration which may be paid later based on achievement of certain performance metrics. The vast majority of this amount was paid for the acquisition of Astadia, which specializes in mainframe-to-cloud migration and modernization. These acquisitions, individually and in the aggregate, were not material in the period presented. In allocating the total consideration based on the preliminary estimated fair values for Astadia, the Company recorded $86,381 of goodwill, $27,677 of customer relationships to be amortized over approximately six years, $8,001 of core technology to be amortized over approximately four years, and $1,784 of trademark to be amortized over approximately three years.</w:t>
      </w:r>
    </w:p>
    <w:p>
      <w:pPr>
        <w:spacing w:after="0" w:line="143"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both billed and unbilled and deferred revenue:</w:t>
      </w: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6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2"/>
          </w:tcPr>
          <w:p>
            <w:pPr>
              <w:jc w:val="right"/>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jc w:val="right"/>
              <w:ind w:right="195"/>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r>
      <w:tr>
        <w:trPr>
          <w:trHeight w:val="173"/>
        </w:trPr>
        <w:tc>
          <w:tcPr>
            <w:tcW w:w="69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91"/>
        </w:trPr>
        <w:tc>
          <w:tcPr>
            <w:tcW w:w="69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Accounts receivable - billed (net of allowance for credit losses of $45,116 and $32,638 as of</w:t>
            </w:r>
          </w:p>
        </w:tc>
        <w:tc>
          <w:tcPr>
            <w:tcW w:w="2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2025 and September 30, 2024, respectively)</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661,248</w:t>
            </w:r>
          </w:p>
        </w:tc>
        <w:tc>
          <w:tcPr>
            <w:tcW w:w="16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665,740</w:t>
            </w:r>
          </w:p>
        </w:tc>
        <w:tc>
          <w:tcPr>
            <w:tcW w:w="100" w:type="dxa"/>
            <w:vAlign w:val="bottom"/>
            <w:shd w:val="clear" w:color="auto" w:fill="CFF0FC"/>
          </w:tcPr>
          <w:p>
            <w:pPr>
              <w:spacing w:after="0"/>
              <w:rPr>
                <w:sz w:val="20"/>
                <w:szCs w:val="20"/>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 unbilled (current)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362,617</w:t>
            </w:r>
          </w:p>
        </w:tc>
        <w:tc>
          <w:tcPr>
            <w:tcW w:w="100" w:type="dxa"/>
            <w:vAlign w:val="bottom"/>
          </w:tcPr>
          <w:p>
            <w:pPr>
              <w:spacing w:after="0"/>
              <w:rPr>
                <w:sz w:val="18"/>
                <w:szCs w:val="18"/>
                <w:color w:val="auto"/>
              </w:rPr>
            </w:pPr>
          </w:p>
        </w:tc>
      </w:tr>
      <w:tr>
        <w:trPr>
          <w:trHeight w:val="216"/>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 unbilled (non-current)</w:t>
            </w:r>
          </w:p>
        </w:tc>
        <w:tc>
          <w:tcPr>
            <w:tcW w:w="2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97,029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Accounts receivable - unbilled</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437,667</w:t>
            </w:r>
          </w:p>
        </w:tc>
        <w:tc>
          <w:tcPr>
            <w:tcW w:w="100" w:type="dxa"/>
            <w:vAlign w:val="bottom"/>
          </w:tcPr>
          <w:p>
            <w:pPr>
              <w:spacing w:after="0"/>
              <w:rPr>
                <w:sz w:val="18"/>
                <w:szCs w:val="18"/>
                <w:color w:val="auto"/>
              </w:rPr>
            </w:pP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2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(128,378)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(115,247)</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(836)</w:t>
            </w:r>
          </w:p>
        </w:tc>
      </w:tr>
      <w:tr>
        <w:trPr>
          <w:trHeight w:val="20"/>
        </w:trPr>
        <w:tc>
          <w:tcPr>
            <w:tcW w:w="6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revenue</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(133,659)</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(116,083)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-565150</wp:posOffset>
            </wp:positionV>
            <wp:extent cx="596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-565150</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Revenue recognized during the three and nine months ended June 30, 2025, which was included in deferred revenue (current) as of September 30, 2024 was $5,146 and $89,900. Revenue recognized during the three and nine months ended June 30, 2024, which was included in deferred revenue (current) as of September 30, 2023 was $10,173 and $152,595, respectively.</w:t>
      </w:r>
    </w:p>
    <w:p>
      <w:pPr>
        <w:spacing w:after="0" w:line="13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June 30, 2025, the aggregate amount of the transaction price allocated to remaining performance obligations that are unsatisfied or partially unsatisfied was approximately $5.6 billion. Remaining performance obligations include the remaining non-cancelable, committed and fixed portion of these contracts for their entire duration and therefore it is not comparable to what the Company considers to be next 12 months backlog. Given the profile of contract terms, the majority of this amount is expected to be recognized as revenue over the next three years.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0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information that is regularly reviewed by its chief operating decision makers in evaluating financial performance to disaggregate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provide details of revenue by nature of activities and by geography:</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by nature of activities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left="51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left="51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5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Managed services arrangements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771,487</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740,765</w:t>
            </w:r>
          </w:p>
        </w:tc>
        <w:tc>
          <w:tcPr>
            <w:tcW w:w="3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2,247,450</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2,183,509</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372,950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509,294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1,135,245</w:t>
            </w: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1,557,598</w:t>
            </w:r>
          </w:p>
        </w:tc>
      </w:tr>
      <w:tr>
        <w:trPr>
          <w:trHeight w:val="20"/>
        </w:trPr>
        <w:tc>
          <w:tcPr>
            <w:tcW w:w="5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1,144,437</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1,250,059</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3,382,695</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3,741,107</w:t>
            </w:r>
          </w:p>
        </w:tc>
      </w:tr>
      <w:tr>
        <w:trPr>
          <w:trHeight w:val="413"/>
        </w:trPr>
        <w:tc>
          <w:tcPr>
            <w:tcW w:w="5820" w:type="dxa"/>
            <w:vAlign w:val="bottom"/>
            <w:tcBorders>
              <w:top w:val="single" w:sz="8" w:color="CFF0FC"/>
            </w:tcBorders>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340"/>
        </w:trPr>
        <w:tc>
          <w:tcPr>
            <w:tcW w:w="5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left="51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left="51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8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 (mainly United States)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745,449</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828,845</w:t>
            </w:r>
          </w:p>
        </w:tc>
        <w:tc>
          <w:tcPr>
            <w:tcW w:w="3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2,221,180</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2,490,186</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189,398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175,874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525,306</w:t>
            </w: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542,142</w:t>
            </w: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209,590</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245,340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636,209</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708,779</w:t>
            </w:r>
          </w:p>
        </w:tc>
      </w:tr>
      <w:tr>
        <w:trPr>
          <w:trHeight w:val="20"/>
        </w:trPr>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1,144,437</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3,382,695</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3,741,107</w:t>
            </w: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-1319530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-1302385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-1319530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-1302385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-1319530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-1302385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-1319530</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-1302385</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20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3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three levels of inputs that may be used to measure fair value are as follows:</w:t>
      </w:r>
    </w:p>
    <w:p>
      <w:pPr>
        <w:spacing w:after="0" w:line="6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prices in active markets for identical assets or liabilities;</w:t>
      </w:r>
    </w:p>
    <w:p>
      <w:pPr>
        <w:spacing w:after="0" w:line="63" w:lineRule="exact"/>
        <w:rPr>
          <w:sz w:val="20"/>
          <w:szCs w:val="20"/>
          <w:color w:val="auto"/>
        </w:rPr>
      </w:pPr>
    </w:p>
    <w:p>
      <w:pPr>
        <w:jc w:val="both"/>
        <w:ind w:left="2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Observable inputs other than quoted prices included in Level 1, such as quoted prices for similar assets or liabilities in active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that are supported by little or no market activity that is significant to the fair value of the assets or liabilities.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present the Company's assets and liabilities measured at fair value on a recurring basis as of June 30, 2025 and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3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2"/>
                <w:szCs w:val="12"/>
                <w:color w:val="auto"/>
              </w:rPr>
            </w:pPr>
          </w:p>
        </w:tc>
        <w:tc>
          <w:tcPr>
            <w:tcW w:w="1060" w:type="dxa"/>
            <w:vAlign w:val="bottom"/>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2"/>
                <w:szCs w:val="12"/>
                <w:color w:val="auto"/>
              </w:rPr>
            </w:pPr>
          </w:p>
        </w:tc>
        <w:tc>
          <w:tcPr>
            <w:tcW w:w="80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32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20,230</w:t>
            </w:r>
          </w:p>
        </w:tc>
        <w:tc>
          <w:tcPr>
            <w:tcW w:w="1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20,230</w:t>
            </w:r>
          </w:p>
        </w:tc>
        <w:tc>
          <w:tcPr>
            <w:tcW w:w="120" w:type="dxa"/>
            <w:vAlign w:val="bottom"/>
          </w:tcPr>
          <w:p>
            <w:pPr>
              <w:spacing w:after="0"/>
              <w:rPr>
                <w:sz w:val="18"/>
                <w:szCs w:val="18"/>
                <w:color w:val="auto"/>
              </w:rPr>
            </w:pPr>
          </w:p>
        </w:tc>
      </w:tr>
      <w:tr>
        <w:trPr>
          <w:trHeight w:val="216"/>
        </w:trPr>
        <w:tc>
          <w:tcPr>
            <w:tcW w:w="39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13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32,545</w:t>
            </w:r>
          </w:p>
        </w:tc>
        <w:tc>
          <w:tcPr>
            <w:tcW w:w="2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32,545</w:t>
            </w:r>
          </w:p>
        </w:tc>
        <w:tc>
          <w:tcPr>
            <w:tcW w:w="120" w:type="dxa"/>
            <w:vAlign w:val="bottom"/>
            <w:shd w:val="clear" w:color="auto" w:fill="CFF0FC"/>
          </w:tcPr>
          <w:p>
            <w:pPr>
              <w:spacing w:after="0"/>
              <w:rPr>
                <w:sz w:val="18"/>
                <w:szCs w:val="18"/>
                <w:color w:val="auto"/>
              </w:rPr>
            </w:pPr>
          </w:p>
        </w:tc>
      </w:tr>
      <w:tr>
        <w:trPr>
          <w:trHeight w:val="216"/>
        </w:trPr>
        <w:tc>
          <w:tcPr>
            <w:tcW w:w="3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government treasuries</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28,397</w:t>
            </w:r>
          </w:p>
        </w:tc>
        <w:tc>
          <w:tcPr>
            <w:tcW w:w="120" w:type="dxa"/>
            <w:vAlign w:val="bottom"/>
          </w:tcPr>
          <w:p>
            <w:pPr>
              <w:spacing w:after="0"/>
              <w:rPr>
                <w:sz w:val="18"/>
                <w:szCs w:val="18"/>
                <w:color w:val="auto"/>
              </w:rPr>
            </w:pPr>
          </w:p>
        </w:tc>
      </w:tr>
      <w:tr>
        <w:trPr>
          <w:trHeight w:val="216"/>
        </w:trPr>
        <w:tc>
          <w:tcPr>
            <w:tcW w:w="39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Supranational and sovereign debt</w:t>
            </w:r>
          </w:p>
        </w:tc>
        <w:tc>
          <w:tcPr>
            <w:tcW w:w="13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12,259</w:t>
            </w:r>
          </w:p>
        </w:tc>
        <w:tc>
          <w:tcPr>
            <w:tcW w:w="2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12,259</w:t>
            </w:r>
          </w:p>
        </w:tc>
        <w:tc>
          <w:tcPr>
            <w:tcW w:w="120" w:type="dxa"/>
            <w:vAlign w:val="bottom"/>
            <w:shd w:val="clear" w:color="auto" w:fill="CFF0FC"/>
          </w:tcPr>
          <w:p>
            <w:pPr>
              <w:spacing w:after="0"/>
              <w:rPr>
                <w:sz w:val="18"/>
                <w:szCs w:val="18"/>
                <w:color w:val="auto"/>
              </w:rPr>
            </w:pPr>
          </w:p>
        </w:tc>
      </w:tr>
      <w:tr>
        <w:trPr>
          <w:trHeight w:val="216"/>
        </w:trPr>
        <w:tc>
          <w:tcPr>
            <w:tcW w:w="3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Municipal bonds</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20" w:type="dxa"/>
            <w:vAlign w:val="bottom"/>
          </w:tcPr>
          <w:p>
            <w:pPr>
              <w:spacing w:after="0"/>
              <w:rPr>
                <w:sz w:val="18"/>
                <w:szCs w:val="18"/>
                <w:color w:val="auto"/>
              </w:rPr>
            </w:pPr>
          </w:p>
        </w:tc>
      </w:tr>
      <w:tr>
        <w:trPr>
          <w:trHeight w:val="216"/>
        </w:trPr>
        <w:tc>
          <w:tcPr>
            <w:tcW w:w="39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Asset backed obligations</w:t>
            </w:r>
          </w:p>
        </w:tc>
        <w:tc>
          <w:tcPr>
            <w:tcW w:w="132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46,757</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95,384</w:t>
            </w:r>
          </w:p>
        </w:tc>
        <w:tc>
          <w:tcPr>
            <w:tcW w:w="120" w:type="dxa"/>
            <w:vAlign w:val="bottom"/>
          </w:tcPr>
          <w:p>
            <w:pPr>
              <w:spacing w:after="0"/>
              <w:rPr>
                <w:sz w:val="18"/>
                <w:szCs w:val="18"/>
                <w:color w:val="auto"/>
              </w:rPr>
            </w:pPr>
          </w:p>
        </w:tc>
      </w:tr>
      <w:tr>
        <w:trPr>
          <w:trHeight w:val="209"/>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3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32,258</w:t>
            </w:r>
          </w:p>
        </w:tc>
        <w:tc>
          <w:tcPr>
            <w:tcW w:w="2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32,258</w:t>
            </w:r>
          </w:p>
        </w:tc>
        <w:tc>
          <w:tcPr>
            <w:tcW w:w="120" w:type="dxa"/>
            <w:vAlign w:val="bottom"/>
            <w:shd w:val="clear" w:color="auto" w:fill="CFF0FC"/>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 net</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32,297</w:t>
            </w:r>
          </w:p>
        </w:tc>
        <w:tc>
          <w:tcPr>
            <w:tcW w:w="120" w:type="dxa"/>
            <w:vAlign w:val="bottom"/>
          </w:tcPr>
          <w:p>
            <w:pPr>
              <w:spacing w:after="0"/>
              <w:rPr>
                <w:sz w:val="18"/>
                <w:szCs w:val="18"/>
                <w:color w:val="auto"/>
              </w:rPr>
            </w:pP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Acquisition-related liabilities</w:t>
            </w:r>
          </w:p>
        </w:tc>
        <w:tc>
          <w:tcPr>
            <w:tcW w:w="13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(48,973)</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(48,973)</w:t>
            </w:r>
          </w:p>
        </w:tc>
      </w:tr>
      <w:tr>
        <w:trPr>
          <w:trHeight w:val="20"/>
        </w:trPr>
        <w:tc>
          <w:tcPr>
            <w:tcW w:w="3920" w:type="dxa"/>
            <w:vAlign w:val="bottom"/>
            <w:shd w:val="clear" w:color="auto" w:fill="CFF0FC"/>
          </w:tcPr>
          <w:p>
            <w:pPr>
              <w:spacing w:after="0" w:line="20" w:lineRule="exact"/>
              <w:rPr>
                <w:sz w:val="1"/>
                <w:szCs w:val="1"/>
                <w:color w:val="auto"/>
              </w:rPr>
            </w:pPr>
          </w:p>
        </w:tc>
        <w:tc>
          <w:tcPr>
            <w:tcW w:w="132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48,627</w:t>
            </w:r>
          </w:p>
        </w:tc>
        <w:tc>
          <w:tcPr>
            <w:tcW w:w="1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79,054</w:t>
            </w:r>
          </w:p>
        </w:tc>
        <w:tc>
          <w:tcPr>
            <w:tcW w:w="2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(16,715)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110,966</w:t>
            </w:r>
          </w:p>
        </w:tc>
        <w:tc>
          <w:tcPr>
            <w:tcW w:w="120" w:type="dxa"/>
            <w:vAlign w:val="bottom"/>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3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3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2"/>
                <w:szCs w:val="12"/>
                <w:color w:val="auto"/>
              </w:rPr>
            </w:pPr>
          </w:p>
        </w:tc>
        <w:tc>
          <w:tcPr>
            <w:tcW w:w="106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2"/>
                <w:szCs w:val="12"/>
                <w:color w:val="auto"/>
              </w:rPr>
            </w:pPr>
          </w:p>
        </w:tc>
        <w:tc>
          <w:tcPr>
            <w:tcW w:w="80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32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142,920</w:t>
            </w:r>
          </w:p>
        </w:tc>
        <w:tc>
          <w:tcPr>
            <w:tcW w:w="1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142,920</w:t>
            </w:r>
          </w:p>
        </w:tc>
      </w:tr>
      <w:tr>
        <w:trPr>
          <w:trHeight w:val="216"/>
        </w:trPr>
        <w:tc>
          <w:tcPr>
            <w:tcW w:w="3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13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108,420</w:t>
            </w:r>
          </w:p>
        </w:tc>
        <w:tc>
          <w:tcPr>
            <w:tcW w:w="18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108,420</w:t>
            </w:r>
          </w:p>
        </w:tc>
      </w:tr>
      <w:tr>
        <w:trPr>
          <w:trHeight w:val="216"/>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treasuries</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35,533</w:t>
            </w:r>
          </w:p>
        </w:tc>
      </w:tr>
      <w:tr>
        <w:trPr>
          <w:trHeight w:val="216"/>
        </w:trPr>
        <w:tc>
          <w:tcPr>
            <w:tcW w:w="3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Supranational and sovereign debt</w:t>
            </w:r>
          </w:p>
        </w:tc>
        <w:tc>
          <w:tcPr>
            <w:tcW w:w="13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16,660</w:t>
            </w:r>
          </w:p>
        </w:tc>
        <w:tc>
          <w:tcPr>
            <w:tcW w:w="18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16,660</w:t>
            </w:r>
          </w:p>
        </w:tc>
      </w:tr>
      <w:tr>
        <w:trPr>
          <w:trHeight w:val="216"/>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Municipal bonds</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4,191</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4,191</w:t>
            </w:r>
          </w:p>
        </w:tc>
      </w:tr>
      <w:tr>
        <w:trPr>
          <w:trHeight w:val="216"/>
        </w:trPr>
        <w:tc>
          <w:tcPr>
            <w:tcW w:w="3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Asset backed obligations</w:t>
            </w:r>
          </w:p>
        </w:tc>
        <w:tc>
          <w:tcPr>
            <w:tcW w:w="13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3,438</w:t>
            </w:r>
          </w:p>
        </w:tc>
        <w:tc>
          <w:tcPr>
            <w:tcW w:w="18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3,438</w:t>
            </w:r>
          </w:p>
        </w:tc>
      </w:tr>
      <w:tr>
        <w:trPr>
          <w:trHeight w:val="20"/>
        </w:trPr>
        <w:tc>
          <w:tcPr>
            <w:tcW w:w="3920" w:type="dxa"/>
            <w:vAlign w:val="bottom"/>
            <w:shd w:val="clear" w:color="auto" w:fill="CFF0FC"/>
          </w:tcPr>
          <w:p>
            <w:pPr>
              <w:spacing w:after="0" w:line="20" w:lineRule="exact"/>
              <w:rPr>
                <w:sz w:val="1"/>
                <w:szCs w:val="1"/>
                <w:color w:val="auto"/>
              </w:rPr>
            </w:pPr>
          </w:p>
        </w:tc>
        <w:tc>
          <w:tcPr>
            <w:tcW w:w="13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132,709</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311,162</w:t>
            </w:r>
          </w:p>
        </w:tc>
      </w:tr>
      <w:tr>
        <w:trPr>
          <w:trHeight w:val="20"/>
        </w:trPr>
        <w:tc>
          <w:tcPr>
            <w:tcW w:w="3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3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42,190</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42,190</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 net</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(6,380)</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(6,380)</w:t>
            </w: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Acquisition-related liabilities</w:t>
            </w:r>
          </w:p>
        </w:tc>
        <w:tc>
          <w:tcPr>
            <w:tcW w:w="13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(52,139)</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(52,139)</w:t>
            </w:r>
          </w:p>
        </w:tc>
      </w:tr>
      <w:tr>
        <w:trPr>
          <w:trHeight w:val="20"/>
        </w:trPr>
        <w:tc>
          <w:tcPr>
            <w:tcW w:w="3920" w:type="dxa"/>
            <w:vAlign w:val="bottom"/>
            <w:shd w:val="clear" w:color="auto" w:fill="CFF0FC"/>
          </w:tcPr>
          <w:p>
            <w:pPr>
              <w:spacing w:after="0" w:line="20" w:lineRule="exact"/>
              <w:rPr>
                <w:sz w:val="1"/>
                <w:szCs w:val="1"/>
                <w:color w:val="auto"/>
              </w:rPr>
            </w:pPr>
          </w:p>
        </w:tc>
        <w:tc>
          <w:tcPr>
            <w:tcW w:w="13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178,453</w:t>
            </w:r>
          </w:p>
        </w:tc>
        <w:tc>
          <w:tcPr>
            <w:tcW w:w="1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126,329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(9,949)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294,833</w:t>
            </w:r>
          </w:p>
        </w:tc>
      </w:tr>
      <w:tr>
        <w:trPr>
          <w:trHeight w:val="20"/>
        </w:trPr>
        <w:tc>
          <w:tcPr>
            <w:tcW w:w="3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-2776855</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-2776855</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-2776855</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-2776855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-2211070</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-2211070</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-2211070</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-2211070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-736600</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-736600</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-736600</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-736600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-170815</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three and nine months ended June 30, 2025. Level 3 liabilities relate to certain acquisition-related liabilities, which were generally valued using a Monte-Carlo simulation model and based on estimates of potential pay-out scenarios, valued every quarter. These liabilities were included in both accrued expenses and other current liabilities and other noncurrent liabilities as of June 30, 2025 and September 30, 2024. The decrease in Level 3 liabilities was primarily attributable to changes in the fair value recorded in the consolidated statement of income during the three and nine months ended June 30, 2025, payments of certain acquisition-related liabilities, which were partially offset by new acquisition-related liabilities recorded against goodwill in connection with recent acquisitions. The decrease in Level 3 assets is primarily due to the sale of an equity investment and, to a lesser extent, changes in fair value recorded in the consolidated statement of income for the three and nine months ended June 30,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0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accrued expenses and other current liabilities, accrued personnel costs approximate their fair value because of the relatively short maturity of these items, for the fair value of the Senior Notes, see Note 13.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2"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Available-For-Sale Securities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Available-for-sale securities consist of the following interest-bearing investments: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5"/>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As of June 30,2025</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0"/>
                <w:szCs w:val="10"/>
                <w:color w:val="auto"/>
              </w:rPr>
            </w:pPr>
          </w:p>
        </w:tc>
        <w:tc>
          <w:tcPr>
            <w:tcW w:w="920" w:type="dxa"/>
            <w:vAlign w:val="bottom"/>
          </w:tcPr>
          <w:p>
            <w:pPr>
              <w:jc w:val="center"/>
              <w:ind w:left="12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9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left="12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20,230</w:t>
            </w:r>
          </w:p>
        </w:tc>
        <w:tc>
          <w:tcPr>
            <w:tcW w:w="1140" w:type="dxa"/>
            <w:vAlign w:val="bottom"/>
            <w:gridSpan w:val="2"/>
            <w:shd w:val="clear" w:color="auto" w:fill="CFF0FC"/>
          </w:tcPr>
          <w:p>
            <w:pPr>
              <w:jc w:val="right"/>
              <w:ind w:right="74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33,266</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treasuries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28,997</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Supranational and sovereign debt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12,642</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backed obligations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97,123</w:t>
            </w:r>
          </w:p>
        </w:tc>
        <w:tc>
          <w:tcPr>
            <w:tcW w:w="1140" w:type="dxa"/>
            <w:vAlign w:val="bottom"/>
            <w:gridSpan w:val="2"/>
            <w:shd w:val="clear" w:color="auto" w:fill="CFF0FC"/>
          </w:tcPr>
          <w:p>
            <w:pPr>
              <w:jc w:val="right"/>
              <w:ind w:right="74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95,384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auto"/>
            </w:tcBorders>
          </w:tcPr>
          <w:p>
            <w:pPr>
              <w:spacing w:after="0"/>
              <w:rPr>
                <w:sz w:val="8"/>
                <w:szCs w:val="8"/>
                <w:color w:val="auto"/>
              </w:rPr>
            </w:pPr>
          </w:p>
        </w:tc>
        <w:tc>
          <w:tcPr>
            <w:tcW w:w="920" w:type="dxa"/>
            <w:vAlign w:val="bottom"/>
            <w:tcBorders>
              <w:top w:val="single" w:sz="8" w:color="CFF0FC"/>
              <w:bottom w:val="single" w:sz="8" w:color="auto"/>
            </w:tcBorders>
          </w:tcPr>
          <w:p>
            <w:pPr>
              <w:spacing w:after="0"/>
              <w:rPr>
                <w:sz w:val="8"/>
                <w:szCs w:val="8"/>
                <w:color w:val="auto"/>
              </w:rPr>
            </w:pPr>
          </w:p>
        </w:tc>
        <w:tc>
          <w:tcPr>
            <w:tcW w:w="390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-111125</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-93980</wp:posOffset>
            </wp:positionV>
            <wp:extent cx="603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-111125</wp:posOffset>
            </wp:positionV>
            <wp:extent cx="596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-93980</wp:posOffset>
            </wp:positionV>
            <wp:extent cx="596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-111125</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-93980</wp:posOffset>
            </wp:positionV>
            <wp:extent cx="603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-111125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-93980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 w:lineRule="exact"/>
        <w:rPr>
          <w:sz w:val="20"/>
          <w:szCs w:val="20"/>
          <w:color w:val="auto"/>
        </w:rPr>
      </w:pPr>
    </w:p>
    <w:p>
      <w:pPr>
        <w:jc w:val="both"/>
        <w:ind w:left="380" w:hanging="372"/>
        <w:spacing w:after="0" w:line="261"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June 30, 2025, $75,154 of securities were classified as short-term interest-bearing investments and $20,230 of securities were classified as cash and cash equivalents.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5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0" w:type="dxa"/>
            <w:vAlign w:val="bottom"/>
          </w:tcPr>
          <w:p>
            <w:pPr>
              <w:jc w:val="center"/>
              <w:ind w:left="165"/>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0" w:type="dxa"/>
            <w:vAlign w:val="bottom"/>
          </w:tcPr>
          <w:p>
            <w:pPr>
              <w:jc w:val="center"/>
              <w:ind w:left="14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06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5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5"/>
                <w:szCs w:val="15"/>
                <w:color w:val="auto"/>
              </w:rPr>
            </w:pPr>
          </w:p>
        </w:tc>
        <w:tc>
          <w:tcPr>
            <w:tcW w:w="1000" w:type="dxa"/>
            <w:vAlign w:val="bottom"/>
            <w:tcBorders>
              <w:bottom w:val="single" w:sz="8" w:color="auto"/>
            </w:tcBorders>
          </w:tcPr>
          <w:p>
            <w:pPr>
              <w:jc w:val="center"/>
              <w:ind w:left="16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142,920</w:t>
            </w:r>
          </w:p>
        </w:tc>
        <w:tc>
          <w:tcPr>
            <w:tcW w:w="1000" w:type="dxa"/>
            <w:vAlign w:val="bottom"/>
            <w:shd w:val="clear" w:color="auto" w:fill="CFF0FC"/>
          </w:tcPr>
          <w:p>
            <w:pPr>
              <w:jc w:val="right"/>
              <w:ind w:right="84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142,920</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111,351</w:t>
            </w:r>
          </w:p>
        </w:tc>
        <w:tc>
          <w:tcPr>
            <w:tcW w:w="1000" w:type="dxa"/>
            <w:vAlign w:val="bottom"/>
          </w:tcPr>
          <w:p>
            <w:pPr>
              <w:spacing w:after="0"/>
              <w:rPr>
                <w:sz w:val="18"/>
                <w:szCs w:val="18"/>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2,931</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108,420</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treasuries</w:t>
            </w: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36,904</w:t>
            </w:r>
          </w:p>
        </w:tc>
        <w:tc>
          <w:tcPr>
            <w:tcW w:w="1000" w:type="dxa"/>
            <w:vAlign w:val="bottom"/>
            <w:shd w:val="clear" w:color="auto" w:fill="CFF0FC"/>
          </w:tcPr>
          <w:p>
            <w:pPr>
              <w:spacing w:after="0"/>
              <w:rPr>
                <w:sz w:val="18"/>
                <w:szCs w:val="18"/>
                <w:color w:val="auto"/>
              </w:rPr>
            </w:pPr>
          </w:p>
        </w:tc>
        <w:tc>
          <w:tcPr>
            <w:tcW w:w="4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1,371</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35,533</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Supranational and sovereign debt</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17,438</w:t>
            </w:r>
          </w:p>
        </w:tc>
        <w:tc>
          <w:tcPr>
            <w:tcW w:w="1000" w:type="dxa"/>
            <w:vAlign w:val="bottom"/>
          </w:tcPr>
          <w:p>
            <w:pPr>
              <w:spacing w:after="0"/>
              <w:rPr>
                <w:sz w:val="18"/>
                <w:szCs w:val="18"/>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778</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16,660</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4,317</w:t>
            </w:r>
          </w:p>
        </w:tc>
        <w:tc>
          <w:tcPr>
            <w:tcW w:w="1000" w:type="dxa"/>
            <w:vAlign w:val="bottom"/>
            <w:shd w:val="clear" w:color="auto" w:fill="CFF0FC"/>
          </w:tcPr>
          <w:p>
            <w:pPr>
              <w:spacing w:after="0"/>
              <w:rPr>
                <w:sz w:val="18"/>
                <w:szCs w:val="18"/>
                <w:color w:val="auto"/>
              </w:rPr>
            </w:pPr>
          </w:p>
        </w:tc>
        <w:tc>
          <w:tcPr>
            <w:tcW w:w="4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4,191</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backed obligations</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3,470</w:t>
            </w:r>
          </w:p>
        </w:tc>
        <w:tc>
          <w:tcPr>
            <w:tcW w:w="1000" w:type="dxa"/>
            <w:vAlign w:val="bottom"/>
          </w:tcPr>
          <w:p>
            <w:pPr>
              <w:spacing w:after="0"/>
              <w:rPr>
                <w:sz w:val="18"/>
                <w:szCs w:val="18"/>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3,438</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Total(1)</w:t>
            </w:r>
          </w:p>
        </w:tc>
        <w:tc>
          <w:tcPr>
            <w:tcW w:w="15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316,400</w:t>
            </w:r>
          </w:p>
        </w:tc>
        <w:tc>
          <w:tcPr>
            <w:tcW w:w="1000" w:type="dxa"/>
            <w:vAlign w:val="bottom"/>
            <w:shd w:val="clear" w:color="auto" w:fill="CFF0FC"/>
          </w:tcPr>
          <w:p>
            <w:pPr>
              <w:jc w:val="right"/>
              <w:ind w:right="84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5,238</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311,162</w:t>
            </w:r>
          </w:p>
        </w:tc>
        <w:tc>
          <w:tcPr>
            <w:tcW w:w="0" w:type="dxa"/>
            <w:vAlign w:val="bottom"/>
          </w:tcPr>
          <w:p>
            <w:pPr>
              <w:spacing w:after="0"/>
              <w:rPr>
                <w:sz w:val="1"/>
                <w:szCs w:val="1"/>
                <w:color w:val="auto"/>
              </w:rPr>
            </w:pPr>
          </w:p>
        </w:tc>
      </w:tr>
      <w:tr>
        <w:trPr>
          <w:trHeight w:val="102"/>
        </w:trPr>
        <w:tc>
          <w:tcPr>
            <w:tcW w:w="1500" w:type="dxa"/>
            <w:vAlign w:val="bottom"/>
            <w:tcBorders>
              <w:top w:val="single" w:sz="8" w:color="CFF0FC"/>
              <w:bottom w:val="single" w:sz="8" w:color="auto"/>
            </w:tcBorders>
          </w:tcPr>
          <w:p>
            <w:pPr>
              <w:spacing w:after="0"/>
              <w:rPr>
                <w:sz w:val="8"/>
                <w:szCs w:val="8"/>
                <w:color w:val="auto"/>
              </w:rPr>
            </w:pPr>
          </w:p>
        </w:tc>
        <w:tc>
          <w:tcPr>
            <w:tcW w:w="2420" w:type="dxa"/>
            <w:vAlign w:val="bottom"/>
            <w:tcBorders>
              <w:top w:val="single" w:sz="8" w:color="CFF0FC"/>
            </w:tcBorders>
          </w:tcPr>
          <w:p>
            <w:pPr>
              <w:spacing w:after="0"/>
              <w:rPr>
                <w:sz w:val="8"/>
                <w:szCs w:val="8"/>
                <w:color w:val="auto"/>
              </w:rPr>
            </w:pPr>
          </w:p>
        </w:tc>
        <w:tc>
          <w:tcPr>
            <w:tcW w:w="1500" w:type="dxa"/>
            <w:vAlign w:val="bottom"/>
            <w:tcBorders>
              <w:top w:val="single" w:sz="8" w:color="CFF0FC"/>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260" w:type="dxa"/>
            <w:vAlign w:val="bottom"/>
            <w:tcBorders>
              <w:top w:val="single" w:sz="8" w:color="CFF0FC"/>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-111125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-93980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-111125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-93980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-111125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-93980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-111125</wp:posOffset>
            </wp:positionV>
            <wp:extent cx="774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-93980</wp:posOffset>
            </wp:positionV>
            <wp:extent cx="774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 w:lineRule="exact"/>
        <w:rPr>
          <w:sz w:val="20"/>
          <w:szCs w:val="20"/>
          <w:color w:val="auto"/>
        </w:rPr>
      </w:pPr>
    </w:p>
    <w:p>
      <w:pPr>
        <w:jc w:val="both"/>
        <w:ind w:left="380" w:hanging="372"/>
        <w:spacing w:after="0" w:line="261"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Available-for-sale securities with maturities longer than 90 days from the date of acquisition were classified as short-term interest- bearing investments and available-for-sale securities with maturities of 90 days or less from the date of acquisition were included in cash and cash equivalents on the Company’s consolidated balance sheets. As of September 30, 2024, $168,242 of securities were classified as short-term interest-bearing investments and $142,920 of securities were classified as cash and cash equivalents.</w:t>
      </w:r>
    </w:p>
    <w:p>
      <w:pPr>
        <w:spacing w:after="0" w:line="9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June 30, 2025, the immaterial unrealized losses attributable to the Company’s available-for-sale securities were primarily due to credit spreads and interest rate movements. The Company assessed whether such unrealized losses for the investments in its portfolio were caused by expected credit losses. Based on this assessment, the Company did not recognize any credit losses in the three and nine months ended June 30, 2025 and 2024. Realized gains and losses on short-term interest-bearing investments are included in earnings and are determined based on specific identification method. The Company does not intend to sell these investments. In addition, it is more likely than not that the Company will not be required to sell them before recovery of the amortized cost basis, which may be at maturity.</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2025, the Company’s available-for-sale securities had the following maturity dates:</w:t>
      </w:r>
    </w:p>
    <w:p>
      <w:pPr>
        <w:spacing w:after="0" w:line="151"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60" w:type="dxa"/>
            <w:vAlign w:val="bottom"/>
          </w:tcPr>
          <w:p>
            <w:pPr>
              <w:spacing w:after="0"/>
              <w:rPr>
                <w:sz w:val="15"/>
                <w:szCs w:val="15"/>
                <w:color w:val="auto"/>
              </w:rPr>
            </w:pPr>
          </w:p>
        </w:tc>
      </w:tr>
      <w:tr>
        <w:trPr>
          <w:trHeight w:val="210"/>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70,037</w:t>
            </w:r>
          </w:p>
        </w:tc>
        <w:tc>
          <w:tcPr>
            <w:tcW w:w="60" w:type="dxa"/>
            <w:vAlign w:val="bottom"/>
            <w:shd w:val="clear" w:color="auto" w:fill="CFF0FC"/>
          </w:tcPr>
          <w:p>
            <w:pPr>
              <w:spacing w:after="0"/>
              <w:rPr>
                <w:sz w:val="18"/>
                <w:szCs w:val="18"/>
                <w:color w:val="auto"/>
              </w:rPr>
            </w:pPr>
          </w:p>
        </w:tc>
      </w:tr>
      <w:tr>
        <w:trPr>
          <w:trHeight w:val="216"/>
        </w:trPr>
        <w:tc>
          <w:tcPr>
            <w:tcW w:w="3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1 to 2 years</w:t>
            </w:r>
          </w:p>
        </w:tc>
        <w:tc>
          <w:tcPr>
            <w:tcW w:w="19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25,347</w:t>
            </w:r>
          </w:p>
        </w:tc>
        <w:tc>
          <w:tcPr>
            <w:tcW w:w="60" w:type="dxa"/>
            <w:vAlign w:val="bottom"/>
            <w:tcBorders>
              <w:bottom w:val="single" w:sz="8" w:color="CFF0FC"/>
            </w:tcBorders>
          </w:tcPr>
          <w:p>
            <w:pPr>
              <w:spacing w:after="0"/>
              <w:rPr>
                <w:sz w:val="18"/>
                <w:szCs w:val="18"/>
                <w:color w:val="auto"/>
              </w:rPr>
            </w:pPr>
          </w:p>
        </w:tc>
      </w:tr>
      <w:tr>
        <w:trPr>
          <w:trHeight w:val="249"/>
        </w:trPr>
        <w:tc>
          <w:tcPr>
            <w:tcW w:w="3400" w:type="dxa"/>
            <w:vAlign w:val="bottom"/>
            <w:tcBorders>
              <w:bottom w:val="single" w:sz="8" w:color="CFF0FC"/>
            </w:tcBorders>
            <w:shd w:val="clear" w:color="auto" w:fill="CFF0FC"/>
          </w:tcPr>
          <w:p>
            <w:pPr>
              <w:spacing w:after="0"/>
              <w:rPr>
                <w:sz w:val="21"/>
                <w:szCs w:val="21"/>
                <w:color w:val="auto"/>
              </w:rPr>
            </w:pPr>
          </w:p>
        </w:tc>
        <w:tc>
          <w:tcPr>
            <w:tcW w:w="19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95,384</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431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431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-170815</wp:posOffset>
            </wp:positionV>
            <wp:extent cx="431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06"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w:t>
      </w:r>
    </w:p>
    <w:p>
      <w:pPr>
        <w:sectPr>
          <w:pgSz w:w="11900" w:h="16838" w:orient="portrait"/>
          <w:cols w:equalWidth="0" w:num="1">
            <w:col w:w="11240"/>
          </w:cols>
          <w:pgMar w:left="320" w:top="765"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$38,097 as of June 30, 2025. The Company has limited its credit risk by entering into derivative transactions exclusively with investment-grade rated financial institutions and monitors the creditworthiness of these financial institutions on an ongoing basis.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classifies cash flows from its derivative transactions as cash flows from operating activities in the consolidated statements of cash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flows.</w:t>
      </w:r>
    </w:p>
    <w:p>
      <w:pPr>
        <w:spacing w:after="0" w:line="13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table below presents the total volume or notional amounts of the Company’s derivative instruments as of June 30, 2025. Notional values are in U.S. dollars and are translated and calculated based on forward rates as of June 30, 2025 for forward contracts.</w:t>
      </w:r>
    </w:p>
    <w:p>
      <w:pPr>
        <w:spacing w:after="0" w:line="88"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4"/>
          <w:szCs w:val="14"/>
          <w:b w:val="1"/>
          <w:bCs w:val="1"/>
          <w:color w:val="auto"/>
        </w:rPr>
        <w:t>Notional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7620</wp:posOffset>
            </wp:positionV>
            <wp:extent cx="11912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7" w:lineRule="exact"/>
        <w:rPr>
          <w:sz w:val="20"/>
          <w:szCs w:val="20"/>
          <w:color w:val="auto"/>
        </w:rPr>
      </w:pPr>
    </w:p>
    <w:p>
      <w:pPr>
        <w:spacing w:after="0"/>
        <w:tabs>
          <w:tab w:leader="none" w:pos="9220" w:val="left"/>
          <w:tab w:leader="none" w:pos="10380" w:val="left"/>
        </w:tabs>
        <w:rPr>
          <w:sz w:val="20"/>
          <w:szCs w:val="20"/>
          <w:color w:val="auto"/>
        </w:rPr>
      </w:pPr>
      <w:r>
        <w:rPr>
          <w:rFonts w:ascii="Times New Roman" w:cs="Times New Roman" w:eastAsia="Times New Roman" w:hAnsi="Times New Roman"/>
          <w:sz w:val="18"/>
          <w:szCs w:val="18"/>
          <w:color w:val="auto"/>
        </w:rPr>
        <w:t>Foreign exchange contracts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1,687,076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9512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8" w:lineRule="exact"/>
        <w:rPr>
          <w:sz w:val="20"/>
          <w:szCs w:val="20"/>
          <w:color w:val="auto"/>
        </w:rPr>
      </w:pPr>
    </w:p>
    <w:p>
      <w:pPr>
        <w:ind w:left="340" w:right="20" w:hanging="332"/>
        <w:spacing w:after="0" w:line="282" w:lineRule="auto"/>
        <w:tabs>
          <w:tab w:leader="none" w:pos="16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notional amounts do not quantify risk or represent assets or liabilities of the Company but are used in the calculation of settlements under the contracts.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records all derivative instruments on the consolidated balance sheets at fair value. For further information, please see Note 5 to the consolidated financial statements. The fair value of the open foreign exchange contracts recorded as an asset or a liability by the Company on its consolidated balance sheets as of June 30, 2025 and September 30, 2024, is as follows: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6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2"/>
          </w:tcPr>
          <w:p>
            <w:pPr>
              <w:jc w:val="right"/>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jc w:val="right"/>
              <w:ind w:right="193"/>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r>
      <w:tr>
        <w:trPr>
          <w:trHeight w:val="173"/>
        </w:trPr>
        <w:tc>
          <w:tcPr>
            <w:tcW w:w="69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designated as hedging instruments</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31,794</w:t>
            </w:r>
          </w:p>
        </w:tc>
        <w:tc>
          <w:tcPr>
            <w:tcW w:w="16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100" w:type="dxa"/>
            <w:vAlign w:val="bottom"/>
          </w:tcPr>
          <w:p>
            <w:pPr>
              <w:spacing w:after="0"/>
              <w:rPr>
                <w:sz w:val="18"/>
                <w:szCs w:val="18"/>
                <w:color w:val="auto"/>
              </w:rPr>
            </w:pPr>
          </w:p>
        </w:tc>
      </w:tr>
      <w:tr>
        <w:trPr>
          <w:trHeight w:val="216"/>
        </w:trPr>
        <w:tc>
          <w:tcPr>
            <w:tcW w:w="6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(4,093)</w:t>
            </w:r>
          </w:p>
        </w:tc>
      </w:tr>
      <w:tr>
        <w:trPr>
          <w:trHeight w:val="216"/>
        </w:trPr>
        <w:tc>
          <w:tcPr>
            <w:tcW w:w="6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(236)</w:t>
            </w:r>
          </w:p>
        </w:tc>
      </w:tr>
      <w:tr>
        <w:trPr>
          <w:trHeight w:val="209"/>
        </w:trPr>
        <w:tc>
          <w:tcPr>
            <w:tcW w:w="694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34,497</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tcBorders>
              <w:top w:val="single" w:sz="8" w:color="CFF0FC"/>
            </w:tcBorders>
          </w:tcPr>
          <w:p>
            <w:pPr>
              <w:spacing w:after="0"/>
              <w:rPr>
                <w:sz w:val="18"/>
                <w:szCs w:val="18"/>
                <w:color w:val="auto"/>
              </w:rPr>
            </w:pP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instruments</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Pr>
          <w:p>
            <w:pPr>
              <w:spacing w:after="0"/>
              <w:rPr>
                <w:sz w:val="18"/>
                <w:szCs w:val="18"/>
                <w:color w:val="auto"/>
              </w:rPr>
            </w:pPr>
          </w:p>
        </w:tc>
      </w:tr>
      <w:tr>
        <w:trPr>
          <w:trHeight w:val="216"/>
        </w:trPr>
        <w:tc>
          <w:tcPr>
            <w:tcW w:w="6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(12,212)</w:t>
            </w:r>
          </w:p>
        </w:tc>
      </w:tr>
      <w:tr>
        <w:trPr>
          <w:trHeight w:val="216"/>
        </w:trPr>
        <w:tc>
          <w:tcPr>
            <w:tcW w:w="6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9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(8,302)</w:t>
            </w:r>
          </w:p>
        </w:tc>
      </w:tr>
      <w:tr>
        <w:trPr>
          <w:trHeight w:val="20"/>
        </w:trPr>
        <w:tc>
          <w:tcPr>
            <w:tcW w:w="6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fair value</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32,297</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(6,380)</w:t>
            </w:r>
          </w:p>
        </w:tc>
      </w:tr>
      <w:tr>
        <w:trPr>
          <w:trHeight w:val="20"/>
        </w:trPr>
        <w:tc>
          <w:tcPr>
            <w:tcW w:w="69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-1148080</wp:posOffset>
            </wp:positionV>
            <wp:extent cx="596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-1148080</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-316230</wp:posOffset>
            </wp:positionV>
            <wp:extent cx="596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-316230</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0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three years. A significant portion of the forward contracts outstanding as of June 30, 2025 is scheduled to mature within the next 12 months.</w:t>
      </w:r>
    </w:p>
    <w:p>
      <w:pPr>
        <w:spacing w:after="0" w:line="14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effective portion of the gain or loss on the derivative instruments is initially recorded as a component of other comprehensive income (loss), net, a separate component of equity, and subsequently reclassified into earnings in the same line item as the related forecasted transaction and in the same period or periods during which the hedged exposure affects earnings. The cash flow hedges are evaluated for effectiveness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is recognized immediately in interest and other expense, net.</w:t>
      </w:r>
    </w:p>
    <w:p>
      <w:pPr>
        <w:spacing w:after="0" w:line="14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effect of the Company's cash flow hedging instruments in the consolidated statements of income for the three and nine months ended June 30, 2025 and 2024, respectively, which partially offsets the foreign currency impact from the underlying exposures, is summarized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Gains (Losses) Reclassified from</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420" w:type="dxa"/>
            <w:vAlign w:val="bottom"/>
            <w:gridSpan w:val="14"/>
          </w:tcPr>
          <w:p>
            <w:pPr>
              <w:jc w:val="right"/>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Other Comprehensive Income (Loss) (Effective Portion)</w:t>
            </w:r>
          </w:p>
        </w:tc>
        <w:tc>
          <w:tcPr>
            <w:tcW w:w="0" w:type="dxa"/>
            <w:vAlign w:val="bottom"/>
          </w:tcPr>
          <w:p>
            <w:pPr>
              <w:spacing w:after="0"/>
              <w:rPr>
                <w:sz w:val="1"/>
                <w:szCs w:val="1"/>
                <w:color w:val="auto"/>
              </w:rPr>
            </w:pPr>
          </w:p>
        </w:tc>
      </w:tr>
      <w:tr>
        <w:trPr>
          <w:trHeight w:val="173"/>
        </w:trPr>
        <w:tc>
          <w:tcPr>
            <w:tcW w:w="45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60" w:type="dxa"/>
            <w:vAlign w:val="bottom"/>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2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Line item in consolidated statements of income:</w:t>
            </w:r>
          </w:p>
        </w:tc>
        <w:tc>
          <w:tcPr>
            <w:tcW w:w="1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w:t>
            </w: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(260)</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1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8"/>
              </w:rPr>
              <w:t>3,287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2,236</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(13,488)</w:t>
            </w: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1,081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1,033</w:t>
            </w: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(4,408)</w:t>
            </w: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8"/>
              </w:rPr>
              <w:t>1,061</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1,187</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(4,383)</w:t>
            </w:r>
          </w:p>
        </w:tc>
        <w:tc>
          <w:tcPr>
            <w:tcW w:w="0" w:type="dxa"/>
            <w:vAlign w:val="bottom"/>
          </w:tcPr>
          <w:p>
            <w:pPr>
              <w:spacing w:after="0"/>
              <w:rPr>
                <w:sz w:val="1"/>
                <w:szCs w:val="1"/>
                <w:color w:val="auto"/>
              </w:rPr>
            </w:pPr>
          </w:p>
        </w:tc>
      </w:tr>
      <w:tr>
        <w:trPr>
          <w:trHeight w:val="20"/>
        </w:trPr>
        <w:tc>
          <w:tcPr>
            <w:tcW w:w="450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Pr>
          <w:p>
            <w:pPr>
              <w:spacing w:after="0"/>
              <w:rPr>
                <w:sz w:val="18"/>
                <w:szCs w:val="18"/>
                <w:color w:val="auto"/>
              </w:rPr>
            </w:pPr>
          </w:p>
        </w:tc>
        <w:tc>
          <w:tcPr>
            <w:tcW w:w="720" w:type="dxa"/>
            <w:vAlign w:val="bottom"/>
          </w:tcPr>
          <w:p>
            <w:pPr>
              <w:jc w:val="right"/>
              <w:ind w:right="54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5,098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(6,618)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4,196</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(21,508)</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3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5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5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-1216660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-1216660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-1216660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-1216660</wp:posOffset>
            </wp:positionV>
            <wp:extent cx="774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activity related to the changes in net unrealized gains (losses) on cash flow hedges recorded in accumulated other comprehensive income (loss), net of tax,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278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60" w:type="dxa"/>
            <w:vAlign w:val="bottom"/>
          </w:tcPr>
          <w:p>
            <w:pPr>
              <w:spacing w:after="0"/>
              <w:rPr>
                <w:sz w:val="12"/>
                <w:szCs w:val="12"/>
                <w:color w:val="auto"/>
              </w:rPr>
            </w:pPr>
          </w:p>
        </w:tc>
        <w:tc>
          <w:tcPr>
            <w:tcW w:w="980" w:type="dxa"/>
            <w:vAlign w:val="bottom"/>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7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unrealized gains (losses) on cash flow hedges, net of tax, beginning of period</w:t>
            </w:r>
          </w:p>
        </w:tc>
        <w:tc>
          <w:tcPr>
            <w:tcW w:w="980" w:type="dxa"/>
            <w:vAlign w:val="bottom"/>
            <w:shd w:val="clear" w:color="auto" w:fill="CFF0FC"/>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(34,677)</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cash flow hedges, net of tax</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15,076</w:t>
            </w: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Reclassification of net (gains) losses into earnings, net of tax</w:t>
            </w:r>
          </w:p>
        </w:tc>
        <w:tc>
          <w:tcPr>
            <w:tcW w:w="9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(3,776)</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20,188</w:t>
            </w:r>
          </w:p>
        </w:tc>
      </w:tr>
      <w:tr>
        <w:trPr>
          <w:trHeight w:val="20"/>
        </w:trPr>
        <w:tc>
          <w:tcPr>
            <w:tcW w:w="7760" w:type="dxa"/>
            <w:vAlign w:val="bottom"/>
            <w:tcBorders>
              <w:right w:val="single" w:sz="8" w:color="CFF0FC"/>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gains (losses) on cash flow hedges, net of tax, end of period</w:t>
            </w:r>
          </w:p>
        </w:tc>
        <w:tc>
          <w:tcPr>
            <w:tcW w:w="980" w:type="dxa"/>
            <w:vAlign w:val="bottom"/>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33,285</w:t>
            </w:r>
          </w:p>
        </w:tc>
        <w:tc>
          <w:tcPr>
            <w:tcW w:w="160" w:type="dxa"/>
            <w:vAlign w:val="bottom"/>
          </w:tcPr>
          <w:p>
            <w:pPr>
              <w:spacing w:after="0"/>
              <w:rPr>
                <w:sz w:val="18"/>
                <w:szCs w:val="18"/>
                <w:color w:val="auto"/>
              </w:rPr>
            </w:pPr>
          </w:p>
        </w:tc>
        <w:tc>
          <w:tcPr>
            <w:tcW w:w="10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w:t>
            </w:r>
          </w:p>
        </w:tc>
      </w:tr>
      <w:tr>
        <w:trPr>
          <w:trHeight w:val="20"/>
        </w:trPr>
        <w:tc>
          <w:tcPr>
            <w:tcW w:w="77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gains (losses) from cash flow hedges recognized in other comprehensive income (loss) were $36,739 and $15,600, or $34,024 and $15,076 net of taxes, during the nine months ended June 30, 2025 and 2024, respectively.</w:t>
      </w:r>
    </w:p>
    <w:p>
      <w:pPr>
        <w:spacing w:after="0" w:line="13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Of the net unrealized gains (losses) related to derivatives designated as cash flow hedges and recorded in accumulated other comprehensive income (loss) as of June 30, 2025, a net gain of $27,637 will be reclassified into earnings within the next 12 months and will partially offset the foreign currency impact from the underlying exposures. The amount ultimately realized in earnings will likely differ due to future changes in foreign exchange rates.</w:t>
      </w:r>
    </w:p>
    <w:p>
      <w:pPr>
        <w:spacing w:after="0" w:line="13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ineffective portion of the change in fair value of a cash flow hedge, including the time value portion excluded from effectiveness testing for the three and nine months ended June 30, 2025 and 2024, was not material.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Risk Management Derivatives</w:t>
      </w:r>
    </w:p>
    <w:p>
      <w:pPr>
        <w:spacing w:after="0" w:line="20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These instruments are generally short-term in nature, with typical maturities of less than 12 months, and are subject to fluctuations in foreign exchange rates.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effect of the Company's derivative instruments not designated as hedging instruments in the consolidated statements of income for the three and nine months ended June 30, 2025 and 2024, respectively, which partially offsets the foreign currency impact from the underlying exposure, is summarized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gridSpan w:val="10"/>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(Losses) Gains Recognized in Income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40" w:type="dxa"/>
            <w:vAlign w:val="bottom"/>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gridSpan w:val="10"/>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142"/>
        </w:trPr>
        <w:tc>
          <w:tcPr>
            <w:tcW w:w="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5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Line item in consolidated statements of income:</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3,366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(1,311)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3"/>
              </w:rPr>
              <w:t>1,922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8"/>
                <w:szCs w:val="18"/>
                <w:color w:val="auto"/>
              </w:rPr>
            </w:pPr>
          </w:p>
        </w:tc>
      </w:tr>
      <w:tr>
        <w:trPr>
          <w:trHeight w:val="216"/>
        </w:trPr>
        <w:tc>
          <w:tcPr>
            <w:tcW w:w="57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1,025</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833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r>
      <w:tr>
        <w:trPr>
          <w:trHeight w:val="216"/>
        </w:trPr>
        <w:tc>
          <w:tcPr>
            <w:tcW w:w="57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(15,799)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5"/>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(8,542)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(2,422)</w:t>
            </w:r>
          </w:p>
        </w:tc>
      </w:tr>
      <w:tr>
        <w:trPr>
          <w:trHeight w:val="216"/>
        </w:trPr>
        <w:tc>
          <w:tcPr>
            <w:tcW w:w="5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(353)</w:t>
            </w:r>
          </w:p>
        </w:tc>
      </w:tr>
      <w:tr>
        <w:trPr>
          <w:trHeight w:val="20"/>
        </w:trPr>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shd w:val="clear" w:color="auto" w:fill="CFF0FC"/>
          </w:tcPr>
          <w:p>
            <w:pPr>
              <w:spacing w:after="0"/>
              <w:rPr>
                <w:sz w:val="21"/>
                <w:szCs w:val="21"/>
                <w:color w:val="auto"/>
              </w:rPr>
            </w:pPr>
          </w:p>
        </w:tc>
        <w:tc>
          <w:tcPr>
            <w:tcW w:w="4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(10,742)</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(289)</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5"/>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(5,118)</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(2,194)</w:t>
            </w:r>
          </w:p>
        </w:tc>
      </w:tr>
      <w:tr>
        <w:trPr>
          <w:trHeight w:val="413"/>
        </w:trPr>
        <w:tc>
          <w:tcPr>
            <w:tcW w:w="4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528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1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05"/>
        </w:trPr>
        <w:tc>
          <w:tcPr>
            <w:tcW w:w="440" w:type="dxa"/>
            <w:vAlign w:val="bottom"/>
          </w:tcPr>
          <w:p>
            <w:pPr>
              <w:spacing w:after="0"/>
              <w:rPr>
                <w:sz w:val="24"/>
                <w:szCs w:val="24"/>
                <w:color w:val="auto"/>
              </w:rPr>
            </w:pPr>
          </w:p>
        </w:tc>
        <w:tc>
          <w:tcPr>
            <w:tcW w:w="5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7"/>
        </w:trPr>
        <w:tc>
          <w:tcPr>
            <w:tcW w:w="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80" w:type="dxa"/>
            <w:vAlign w:val="bottom"/>
            <w:gridSpan w:val="6"/>
          </w:tcPr>
          <w:p>
            <w:pPr>
              <w:ind w:left="52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4"/>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r>
      <w:tr>
        <w:trPr>
          <w:trHeight w:val="173"/>
        </w:trPr>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5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Ongoing accrued expenses</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9"/>
              </w:rPr>
              <w:t>326,073</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445,253</w:t>
            </w:r>
          </w:p>
        </w:tc>
      </w:tr>
      <w:tr>
        <w:trPr>
          <w:trHeight w:val="216"/>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Project-related provisions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30,584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42,719</w:t>
            </w:r>
          </w:p>
        </w:tc>
      </w:tr>
      <w:tr>
        <w:trPr>
          <w:trHeight w:val="216"/>
        </w:trPr>
        <w:tc>
          <w:tcPr>
            <w:tcW w:w="5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57,969</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54,081</w:t>
            </w:r>
          </w:p>
        </w:tc>
      </w:tr>
      <w:tr>
        <w:trPr>
          <w:trHeight w:val="216"/>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Taxes payable (1)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35,608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47,697</w:t>
            </w:r>
          </w:p>
        </w:tc>
      </w:tr>
      <w:tr>
        <w:trPr>
          <w:trHeight w:val="216"/>
        </w:trPr>
        <w:tc>
          <w:tcPr>
            <w:tcW w:w="5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14,713</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16,305</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162,354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172,884</w:t>
            </w:r>
          </w:p>
        </w:tc>
        <w:tc>
          <w:tcPr>
            <w:tcW w:w="100" w:type="dxa"/>
            <w:vAlign w:val="bottom"/>
          </w:tcPr>
          <w:p>
            <w:pPr>
              <w:spacing w:after="0"/>
              <w:rPr>
                <w:sz w:val="18"/>
                <w:szCs w:val="18"/>
                <w:color w:val="auto"/>
              </w:rPr>
            </w:pPr>
          </w:p>
        </w:tc>
      </w:tr>
      <w:tr>
        <w:trPr>
          <w:trHeight w:val="249"/>
        </w:trPr>
        <w:tc>
          <w:tcPr>
            <w:tcW w:w="57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9"/>
              </w:rPr>
              <w:t>627,301</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778,939</w:t>
            </w:r>
          </w:p>
        </w:tc>
      </w:tr>
      <w:tr>
        <w:trPr>
          <w:trHeight w:val="102"/>
        </w:trPr>
        <w:tc>
          <w:tcPr>
            <w:tcW w:w="440" w:type="dxa"/>
            <w:vAlign w:val="bottom"/>
            <w:tcBorders>
              <w:top w:val="single" w:sz="8" w:color="CFF0FC"/>
              <w:bottom w:val="single" w:sz="8" w:color="auto"/>
            </w:tcBorders>
          </w:tcPr>
          <w:p>
            <w:pPr>
              <w:spacing w:after="0"/>
              <w:rPr>
                <w:sz w:val="8"/>
                <w:szCs w:val="8"/>
                <w:color w:val="auto"/>
              </w:rPr>
            </w:pPr>
          </w:p>
        </w:tc>
        <w:tc>
          <w:tcPr>
            <w:tcW w:w="1060" w:type="dxa"/>
            <w:vAlign w:val="bottom"/>
            <w:tcBorders>
              <w:top w:val="single" w:sz="8" w:color="CFF0FC"/>
              <w:bottom w:val="single" w:sz="8" w:color="auto"/>
            </w:tcBorders>
          </w:tcPr>
          <w:p>
            <w:pPr>
              <w:spacing w:after="0"/>
              <w:rPr>
                <w:sz w:val="8"/>
                <w:szCs w:val="8"/>
                <w:color w:val="auto"/>
              </w:rPr>
            </w:pPr>
          </w:p>
        </w:tc>
        <w:tc>
          <w:tcPr>
            <w:tcW w:w="42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920" w:type="dxa"/>
            <w:vAlign w:val="bottom"/>
            <w:tcBorders>
              <w:top w:val="single" w:sz="8" w:color="CFF0FC"/>
            </w:tcBorders>
          </w:tcPr>
          <w:p>
            <w:pPr>
              <w:spacing w:after="0"/>
              <w:rPr>
                <w:sz w:val="8"/>
                <w:szCs w:val="8"/>
                <w:color w:val="auto"/>
              </w:rPr>
            </w:pPr>
          </w:p>
        </w:tc>
        <w:tc>
          <w:tcPr>
            <w:tcW w:w="160" w:type="dxa"/>
            <w:vAlign w:val="bottom"/>
            <w:tcBorders>
              <w:top w:val="single" w:sz="8" w:color="CFF0FC"/>
            </w:tcBorders>
          </w:tcPr>
          <w:p>
            <w:pPr>
              <w:spacing w:after="0"/>
              <w:rPr>
                <w:sz w:val="8"/>
                <w:szCs w:val="8"/>
                <w:color w:val="auto"/>
              </w:rPr>
            </w:pPr>
          </w:p>
        </w:tc>
        <w:tc>
          <w:tcPr>
            <w:tcW w:w="8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440" w:type="dxa"/>
            <w:vAlign w:val="bottom"/>
            <w:tcBorders>
              <w:top w:val="single" w:sz="8" w:color="CFF0FC"/>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 w:type="dxa"/>
            <w:vAlign w:val="bottom"/>
            <w:tcBorders>
              <w:top w:val="single" w:sz="8" w:color="CFF0FC"/>
            </w:tcBorders>
          </w:tcPr>
          <w:p>
            <w:pPr>
              <w:spacing w:after="0"/>
              <w:rPr>
                <w:sz w:val="8"/>
                <w:szCs w:val="8"/>
                <w:color w:val="auto"/>
              </w:rPr>
            </w:pPr>
          </w:p>
        </w:tc>
        <w:tc>
          <w:tcPr>
            <w:tcW w:w="26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-2073910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-2056765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-2073910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-2056765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-2073910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-2056765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-2073910</wp:posOffset>
            </wp:positionV>
            <wp:extent cx="7747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-2056765</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-111125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-93980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-111125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-93980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For further details, please see Note 10 to the consolidated financial statements.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2"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charges</w:t>
      </w:r>
    </w:p>
    <w:p>
      <w:pPr>
        <w:spacing w:after="0" w:line="24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fiscal year 2023, the Company conducted certain restructuring actions (the “2023 Restructuring Plan”), primarily associated with alignment of the Company’s workforce around its global site strategy, the optimization of the Company’s hybrid work model, as well as appropriate measures to optimize expenditures and resource allocation, as a result of which, the Company incurred restructuring charges of $70,901. The remaining liability under the 2023 Restructuring Plan, as of June 30, 2025, is immaterial and most of it is expected to be paid during the fiscal year 2025.</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During the second quarter of fiscal year 2024, the Company initiated a new restructuring plan (the “2024 Restructuring Plan”), which was mainly comprised of employee severance expenses and benefits arrangements, as a result of which, the Company incurred restructuring charges of $138,985, as of June 30, 2025. The majority of the remaining liability under the 2024 Restructuring Plan, as of June 30, 2025, is expected to be paid during the coming several quarters. The Company expects to execute the remainder of the 2024 Restructuring plan over the next several quarters.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restructuring activities for the 2024 and 2023 Restructuring Plans, as of June 30, 2025 were as follows (*) (**):</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Workforce</w:t>
            </w:r>
          </w:p>
        </w:tc>
        <w:tc>
          <w:tcPr>
            <w:tcW w:w="7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Premises and other</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10"/>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as of October 1, 2024</w:t>
            </w:r>
          </w:p>
        </w:tc>
        <w:tc>
          <w:tcPr>
            <w:tcW w:w="2380" w:type="dxa"/>
            <w:vAlign w:val="bottom"/>
            <w:gridSpan w:val="2"/>
            <w:shd w:val="clear" w:color="auto" w:fill="CFF0FC"/>
          </w:tcPr>
          <w:p>
            <w:pPr>
              <w:jc w:val="right"/>
              <w:ind w:right="15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75,319</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2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77,984</w:t>
            </w:r>
          </w:p>
        </w:tc>
        <w:tc>
          <w:tcPr>
            <w:tcW w:w="100" w:type="dxa"/>
            <w:vAlign w:val="bottom"/>
            <w:shd w:val="clear" w:color="auto" w:fill="CFF0FC"/>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6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6,783</w:t>
            </w:r>
          </w:p>
        </w:tc>
        <w:tc>
          <w:tcPr>
            <w:tcW w:w="100" w:type="dxa"/>
            <w:vAlign w:val="bottom"/>
          </w:tcPr>
          <w:p>
            <w:pPr>
              <w:spacing w:after="0"/>
              <w:rPr>
                <w:sz w:val="18"/>
                <w:szCs w:val="18"/>
                <w:color w:val="auto"/>
              </w:rPr>
            </w:pPr>
          </w:p>
        </w:tc>
      </w:tr>
      <w:tr>
        <w:trPr>
          <w:trHeight w:val="216"/>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w:t>
            </w:r>
          </w:p>
        </w:tc>
        <w:tc>
          <w:tcPr>
            <w:tcW w:w="68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(40,988)</w:t>
            </w:r>
          </w:p>
        </w:tc>
        <w:tc>
          <w:tcPr>
            <w:tcW w:w="28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(1,768)</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(42,756)</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Non-Cash items</w:t>
            </w:r>
          </w:p>
        </w:tc>
        <w:tc>
          <w:tcPr>
            <w:tcW w:w="6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(886)</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8"/>
                <w:szCs w:val="18"/>
                <w:color w:val="auto"/>
              </w:rPr>
            </w:pPr>
          </w:p>
        </w:tc>
      </w:tr>
      <w:tr>
        <w:trPr>
          <w:trHeight w:val="249"/>
        </w:trPr>
        <w:tc>
          <w:tcPr>
            <w:tcW w:w="2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as of March 31, 2025</w:t>
            </w:r>
          </w:p>
        </w:tc>
        <w:tc>
          <w:tcPr>
            <w:tcW w:w="68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top w:val="single" w:sz="8" w:color="auto"/>
              <w:bottom w:val="single" w:sz="8" w:color="auto"/>
            </w:tcBorders>
            <w:shd w:val="clear" w:color="auto" w:fill="CFF0FC"/>
          </w:tcPr>
          <w:p>
            <w:pPr>
              <w:jc w:val="right"/>
              <w:ind w:right="15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39,084</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2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Restructuring Charges</w:t>
            </w:r>
          </w:p>
        </w:tc>
        <w:tc>
          <w:tcPr>
            <w:tcW w:w="6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gridSpan w:val="2"/>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20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w:t>
            </w:r>
          </w:p>
        </w:tc>
        <w:tc>
          <w:tcPr>
            <w:tcW w:w="68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(16,396)</w:t>
            </w:r>
          </w:p>
        </w:tc>
        <w:tc>
          <w:tcPr>
            <w:tcW w:w="28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(633)</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(17,029)</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Non-Cash items</w:t>
            </w:r>
          </w:p>
        </w:tc>
        <w:tc>
          <w:tcPr>
            <w:tcW w:w="6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(260)</w:t>
            </w: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r>
      <w:tr>
        <w:trPr>
          <w:trHeight w:val="249"/>
        </w:trPr>
        <w:tc>
          <w:tcPr>
            <w:tcW w:w="2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as of June 30, 2025</w:t>
            </w:r>
          </w:p>
        </w:tc>
        <w:tc>
          <w:tcPr>
            <w:tcW w:w="68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top w:val="single" w:sz="8" w:color="auto"/>
              <w:bottom w:val="single" w:sz="8" w:color="auto"/>
            </w:tcBorders>
            <w:shd w:val="clear" w:color="auto" w:fill="CFF0FC"/>
          </w:tcPr>
          <w:p>
            <w:pPr>
              <w:jc w:val="right"/>
              <w:ind w:right="15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22,428</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-608330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-590550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-608330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-590550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-608330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-24765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The table above does not include amounts related to employees' benefit incurred in prior periods.</w:t>
      </w:r>
    </w:p>
    <w:p>
      <w:pPr>
        <w:spacing w:after="0" w:line="27" w:lineRule="exact"/>
        <w:rPr>
          <w:sz w:val="20"/>
          <w:szCs w:val="20"/>
          <w:color w:val="auto"/>
        </w:rPr>
      </w:pPr>
    </w:p>
    <w:p>
      <w:pPr>
        <w:ind w:right="280" w:firstLine="509"/>
        <w:spacing w:after="0" w:line="260" w:lineRule="auto"/>
        <w:rPr>
          <w:sz w:val="20"/>
          <w:szCs w:val="20"/>
          <w:color w:val="auto"/>
        </w:rPr>
      </w:pPr>
      <w:r>
        <w:rPr>
          <w:rFonts w:ascii="Times New Roman" w:cs="Times New Roman" w:eastAsia="Times New Roman" w:hAnsi="Times New Roman"/>
          <w:sz w:val="18"/>
          <w:szCs w:val="18"/>
          <w:color w:val="auto"/>
        </w:rPr>
        <w:t>(**)The 2023 Restructuring Plan which was presented in prior periods in a separate table, is now combined with the table for 2024 Restructuring Plan, due to immateriality of the remaining liability for the 2023 Restructuring Plan.</w:t>
      </w:r>
    </w:p>
    <w:p>
      <w:pPr>
        <w:spacing w:after="0" w:line="150" w:lineRule="exact"/>
        <w:rPr>
          <w:sz w:val="20"/>
          <w:szCs w:val="20"/>
          <w:color w:val="auto"/>
        </w:rPr>
      </w:pPr>
    </w:p>
    <w:p>
      <w:pPr>
        <w:ind w:left="540" w:hanging="532"/>
        <w:spacing w:after="0"/>
        <w:tabs>
          <w:tab w:leader="none" w:pos="5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provision</w:t>
            </w:r>
          </w:p>
        </w:tc>
        <w:tc>
          <w:tcPr>
            <w:tcW w:w="44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for income taxes for the following periods consisted of:</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4"/>
        </w:trPr>
        <w:tc>
          <w:tcPr>
            <w:tcW w:w="15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142"/>
        </w:trPr>
        <w:tc>
          <w:tcPr>
            <w:tcW w:w="15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4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27,361</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40,904</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90,907</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90,836</w:t>
            </w:r>
          </w:p>
        </w:tc>
        <w:tc>
          <w:tcPr>
            <w:tcW w:w="120" w:type="dxa"/>
            <w:vAlign w:val="bottom"/>
            <w:shd w:val="clear" w:color="auto" w:fill="CFF0FC"/>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4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(12,347)</w:t>
            </w:r>
          </w:p>
        </w:tc>
      </w:tr>
      <w:tr>
        <w:trPr>
          <w:trHeight w:val="20"/>
        </w:trPr>
        <w:tc>
          <w:tcPr>
            <w:tcW w:w="15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4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35,963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27,998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101,805</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78,489</w:t>
            </w:r>
          </w:p>
        </w:tc>
        <w:tc>
          <w:tcPr>
            <w:tcW w:w="120" w:type="dxa"/>
            <w:vAlign w:val="bottom"/>
            <w:shd w:val="clear" w:color="auto" w:fill="CFF0FC"/>
          </w:tcPr>
          <w:p>
            <w:pPr>
              <w:spacing w:after="0"/>
              <w:rPr>
                <w:sz w:val="19"/>
                <w:szCs w:val="19"/>
                <w:color w:val="auto"/>
              </w:rPr>
            </w:pPr>
          </w:p>
        </w:tc>
      </w:tr>
      <w:tr>
        <w:trPr>
          <w:trHeight w:val="20"/>
        </w:trPr>
        <w:tc>
          <w:tcPr>
            <w:tcW w:w="1560" w:type="dxa"/>
            <w:vAlign w:val="bottom"/>
            <w:tcBorders>
              <w:top w:val="single" w:sz="8" w:color="CFF0FC"/>
            </w:tcBorders>
            <w:shd w:val="clear" w:color="auto" w:fill="CFF0FC"/>
          </w:tcPr>
          <w:p>
            <w:pPr>
              <w:spacing w:after="0" w:line="20" w:lineRule="exact"/>
              <w:rPr>
                <w:sz w:val="1"/>
                <w:szCs w:val="1"/>
                <w:color w:val="auto"/>
              </w:rPr>
            </w:pPr>
          </w:p>
        </w:tc>
        <w:tc>
          <w:tcPr>
            <w:tcW w:w="4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effective income tax rate varied from the statutory Guernsey tax rate as follows for the following periods: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2200" w:type="dxa"/>
            <w:vAlign w:val="bottom"/>
            <w:gridSpan w:val="4"/>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6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Borders>
              <w:bottom w:val="single" w:sz="8" w:color="auto"/>
            </w:tcBorders>
            <w:gridSpan w:val="3"/>
          </w:tcPr>
          <w:p>
            <w:pPr>
              <w:jc w:val="center"/>
              <w:ind w:left="8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56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r>
      <w:tr>
        <w:trPr>
          <w:trHeight w:val="210"/>
        </w:trPr>
        <w:tc>
          <w:tcPr>
            <w:tcW w:w="6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Statutory Guernsey tax rate</w:t>
            </w: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Foreign taxes (1)</w:t>
            </w: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tcPr>
          <w:p>
            <w:pPr>
              <w:spacing w:after="0"/>
              <w:rPr>
                <w:sz w:val="18"/>
                <w:szCs w:val="18"/>
                <w:color w:val="auto"/>
              </w:rPr>
            </w:pPr>
          </w:p>
        </w:tc>
      </w:tr>
      <w:tr>
        <w:trPr>
          <w:trHeight w:val="23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7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18.9%</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16.6%</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17.8%</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r>
      <w:tr>
        <w:trPr>
          <w:trHeight w:val="20"/>
        </w:trPr>
        <w:tc>
          <w:tcPr>
            <w:tcW w:w="56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-24765</wp:posOffset>
            </wp:positionV>
            <wp:extent cx="1111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1111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1111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1111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11112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1111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a Guernsey company subject to a corporate tax rate of zero percent, the Company's overall effective tax rate is attributable to foreign taxes. The change in rate is primarily driven by discrete items in the respective period presented as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95123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3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the nine months ended June 30, 2025, the Company recorded a tax benefit of $16,797 related to the release of prior periods accrued withholding taxes on unremitted earnings accumulated in a certain jurisdiction. The release of the accrued withholding taxes followed the Company’s funding decisions relating to investment allocation decision.</w:t>
      </w:r>
    </w:p>
    <w:p>
      <w:pPr>
        <w:sectPr>
          <w:pgSz w:w="11900" w:h="16838" w:orient="portrait"/>
          <w:cols w:equalWidth="0" w:num="1">
            <w:col w:w="11240"/>
          </w:cols>
          <w:pgMar w:left="320" w:top="765"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2" w:lineRule="exact"/>
        <w:rPr>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Foreign taxes for the nine months ended June 30, 2025:</w:t>
      </w:r>
    </w:p>
    <w:p>
      <w:pPr>
        <w:spacing w:after="0" w:line="229"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Foreign taxes in the nine months ended June 30, 2025 also included a benefit of $16,940 relating primarily to release of gross unrecognized tax benefits due to expiration of the periods set forth in statutes of limitations in certain jurisdictions, and settlements of tax audits.</w:t>
      </w:r>
    </w:p>
    <w:p>
      <w:pPr>
        <w:spacing w:after="0" w:line="158"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Foreign taxes for the nine months ended June 30, 2024:</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Foreign taxes in the nine months ended June 30, 2024 included a benefit of $80,360 relating primarily to release of gross unrecognized tax benefits due to settlements of tax audits, and expiration of the periods set forth in statutes of limitations in certain jurisdictions. Part of the release was offset by an increase in taxes payable and tax payments, and, as a result, a net benefit of $46,573 was included within income tax expense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95123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5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June 30, 2025, deferred tax assets of $62,520, derived primarily from tax credits, net capital and operating loss carry forwards related to some of the Company's subsidiaries, were offset by valuation allowances due to the uncertainty of realizing tax benefit for such credits and losses.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total amount of gross unrecognized tax benefits, was $171,600 as of June 30, 2025, all of which would affect the effective tax rate if realized.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amount includes an accrual of $35,703 in income taxes payable for interest and penalties relating to unrecognized tax benefits.</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is currently under tax audit in several jurisdictions for the tax years 2007 and onwards. Timing of the resolution of audits is highly uncertain and therefore, as of June 30, 2025, the Company cannot estimate the change in unrecognized tax benefits resulting from these audits within the next 12 months.</w:t>
      </w:r>
    </w:p>
    <w:p>
      <w:pPr>
        <w:spacing w:after="0" w:line="131" w:lineRule="exact"/>
        <w:rPr>
          <w:sz w:val="20"/>
          <w:szCs w:val="20"/>
          <w:color w:val="auto"/>
        </w:rPr>
      </w:pPr>
    </w:p>
    <w:p>
      <w:pPr>
        <w:ind w:left="540" w:hanging="532"/>
        <w:spacing w:after="0"/>
        <w:tabs>
          <w:tab w:leader="none" w:pos="5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attributable to Amdocs Limited</w:t>
            </w:r>
          </w:p>
        </w:tc>
        <w:tc>
          <w:tcPr>
            <w:tcW w:w="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154,001</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140,289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468,377</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406,756</w:t>
            </w:r>
          </w:p>
        </w:tc>
      </w:tr>
      <w:tr>
        <w:trPr>
          <w:trHeight w:val="216"/>
        </w:trPr>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income and dividends attributable to participating restricted stock</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(2,904)</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(2,708)</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(8,765)</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(7,654)</w:t>
            </w:r>
          </w:p>
        </w:tc>
      </w:tr>
      <w:tr>
        <w:trPr>
          <w:trHeight w:val="20"/>
        </w:trPr>
        <w:tc>
          <w:tcPr>
            <w:tcW w:w="55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Numerator for basic earnings per common share</w:t>
            </w:r>
          </w:p>
        </w:tc>
        <w:tc>
          <w:tcPr>
            <w:tcW w:w="3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151,097</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137,581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459,612</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399,102</w:t>
            </w:r>
          </w:p>
        </w:tc>
      </w:tr>
      <w:tr>
        <w:trPr>
          <w:trHeight w:val="20"/>
        </w:trPr>
        <w:tc>
          <w:tcPr>
            <w:tcW w:w="5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50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Undistributed income allocated to participating restricted stock</w:t>
            </w: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1,805</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1,645</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5,559</w:t>
            </w:r>
          </w:p>
        </w:tc>
        <w:tc>
          <w:tcPr>
            <w:tcW w:w="2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4,612</w:t>
            </w:r>
          </w:p>
        </w:tc>
      </w:tr>
      <w:tr>
        <w:trPr>
          <w:trHeight w:val="216"/>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Undistributed income reallocated to participating restricted stock</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(5,529)</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(4,585)</w:t>
            </w:r>
          </w:p>
        </w:tc>
      </w:tr>
      <w:tr>
        <w:trPr>
          <w:trHeight w:val="20"/>
        </w:trPr>
        <w:tc>
          <w:tcPr>
            <w:tcW w:w="5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Numerator for diluted earnings per common share</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151,106</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137,589</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459,642</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399,129</w:t>
            </w:r>
          </w:p>
        </w:tc>
      </w:tr>
      <w:tr>
        <w:trPr>
          <w:trHeight w:val="196"/>
        </w:trPr>
        <w:tc>
          <w:tcPr>
            <w:tcW w:w="55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110,614</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114,973</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111,776</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116,075</w:t>
            </w:r>
          </w:p>
        </w:tc>
      </w:tr>
      <w:tr>
        <w:trPr>
          <w:trHeight w:val="216"/>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number of participating restricted stock</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(2,092)</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(2,184)</w:t>
            </w:r>
          </w:p>
        </w:tc>
      </w:tr>
      <w:tr>
        <w:trPr>
          <w:trHeight w:val="20"/>
        </w:trPr>
        <w:tc>
          <w:tcPr>
            <w:tcW w:w="5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number of common shares - basic</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108,527</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112,754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109,684</w:t>
            </w: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113,891</w:t>
            </w:r>
          </w:p>
        </w:tc>
      </w:tr>
      <w:tr>
        <w:trPr>
          <w:trHeight w:val="20"/>
        </w:trPr>
        <w:tc>
          <w:tcPr>
            <w:tcW w:w="55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550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Effect of dilutive equity-based compensation awards</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574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608</w:t>
            </w:r>
          </w:p>
        </w:tc>
        <w:tc>
          <w:tcPr>
            <w:tcW w:w="280" w:type="dxa"/>
            <w:vAlign w:val="bottom"/>
          </w:tcPr>
          <w:p>
            <w:pPr>
              <w:spacing w:after="0"/>
              <w:rPr>
                <w:sz w:val="17"/>
                <w:szCs w:val="17"/>
                <w:color w:val="auto"/>
              </w:rPr>
            </w:pPr>
          </w:p>
        </w:tc>
        <w:tc>
          <w:tcPr>
            <w:tcW w:w="9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663</w:t>
            </w:r>
          </w:p>
        </w:tc>
      </w:tr>
      <w:tr>
        <w:trPr>
          <w:trHeight w:val="20"/>
        </w:trPr>
        <w:tc>
          <w:tcPr>
            <w:tcW w:w="5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number of common shares - diluted</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109,101</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113,329</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110,292</w:t>
            </w: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114,554</w:t>
            </w:r>
          </w:p>
        </w:tc>
      </w:tr>
      <w:tr>
        <w:trPr>
          <w:trHeight w:val="20"/>
        </w:trPr>
        <w:tc>
          <w:tcPr>
            <w:tcW w:w="55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550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Basic earnings per common share attributable to Amdocs Limited</w:t>
            </w:r>
          </w:p>
        </w:tc>
        <w:tc>
          <w:tcPr>
            <w:tcW w:w="32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1.39</w:t>
            </w:r>
          </w:p>
        </w:tc>
        <w:tc>
          <w:tcPr>
            <w:tcW w:w="36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3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4.19</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3.50</w:t>
            </w:r>
          </w:p>
        </w:tc>
      </w:tr>
      <w:tr>
        <w:trPr>
          <w:trHeight w:val="20"/>
        </w:trPr>
        <w:tc>
          <w:tcPr>
            <w:tcW w:w="5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550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 earnings per common share attributable to Amdocs Limited</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1.39</w:t>
            </w:r>
          </w:p>
        </w:tc>
        <w:tc>
          <w:tcPr>
            <w:tcW w:w="36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36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4.17</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3.48</w:t>
            </w:r>
          </w:p>
        </w:tc>
      </w:tr>
      <w:tr>
        <w:trPr>
          <w:trHeight w:val="20"/>
        </w:trPr>
        <w:tc>
          <w:tcPr>
            <w:tcW w:w="55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-1833880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-1833880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-1833880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-1833880</wp:posOffset>
            </wp:positionV>
            <wp:extent cx="77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-1242060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-1224915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-1242060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-1224915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-1242060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-1224915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-1242060</wp:posOffset>
            </wp:positionV>
            <wp:extent cx="774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-1224915</wp:posOffset>
            </wp:positionV>
            <wp:extent cx="7747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-659130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-642620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-659130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-642620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-659130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-642620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-659130</wp:posOffset>
            </wp:positionV>
            <wp:extent cx="774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-642620</wp:posOffset>
            </wp:positionV>
            <wp:extent cx="7747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-350520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-333375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-350520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-333375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-350520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-333375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-350520</wp:posOffset>
            </wp:positionV>
            <wp:extent cx="774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-333375</wp:posOffset>
            </wp:positionV>
            <wp:extent cx="774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June 30, 2025, 82 and 128 shares, respectively, on a weighted average basis, were attributable to antidilutive outstanding equity-based compensation awards. For the three and nine months ended June 30, 2024, 6 and 63, respectively, on a weighted average basis, were attributable to antidilutive outstanding stock options and restricted stock units. Shares attributable to antidilutive outstanding stock equity-based compensation awards were not included in the calculation of diluted earnings per share.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2" w:lineRule="exact"/>
        <w:rPr>
          <w:sz w:val="20"/>
          <w:szCs w:val="20"/>
          <w:color w:val="auto"/>
        </w:rPr>
      </w:pPr>
    </w:p>
    <w:p>
      <w:pPr>
        <w:ind w:left="540" w:hanging="532"/>
        <w:spacing w:after="0"/>
        <w:tabs>
          <w:tab w:leader="none" w:pos="5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Repurchase of Shares</w:t>
      </w:r>
    </w:p>
    <w:p>
      <w:pPr>
        <w:spacing w:after="0" w:line="202" w:lineRule="exact"/>
        <w:rPr>
          <w:sz w:val="20"/>
          <w:szCs w:val="20"/>
          <w:color w:val="auto"/>
        </w:rPr>
      </w:pPr>
    </w:p>
    <w:p>
      <w:pPr>
        <w:jc w:val="both"/>
        <w:ind w:firstLine="554"/>
        <w:spacing w:after="0" w:line="253" w:lineRule="auto"/>
        <w:rPr>
          <w:sz w:val="20"/>
          <w:szCs w:val="20"/>
          <w:color w:val="auto"/>
        </w:rPr>
      </w:pPr>
      <w:r>
        <w:rPr>
          <w:rFonts w:ascii="Times New Roman" w:cs="Times New Roman" w:eastAsia="Times New Roman" w:hAnsi="Times New Roman"/>
          <w:sz w:val="18"/>
          <w:szCs w:val="18"/>
          <w:color w:val="auto"/>
        </w:rPr>
        <w:t xml:space="preserve">From time to time, the Company’s Board of Directors can adopt share repurchase plans authorizing the repurchase of the Company’s outstanding ordinary shares. On August 2, 2023, the Company’s Board of Directors adopted a share repurchase plan for the repurchase of up to an additional $1.1 billion of the Company’s outstanding ordinary shares with no expiration date. The August 2023 plan permits the Company to purchase our ordinary shares in the open market or through privately negotiated transactions at times and prices that the Company considers appropriate. </w:t>
      </w:r>
      <w:r>
        <w:rPr>
          <w:rFonts w:ascii="Times New Roman" w:cs="Times New Roman" w:eastAsia="Times New Roman" w:hAnsi="Times New Roman"/>
          <w:sz w:val="18"/>
          <w:szCs w:val="18"/>
          <w:color w:val="231F20"/>
        </w:rPr>
        <w:t>During the nine months 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June 30, 2025, </w:t>
      </w:r>
      <w:r>
        <w:rPr>
          <w:rFonts w:ascii="Times New Roman" w:cs="Times New Roman" w:eastAsia="Times New Roman" w:hAnsi="Times New Roman"/>
          <w:sz w:val="18"/>
          <w:szCs w:val="18"/>
          <w:color w:val="000000"/>
        </w:rPr>
        <w:t>the Company repurchased 4,716 ordinary shares at an average price of $87.97 per share (excluding broker and transaction fees). As of June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30, 2025, the Company had remaining authority to repurchase up to $122,791 of its outstanding ordinary shares under the August 2023 plan. On May 7, 2025, the Company’s Board of Directors adopted a share repurchase plan for the repurchase of up to an additional $1.0 billion of the Company’s outstanding ordinary shares with no expiration date, which brings the aggregate unused authorization under both the August 2023 and the May 2025 plans to $1.12 billion. The May 2025 plan permits the Company to purchase our ordinary shares in the open market or through privately negotiated transactions at times and prices that the Company considers appropriate.</w:t>
      </w:r>
    </w:p>
    <w:p>
      <w:pPr>
        <w:spacing w:after="0" w:line="150" w:lineRule="exact"/>
        <w:rPr>
          <w:sz w:val="20"/>
          <w:szCs w:val="20"/>
          <w:color w:val="auto"/>
        </w:rPr>
      </w:pPr>
    </w:p>
    <w:p>
      <w:pPr>
        <w:ind w:left="540" w:hanging="532"/>
        <w:spacing w:after="0"/>
        <w:tabs>
          <w:tab w:leader="none" w:pos="5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 Arrangements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2011, the Company entered into an unsecured $500,000 five-year revolving credit facility with a syndicate of banks (the “Revolving Credit Facility”). In December 2014, December 2017, March 2021 and July 2024, the Revolving Credit Facility was amended and restated to, among other things, extend the maturity date of the facility to December 2019, December 2022 March 2026 and July 2029, respectively. As of June 30, 2025, the Company was in compliance with the financial covenants and had no outstanding borrowings under the Revolving Credit Facility.</w:t>
      </w:r>
    </w:p>
    <w:p>
      <w:pPr>
        <w:spacing w:after="0" w:line="15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June 2020, the Company issued an aggregate principal amount of $650,000 in Senior Notes that will mature in June 2030 and bear interest at a fixed rate of 2.538 percent per annum (the “Senior Notes”). The interest is payable semi-annually in June and December of each year, commencing in December 2020. The Company incurred issuance costs of $6,121 in relation with the Senior Notes, which are being amortized to interest expenses over the term of the Senior Notes using the effective interest rate. The Senior Notes are senior unsecured obligations of the Company and rank equally in right of payment with all existing and future senior indebtedness of the Company, including any indebtedness the Company may incur from time to time under the Revolving Credit Facility.</w:t>
      </w:r>
    </w:p>
    <w:p>
      <w:pPr>
        <w:spacing w:after="0" w:line="14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total interest expense recognized in connection with the Senior Notes for the three and nine months ended June 30, 2025 were $4,272 and $12,796, respectively, and $4,268 and $12,830 for three and nine months ended June 30, 2024. The accrued interest on the Senior Notes is included in accrued expenses and other current liabilities and was immaterial as of June 30, 2025. </w:t>
      </w:r>
      <w:r>
        <w:rPr>
          <w:rFonts w:ascii="Times New Roman" w:cs="Times New Roman" w:eastAsia="Times New Roman" w:hAnsi="Times New Roman"/>
          <w:sz w:val="18"/>
          <w:szCs w:val="18"/>
          <w:color w:val="231F20"/>
        </w:rPr>
        <w:t>As of June 30, 2025, the noncurrent outstanding principal</w:t>
      </w:r>
      <w:r>
        <w:rPr>
          <w:rFonts w:ascii="Times New Roman" w:cs="Times New Roman" w:eastAsia="Times New Roman" w:hAnsi="Times New Roman"/>
          <w:sz w:val="18"/>
          <w:szCs w:val="18"/>
          <w:color w:val="auto"/>
        </w:rPr>
        <w:t xml:space="preserve"> portion was $650,000.</w:t>
      </w:r>
    </w:p>
    <w:p>
      <w:pPr>
        <w:spacing w:after="0" w:line="13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total estimated fair value of the Senior Notes as of June 30, 2025 was $588,465. The fair value was determined based on observable data, such as quoted prices for similar liabilities in active markets of Senior Notes as of June 30, 2025 and is deemed a Level 2 liability within the fair value measurement framework.</w:t>
      </w:r>
    </w:p>
    <w:p>
      <w:pPr>
        <w:spacing w:after="0" w:line="14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had additional uncommitted lines of credit available for general corporate and other specific purposes. The Company had outstanding letters of credit and bank guarantees from various banks totaling $98,183 as of June 30, 2025.</w:t>
      </w:r>
    </w:p>
    <w:p>
      <w:pPr>
        <w:spacing w:after="0" w:line="117" w:lineRule="exact"/>
        <w:rPr>
          <w:sz w:val="20"/>
          <w:szCs w:val="20"/>
          <w:color w:val="auto"/>
        </w:rPr>
      </w:pPr>
    </w:p>
    <w:p>
      <w:pPr>
        <w:ind w:left="540" w:hanging="532"/>
        <w:spacing w:after="0"/>
        <w:tabs>
          <w:tab w:leader="none" w:pos="5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Equity-based Compensation</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20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January 1998, the Company adopted the 1998 Stock Option and Incentive Plan (the "Equity Incentive Plan"), which provides for the grant of restricted stock awards, restricted stock units and stock options and other equity-based awards to employees, officers, directors, and consultants. Since its adoption, the Equity Incentive Plan has been amended on several occasions to, among other things, increase the number of ordinary shares issuable under the Equity Incentive Plan. In February 2024, the maximum number of ordinary shares authorized to be granted under the Equity Incentive Plan was increased from 70,550 to 73,550. The amendment to the Equity Incentive Plan and became effective upon the filing of a Form S-8 Registration Statement with the U.S. Securities and Exchange Commission in February 2024. Awards granted under the Equity Incentive Plan generally vest over a period of three to four years and are generally subject to service based conditions or a combination of service and performance-based conditions and stock options have a term of primarily ten years. Also, in accordance with the Equity Incentive Plan, options were issued at or above the market price at the time of the grant.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nine months ended June 30, 2025, the Company granted 1,014 restricted stock, 282 restricted stock units and stock options to purchase 82 ordinary shares. The weighted average fair values associated with these grants were $82.29 per restricted stock, $83.16 per restricted stock unit and $12.04 per stock option.</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Employee Share Purchase Plan</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November 8, 2022, the Company’s Board of Directors adopted, subject to shareholder approval, the Amdocs Limited 2023 Employee Share Purchase Plan (the “ESPP”). The ESPP was subsequently approved by our shareholders at the annual general meeting of shareholders in January 2023. The approved number of shares that may be issued under the ESPP will not exceed in the aggregate 2,400 ordinary shares. Under its terms, the ESPP became effective upon the filing of a Form S-8 Registration Statement with the U.S. Securities and Exchange Commission. On February 13, 2023, the Company filed a registration statement on Form S-8 registering the offer and sale of 2,400 ordinary shares issuable under the ESPP. As of June 30, 2025, 1,027 ordinary shares have been issued since the commencement of the ESPP.</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Under the ESPP, eligible employees have the right to purchase ordinary shares at the end of each purchase period based on their accumulated payroll deductions during the purchase period of a specified percentage of eligible compensation up to 10% (subject to a limitation to accrue the right to purchase ordinary shares up to twenty-five thousand dollars in any calendar year). Each purchase period lasts six months in duration, with purchases occurring in December and June. The purchase price per ordinary share will equal the lesser of 85% of the fair market value of our ordinary shares at either the beginning of the purchase period or the end of the purchase period.</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nine months ended June 30, 2025, the Company issued 479 ordinary shares to employees under the ESPP at a weighted average price of $69.68 per share.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20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Equity-based payments to employees, including grants of employee stock options, restricted stock, restricted stock units and ESPP are recognized in the statements of income based on their fair values.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Employee equity-based compensation pre-tax expense for the three and nine months ended June 30, 2025 and 2024 was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8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12,652</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13,351</w:t>
            </w:r>
          </w:p>
        </w:tc>
        <w:tc>
          <w:tcPr>
            <w:tcW w:w="3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38,258</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40,126</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7,003</w:t>
            </w:r>
          </w:p>
        </w:tc>
        <w:tc>
          <w:tcPr>
            <w:tcW w:w="2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6,289</w:t>
            </w: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10,860</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32,873</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32,122</w:t>
            </w:r>
          </w:p>
        </w:tc>
      </w:tr>
      <w:tr>
        <w:trPr>
          <w:trHeight w:val="20"/>
        </w:trPr>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25,961</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78,134</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78,537</w:t>
            </w: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compensation costs for its equity incentive grants using the graded vesting attribution method. As of June 30, 2025, there was $103,613 of unrecognized compensation expense related to unvested stock options, unvested restricted stock and unvested restricted stock units which is expected to be recognized over a weighted average period of approximately one to two years, based on the vesting periods of the grants.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June 30, 2025, there was $3,750 of unrecognized compensation expense related to the ESPP which is expected to be recognized over the remaining purchase period.</w:t>
      </w:r>
    </w:p>
    <w:p>
      <w:pPr>
        <w:spacing w:after="0" w:line="131" w:lineRule="exact"/>
        <w:rPr>
          <w:sz w:val="20"/>
          <w:szCs w:val="20"/>
          <w:color w:val="auto"/>
        </w:rPr>
      </w:pPr>
    </w:p>
    <w:p>
      <w:pPr>
        <w:ind w:left="540" w:hanging="532"/>
        <w:spacing w:after="0"/>
        <w:tabs>
          <w:tab w:leader="none" w:pos="5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Board of Directors declared the following dividends during the nine months ended June 30, 2025 and 2024:</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40" w:type="dxa"/>
            <w:vAlign w:val="bottom"/>
          </w:tcPr>
          <w:p>
            <w:pPr>
              <w:spacing w:after="0"/>
              <w:rPr>
                <w:sz w:val="13"/>
                <w:szCs w:val="13"/>
                <w:color w:val="auto"/>
              </w:rPr>
            </w:pPr>
          </w:p>
        </w:tc>
        <w:tc>
          <w:tcPr>
            <w:tcW w:w="164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Dividends Per Ordinary</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0" w:type="dxa"/>
            <w:vAlign w:val="bottom"/>
          </w:tcPr>
          <w:p>
            <w:pPr>
              <w:spacing w:after="0"/>
              <w:rPr>
                <w:sz w:val="1"/>
                <w:szCs w:val="1"/>
                <w:color w:val="auto"/>
              </w:rPr>
            </w:pPr>
          </w:p>
        </w:tc>
      </w:tr>
      <w:tr>
        <w:trPr>
          <w:trHeight w:val="173"/>
        </w:trPr>
        <w:tc>
          <w:tcPr>
            <w:tcW w:w="40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May 7, 2025</w:t>
            </w:r>
          </w:p>
        </w:tc>
        <w:tc>
          <w:tcPr>
            <w:tcW w:w="140" w:type="dxa"/>
            <w:vAlign w:val="bottom"/>
          </w:tcPr>
          <w:p>
            <w:pPr>
              <w:spacing w:after="0"/>
              <w:rPr>
                <w:sz w:val="18"/>
                <w:szCs w:val="18"/>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1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July 25, 2025</w:t>
            </w: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4, 2025</w:t>
            </w:r>
          </w:p>
        </w:tc>
        <w:tc>
          <w:tcPr>
            <w:tcW w:w="50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0.527</w:t>
            </w:r>
          </w:p>
        </w:tc>
        <w:tc>
          <w:tcPr>
            <w:tcW w:w="12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March 31, 2025</w:t>
            </w:r>
          </w:p>
        </w:tc>
        <w:tc>
          <w:tcPr>
            <w:tcW w:w="34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58,615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25, 2025</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November 12, 2024</w:t>
            </w:r>
          </w:p>
        </w:tc>
        <w:tc>
          <w:tcPr>
            <w:tcW w:w="50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0.479</w:t>
            </w:r>
          </w:p>
        </w:tc>
        <w:tc>
          <w:tcPr>
            <w:tcW w:w="120" w:type="dxa"/>
            <w:vAlign w:val="bottom"/>
          </w:tcPr>
          <w:p>
            <w:pPr>
              <w:spacing w:after="0"/>
              <w:rPr>
                <w:sz w:val="18"/>
                <w:szCs w:val="18"/>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December 31, 2024</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January 31, 2025</w:t>
            </w: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8, 2024</w:t>
            </w:r>
          </w:p>
        </w:tc>
        <w:tc>
          <w:tcPr>
            <w:tcW w:w="140" w:type="dxa"/>
            <w:vAlign w:val="bottom"/>
          </w:tcPr>
          <w:p>
            <w:pPr>
              <w:spacing w:after="0"/>
              <w:rPr>
                <w:sz w:val="18"/>
                <w:szCs w:val="18"/>
                <w:color w:val="auto"/>
              </w:rPr>
            </w:pP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0.479</w:t>
            </w:r>
          </w:p>
        </w:tc>
        <w:tc>
          <w:tcPr>
            <w:tcW w:w="12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28, 2024</w:t>
            </w:r>
          </w:p>
        </w:tc>
        <w:tc>
          <w:tcPr>
            <w:tcW w:w="160" w:type="dxa"/>
            <w:vAlign w:val="bottom"/>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54,703</w:t>
            </w:r>
          </w:p>
        </w:tc>
        <w:tc>
          <w:tcPr>
            <w:tcW w:w="12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26, 2024</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February 6, 2024</w:t>
            </w:r>
          </w:p>
        </w:tc>
        <w:tc>
          <w:tcPr>
            <w:tcW w:w="140" w:type="dxa"/>
            <w:vAlign w:val="bottom"/>
          </w:tcPr>
          <w:p>
            <w:pPr>
              <w:spacing w:after="0"/>
              <w:rPr>
                <w:sz w:val="18"/>
                <w:szCs w:val="18"/>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March 29, 2024</w:t>
            </w:r>
          </w:p>
        </w:tc>
        <w:tc>
          <w:tcPr>
            <w:tcW w:w="1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November 7, 2023</w:t>
            </w:r>
          </w:p>
        </w:tc>
        <w:tc>
          <w:tcPr>
            <w:tcW w:w="50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0.435</w:t>
            </w:r>
          </w:p>
        </w:tc>
        <w:tc>
          <w:tcPr>
            <w:tcW w:w="12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29, 2023</w:t>
            </w:r>
          </w:p>
        </w:tc>
        <w:tc>
          <w:tcPr>
            <w:tcW w:w="34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50,683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26, 2024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amounts payable as a result of the May 7, 2025 and May 8, 2024 declarations were included in accrued expenses and other current liabilities as of June 30, 2025 and 2024, respectively.</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On August 6, 2025 the Company’s Board of Directors approved the next quarterly dividend payment and set September 30, 2025 as the record date for determining the shareholders entitled to receive the dividend, which is payable on October 31, 2025.</w:t>
      </w:r>
    </w:p>
    <w:p>
      <w:pPr>
        <w:spacing w:after="0" w:line="131" w:lineRule="exact"/>
        <w:rPr>
          <w:sz w:val="20"/>
          <w:szCs w:val="20"/>
          <w:color w:val="auto"/>
        </w:rPr>
      </w:pPr>
    </w:p>
    <w:p>
      <w:pPr>
        <w:ind w:left="540" w:hanging="532"/>
        <w:spacing w:after="0"/>
        <w:tabs>
          <w:tab w:leader="none" w:pos="5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w:t>
      </w:r>
    </w:p>
    <w:p>
      <w:pPr>
        <w:spacing w:after="0" w:line="22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 significant lease agreement within a specific jurisdiction, which has been entered in the prior fiscal year, commenced during the three months ended June 30, 2025. As a result, the Company recognized a right of use asset in exchange for an operating lease liability of $54,356.</w:t>
      </w:r>
    </w:p>
    <w:p>
      <w:pPr>
        <w:spacing w:after="0" w:line="117" w:lineRule="exact"/>
        <w:rPr>
          <w:sz w:val="20"/>
          <w:szCs w:val="20"/>
          <w:color w:val="auto"/>
        </w:rPr>
      </w:pPr>
    </w:p>
    <w:p>
      <w:pPr>
        <w:ind w:left="540" w:hanging="532"/>
        <w:spacing w:after="0"/>
        <w:tabs>
          <w:tab w:leader="none" w:pos="5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0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Operating and Financial Review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0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“intend”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p>
    <w:p>
      <w:pPr>
        <w:spacing w:after="0" w:line="14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Important factors that may affect these projections or expectations include, but are not limited to: the effects of macro-economic conditions, prevailing level of macro-economic, business, and operational uncertainty, including as a result of geopolitical events or other global or regional events or pandemics, changes to trade policies including tariffs and trade restrictions, as well as the current inflationary environment, and the effects of these conditions on the Company’s customers’ businesses and levels of business activity; including the effect of the current economic uncertainty and industry pressure on the spending decisions of our customers; our ability to grow in the business markets that we serve; our ability to successfully integrate acquired businesses; adverse effects of market competition; rapid technological shifts that may render our products and services obsolete; security incidents, including breaches and cyberattacks to our systems and networks and those of our partners or customers; potential loss of a major customer; our ability to develop long-term relationships with our customers; our ability to successfully and effectively implement artificial intelligence and Generative AI in our offerings and operations; and risks associated with operating businesses in the international market</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For a discussion of these and other important factors and other risks, please read the information set forth under the caption “Risk Factors” in our Annual Report on Form 20-F for fiscal year 2024, filed on December 17, 2024 with the U.S. Securities and Exchange Commission.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Business and Trend Information</w:t>
      </w:r>
    </w:p>
    <w:p>
      <w:pPr>
        <w:spacing w:after="0" w:line="20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Amdocs is a leading provider of software and services for approximately 400 communications, entertainment and media industry and other service providers in developed countries and emerging markets. Our software and services, which we develop, implement and manage in a unique accountability model, are designed to meet the business imperatives of our customers, create value for society and make our increasingly connected world more empowering by unlocking our customers’ innovative potential and enabling them to transform their boldest ideas into reality and make customer experiences which are truly amazing. Our offerings enable service providers to cost-effectively engage their customers, introduce new products and services, automate service and network operations, monetize connectivity and content, support new business models and generally enhance their understanding of their customers.</w:t>
      </w:r>
    </w:p>
    <w:p>
      <w:pPr>
        <w:spacing w:after="0" w:line="14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believe the demand for our solutions is driven by our customers’ continued migration to the cloud, deployment of 5G standalone, fixed wireless access (FWA), and fiber networks and their transformation into digital service providers to provide connectivity services, content and applications (apps) on any device through digital and non-digital channels. Regardless of whether service providers are bringing their first offerings to market, scaling for growth, consolidating systems or transforming the way they do business, we believe that they seek to differentiate themselves by delivering an amazing customer experience that is simple, personal, contextual and valuable at every point of engagement and across all channels.</w:t>
      </w:r>
    </w:p>
    <w:p>
      <w:pPr>
        <w:spacing w:after="0" w:line="11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offerings, grouped by technology capabilities such as commerce and care, monetization, service and network automation, are designed to meet the challenges facing our customers as they roll out 5G networks, migrate to the cloud, introduce generative AI (GenAI) solutions and transform into digital service providers within the framework of a hybrid IT environment, which requires them to rapidly introduce new cloud-native applications while still operating legacy systems. Our software is designed to enable modular expansion as a service provider evolves, and its microservices-based architecture enables the rapid deployment of complex applications as suites of independently deployable services that can be frequently upgraded via DevSecOps. Our comprehensive line of services is designed to address every stage of a service provider’s lifecycle. They include consulting, experience design, data, cloud, network services, to delivery, quality engineering (testing), operations, systems integration, and content services. Our managed services provide multi-year, flexible and tailored support, managing IT business processes and applications services. They include application development, modernization and maintenance, IT and infrastructure services, testing and professional services that are designed to assist customers in the selection, implementation, operation, management and maintenance of their IT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 w:name="page23"/>
    <w:bookmarkEnd w:id="22"/>
    <w:p>
      <w:pPr>
        <w:spacing w:after="0" w:line="15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conduct our business globally, and as a result we are subject to the effects of global economic conditions and, in particular, market conditions in the communications and media industry. In the nine months ended June 30, 2025, customers in North America accounted for 65.7% of our revenue, while customers in Europe and the rest of the world accounted for 15.5% and 18.8%, respectively. We maintain and support development facilities in Brazil, Canada, Cyprus, India, Ireland, Israel, Mexico, the Philippines, the UK and the United States.</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derive our revenue principally from:</w:t>
      </w:r>
    </w:p>
    <w:p>
      <w:pPr>
        <w:spacing w:after="0" w:line="63" w:lineRule="exact"/>
        <w:rPr>
          <w:sz w:val="20"/>
          <w:szCs w:val="20"/>
          <w:color w:val="auto"/>
        </w:rPr>
      </w:pPr>
    </w:p>
    <w:p>
      <w:pPr>
        <w:ind w:left="760" w:hanging="378"/>
        <w:spacing w:after="0" w:line="28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sales of licenses to use our products and related services, including modification, implementation, integration and customization services,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managed services in our domain expertise and other related services, and</w:t>
      </w:r>
    </w:p>
    <w:p>
      <w:pPr>
        <w:spacing w:after="0" w:line="6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revenue from ongoing support, maintenance and enhancements provided to our customers, and from incremental license fees resulting from increases in a customer’s business volume.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results of operations are affected by general economic conditions, including macro-economic conditions, and the level of economic activity in the industries and markets that we serve. In addition, the prevailing level of macro-economic, business, and operational uncertainty, as well as the current inflationary environment and foreign exchange rates fluctuation, may continue to present challenges in future periods and may affect the spending decisions of our customers. Although we try to mitigate the foreign currency exchange rates impact on our results through our hedging policy, we cannot assure that we will be able to effectively limit all of our exposure.</w:t>
      </w:r>
    </w:p>
    <w:p>
      <w:pPr>
        <w:spacing w:after="0" w:line="141"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we recognize revenue under the five-step methodology required under ASC 606, which requires us to identify the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customer, identify the performance obligations in the contract, determine the transaction price, allocate the transaction price to the performance obligations identified, and recognize revenue when (or as) each performance obligation is satisfied.</w:t>
      </w:r>
    </w:p>
    <w:p>
      <w:pPr>
        <w:spacing w:after="0" w:line="14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a significant portion of our revenue is satisfied over time as work progresses, the annual and quarterly operating results may be affected by the size and timing of the initiation of customer projects as well as our progress in completing such projects.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For our primary revenue categories, related performance obligations, and associated recognition patterns please see Note 4 to our consolidated financial statements.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Revenue generated in connection with managed services arrangements is a significant part of our business, generating substantial, long-term recurring revenue streams and cash flow. Managed services arrangements include management of data center operations and IT and cloud infrastructure, application management and ongoing support, management of end-to-end business processes, and managed transformation that includes both a transformation project as well as taking over managed services responsibility. Revenue from managed services arrangements accounted for approximately $771.5 million and 740.8 million in the three months ended June 30, 2025 and 2024, respectively, and 2.25 billion and 2.18 billion in the nine months ended June 30, 2025 and 2024. Managed services engagements can be less profitable in their early stages; however, margins tend to improve over time, and this improvement is seen more rapidly in the initial period of an engagement, as we derive benefit from the operational efficiencies and from changes in the geographical mix of our resources.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Please see Note 2 to our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three and nine months ended June 30, 2025 and 2024. Certain items in our consolidated statements of income are reflected as a percentage of revenue (figures may not sum because of rounding):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8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76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189"/>
        </w:trPr>
        <w:tc>
          <w:tcPr>
            <w:tcW w:w="5660" w:type="dxa"/>
            <w:vAlign w:val="bottom"/>
          </w:tcPr>
          <w:p>
            <w:pPr>
              <w:spacing w:after="0"/>
              <w:rPr>
                <w:sz w:val="16"/>
                <w:szCs w:val="16"/>
                <w:color w:val="auto"/>
              </w:rPr>
            </w:pPr>
          </w:p>
        </w:tc>
        <w:tc>
          <w:tcPr>
            <w:tcW w:w="1400" w:type="dxa"/>
            <w:vAlign w:val="bottom"/>
            <w:gridSpan w:val="2"/>
          </w:tcPr>
          <w:p>
            <w:pPr>
              <w:ind w:left="360"/>
              <w:spacing w:after="0" w:line="189" w:lineRule="exact"/>
              <w:rPr>
                <w:sz w:val="20"/>
                <w:szCs w:val="20"/>
                <w:color w:val="auto"/>
              </w:rPr>
            </w:pPr>
            <w:r>
              <w:rPr>
                <w:rFonts w:ascii="Times New Roman" w:cs="Times New Roman" w:eastAsia="Times New Roman" w:hAnsi="Times New Roman"/>
                <w:sz w:val="14"/>
                <w:szCs w:val="14"/>
                <w:b w:val="1"/>
                <w:bCs w:val="1"/>
                <w:color w:val="auto"/>
              </w:rPr>
              <w:t>2025</w:t>
            </w:r>
            <w:r>
              <w:rPr>
                <w:rFonts w:ascii="Times New Roman" w:cs="Times New Roman" w:eastAsia="Times New Roman" w:hAnsi="Times New Roman"/>
                <w:sz w:val="19"/>
                <w:szCs w:val="19"/>
                <w:b w:val="1"/>
                <w:bCs w:val="1"/>
                <w:color w:val="auto"/>
                <w:vertAlign w:val="superscript"/>
              </w:rPr>
              <w:t>(a)</w:t>
            </w:r>
          </w:p>
        </w:tc>
        <w:tc>
          <w:tcPr>
            <w:tcW w:w="116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1420" w:type="dxa"/>
            <w:vAlign w:val="bottom"/>
            <w:gridSpan w:val="2"/>
          </w:tcPr>
          <w:p>
            <w:pPr>
              <w:jc w:val="right"/>
              <w:ind w:right="640"/>
              <w:spacing w:after="0" w:line="189" w:lineRule="exact"/>
              <w:rPr>
                <w:sz w:val="20"/>
                <w:szCs w:val="20"/>
                <w:color w:val="auto"/>
              </w:rPr>
            </w:pPr>
            <w:r>
              <w:rPr>
                <w:rFonts w:ascii="Times New Roman" w:cs="Times New Roman" w:eastAsia="Times New Roman" w:hAnsi="Times New Roman"/>
                <w:sz w:val="14"/>
                <w:szCs w:val="14"/>
                <w:b w:val="1"/>
                <w:bCs w:val="1"/>
                <w:color w:val="auto"/>
              </w:rPr>
              <w:t>2025</w:t>
            </w:r>
            <w:r>
              <w:rPr>
                <w:rFonts w:ascii="Times New Roman" w:cs="Times New Roman" w:eastAsia="Times New Roman" w:hAnsi="Times New Roman"/>
                <w:sz w:val="19"/>
                <w:szCs w:val="19"/>
                <w:b w:val="1"/>
                <w:bCs w:val="1"/>
                <w:color w:val="auto"/>
                <w:vertAlign w:val="superscript"/>
              </w:rPr>
              <w:t>(a)</w:t>
            </w:r>
          </w:p>
        </w:tc>
        <w:tc>
          <w:tcPr>
            <w:tcW w:w="118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r>
      <w:tr>
        <w:trPr>
          <w:trHeight w:val="142"/>
        </w:trPr>
        <w:tc>
          <w:tcPr>
            <w:tcW w:w="56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62.1</w:t>
            </w: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64.8</w:t>
            </w: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61.8</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64.8</w:t>
            </w: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11.1</w:t>
            </w: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11.5</w:t>
            </w: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11.4</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6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bottom w:val="single" w:sz="8" w:color="CFF0FC"/>
            </w:tcBorders>
            <w:shd w:val="clear" w:color="auto" w:fill="CFF0FC"/>
          </w:tcPr>
          <w:p>
            <w:pPr>
              <w:spacing w:after="0"/>
              <w:rPr>
                <w:sz w:val="18"/>
                <w:szCs w:val="18"/>
                <w:color w:val="auto"/>
              </w:rPr>
            </w:pPr>
          </w:p>
        </w:tc>
      </w:tr>
      <w:tr>
        <w:trPr>
          <w:trHeight w:val="210"/>
        </w:trPr>
        <w:tc>
          <w:tcPr>
            <w:tcW w:w="566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6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6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60" w:type="dxa"/>
            <w:vAlign w:val="bottom"/>
          </w:tcPr>
          <w:p>
            <w:pPr>
              <w:spacing w:after="0"/>
              <w:rPr>
                <w:sz w:val="18"/>
                <w:szCs w:val="18"/>
                <w:color w:val="auto"/>
              </w:rPr>
            </w:pPr>
          </w:p>
        </w:tc>
      </w:tr>
      <w:tr>
        <w:trPr>
          <w:trHeight w:val="20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17.7</w:t>
            </w: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14.1</w:t>
            </w: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17.7</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r>
      <w:tr>
        <w:trPr>
          <w:trHeight w:val="21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6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6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r>
      <w:tr>
        <w:trPr>
          <w:trHeight w:val="24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11.3%</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13.9%</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r>
      <w:tr>
        <w:trPr>
          <w:trHeight w:val="197"/>
        </w:trPr>
        <w:tc>
          <w:tcPr>
            <w:tcW w:w="56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260" w:type="dxa"/>
            <w:vAlign w:val="bottom"/>
            <w:tcBorders>
              <w:top w:val="single" w:sz="8" w:color="CFF0FC"/>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260" w:type="dxa"/>
            <w:vAlign w:val="bottom"/>
            <w:tcBorders>
              <w:top w:val="single" w:sz="8" w:color="CFF0FC"/>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260" w:type="dxa"/>
            <w:vAlign w:val="bottom"/>
            <w:tcBorders>
              <w:top w:val="single" w:sz="8" w:color="CFF0FC"/>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160" w:type="dxa"/>
            <w:vAlign w:val="bottom"/>
            <w:tcBorders>
              <w:top w:val="single" w:sz="8" w:color="CFF0FC"/>
            </w:tcBorders>
          </w:tcPr>
          <w:p>
            <w:pPr>
              <w:spacing w:after="0"/>
              <w:rPr>
                <w:sz w:val="17"/>
                <w:szCs w:val="17"/>
                <w:color w:val="auto"/>
              </w:rPr>
            </w:pPr>
          </w:p>
        </w:tc>
      </w:tr>
      <w:tr>
        <w:trPr>
          <w:trHeight w:val="22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Amdocs Limited</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11.2%</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13.8%</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-2357120</wp:posOffset>
            </wp:positionV>
            <wp:extent cx="344614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4614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-1191260</wp:posOffset>
            </wp:positionV>
            <wp:extent cx="1028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-1191260</wp:posOffset>
            </wp:positionV>
            <wp:extent cx="10287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-1191260</wp:posOffset>
            </wp:positionV>
            <wp:extent cx="1028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-1191260</wp:posOffset>
            </wp:positionV>
            <wp:extent cx="10287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-334010</wp:posOffset>
            </wp:positionV>
            <wp:extent cx="10287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-316865</wp:posOffset>
            </wp:positionV>
            <wp:extent cx="10287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-334010</wp:posOffset>
            </wp:positionV>
            <wp:extent cx="1028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-316865</wp:posOffset>
            </wp:positionV>
            <wp:extent cx="10287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-334010</wp:posOffset>
            </wp:positionV>
            <wp:extent cx="1028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-316865</wp:posOffset>
            </wp:positionV>
            <wp:extent cx="10287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-334010</wp:posOffset>
            </wp:positionV>
            <wp:extent cx="1028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-316865</wp:posOffset>
            </wp:positionV>
            <wp:extent cx="10287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-25400</wp:posOffset>
            </wp:positionV>
            <wp:extent cx="1028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10287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-25400</wp:posOffset>
            </wp:positionV>
            <wp:extent cx="10287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1028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1028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1028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1028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1028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June 30, 2025 and 2024</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tabular presentation of our results of operations for the nine months ended June 30, 2025 compared to the nine months ended June 30, 2024. Following the table is a discussion and analysis of our business and results of operations for such periods.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40" w:type="dxa"/>
            <w:vAlign w:val="bottom"/>
            <w:gridSpan w:val="7"/>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2600" w:type="dxa"/>
            <w:vAlign w:val="bottom"/>
            <w:gridSpan w:val="7"/>
            <w:vMerge w:val="restart"/>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46"/>
        </w:trPr>
        <w:tc>
          <w:tcPr>
            <w:tcW w:w="4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4"/>
          </w:tcPr>
          <w:p>
            <w:pPr>
              <w:jc w:val="right"/>
              <w:ind w:right="139"/>
              <w:spacing w:after="0" w:line="146"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3"/>
            <w:vMerge w:val="restart"/>
          </w:tcPr>
          <w:p>
            <w:pPr>
              <w:ind w:left="40"/>
              <w:spacing w:after="0" w:line="189" w:lineRule="exact"/>
              <w:rPr>
                <w:sz w:val="20"/>
                <w:szCs w:val="20"/>
                <w:color w:val="auto"/>
              </w:rPr>
            </w:pPr>
            <w:r>
              <w:rPr>
                <w:rFonts w:ascii="Times New Roman" w:cs="Times New Roman" w:eastAsia="Times New Roman" w:hAnsi="Times New Roman"/>
                <w:sz w:val="14"/>
                <w:szCs w:val="14"/>
                <w:b w:val="1"/>
                <w:bCs w:val="1"/>
                <w:color w:val="auto"/>
              </w:rPr>
              <w:t>2025</w:t>
            </w:r>
            <w:r>
              <w:rPr>
                <w:rFonts w:ascii="Times New Roman" w:cs="Times New Roman" w:eastAsia="Times New Roman" w:hAnsi="Times New Roman"/>
                <w:sz w:val="19"/>
                <w:szCs w:val="19"/>
                <w:b w:val="1"/>
                <w:bCs w:val="1"/>
                <w:color w:val="auto"/>
                <w:vertAlign w:val="superscript"/>
              </w:rPr>
              <w:t>(a)</w:t>
            </w:r>
          </w:p>
        </w:tc>
        <w:tc>
          <w:tcPr>
            <w:tcW w:w="360" w:type="dxa"/>
            <w:vAlign w:val="bottom"/>
          </w:tcPr>
          <w:p>
            <w:pPr>
              <w:spacing w:after="0"/>
              <w:rPr>
                <w:sz w:val="2"/>
                <w:szCs w:val="2"/>
                <w:color w:val="auto"/>
              </w:rPr>
            </w:pPr>
          </w:p>
        </w:tc>
        <w:tc>
          <w:tcPr>
            <w:tcW w:w="760" w:type="dxa"/>
            <w:vAlign w:val="bottom"/>
            <w:gridSpan w:val="2"/>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5"/>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gridSpan w:val="3"/>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w:t>
            </w:r>
          </w:p>
        </w:tc>
        <w:tc>
          <w:tcPr>
            <w:tcW w:w="34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3,382,695</w:t>
            </w:r>
          </w:p>
        </w:tc>
        <w:tc>
          <w:tcPr>
            <w:tcW w:w="140" w:type="dxa"/>
            <w:vAlign w:val="bottom"/>
            <w:shd w:val="clear" w:color="auto" w:fill="CFF0FC"/>
          </w:tcPr>
          <w:p>
            <w:pPr>
              <w:spacing w:after="0"/>
              <w:rPr>
                <w:sz w:val="18"/>
                <w:szCs w:val="18"/>
                <w:color w:val="auto"/>
              </w:rPr>
            </w:pPr>
          </w:p>
        </w:tc>
        <w:tc>
          <w:tcPr>
            <w:tcW w:w="360" w:type="dxa"/>
            <w:vAlign w:val="bottom"/>
            <w:tcBorders>
              <w:right w:val="single" w:sz="8" w:color="CFF0FC"/>
            </w:tcBorders>
            <w:shd w:val="clear" w:color="auto" w:fill="CFF0FC"/>
          </w:tcPr>
          <w:p>
            <w:pPr>
              <w:jc w:val="right"/>
              <w:ind w:right="199"/>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3,741,107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(358,412)</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2,091,455</w:t>
            </w:r>
          </w:p>
        </w:tc>
        <w:tc>
          <w:tcPr>
            <w:tcW w:w="140" w:type="dxa"/>
            <w:vAlign w:val="bottom"/>
            <w:shd w:val="clear" w:color="auto" w:fill="CFF0FC"/>
          </w:tcPr>
          <w:p>
            <w:pPr>
              <w:spacing w:after="0"/>
              <w:rPr>
                <w:sz w:val="18"/>
                <w:szCs w:val="18"/>
                <w:color w:val="auto"/>
              </w:rPr>
            </w:pPr>
          </w:p>
        </w:tc>
        <w:tc>
          <w:tcPr>
            <w:tcW w:w="360" w:type="dxa"/>
            <w:vAlign w:val="bottom"/>
            <w:tcBorders>
              <w:right w:val="single" w:sz="8" w:color="CFF0FC"/>
            </w:tcBorders>
            <w:shd w:val="clear" w:color="auto" w:fill="CFF0FC"/>
          </w:tcPr>
          <w:p>
            <w:pPr>
              <w:spacing w:after="0"/>
              <w:rPr>
                <w:sz w:val="18"/>
                <w:szCs w:val="18"/>
                <w:color w:val="auto"/>
              </w:rPr>
            </w:pPr>
          </w:p>
        </w:tc>
        <w:tc>
          <w:tcPr>
            <w:tcW w:w="10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2,424,710</w:t>
            </w:r>
          </w:p>
        </w:tc>
        <w:tc>
          <w:tcPr>
            <w:tcW w:w="120" w:type="dxa"/>
            <w:vAlign w:val="bottom"/>
            <w:shd w:val="clear" w:color="auto" w:fill="CFF0FC"/>
          </w:tcPr>
          <w:p>
            <w:pPr>
              <w:spacing w:after="0"/>
              <w:rPr>
                <w:sz w:val="18"/>
                <w:szCs w:val="18"/>
                <w:color w:val="auto"/>
              </w:rPr>
            </w:pPr>
          </w:p>
        </w:tc>
        <w:tc>
          <w:tcPr>
            <w:tcW w:w="120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(333,255)</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252,980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270,729</w:t>
            </w:r>
          </w:p>
        </w:tc>
        <w:tc>
          <w:tcPr>
            <w:tcW w:w="120" w:type="dxa"/>
            <w:vAlign w:val="bottom"/>
          </w:tcPr>
          <w:p>
            <w:pPr>
              <w:spacing w:after="0"/>
              <w:rPr>
                <w:sz w:val="18"/>
                <w:szCs w:val="18"/>
                <w:color w:val="auto"/>
              </w:rPr>
            </w:pPr>
          </w:p>
        </w:tc>
        <w:tc>
          <w:tcPr>
            <w:tcW w:w="12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(17,749)</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384,301</w:t>
            </w:r>
          </w:p>
        </w:tc>
        <w:tc>
          <w:tcPr>
            <w:tcW w:w="140" w:type="dxa"/>
            <w:vAlign w:val="bottom"/>
            <w:shd w:val="clear" w:color="auto" w:fill="CFF0FC"/>
          </w:tcPr>
          <w:p>
            <w:pPr>
              <w:spacing w:after="0"/>
              <w:rPr>
                <w:sz w:val="18"/>
                <w:szCs w:val="18"/>
                <w:color w:val="auto"/>
              </w:rPr>
            </w:pPr>
          </w:p>
        </w:tc>
        <w:tc>
          <w:tcPr>
            <w:tcW w:w="360" w:type="dxa"/>
            <w:vAlign w:val="bottom"/>
            <w:tcBorders>
              <w:right w:val="single" w:sz="8" w:color="CFF0FC"/>
            </w:tcBorders>
            <w:shd w:val="clear" w:color="auto" w:fill="CFF0FC"/>
          </w:tcPr>
          <w:p>
            <w:pPr>
              <w:spacing w:after="0"/>
              <w:rPr>
                <w:sz w:val="18"/>
                <w:szCs w:val="18"/>
                <w:color w:val="auto"/>
              </w:rPr>
            </w:pPr>
          </w:p>
        </w:tc>
        <w:tc>
          <w:tcPr>
            <w:tcW w:w="10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434,140</w:t>
            </w:r>
          </w:p>
        </w:tc>
        <w:tc>
          <w:tcPr>
            <w:tcW w:w="120" w:type="dxa"/>
            <w:vAlign w:val="bottom"/>
            <w:shd w:val="clear" w:color="auto" w:fill="CFF0FC"/>
          </w:tcPr>
          <w:p>
            <w:pPr>
              <w:spacing w:after="0"/>
              <w:rPr>
                <w:sz w:val="18"/>
                <w:szCs w:val="18"/>
                <w:color w:val="auto"/>
              </w:rPr>
            </w:pPr>
          </w:p>
        </w:tc>
        <w:tc>
          <w:tcPr>
            <w:tcW w:w="120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(49,839)</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48,137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47,719</w:t>
            </w:r>
          </w:p>
        </w:tc>
        <w:tc>
          <w:tcPr>
            <w:tcW w:w="120" w:type="dxa"/>
            <w:vAlign w:val="bottom"/>
          </w:tcPr>
          <w:p>
            <w:pPr>
              <w:spacing w:after="0"/>
              <w:rPr>
                <w:sz w:val="18"/>
                <w:szCs w:val="18"/>
                <w:color w:val="auto"/>
              </w:rPr>
            </w:pPr>
          </w:p>
        </w:tc>
        <w:tc>
          <w:tcPr>
            <w:tcW w:w="12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418</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34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tcBorders>
              <w:right w:val="single" w:sz="8" w:color="CFF0FC"/>
            </w:tcBorders>
            <w:shd w:val="clear" w:color="auto" w:fill="CFF0FC"/>
          </w:tcPr>
          <w:p>
            <w:pPr>
              <w:spacing w:after="0"/>
              <w:rPr>
                <w:sz w:val="18"/>
                <w:szCs w:val="18"/>
                <w:color w:val="auto"/>
              </w:rPr>
            </w:pPr>
          </w:p>
        </w:tc>
        <w:tc>
          <w:tcPr>
            <w:tcW w:w="10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47,875</w:t>
            </w:r>
          </w:p>
        </w:tc>
        <w:tc>
          <w:tcPr>
            <w:tcW w:w="120" w:type="dxa"/>
            <w:vAlign w:val="bottom"/>
            <w:shd w:val="clear" w:color="auto" w:fill="CFF0FC"/>
          </w:tcPr>
          <w:p>
            <w:pPr>
              <w:spacing w:after="0"/>
              <w:rPr>
                <w:sz w:val="18"/>
                <w:szCs w:val="18"/>
                <w:color w:val="auto"/>
              </w:rPr>
            </w:pPr>
          </w:p>
        </w:tc>
        <w:tc>
          <w:tcPr>
            <w:tcW w:w="120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(41,092)</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0"/>
        </w:trPr>
        <w:tc>
          <w:tcPr>
            <w:tcW w:w="414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2,783,656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3,225,173</w:t>
            </w:r>
          </w:p>
        </w:tc>
        <w:tc>
          <w:tcPr>
            <w:tcW w:w="120" w:type="dxa"/>
            <w:vAlign w:val="bottom"/>
          </w:tcPr>
          <w:p>
            <w:pPr>
              <w:spacing w:after="0"/>
              <w:rPr>
                <w:sz w:val="18"/>
                <w:szCs w:val="18"/>
                <w:color w:val="auto"/>
              </w:rPr>
            </w:pPr>
          </w:p>
        </w:tc>
        <w:tc>
          <w:tcPr>
            <w:tcW w:w="12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(441,517)</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599,039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tcBorders>
              <w:right w:val="single" w:sz="8" w:color="CFF0FC"/>
            </w:tcBorders>
            <w:shd w:val="clear" w:color="auto" w:fill="CFF0FC"/>
          </w:tcPr>
          <w:p>
            <w:pPr>
              <w:spacing w:after="0"/>
              <w:rPr>
                <w:sz w:val="18"/>
                <w:szCs w:val="18"/>
                <w:color w:val="auto"/>
              </w:rPr>
            </w:pPr>
          </w:p>
        </w:tc>
        <w:tc>
          <w:tcPr>
            <w:tcW w:w="10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515,934</w:t>
            </w:r>
          </w:p>
        </w:tc>
        <w:tc>
          <w:tcPr>
            <w:tcW w:w="120" w:type="dxa"/>
            <w:vAlign w:val="bottom"/>
            <w:shd w:val="clear" w:color="auto" w:fill="CFF0FC"/>
          </w:tcPr>
          <w:p>
            <w:pPr>
              <w:spacing w:after="0"/>
              <w:rPr>
                <w:sz w:val="18"/>
                <w:szCs w:val="18"/>
                <w:color w:val="auto"/>
              </w:rPr>
            </w:pPr>
          </w:p>
        </w:tc>
        <w:tc>
          <w:tcPr>
            <w:tcW w:w="120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83,105</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(26,579)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(28,300)</w:t>
            </w:r>
          </w:p>
        </w:tc>
        <w:tc>
          <w:tcPr>
            <w:tcW w:w="120" w:type="dxa"/>
            <w:vAlign w:val="bottom"/>
          </w:tcPr>
          <w:p>
            <w:pPr>
              <w:spacing w:after="0"/>
              <w:rPr>
                <w:sz w:val="18"/>
                <w:szCs w:val="18"/>
                <w:color w:val="auto"/>
              </w:rPr>
            </w:pPr>
          </w:p>
        </w:tc>
        <w:tc>
          <w:tcPr>
            <w:tcW w:w="12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(1,721)</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572,460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tcBorders>
              <w:right w:val="single" w:sz="8" w:color="CFF0FC"/>
            </w:tcBorders>
            <w:shd w:val="clear" w:color="auto" w:fill="CFF0FC"/>
          </w:tcPr>
          <w:p>
            <w:pPr>
              <w:spacing w:after="0"/>
              <w:rPr>
                <w:sz w:val="18"/>
                <w:szCs w:val="18"/>
                <w:color w:val="auto"/>
              </w:rPr>
            </w:pPr>
          </w:p>
        </w:tc>
        <w:tc>
          <w:tcPr>
            <w:tcW w:w="10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487,634</w:t>
            </w:r>
          </w:p>
        </w:tc>
        <w:tc>
          <w:tcPr>
            <w:tcW w:w="120" w:type="dxa"/>
            <w:vAlign w:val="bottom"/>
            <w:shd w:val="clear" w:color="auto" w:fill="CFF0FC"/>
          </w:tcPr>
          <w:p>
            <w:pPr>
              <w:spacing w:after="0"/>
              <w:rPr>
                <w:sz w:val="18"/>
                <w:szCs w:val="18"/>
                <w:color w:val="auto"/>
              </w:rPr>
            </w:pPr>
          </w:p>
        </w:tc>
        <w:tc>
          <w:tcPr>
            <w:tcW w:w="120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84,826</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78,489</w:t>
            </w:r>
          </w:p>
        </w:tc>
        <w:tc>
          <w:tcPr>
            <w:tcW w:w="120" w:type="dxa"/>
            <w:vAlign w:val="bottom"/>
          </w:tcPr>
          <w:p>
            <w:pPr>
              <w:spacing w:after="0"/>
              <w:rPr>
                <w:sz w:val="18"/>
                <w:szCs w:val="18"/>
                <w:color w:val="auto"/>
              </w:rPr>
            </w:pPr>
          </w:p>
        </w:tc>
        <w:tc>
          <w:tcPr>
            <w:tcW w:w="12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23,316</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FF0FC"/>
          </w:tcPr>
          <w:p>
            <w:pPr>
              <w:spacing w:after="0"/>
              <w:rPr>
                <w:sz w:val="19"/>
                <w:szCs w:val="19"/>
                <w:color w:val="auto"/>
              </w:rPr>
            </w:pPr>
          </w:p>
        </w:tc>
        <w:tc>
          <w:tcPr>
            <w:tcW w:w="11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470,655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tcBorders>
              <w:right w:val="single" w:sz="8" w:color="CFF0FC"/>
            </w:tcBorders>
            <w:shd w:val="clear" w:color="auto" w:fill="CFF0FC"/>
          </w:tcPr>
          <w:p>
            <w:pPr>
              <w:jc w:val="right"/>
              <w:ind w:right="199"/>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409,145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61,510</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2,278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gridSpan w:val="3"/>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2,389</w:t>
            </w:r>
          </w:p>
        </w:tc>
        <w:tc>
          <w:tcPr>
            <w:tcW w:w="120" w:type="dxa"/>
            <w:vAlign w:val="bottom"/>
          </w:tcPr>
          <w:p>
            <w:pPr>
              <w:spacing w:after="0"/>
              <w:rPr>
                <w:sz w:val="17"/>
                <w:szCs w:val="17"/>
                <w:color w:val="auto"/>
              </w:rPr>
            </w:pPr>
          </w:p>
        </w:tc>
        <w:tc>
          <w:tcPr>
            <w:tcW w:w="1200" w:type="dxa"/>
            <w:vAlign w:val="bottom"/>
            <w:gridSpan w:val="4"/>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240" w:type="dxa"/>
            <w:vAlign w:val="bottom"/>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attributable to Amdocs Limited</w:t>
            </w:r>
          </w:p>
        </w:tc>
        <w:tc>
          <w:tcPr>
            <w:tcW w:w="34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468,377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tcBorders>
              <w:right w:val="single" w:sz="8" w:color="CFF0FC"/>
            </w:tcBorders>
            <w:shd w:val="clear" w:color="auto" w:fill="CFF0FC"/>
          </w:tcPr>
          <w:p>
            <w:pPr>
              <w:jc w:val="right"/>
              <w:ind w:right="199"/>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406,756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4"/>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61,621</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 Geographic Information:</w:t>
            </w:r>
          </w:p>
        </w:tc>
        <w:tc>
          <w:tcPr>
            <w:tcW w:w="340" w:type="dxa"/>
            <w:vAlign w:val="bottom"/>
          </w:tcPr>
          <w:p>
            <w:pPr>
              <w:spacing w:after="0"/>
              <w:rPr>
                <w:sz w:val="24"/>
                <w:szCs w:val="24"/>
                <w:color w:val="auto"/>
              </w:rPr>
            </w:pPr>
          </w:p>
        </w:tc>
        <w:tc>
          <w:tcPr>
            <w:tcW w:w="2660" w:type="dxa"/>
            <w:vAlign w:val="bottom"/>
            <w:gridSpan w:val="7"/>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4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60" w:type="dxa"/>
            <w:vAlign w:val="bottom"/>
            <w:gridSpan w:val="7"/>
            <w:vMerge w:val="continue"/>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center"/>
              <w:ind w:left="93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5"/>
            <w:vMerge w:val="continue"/>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jc w:val="right"/>
              <w:ind w:right="5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60" w:type="dxa"/>
            <w:vAlign w:val="bottom"/>
            <w:gridSpan w:val="8"/>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tcPr>
          <w:p>
            <w:pPr>
              <w:jc w:val="right"/>
              <w:ind w:right="61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 (mainly United States)</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2,221,180</w:t>
            </w:r>
          </w:p>
        </w:tc>
        <w:tc>
          <w:tcPr>
            <w:tcW w:w="1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right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2,490,186</w:t>
            </w:r>
          </w:p>
        </w:tc>
        <w:tc>
          <w:tcPr>
            <w:tcW w:w="760" w:type="dxa"/>
            <w:vAlign w:val="bottom"/>
            <w:gridSpan w:val="2"/>
            <w:shd w:val="clear" w:color="auto" w:fill="CFF0FC"/>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(269,006)</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542,142</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(16,836)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34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636,209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tcBorders>
              <w:right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708,779</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(72,570)</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41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3,382,695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3,741,107</w:t>
            </w:r>
          </w:p>
        </w:tc>
        <w:tc>
          <w:tcPr>
            <w:tcW w:w="76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(358,412)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-4688205</wp:posOffset>
            </wp:positionV>
            <wp:extent cx="159448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59448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-3514090</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-3514090</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-3514090</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-3514090</wp:posOffset>
            </wp:positionV>
            <wp:extent cx="13716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-2656840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-2639695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-2656840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-2639695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-2656840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-2639695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-2656840</wp:posOffset>
            </wp:positionV>
            <wp:extent cx="13716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-2639695</wp:posOffset>
            </wp:positionV>
            <wp:extent cx="1371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-2331085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-2313940</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-2331085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-2313940</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-2331085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-2313940</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-2331085</wp:posOffset>
            </wp:positionV>
            <wp:extent cx="13716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-2313940</wp:posOffset>
            </wp:positionV>
            <wp:extent cx="13716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-1216660</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-1216660</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-1216660</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-1216660</wp:posOffset>
            </wp:positionV>
            <wp:extent cx="13716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11240"/>
          </w:cols>
          <w:pgMar w:left="320" w:top="1440" w:right="339" w:bottom="420" w:gutter="0" w:footer="0" w:header="0"/>
        </w:sectPr>
      </w:pPr>
    </w:p>
    <w:bookmarkStart w:id="24" w:name="page25"/>
    <w:bookmarkEnd w:id="24"/>
    <w:p>
      <w:pPr>
        <w:jc w:val="both"/>
        <w:ind w:firstLine="509"/>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decreased by $358.4 million, or (9.6)%, to $3,382.7 million in the nine months ended June 30, 2025, from $3,741.1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nine months ended June 30, 2024. During the nine months ended June 30, 2025, we phased out several low-margin, non-core business activities, the results of which were included in the nine months ended June 30, 2024. Excluding the effects of phasing out those low-margin, non-core business activities</w:t>
      </w:r>
      <w:r>
        <w:rPr>
          <w:rFonts w:ascii="Times New Roman" w:cs="Times New Roman" w:eastAsia="Times New Roman" w:hAnsi="Times New Roman"/>
          <w:sz w:val="24"/>
          <w:szCs w:val="24"/>
          <w:color w:val="auto"/>
          <w:vertAlign w:val="superscript"/>
        </w:rPr>
        <w:t>(a)</w:t>
      </w:r>
      <w:r>
        <w:rPr>
          <w:rFonts w:ascii="Times New Roman" w:cs="Times New Roman" w:eastAsia="Times New Roman" w:hAnsi="Times New Roman"/>
          <w:sz w:val="18"/>
          <w:szCs w:val="18"/>
          <w:color w:val="auto"/>
        </w:rPr>
        <w:t xml:space="preserve"> and the immaterial impact of negative foreign currency fluctuations, revenue for the nine months ended June 30, 2025, increased by 3.2%, compared to the nine months ended June 30, 2024.</w:t>
      </w:r>
    </w:p>
    <w:p>
      <w:pPr>
        <w:spacing w:after="0" w:line="15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the nine months ended June 30, 2025, revenue from customers in North America, Europe and the rest of the world accounted for 65.7%, 15.5% and 18.8%, respectively, of total revenue, compared to 66.6%, 14.5% and 18.9%, respectively, in the nine months ended June 30, 2024.</w:t>
      </w:r>
    </w:p>
    <w:p>
      <w:pPr>
        <w:spacing w:after="0" w:line="135" w:lineRule="exact"/>
        <w:rPr>
          <w:sz w:val="20"/>
          <w:szCs w:val="20"/>
          <w:color w:val="auto"/>
        </w:rPr>
      </w:pPr>
    </w:p>
    <w:p>
      <w:pPr>
        <w:jc w:val="both"/>
        <w:ind w:firstLine="509"/>
        <w:spacing w:after="0" w:line="289" w:lineRule="auto"/>
        <w:rPr>
          <w:sz w:val="20"/>
          <w:szCs w:val="20"/>
          <w:color w:val="auto"/>
        </w:rPr>
      </w:pPr>
      <w:r>
        <w:rPr>
          <w:rFonts w:ascii="Times New Roman" w:cs="Times New Roman" w:eastAsia="Times New Roman" w:hAnsi="Times New Roman"/>
          <w:sz w:val="18"/>
          <w:szCs w:val="18"/>
          <w:color w:val="auto"/>
        </w:rPr>
        <w:t>Revenue from customers in North America decreased in absolute amounts during the nine months ended June 30, 2025, primarily as a result of the phase out of several low-margin, non-core business activities</w:t>
      </w:r>
      <w:r>
        <w:rPr>
          <w:rFonts w:ascii="Times New Roman" w:cs="Times New Roman" w:eastAsia="Times New Roman" w:hAnsi="Times New Roman"/>
          <w:sz w:val="24"/>
          <w:szCs w:val="24"/>
          <w:color w:val="auto"/>
          <w:vertAlign w:val="superscript"/>
        </w:rPr>
        <w:t>(a)</w:t>
      </w:r>
      <w:r>
        <w:rPr>
          <w:rFonts w:ascii="Times New Roman" w:cs="Times New Roman" w:eastAsia="Times New Roman" w:hAnsi="Times New Roman"/>
          <w:sz w:val="18"/>
          <w:szCs w:val="18"/>
          <w:color w:val="auto"/>
        </w:rPr>
        <w:t>, which was partially offset by higher revenue from managed services activities.</w:t>
      </w:r>
    </w:p>
    <w:p>
      <w:pPr>
        <w:spacing w:after="0" w:line="39"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Revenue from customers in Europe decreased in absolute amounts during the nine months ended June 30, 2025, primarily as a result of the phase out of several low-margin, non-core business activities</w:t>
      </w:r>
      <w:r>
        <w:rPr>
          <w:rFonts w:ascii="Times New Roman" w:cs="Times New Roman" w:eastAsia="Times New Roman" w:hAnsi="Times New Roman"/>
          <w:sz w:val="24"/>
          <w:szCs w:val="24"/>
          <w:color w:val="auto"/>
          <w:vertAlign w:val="superscript"/>
        </w:rPr>
        <w:t>(a)</w:t>
      </w:r>
      <w:r>
        <w:rPr>
          <w:rFonts w:ascii="Times New Roman" w:cs="Times New Roman" w:eastAsia="Times New Roman" w:hAnsi="Times New Roman"/>
          <w:sz w:val="18"/>
          <w:szCs w:val="18"/>
          <w:color w:val="auto"/>
        </w:rPr>
        <w:t>. Revenue from customers in Europe increased as a percentage of total revenue to 15.5% from 14.5% in the nine months ended June 30, 2025 compared to nine months ended June 30, 2024, benefiting from the ramp-up of new deal activities and a contribution from the previously completed acquisition of Profinit.</w:t>
      </w:r>
    </w:p>
    <w:p>
      <w:pPr>
        <w:spacing w:after="0" w:line="160" w:lineRule="exact"/>
        <w:rPr>
          <w:sz w:val="20"/>
          <w:szCs w:val="20"/>
          <w:color w:val="auto"/>
        </w:rPr>
      </w:pPr>
    </w:p>
    <w:p>
      <w:pPr>
        <w:jc w:val="both"/>
        <w:ind w:firstLine="509"/>
        <w:spacing w:after="0" w:line="236" w:lineRule="auto"/>
        <w:rPr>
          <w:sz w:val="20"/>
          <w:szCs w:val="20"/>
          <w:color w:val="auto"/>
        </w:rPr>
      </w:pPr>
      <w:r>
        <w:rPr>
          <w:rFonts w:ascii="Times New Roman" w:cs="Times New Roman" w:eastAsia="Times New Roman" w:hAnsi="Times New Roman"/>
          <w:sz w:val="18"/>
          <w:szCs w:val="18"/>
          <w:color w:val="auto"/>
        </w:rPr>
        <w:t>Revenue from customers in the rest of the world decreased in absolute amounts in the nine months ended June 30, 2025, primarily as a result of the phase out of several low-margin, non-core business activities</w:t>
      </w:r>
      <w:r>
        <w:rPr>
          <w:rFonts w:ascii="Times New Roman" w:cs="Times New Roman" w:eastAsia="Times New Roman" w:hAnsi="Times New Roman"/>
          <w:sz w:val="24"/>
          <w:szCs w:val="24"/>
          <w:color w:val="auto"/>
          <w:vertAlign w:val="superscript"/>
        </w:rPr>
        <w:t>(a)</w:t>
      </w:r>
      <w:r>
        <w:rPr>
          <w:rFonts w:ascii="Times New Roman" w:cs="Times New Roman" w:eastAsia="Times New Roman" w:hAnsi="Times New Roman"/>
          <w:sz w:val="18"/>
          <w:szCs w:val="18"/>
          <w:color w:val="auto"/>
        </w:rPr>
        <w:t>. Excluding the effects of the phase out activities, revenue from customers in Asia-Pacific region increased as a result of an increase in managed services arrangements, as we expand our presence in this region.</w:t>
      </w:r>
    </w:p>
    <w:p>
      <w:pPr>
        <w:spacing w:after="0" w:line="168"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Cost of Revenue</w:t>
      </w:r>
      <w:r>
        <w:rPr>
          <w:rFonts w:ascii="Times New Roman" w:cs="Times New Roman" w:eastAsia="Times New Roman" w:hAnsi="Times New Roman"/>
          <w:sz w:val="18"/>
          <w:szCs w:val="18"/>
          <w:color w:val="auto"/>
        </w:rPr>
        <w:t>. Cost of revenue consists primarily of costs associated with providing services to customers, including compensation expense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of third-party products, as well as fee and royalty payments to software suppliers. Cost of revenue decreased by $333.3 million, or 13.7%, to $2,091.5 million in the nine months ended June 30, 2025, from $2,424.7 million in the nine months ended June 30, 2024. The cost of revenue as a percentage of revenue, decreased to 61.8% in the nine months ended June 30, 2025, from 64.8% in the nine months ended June 30, 2024, the majority of which is a result of the phasing out of non-core, low-margin business activities</w:t>
      </w:r>
      <w:r>
        <w:rPr>
          <w:rFonts w:ascii="Times New Roman" w:cs="Times New Roman" w:eastAsia="Times New Roman" w:hAnsi="Times New Roman"/>
          <w:sz w:val="24"/>
          <w:szCs w:val="24"/>
          <w:color w:val="auto"/>
          <w:vertAlign w:val="superscript"/>
        </w:rPr>
        <w:t>(a)</w:t>
      </w:r>
      <w:r>
        <w:rPr>
          <w:rFonts w:ascii="Times New Roman" w:cs="Times New Roman" w:eastAsia="Times New Roman" w:hAnsi="Times New Roman"/>
          <w:sz w:val="18"/>
          <w:szCs w:val="18"/>
          <w:color w:val="auto"/>
        </w:rPr>
        <w:t xml:space="preserve"> and the continued focus on operational excellence and the efficiency improvements. Our cost of revenue was also positively affected by foreign exchange impacts.</w:t>
      </w:r>
    </w:p>
    <w:p>
      <w:pPr>
        <w:spacing w:after="0" w:line="15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w:t>
      </w:r>
      <w:r>
        <w:rPr>
          <w:rFonts w:ascii="Times New Roman" w:cs="Times New Roman" w:eastAsia="Times New Roman" w:hAnsi="Times New Roman"/>
          <w:sz w:val="18"/>
          <w:szCs w:val="18"/>
          <w:color w:val="auto"/>
        </w:rPr>
        <w:t>. Research and development expense is primarily comprised of compensation expense. Research and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decreased in absolute amounts by $17.7 million, or 6.6%, to $253.0 million in the nine months ended June 30, 2025, from $270.7 million in the nine months ended June 30, 2024. Research and development expense increased as a percentage of total revenue from 7.2% in the nine months ended June 30, 2024, to 7.5% in the nine months ended June 30, 2025, as total revenue decreased at a higher rate than research and development expense as a result of the phasing out of non-core, low-margin business activities</w:t>
      </w:r>
      <w:r>
        <w:rPr>
          <w:rFonts w:ascii="Times New Roman" w:cs="Times New Roman" w:eastAsia="Times New Roman" w:hAnsi="Times New Roman"/>
          <w:sz w:val="24"/>
          <w:szCs w:val="24"/>
          <w:color w:val="auto"/>
          <w:vertAlign w:val="superscript"/>
        </w:rPr>
        <w:t>(a)</w:t>
      </w:r>
      <w:r>
        <w:rPr>
          <w:rFonts w:ascii="Times New Roman" w:cs="Times New Roman" w:eastAsia="Times New Roman" w:hAnsi="Times New Roman"/>
          <w:sz w:val="18"/>
          <w:szCs w:val="18"/>
          <w:color w:val="auto"/>
        </w:rPr>
        <w:t>. We continue to invest in our cloud offerings, 5G and network related innovation, AI and GenAI capabilities and further developing our digital offerings. Our research and development efforts are a key element of our strategy and are essential to our success, and we intend to maintain our commitment to research and development. However, increase or decrease in our revenue would not necessarily result in a proportional increase or decrease in the levels of our research and development expenditures, which could affect our operating margin.</w:t>
      </w:r>
    </w:p>
    <w:p>
      <w:pPr>
        <w:spacing w:after="0" w:line="14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color w:val="auto"/>
        </w:rPr>
        <w:t>. Selling, general and administrative expense, which is primarily comprised of compensation expense,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decreased by $49.8 million, or 11.5%, to $384.3 million in the nine months ended June 30, 2025, from $434.1 million in the nine months ended June 30, 2024. Selling, general and administrative expense decreased as a percentage of revenue from 11.6% in the nine months ended June 30, 2024, to 11.4% in the nine months ended June 30, 2025. The decrease was primarily attributable to operational excellence and efficiency improvements, and changes of certain acquisition-related liabilities measured at fair value, partially offset by an increase in account receivable allowances. Selling, general and administrative expense may fluctuate from time to time, depending upon such factors as changes in our workforce and sales efforts and the results of any operational efficiency programs that we may undertake.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 w:name="page26"/>
    <w:bookmarkEnd w:id="25"/>
    <w:p>
      <w:pPr>
        <w:spacing w:after="0" w:line="149"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Amortization of Purchased Intangible Assets and Other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Amortization of purchased intangible assets and other in the nine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slightly increased by $0.4 million, or 0.9% to $48.1 million from $47.7 million in the nine months ended June 30, 2024. The slight increase in amortization of purchased intangible assets and other was primarily attributable to recent completed acquisitions, partially offset by a completion of amortization of previously purchased intangible assets and a decrease in acquisition-related costs.</w:t>
      </w:r>
    </w:p>
    <w:p>
      <w:pPr>
        <w:spacing w:after="0" w:line="176"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Restructuring Charges. </w:t>
      </w:r>
      <w:r>
        <w:rPr>
          <w:rFonts w:ascii="Times New Roman" w:cs="Times New Roman" w:eastAsia="Times New Roman" w:hAnsi="Times New Roman"/>
          <w:sz w:val="18"/>
          <w:szCs w:val="18"/>
          <w:color w:val="auto"/>
        </w:rPr>
        <w:t>Restructuring charges for the nine months ended June 30, 2025, were $6.8 million, and were $47.9 in the nine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June 30, 2024. In fiscal year 2024, the Company took actions under a new restructuring plan, mainly comprised of employee's severance expense and benefits arrangements. The Company expects to execute the remainder of the 2024 restructuring plan over the next several quarters, please see Note 9 to our consolidated financial statements.</w:t>
      </w:r>
    </w:p>
    <w:p>
      <w:pPr>
        <w:spacing w:after="0" w:line="149"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Operating Income</w:t>
      </w:r>
      <w:r>
        <w:rPr>
          <w:rFonts w:ascii="Times New Roman" w:cs="Times New Roman" w:eastAsia="Times New Roman" w:hAnsi="Times New Roman"/>
          <w:sz w:val="18"/>
          <w:szCs w:val="18"/>
          <w:color w:val="auto"/>
        </w:rPr>
        <w:t>. Operating income increased by $83.1 million, or 16.1%, in the nine months ended June 30, 2025, to $599.0 million, from $515.9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the nine months ended June 30, 2024. Operating income increased as a percentage of revenue from 13.8% in the nine months ended June 30, 2024, to 17.7% in the nine months ended June 30, 2025. The increase in operating income was primarily attributable to the phasing out of non-core, low-margin business activities</w:t>
      </w:r>
      <w:r>
        <w:rPr>
          <w:rFonts w:ascii="Times New Roman" w:cs="Times New Roman" w:eastAsia="Times New Roman" w:hAnsi="Times New Roman"/>
          <w:sz w:val="24"/>
          <w:szCs w:val="24"/>
          <w:color w:val="auto"/>
          <w:vertAlign w:val="superscript"/>
        </w:rPr>
        <w:t>(a)</w:t>
      </w:r>
      <w:r>
        <w:rPr>
          <w:rFonts w:ascii="Times New Roman" w:cs="Times New Roman" w:eastAsia="Times New Roman" w:hAnsi="Times New Roman"/>
          <w:sz w:val="18"/>
          <w:szCs w:val="18"/>
          <w:color w:val="auto"/>
        </w:rPr>
        <w:t>, the continued focus on operational excellence through ongoing adoption of automation, AI, and other sophisticated tools within our operations, to drive additional cost savings and efficiency improvements, and to a lower level of restructuring charges recorded in the nine months ended June 30, 2025 compared to the nine months ended June 30, 2024. Our operating income was positively affected by foreign exchange impacts.</w:t>
      </w:r>
    </w:p>
    <w:p>
      <w:pPr>
        <w:spacing w:after="0" w:line="15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Interest and Other Expense, 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and other expense, net, decreased from a net expense of $28.3 million in the nine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to a net expense of $26.6 million in the nine months ended June 30, 2025. The decrease in interest and other expense, net, was primarily attributable to: (i) a realized gain from an equity investment, partially offset by fair value changes of certain other equity investments resulting in a net increase of $7.8 million compared to the nine months ended June 30, 2024, (ii) a decrease in foreign exchange fluctuation charges, partially offset by; (iii) a decrease in interest income net of interest expenses, as a result of lower level of cash balances, recorded in the nine months ended June 30, 2025 compared to the nine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2469515</wp:posOffset>
            </wp:positionH>
            <wp:positionV relativeFrom="paragraph">
              <wp:posOffset>-306705</wp:posOffset>
            </wp:positionV>
            <wp:extent cx="3683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122"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color w:val="auto"/>
        </w:rPr>
        <w:t>. Income tax expense for the nine months ended June 30, 2025 were $101.8, million, on pre-tax income of $572.5 million, resulting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effective tax rate of 17.8%, compared to 16.1% in the nine months ended June 30, 2024. Please see also Note 10 to our consolidated financial statements. Our effective tax rate may fluctuate between periods as a result of discrete items that may affect a particular period.</w:t>
      </w:r>
    </w:p>
    <w:p>
      <w:pPr>
        <w:spacing w:after="0" w:line="144"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income attributable to Amdocs Limited</w:t>
      </w:r>
      <w:r>
        <w:rPr>
          <w:rFonts w:ascii="Times New Roman" w:cs="Times New Roman" w:eastAsia="Times New Roman" w:hAnsi="Times New Roman"/>
          <w:sz w:val="18"/>
          <w:szCs w:val="18"/>
          <w:color w:val="auto"/>
        </w:rPr>
        <w:t>. Net income increased by $61.6 million, or 15.1%, to $468.4 million in the nine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from $406.8 million in the nine months ended June 30, 2024. The increase in net income is primarily attributable an increase in operating income, which were partially offset by an increase in income tax expense.</w:t>
      </w:r>
    </w:p>
    <w:p>
      <w:pPr>
        <w:spacing w:after="0" w:line="13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Diluted Earnings Per Share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Diluted earnings per share increased by $0.69, or 19.8%, to $4.17 in the nine months ended June 30, 2025, from $3.48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nine months ended June 30, 2024. The increase in diluted earnings per share was primarily attributable to an increase in net income in the nine months ended June 30, 2025, and to a decrease in the diluted weighted average number of shares outstanding which resulted from share repurchases. Please see also Note 11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2025 and 2024</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tabular presentation of our results of operations for the three months ended June 30, 2025 compared to the three months ended June 30, 2024. Following the table is a discussion and analysis of our business and results of operations for such periods.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60" w:type="dxa"/>
            <w:vAlign w:val="bottom"/>
            <w:gridSpan w:val="5"/>
          </w:tcPr>
          <w:p>
            <w:pPr>
              <w:jc w:val="center"/>
              <w:ind w:left="4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gridSpan w:val="4"/>
          </w:tcPr>
          <w:p>
            <w:pPr>
              <w:jc w:val="center"/>
              <w:ind w:right="228"/>
              <w:spacing w:after="0" w:line="146"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3"/>
            <w:vMerge w:val="restart"/>
          </w:tcPr>
          <w:p>
            <w:pPr>
              <w:jc w:val="right"/>
              <w:ind w:right="600"/>
              <w:spacing w:after="0" w:line="189" w:lineRule="exact"/>
              <w:rPr>
                <w:sz w:val="20"/>
                <w:szCs w:val="20"/>
                <w:color w:val="auto"/>
              </w:rPr>
            </w:pPr>
            <w:r>
              <w:rPr>
                <w:rFonts w:ascii="Times New Roman" w:cs="Times New Roman" w:eastAsia="Times New Roman" w:hAnsi="Times New Roman"/>
                <w:sz w:val="14"/>
                <w:szCs w:val="14"/>
                <w:b w:val="1"/>
                <w:bCs w:val="1"/>
                <w:color w:val="auto"/>
              </w:rPr>
              <w:t>2025</w:t>
            </w:r>
            <w:r>
              <w:rPr>
                <w:rFonts w:ascii="Times New Roman" w:cs="Times New Roman" w:eastAsia="Times New Roman" w:hAnsi="Times New Roman"/>
                <w:sz w:val="19"/>
                <w:szCs w:val="19"/>
                <w:b w:val="1"/>
                <w:bCs w:val="1"/>
                <w:color w:val="auto"/>
                <w:vertAlign w:val="superscript"/>
              </w:rPr>
              <w:t>(a)</w:t>
            </w:r>
          </w:p>
        </w:tc>
        <w:tc>
          <w:tcPr>
            <w:tcW w:w="1100" w:type="dxa"/>
            <w:vAlign w:val="bottom"/>
            <w:gridSpan w:val="4"/>
            <w:vMerge w:val="restart"/>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6"/>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1,144,437</w:t>
            </w:r>
          </w:p>
        </w:tc>
        <w:tc>
          <w:tcPr>
            <w:tcW w:w="7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1,250,059</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(105,622)</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711,147</w:t>
            </w: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gridSpan w:val="4"/>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809,970</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(98,823)</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86,851</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90,368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(3,517)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127,589</w:t>
            </w: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gridSpan w:val="4"/>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144,027</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(16,438)</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28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16,380</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15,111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1,269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Restructuring charges</w:t>
            </w: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gridSpan w:val="4"/>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14,715</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(14,715)</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941,967</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1,074,191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(132,224)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202,470</w:t>
            </w: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gridSpan w:val="4"/>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175,868</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26,602</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8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(11,705)</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(6,872)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4,833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190,765</w:t>
            </w:r>
          </w:p>
        </w:tc>
        <w:tc>
          <w:tcPr>
            <w:tcW w:w="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gridSpan w:val="4"/>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168,996</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21,769</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35,963</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27,998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7,965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154,802</w:t>
            </w:r>
          </w:p>
        </w:tc>
        <w:tc>
          <w:tcPr>
            <w:tcW w:w="7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140,998</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13,804</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801</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attributable to Amdocs Limited</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154,001</w:t>
            </w:r>
          </w:p>
        </w:tc>
        <w:tc>
          <w:tcPr>
            <w:tcW w:w="760" w:type="dxa"/>
            <w:vAlign w:val="bottom"/>
            <w:gridSpan w:val="2"/>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140,289</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tcBorders>
              <w:right w:val="single" w:sz="8" w:color="CFF0FC"/>
            </w:tcBorders>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13,712</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432"/>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 Geographic Information:</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5"/>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4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gridSpan w:val="5"/>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580" w:type="dxa"/>
            <w:vAlign w:val="bottom"/>
            <w:gridSpan w:val="6"/>
            <w:vMerge w:val="restart"/>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4"/>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Borders>
              <w:top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3"/>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 (mainly United States)</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745,449</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828,845</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(83,396)</w:t>
            </w:r>
          </w:p>
        </w:tc>
        <w:tc>
          <w:tcPr>
            <w:tcW w:w="3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189,398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175,874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13,524</w:t>
            </w: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209,590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245,340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(35,750)</w:t>
            </w:r>
          </w:p>
        </w:tc>
        <w:tc>
          <w:tcPr>
            <w:tcW w:w="3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8"/>
                <w:szCs w:val="18"/>
                <w:color w:val="auto"/>
              </w:rPr>
            </w:pPr>
          </w:p>
        </w:tc>
        <w:tc>
          <w:tcPr>
            <w:tcW w:w="110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7"/>
              </w:rPr>
              <w:t>1,144,437</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1,250,059</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(105,622)</w:t>
            </w:r>
          </w:p>
        </w:tc>
        <w:tc>
          <w:tcPr>
            <w:tcW w:w="3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-3590925</wp:posOffset>
            </wp:positionV>
            <wp:extent cx="193738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93738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-2416810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-2416810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-2416810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-2416810</wp:posOffset>
            </wp:positionV>
            <wp:extent cx="1371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-170815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-170815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-170815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-170815</wp:posOffset>
            </wp:positionV>
            <wp:extent cx="13716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4"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decreased by $105.6 million, or (8.4)%, to $1,144.4 million in the three months ended June 30, 2025, from $1,250.1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three months ended June 30, 2024. During the first quarter of fiscal year 2025, we phased out several low-margin, non-core business activities, the results of which were included in the three months ended June 30, 2024. Excluding the effects of phasing out those low-margin, non-core business activities</w:t>
      </w:r>
      <w:r>
        <w:rPr>
          <w:rFonts w:ascii="Times New Roman" w:cs="Times New Roman" w:eastAsia="Times New Roman" w:hAnsi="Times New Roman"/>
          <w:sz w:val="24"/>
          <w:szCs w:val="24"/>
          <w:color w:val="auto"/>
          <w:vertAlign w:val="superscript"/>
        </w:rPr>
        <w:t>(a)</w:t>
      </w:r>
      <w:r>
        <w:rPr>
          <w:rFonts w:ascii="Times New Roman" w:cs="Times New Roman" w:eastAsia="Times New Roman" w:hAnsi="Times New Roman"/>
          <w:sz w:val="18"/>
          <w:szCs w:val="18"/>
          <w:color w:val="auto"/>
        </w:rPr>
        <w:t xml:space="preserve"> and the immaterial impact of positive foreign currency fluctuations, revenue for the three months ended June 30, 2025, increased by 3.5%, compared to the three months ended June 30, 2024.</w:t>
      </w:r>
    </w:p>
    <w:p>
      <w:pPr>
        <w:spacing w:after="0" w:line="16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the three months ended June 30, 2025, revenue from customers in North America, Europe and the rest of the world accounted for 65.1%, 16.6% and 18.3%, respectively, of total revenue, compared to 66.3%, 14.1% and 19.6%, respectively, in the three months ended June 30, 2024.</w:t>
      </w:r>
    </w:p>
    <w:p>
      <w:pPr>
        <w:spacing w:after="0" w:line="121"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Revenue from customers in North America decreased in absolute amounts during the three months ended June 30, 2025, primarily as a result of the phase out of several low-margin, non-core business activities</w:t>
      </w:r>
      <w:r>
        <w:rPr>
          <w:rFonts w:ascii="Times New Roman" w:cs="Times New Roman" w:eastAsia="Times New Roman" w:hAnsi="Times New Roman"/>
          <w:sz w:val="24"/>
          <w:szCs w:val="24"/>
          <w:color w:val="auto"/>
          <w:vertAlign w:val="superscript"/>
        </w:rPr>
        <w:t>(a)</w:t>
      </w:r>
      <w:r>
        <w:rPr>
          <w:rFonts w:ascii="Times New Roman" w:cs="Times New Roman" w:eastAsia="Times New Roman" w:hAnsi="Times New Roman"/>
          <w:sz w:val="18"/>
          <w:szCs w:val="18"/>
          <w:color w:val="auto"/>
        </w:rPr>
        <w:t>. Excluding the effects of the phase out activities, revenue from customers in North America in absolute amounts slightly increased, while total revenue increased at a higher rate, which resulted a decrease in revenue from customers in North America as a percent of total revenue.</w:t>
      </w:r>
    </w:p>
    <w:p>
      <w:pPr>
        <w:spacing w:after="0" w:line="160" w:lineRule="exact"/>
        <w:rPr>
          <w:sz w:val="20"/>
          <w:szCs w:val="20"/>
          <w:color w:val="auto"/>
        </w:rPr>
      </w:pPr>
    </w:p>
    <w:p>
      <w:pPr>
        <w:jc w:val="both"/>
        <w:ind w:firstLine="554"/>
        <w:spacing w:after="0" w:line="236" w:lineRule="auto"/>
        <w:rPr>
          <w:sz w:val="20"/>
          <w:szCs w:val="20"/>
          <w:color w:val="auto"/>
        </w:rPr>
      </w:pPr>
      <w:r>
        <w:rPr>
          <w:rFonts w:ascii="Times New Roman" w:cs="Times New Roman" w:eastAsia="Times New Roman" w:hAnsi="Times New Roman"/>
          <w:sz w:val="18"/>
          <w:szCs w:val="18"/>
          <w:color w:val="auto"/>
        </w:rPr>
        <w:t>Revenue from customers in Europe increased during the three months ended June 30, 2025, despite the phase out of several low-margin, non-core business activities</w:t>
      </w:r>
      <w:r>
        <w:rPr>
          <w:rFonts w:ascii="Times New Roman" w:cs="Times New Roman" w:eastAsia="Times New Roman" w:hAnsi="Times New Roman"/>
          <w:sz w:val="24"/>
          <w:szCs w:val="24"/>
          <w:color w:val="auto"/>
          <w:vertAlign w:val="superscript"/>
        </w:rPr>
        <w:t>(a)</w:t>
      </w:r>
      <w:r>
        <w:rPr>
          <w:rFonts w:ascii="Times New Roman" w:cs="Times New Roman" w:eastAsia="Times New Roman" w:hAnsi="Times New Roman"/>
          <w:sz w:val="18"/>
          <w:szCs w:val="18"/>
          <w:color w:val="auto"/>
        </w:rPr>
        <w:t>. The increase is primarily as a result of higher revenue from managed services activities benefiting from the ramp-up of new deal activities, and a contribution from the previously completed acquisition of Profinit.</w:t>
      </w:r>
    </w:p>
    <w:p>
      <w:pPr>
        <w:spacing w:after="0" w:line="172" w:lineRule="exact"/>
        <w:rPr>
          <w:sz w:val="20"/>
          <w:szCs w:val="20"/>
          <w:color w:val="auto"/>
        </w:rPr>
      </w:pPr>
    </w:p>
    <w:p>
      <w:pPr>
        <w:jc w:val="both"/>
        <w:ind w:firstLine="509"/>
        <w:spacing w:after="0" w:line="236" w:lineRule="auto"/>
        <w:rPr>
          <w:sz w:val="20"/>
          <w:szCs w:val="20"/>
          <w:color w:val="auto"/>
        </w:rPr>
      </w:pPr>
      <w:r>
        <w:rPr>
          <w:rFonts w:ascii="Times New Roman" w:cs="Times New Roman" w:eastAsia="Times New Roman" w:hAnsi="Times New Roman"/>
          <w:sz w:val="18"/>
          <w:szCs w:val="18"/>
          <w:color w:val="auto"/>
        </w:rPr>
        <w:t>Revenue from customers in the rest of the world decreased in absolute amounts during the three months ended June 30, 2025, primarily as a result of the phase out of several low-margin, non-core business activities</w:t>
      </w:r>
      <w:r>
        <w:rPr>
          <w:rFonts w:ascii="Times New Roman" w:cs="Times New Roman" w:eastAsia="Times New Roman" w:hAnsi="Times New Roman"/>
          <w:sz w:val="24"/>
          <w:szCs w:val="24"/>
          <w:color w:val="auto"/>
          <w:vertAlign w:val="superscript"/>
        </w:rPr>
        <w:t>(a)</w:t>
      </w:r>
      <w:r>
        <w:rPr>
          <w:rFonts w:ascii="Times New Roman" w:cs="Times New Roman" w:eastAsia="Times New Roman" w:hAnsi="Times New Roman"/>
          <w:sz w:val="18"/>
          <w:szCs w:val="18"/>
          <w:color w:val="auto"/>
        </w:rPr>
        <w:t>. Excluding the effects of the phase out activities, revenue from customers in Asia-Pacific region increased as a result of an increase in managed services arrangements, as we expand our presence in this region.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 w:name="page28"/>
    <w:bookmarkEnd w:id="27"/>
    <w:p>
      <w:pPr>
        <w:spacing w:after="0" w:line="149"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Cost of Revenue</w:t>
      </w:r>
      <w:r>
        <w:rPr>
          <w:rFonts w:ascii="Times New Roman" w:cs="Times New Roman" w:eastAsia="Times New Roman" w:hAnsi="Times New Roman"/>
          <w:sz w:val="18"/>
          <w:szCs w:val="18"/>
          <w:color w:val="auto"/>
        </w:rPr>
        <w:t>. Cost of revenue consists primarily of costs associated with providing services to customers, including compensation expense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of third-party products, as well as fee and royalty payments to software suppliers. Cost of revenue decreased by $98.8 million, or 12.2%, to $711.1 million in the three months ended June 30, 2025, from $810.0 million in the three months ended June 30, 2024. The cost of revenue as a percentage of revenue decreased to 62.1% in the three months ended June 30, 2025, from 64.8% in the three months ended June 30, 2024, the majority of which is a result of the phasing out of non-core, low-margin business activities</w:t>
      </w:r>
      <w:r>
        <w:rPr>
          <w:rFonts w:ascii="Times New Roman" w:cs="Times New Roman" w:eastAsia="Times New Roman" w:hAnsi="Times New Roman"/>
          <w:sz w:val="24"/>
          <w:szCs w:val="24"/>
          <w:color w:val="auto"/>
          <w:vertAlign w:val="superscript"/>
        </w:rPr>
        <w:t>(a)</w:t>
      </w:r>
      <w:r>
        <w:rPr>
          <w:rFonts w:ascii="Times New Roman" w:cs="Times New Roman" w:eastAsia="Times New Roman" w:hAnsi="Times New Roman"/>
          <w:sz w:val="18"/>
          <w:szCs w:val="18"/>
          <w:color w:val="auto"/>
        </w:rPr>
        <w:t xml:space="preserve"> and the continued focus on operational excellence and the efficiency improvements. Our cost of revenue was also positively affected by foreign exchange impacts.</w:t>
      </w:r>
    </w:p>
    <w:p>
      <w:pPr>
        <w:spacing w:after="0" w:line="166"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w:t>
      </w:r>
      <w:r>
        <w:rPr>
          <w:rFonts w:ascii="Times New Roman" w:cs="Times New Roman" w:eastAsia="Times New Roman" w:hAnsi="Times New Roman"/>
          <w:sz w:val="18"/>
          <w:szCs w:val="18"/>
          <w:color w:val="auto"/>
        </w:rPr>
        <w:t>. Research and development expense is primarily comprised of compensation expense. Research and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decreased in absolute amounts by $3.5 million, or 3.9%, to $86.9 million in the three months ended June 30, 2025, from $90.4 million in the three months ended June 30, 2024. Research and development expense increased as a percentage of total revenue from 7.2% in the three months ended June 30, 2024, to 7.6% in the three months ended June 30, 2025 , as total revenue decreased at a higher rate than research and development expense as a result of the phasing out of non-core, low-margin business activities</w:t>
      </w:r>
      <w:r>
        <w:rPr>
          <w:rFonts w:ascii="Times New Roman" w:cs="Times New Roman" w:eastAsia="Times New Roman" w:hAnsi="Times New Roman"/>
          <w:sz w:val="24"/>
          <w:szCs w:val="24"/>
          <w:color w:val="auto"/>
          <w:vertAlign w:val="superscript"/>
        </w:rPr>
        <w:t>(a).</w:t>
      </w:r>
      <w:r>
        <w:rPr>
          <w:rFonts w:ascii="Times New Roman" w:cs="Times New Roman" w:eastAsia="Times New Roman" w:hAnsi="Times New Roman"/>
          <w:sz w:val="18"/>
          <w:szCs w:val="18"/>
          <w:color w:val="auto"/>
        </w:rPr>
        <w:t xml:space="preserve"> We continue to invest in our cloud offerings, 5G and network related innovation, AI and GenAI capabilities and further developing our digital offerings. Our research and development efforts are a key element of our strategy and are essential to our success, and we intend to maintain our commitment to research and development. However, increase or decrease in our revenue would not necessarily result in a proportional increase or decrease in the levels of our research and development expenditures, which could affect our operating margin.</w:t>
      </w:r>
    </w:p>
    <w:p>
      <w:pPr>
        <w:spacing w:after="0" w:line="147"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color w:val="auto"/>
        </w:rPr>
        <w:t>. Selling, general and administrative expense, which is primarily comprised of compensation expense,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decreased by $16.4 million, or 11.4%, to $127.6 million in the three months ended June 30, 2025, from $144.0 million in the three months ended June 30, 2024. Selling, general and administrative expense decreased as a percentage of revenue from 11.5% in the three months ended June 30, 2024, to 11.1% in the three months ended June 30, 2025. The decrease was primarily attributable to operational excellence and efficiency improvement. Selling, general and administrative expense may fluctuate from time to time, depending upon such factors as changes in our workforce and sales efforts and the results of any operational efficiency programs that we may undertake.</w:t>
      </w:r>
    </w:p>
    <w:p>
      <w:pPr>
        <w:spacing w:after="0" w:line="142"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Amortization of Purchased Intangible Assets and Other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Amortization of purchased intangible assets and other in the three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increased by $1.3 million, or 8.4% to $16.4 million from $15.1 million in the three months ended June 30, 2024. The increase in amortization of purchased intangible assets and other was primarily attributable to recent completed acquisitions, partially offset by a completion of amortization of previously purchased intangible assets and a decrease in acquisition-related costs.</w:t>
      </w:r>
    </w:p>
    <w:p>
      <w:pPr>
        <w:spacing w:after="0" w:line="176"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Restructuring Charges. </w:t>
      </w:r>
      <w:r>
        <w:rPr>
          <w:rFonts w:ascii="Times New Roman" w:cs="Times New Roman" w:eastAsia="Times New Roman" w:hAnsi="Times New Roman"/>
          <w:sz w:val="18"/>
          <w:szCs w:val="18"/>
          <w:color w:val="auto"/>
        </w:rPr>
        <w:t>There were no restructuring charges in the three months ended June 30, 2025, while there were $14.7 million of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charges in the three months ended June 30, 2024. In fiscal year 2024, the Company took actions under a new restructuring plan, mainly comprised of employee's severance expense and benefits arrangements. The Company expects to execute the remainder of the 2024 restructuring plan over the next several quarters, please see Note 9 to our consolidated financial statements.</w:t>
      </w:r>
    </w:p>
    <w:p>
      <w:pPr>
        <w:spacing w:after="0" w:line="14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Operating Income</w:t>
      </w:r>
      <w:r>
        <w:rPr>
          <w:rFonts w:ascii="Times New Roman" w:cs="Times New Roman" w:eastAsia="Times New Roman" w:hAnsi="Times New Roman"/>
          <w:sz w:val="18"/>
          <w:szCs w:val="18"/>
          <w:color w:val="auto"/>
        </w:rPr>
        <w:t>. Operating income increased by $26.6 million, or 15.1%, in the three months ended June 30, 2025, to $202.5 million, or 17.7%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revenue, from $175.9 million, or 14.1% of revenue, in the three months ended June 30, 2024. The increase in operating income was primarily attributable to the phasing out of non-core, low-margin business activities, the continued focus on operational excellence through ongoing adoption of automation, AI, and other sophisticated tools within our operations, to drive additional cost savings and efficiency improvements, to a decrease in restructuring charges recorded in the three months ended June 30, 2024, while there were no such restructuring charges in the three months ended June 30, 2025. Our operating income was positively affected by foreign exchange impacts.</w:t>
      </w:r>
    </w:p>
    <w:p>
      <w:pPr>
        <w:spacing w:after="0" w:line="128"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Interest and Other Expense, 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and other expense, net, increased from a net expense of $6.9 million in the three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to a net expense of $11.7 million in the three months ended June 30, 2025. The increase in interest and other expense, net, was primarily attributable to an increase in interest expense net of interest income, as a result of lower level of cash balances, changes of minority equity investments measured at fair value, partially offset by a decrease in foreign exchange fluctuation charges.</w:t>
      </w:r>
    </w:p>
    <w:p>
      <w:pPr>
        <w:spacing w:after="0" w:line="122"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color w:val="auto"/>
        </w:rPr>
        <w:t>. Income tax expense for the three months ended June 30, 2025 were $36.0 million on pre-tax income of $190.8 million, resulting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effective tax rate of 18.9%, compared to effective tax rate of 16.6% in the three months ended June 30, 2024. Our effective tax rate may fluctuate between periods as a result of discrete items that may affect a particular period, please see Note 10 to our consolidated financial statements.</w:t>
      </w:r>
    </w:p>
    <w:p>
      <w:pPr>
        <w:spacing w:after="0" w:line="130"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income attributable to Amdocs Limited</w:t>
      </w:r>
      <w:r>
        <w:rPr>
          <w:rFonts w:ascii="Times New Roman" w:cs="Times New Roman" w:eastAsia="Times New Roman" w:hAnsi="Times New Roman"/>
          <w:sz w:val="18"/>
          <w:szCs w:val="18"/>
          <w:color w:val="auto"/>
        </w:rPr>
        <w:t>. Net income increased by $13.7 million, or 9.8%, to $154.0 million in the three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from $140.3 million in the three months ended June 30, 2024. The increase in net income is primarily attributable to an increase in operating income, which were partially offset by an increase in income tax expense and an increase in interest and other expense, net.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49"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Diluted Earnings Per Share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Diluted earnings per share increased by $0.18, or 14.9%, to $1.39 in the three months ended June 30, 2025,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$1.21 in the three months ended June 30, 2024. The increase in diluted earnings per share was primarily attributable to an increase in net income in the three months ended June 30, 2025, and a decrease in the diluted weighted average number of shares outstanding which resulted from share repurchases. Please see also Note 11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95123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19" w:lineRule="exact"/>
        <w:rPr>
          <w:sz w:val="20"/>
          <w:szCs w:val="20"/>
          <w:color w:val="auto"/>
        </w:rPr>
      </w:pPr>
    </w:p>
    <w:p>
      <w:pPr>
        <w:ind w:right="40" w:firstLine="8"/>
        <w:spacing w:after="0" w:line="275" w:lineRule="auto"/>
        <w:tabs>
          <w:tab w:leader="none" w:pos="231"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During the three months ended December 31, 2024, we phased out several low-margin, non-core business activities, which were included in the three and nine months ended June 30, 2024. These business activities resulted in an aggregate of approximately $600 million of revenue in fiscal year 2024, or approximately $150 million per fiscal quarter. The geographic proportional impact of revenue attributable to such business activities is consistent with that of the overall company in fiscal year 2024. These activities substantially already ceased in the three months ended December 31,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87"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Cash Equivalents and Short-Term Interest-Bearing Investments. </w:t>
      </w:r>
      <w:r>
        <w:rPr>
          <w:rFonts w:ascii="Times New Roman" w:cs="Times New Roman" w:eastAsia="Times New Roman" w:hAnsi="Times New Roman"/>
          <w:sz w:val="18"/>
          <w:szCs w:val="18"/>
          <w:color w:val="auto"/>
        </w:rPr>
        <w:t>Cash, cash equivalents and short-term interest-bearing investments, totaled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$342.5 million as of June 30, 2025, compared to $514.3 million as of September 30, 2024. The decrease was mainly attributable to $414.9 million repurchase of our ordinary shares pursuant to our repurchase program, $166.4 million of cash dividend payment, $61.4 million payments for business acquisitions and $72.7 million for capital expenditures, net, partially offset by $519.3 million positive cash flow from operating activities, $16.8 million net proceeds from equity investments and other and $18.1 million of proceeds from stock options. Net cash provided by operating activities amounted to $519.3 million and $506.5 million in the nine months ended June 30, 2025 and 2024, respectively.</w:t>
      </w:r>
    </w:p>
    <w:p>
      <w:pPr>
        <w:spacing w:after="0" w:line="15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free cash flow for the nine months ended June 30, 2025 was $446.6 million and is calculated as net cash provided by operating activities of $519.3 million for the period less $72.7 million for capital expenditures, net, and is after restructuring payments of approximately $66 million.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Free cash flow is a non-GAAP financial measure and is not prepared in accordance with, and is not an alternative for, generally accepted accounting principles and may be different from non-GAAP financial measures with similar names used by other companies. Non-GAAP measures such as free cash flow should only be reviewed in conjunction with the corresponding GAAP measures. We believe that free cash flow, when used in conjunction with the corresponding GAAP measure, provides useful information to investors and management relating to the amount of cash generated by the Company’s business operations.</w:t>
      </w:r>
    </w:p>
    <w:p>
      <w:pPr>
        <w:spacing w:after="0" w:line="14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current cash balances, cash generated from operations, our current lines of credit, loans, Senior Notes and our ability to access capital markets serve as sources of liquidity if needed and will provide sufficient resources to meet our operational needs, loan and debt repayment needs, fund share repurchases and the payment of cash dividends for at least the next twelve months.</w:t>
      </w:r>
    </w:p>
    <w:p>
      <w:pPr>
        <w:spacing w:after="0" w:line="14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short-term interest-bearing investments comprised of marketable securities and bank deposits. We classify all of our marketable securities as available-for-sale securities. Such marketable securities consist primarily of money market funds, corporate bonds, U.S. government treasuries and supranational and sovereign debt, which are stated at market value.</w:t>
      </w:r>
    </w:p>
    <w:p>
      <w:pPr>
        <w:spacing w:after="0" w:line="13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believe we have conservative investment policy guidelines. Our interest-bearing investments are stated at fair value with the unrealized gains or losses reported as a separate component of accumulated other comprehensive income (loss), net of tax, unless a security is impaired due to a credit loss, in which case the loss is recorded in the consolidated statements of income. Our interest-bearing investments are priced by pricing vendors and are classified as Level 1 or Level 2 investments, since these vendors either provide a quoted market price in an active market or use other observable inputs to price these securities. During the nine months ended June 30, 2025 and 2024, we did not recognize any credit losses. Please see Notes 5 and 6 to the consolidated financial statements.</w:t>
      </w:r>
    </w:p>
    <w:p>
      <w:pPr>
        <w:spacing w:after="0" w:line="14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Revolving Credit Facility, Loans, Senior Notes, Letters of Credit, Guarantees and Contractual Obligations. </w:t>
      </w:r>
      <w:r>
        <w:rPr>
          <w:rFonts w:ascii="Times New Roman" w:cs="Times New Roman" w:eastAsia="Times New Roman" w:hAnsi="Times New Roman"/>
          <w:sz w:val="18"/>
          <w:szCs w:val="18"/>
          <w:color w:val="auto"/>
        </w:rPr>
        <w:t>In December 2011, we entered into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unsecured $500.0 million Revolving Credit Facility. In December 2014, December 2017, March 2021 and July 2024, the Revolving Credit Facility was amended and restated to, among other things, extend the maturity date of the facility to December 2019, December 2022, March 2026 and July 2029, respectively. As of June 30, 2025, we were in compliance with the financial covenants and had no outstanding borrowing under the Revolving Credit Facility.</w:t>
      </w:r>
    </w:p>
    <w:p>
      <w:pPr>
        <w:spacing w:after="0" w:line="15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June 2020, we issued an aggregate principal amount of $650.0 million in Senior Notes that will mature in June 2030 and bear interest at a fixed rate of 2.538 percent per annum (the “Senior Notes”). The interest is payable semi-annually in June and December of each year, commencing in December 2020. We incurred issuance costs of $6.1 million in relation to the Senior Notes, which are being amortized to interest expenses over the term of the Senior Notes using the effective interest rate. The Senior Notes are senior unsecured obligations and rank equally in right of payment with all of our existing and future senior indebtedness, including any indebtedness we may incur from time to time under the Revolving Credit Facility. </w:t>
      </w:r>
      <w:r>
        <w:rPr>
          <w:rFonts w:ascii="Times New Roman" w:cs="Times New Roman" w:eastAsia="Times New Roman" w:hAnsi="Times New Roman"/>
          <w:sz w:val="18"/>
          <w:szCs w:val="18"/>
          <w:color w:val="231F20"/>
        </w:rPr>
        <w:t>As of June 30, 2025,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noncurrent outstanding principal portion was $650.0 million. P</w:t>
      </w:r>
      <w:r>
        <w:rPr>
          <w:rFonts w:ascii="Times New Roman" w:cs="Times New Roman" w:eastAsia="Times New Roman" w:hAnsi="Times New Roman"/>
          <w:sz w:val="18"/>
          <w:szCs w:val="18"/>
          <w:color w:val="000000"/>
        </w:rPr>
        <w:t>lease see Note 13 to our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5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June 30, 2025, we had additional uncommitted lines of credit available for general corporate and other specific purposes. We had outstanding letters of credit and bank guarantees totaling $98.2 million as of June 30, 2025.</w:t>
      </w:r>
    </w:p>
    <w:p>
      <w:pPr>
        <w:spacing w:after="0" w:line="13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contractual obligations for Long-term debt and accrued interests, operating leases, purchase obligations, pension funding and unrecognized tax benefits, summarized in the disclosure of contractual obligations set forth in our Annual Report on Form 20-F for the fiscal year ended September 30, 2024, filed on December 17, 2024 with the SEC. Since September 30, 2024, there have been no material changes in our aggregate contractual obligations mentioned above.</w:t>
      </w:r>
    </w:p>
    <w:p>
      <w:pPr>
        <w:spacing w:after="0" w:line="13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During the nine months ended June 30, 2025, we completed three business acquisitions for an aggregate net consideration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$59.0 million in cash, and a potential for additional consideration which may be paid later based on achievement of certain performance metrics. The majority of this amount was paid for the acquisition of Profinit, a data science and engineering company, please see Note 3 to our consolidated financial statements.</w:t>
      </w:r>
    </w:p>
    <w:p>
      <w:pPr>
        <w:spacing w:after="0" w:line="139"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Generally, the majority of our capital expenditures consist of purchases of computer equipment, and the remainder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mainly to building and leasehold improvements. Our capital expenditures were approximately $72.7 million in the nine months ended June 30, 2025 and were mainly attributable to investments in our operating facilities and our development centers around the world.</w:t>
      </w:r>
    </w:p>
    <w:p>
      <w:pPr>
        <w:spacing w:after="0" w:line="14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Share Repurchases</w:t>
      </w:r>
      <w:r>
        <w:rPr>
          <w:rFonts w:ascii="Times New Roman" w:cs="Times New Roman" w:eastAsia="Times New Roman" w:hAnsi="Times New Roman"/>
          <w:sz w:val="18"/>
          <w:szCs w:val="18"/>
          <w:color w:val="auto"/>
        </w:rPr>
        <w:t>. From time to time, our Board of Directors can adopt share repurchase plans authorizing the repurchase of our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ordinary shares. On August 2, 2023, our Board of Directors adopted a share repurchase plan for the repurchase of up to an additional $1.1 billion of our outstanding ordinary shares with no expiration date. The August 2023 plan permits us to purchase our ordinary shares in the open market or through privately negotiated transactions at times and prices that we consider appropriate. During </w:t>
      </w:r>
      <w:r>
        <w:rPr>
          <w:rFonts w:ascii="Times New Roman" w:cs="Times New Roman" w:eastAsia="Times New Roman" w:hAnsi="Times New Roman"/>
          <w:sz w:val="18"/>
          <w:szCs w:val="18"/>
          <w:color w:val="231F20"/>
        </w:rPr>
        <w:t>the</w:t>
      </w:r>
      <w:r>
        <w:rPr>
          <w:rFonts w:ascii="Times New Roman" w:cs="Times New Roman" w:eastAsia="Times New Roman" w:hAnsi="Times New Roman"/>
          <w:sz w:val="18"/>
          <w:szCs w:val="18"/>
          <w:color w:val="auto"/>
        </w:rPr>
        <w:t xml:space="preserve"> nine months ended June 30, 2025 </w:t>
      </w:r>
      <w:r>
        <w:rPr>
          <w:rFonts w:ascii="Times New Roman" w:cs="Times New Roman" w:eastAsia="Times New Roman" w:hAnsi="Times New Roman"/>
          <w:sz w:val="18"/>
          <w:szCs w:val="18"/>
          <w:color w:val="231F20"/>
        </w:rPr>
        <w:t>we</w:t>
      </w:r>
      <w:r>
        <w:rPr>
          <w:rFonts w:ascii="Times New Roman" w:cs="Times New Roman" w:eastAsia="Times New Roman" w:hAnsi="Times New Roman"/>
          <w:sz w:val="18"/>
          <w:szCs w:val="18"/>
          <w:color w:val="auto"/>
        </w:rPr>
        <w:t xml:space="preserve"> repurchased 4.7 million ordinary shares at an average price of $87.97 per share (excluding broker and transaction fees). As of June 30, 2025, we had remaining authority to repurchase up to $122.8 million of our outstanding ordinary shares under the August 2023 plan. On May 7, 2025, our Board of Directors adopted a share repurchase plan for the repurchase of up to an additional $1.0 billion of our outstanding ordinary shares with no expiration date, which brings the aggregate unused authorization under both the August 2023 and the May 2025 plans to $1.12 billion. The May 2025 plan permits us to purchase our ordinary shares in the open market or through privately negotiated transactions at times and prices that we consider appropriate.</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Cash Dividends. </w:t>
      </w:r>
      <w:r>
        <w:rPr>
          <w:rFonts w:ascii="Times New Roman" w:cs="Times New Roman" w:eastAsia="Times New Roman" w:hAnsi="Times New Roman"/>
          <w:sz w:val="18"/>
          <w:szCs w:val="18"/>
          <w:color w:val="auto"/>
        </w:rPr>
        <w:t>Our Board of Directors declared the following dividends during the nine months ended June 30, 2025 and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Dividends Per</w:t>
            </w:r>
          </w:p>
        </w:tc>
        <w:tc>
          <w:tcPr>
            <w:tcW w:w="260" w:type="dxa"/>
            <w:vAlign w:val="bottom"/>
          </w:tcPr>
          <w:p>
            <w:pPr>
              <w:spacing w:after="0"/>
              <w:rPr>
                <w:sz w:val="13"/>
                <w:szCs w:val="13"/>
                <w:color w:val="auto"/>
              </w:rPr>
            </w:pPr>
          </w:p>
        </w:tc>
        <w:tc>
          <w:tcPr>
            <w:tcW w:w="164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260" w:type="dxa"/>
            <w:vAlign w:val="bottom"/>
          </w:tcPr>
          <w:p>
            <w:pPr>
              <w:spacing w:after="0"/>
              <w:rPr>
                <w:sz w:val="13"/>
                <w:szCs w:val="13"/>
                <w:color w:val="auto"/>
              </w:rPr>
            </w:pPr>
          </w:p>
        </w:tc>
        <w:tc>
          <w:tcPr>
            <w:tcW w:w="16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0" w:type="dxa"/>
            <w:vAlign w:val="bottom"/>
          </w:tcPr>
          <w:p>
            <w:pPr>
              <w:spacing w:after="0"/>
              <w:rPr>
                <w:sz w:val="1"/>
                <w:szCs w:val="1"/>
                <w:color w:val="auto"/>
              </w:rPr>
            </w:pPr>
          </w:p>
        </w:tc>
      </w:tr>
      <w:tr>
        <w:trPr>
          <w:trHeight w:val="173"/>
        </w:trPr>
        <w:tc>
          <w:tcPr>
            <w:tcW w:w="40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Ordinary Share</w:t>
            </w:r>
          </w:p>
        </w:tc>
        <w:tc>
          <w:tcPr>
            <w:tcW w:w="260" w:type="dxa"/>
            <w:vAlign w:val="bottom"/>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May 7, 2025</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0.527</w:t>
            </w:r>
          </w:p>
        </w:tc>
        <w:tc>
          <w:tcPr>
            <w:tcW w:w="2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1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July 25, 2025</w:t>
            </w: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4, 2025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0.527</w:t>
            </w:r>
          </w:p>
        </w:tc>
        <w:tc>
          <w:tcPr>
            <w:tcW w:w="19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March 31, 2025</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25, 2025</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November 12, 2024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0.479</w:t>
            </w:r>
          </w:p>
        </w:tc>
        <w:tc>
          <w:tcPr>
            <w:tcW w:w="19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December 31, 2024</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January 31, 2025</w:t>
            </w: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8, 2024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0.479</w:t>
            </w:r>
          </w:p>
        </w:tc>
        <w:tc>
          <w:tcPr>
            <w:tcW w:w="19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June 28, 2024</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26, 2024</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February 6, 2024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0.479</w:t>
            </w:r>
          </w:p>
        </w:tc>
        <w:tc>
          <w:tcPr>
            <w:tcW w:w="19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March 29, 2024</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6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November 7, 2023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0.435</w:t>
            </w:r>
          </w:p>
        </w:tc>
        <w:tc>
          <w:tcPr>
            <w:tcW w:w="19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December 29, 2023</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26, 2024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August 6, 2025 our Board of Directors approved the next quarterly dividend payment and set September 30, 2025 as the record date for determining the shareholders entitled to receive the dividend, which is payable on October 31, 2025.</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considers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Fluctuations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 We periodically assess the applicability of the U.S. dollar as our functional currency by reviewing the salient indicators.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5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nine months ended June 30, 2025 and 2024, approximately 70% to 80% of our revenue and approximately 50% to 60% of our operating expenses were in U.S. dollars or linked to the U.S. dollar. If more customers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when cost-effective.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Changes in Securities, Use of Proceeds and Issuer Purchases of Equity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Ordinary Shares</w:t>
      </w:r>
    </w:p>
    <w:p>
      <w:pPr>
        <w:spacing w:after="0" w:line="22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about purchases by us and our affiliated purchasers during the three months ended June 30, 2025 of equity securities that are registered by us pursuant to Section 12 of the Exchange Act:</w:t>
      </w:r>
    </w:p>
    <w:p>
      <w:pPr>
        <w:spacing w:after="0"/>
        <w:rPr>
          <w:sz w:val="20"/>
          <w:szCs w:val="20"/>
          <w:color w:val="auto"/>
        </w:rPr>
      </w:pPr>
      <w:r>
        <w:rPr>
          <w:rFonts w:ascii="Times New Roman" w:cs="Times New Roman" w:eastAsia="Times New Roman" w:hAnsi="Times New Roman"/>
          <w:sz w:val="18"/>
          <w:szCs w:val="18"/>
          <w:color w:val="auto"/>
        </w:rPr>
        <w:t>____________</w:t>
      </w:r>
    </w:p>
    <w:tbl>
      <w:tblPr>
        <w:tblLayout w:type="fixed"/>
        <w:tblInd w:w="0" w:type="dxa"/>
        <w:tblCellMar>
          <w:top w:w="0" w:type="dxa"/>
          <w:left w:w="0" w:type="dxa"/>
          <w:bottom w:w="0" w:type="dxa"/>
          <w:right w:w="0" w:type="dxa"/>
        </w:tblCellMar>
      </w:tblPr>
      <w:tr>
        <w:trPr>
          <w:trHeight w:val="133"/>
        </w:trPr>
        <w:tc>
          <w:tcPr>
            <w:tcW w:w="3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(or Approximate</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Publicly</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8"/>
        </w:trPr>
        <w:tc>
          <w:tcPr>
            <w:tcW w:w="3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73"/>
        </w:trPr>
        <w:tc>
          <w:tcPr>
            <w:tcW w:w="38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Paid per Share(1)</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or Programs(2)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04/01/25-04/30/25</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505,663</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83.49</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505,663</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215,754,315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05/01/25-05/31/25</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328,369</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91.44</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328,369</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1,185,729,323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06/01/25-06/30/25</w:t>
            </w: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683,387</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683,387</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1,122,791,097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1,517,419</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1,517,419</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1,122,791,097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-170815</wp:posOffset>
            </wp:positionV>
            <wp:extent cx="7747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-170815</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 w:lineRule="exact"/>
        <w:rPr>
          <w:sz w:val="20"/>
          <w:szCs w:val="20"/>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broker and transaction fees.</w:t>
      </w:r>
    </w:p>
    <w:p>
      <w:pPr>
        <w:spacing w:after="0" w:line="27" w:lineRule="exact"/>
        <w:rPr>
          <w:rFonts w:ascii="Times New Roman" w:cs="Times New Roman" w:eastAsia="Times New Roman" w:hAnsi="Times New Roman"/>
          <w:sz w:val="18"/>
          <w:szCs w:val="18"/>
          <w:color w:val="auto"/>
        </w:rPr>
      </w:pPr>
    </w:p>
    <w:p>
      <w:pPr>
        <w:jc w:val="both"/>
        <w:ind w:left="380" w:hanging="372"/>
        <w:spacing w:after="0" w:line="253"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 2023, our Board of Directors adopted a share repurchase plan for the repurchase of up to $1.1 billion of our outstanding ordinary shares and on May 7, 2025, adopted another share repurchase plan for the repurchase of up to an additional $1.0 billion of our outstanding ordinary shares, which brings the aggregate unused authorization under both the August 2023 and the May 2025 plans to $1.12 billion. The authorizations have no expiration date and permit us to purchase our ordinary shares in open market or privately negotiated transactions at times and prices we consider appropriate.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Reports on Form 6-K</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furnished or filed the following reports on Form 6-K during the three months ended June 30, 2025:</w:t>
      </w:r>
    </w:p>
    <w:p>
      <w:pPr>
        <w:spacing w:after="0" w:line="198" w:lineRule="exact"/>
        <w:rPr>
          <w:sz w:val="20"/>
          <w:szCs w:val="20"/>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6-K dated May 7, 2025</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6-K dated May 19,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AMDOCS LIMITED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Matthew E. Smith</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Secretary and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18,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lowerLetter"/>
      <w:start w:val="1"/>
    </w:lvl>
  </w:abstractNum>
  <w:abstractNum w:abstractNumId="1">
    <w:nsid w:val="6B68079A"/>
    <w:multiLevelType w:val="hybridMultilevel"/>
    <w:lvl w:ilvl="0">
      <w:lvlJc w:val="left"/>
      <w:lvlText w:val="(%1)"/>
      <w:numFmt w:val="decimal"/>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lowerLetter"/>
      <w:start w:val="1"/>
    </w:lvl>
    <w:lvl w:ilvl="1">
      <w:lvlJc w:val="left"/>
      <w:lvlText w:val="(%2)"/>
      <w:numFmt w:val="lowerLetter"/>
      <w:start w:val="2"/>
    </w:lvl>
  </w:abstractNum>
  <w:abstractNum w:abstractNumId="4">
    <w:nsid w:val="519B500D"/>
    <w:multiLevelType w:val="hybridMultilevel"/>
    <w:lvl w:ilvl="0">
      <w:lvlJc w:val="left"/>
      <w:lvlText w:val="(%1)"/>
      <w:numFmt w:val="lowerLetter"/>
      <w:start w:val="3"/>
    </w:lvl>
    <w:lvl w:ilvl="1">
      <w:lvlJc w:val="left"/>
      <w:lvlText w:val="%2"/>
      <w:numFmt w:val="lowerLetter"/>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2"/>
    </w:lvl>
  </w:abstractNum>
  <w:abstractNum w:abstractNumId="7">
    <w:nsid w:val="7C83E458"/>
    <w:multiLevelType w:val="hybridMultilevel"/>
    <w:lvl w:ilvl="0">
      <w:lvlJc w:val="left"/>
      <w:lvlText w:val="%1."/>
      <w:numFmt w:val="decimal"/>
      <w:start w:val="3"/>
    </w:lvl>
  </w:abstractNum>
  <w:abstractNum w:abstractNumId="8">
    <w:nsid w:val="257130A3"/>
    <w:multiLevelType w:val="hybridMultilevel"/>
    <w:lvl w:ilvl="0">
      <w:lvlJc w:val="left"/>
      <w:lvlText w:val="%1."/>
      <w:numFmt w:val="decimal"/>
      <w:start w:val="4"/>
    </w:lvl>
  </w:abstractNum>
  <w:abstractNum w:abstractNumId="9">
    <w:nsid w:val="62BBD95A"/>
    <w:multiLevelType w:val="hybridMultilevel"/>
    <w:lvl w:ilvl="0">
      <w:lvlJc w:val="left"/>
      <w:lvlText w:val="%1."/>
      <w:numFmt w:val="decimal"/>
      <w:start w:val="5"/>
    </w:lvl>
  </w:abstractNum>
  <w:abstractNum w:abstractNumId="10">
    <w:nsid w:val="436C6125"/>
    <w:multiLevelType w:val="hybridMultilevel"/>
    <w:lvl w:ilvl="0">
      <w:lvlJc w:val="left"/>
      <w:lvlText w:val="%1."/>
      <w:numFmt w:val="decimal"/>
      <w:start w:val="6"/>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7"/>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decimal"/>
      <w:start w:val="9"/>
    </w:lvl>
  </w:abstractNum>
  <w:abstractNum w:abstractNumId="16">
    <w:nsid w:val="6763845E"/>
    <w:multiLevelType w:val="hybridMultilevel"/>
    <w:lvl w:ilvl="0">
      <w:lvlJc w:val="left"/>
      <w:lvlText w:val="%1."/>
      <w:numFmt w:val="decimal"/>
      <w:start w:val="10"/>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1"/>
    </w:lvl>
  </w:abstractNum>
  <w:abstractNum w:abstractNumId="20">
    <w:nsid w:val="4353D0CD"/>
    <w:multiLevelType w:val="hybridMultilevel"/>
    <w:lvl w:ilvl="0">
      <w:lvlJc w:val="left"/>
      <w:lvlText w:val="%1."/>
      <w:numFmt w:val="decimal"/>
      <w:start w:val="12"/>
    </w:lvl>
  </w:abstractNum>
  <w:abstractNum w:abstractNumId="21">
    <w:nsid w:val="B03E0C6"/>
    <w:multiLevelType w:val="hybridMultilevel"/>
    <w:lvl w:ilvl="0">
      <w:lvlJc w:val="left"/>
      <w:lvlText w:val="%1."/>
      <w:numFmt w:val="decimal"/>
      <w:start w:val="13"/>
    </w:lvl>
  </w:abstractNum>
  <w:abstractNum w:abstractNumId="22">
    <w:nsid w:val="189A769B"/>
    <w:multiLevelType w:val="hybridMultilevel"/>
    <w:lvl w:ilvl="0">
      <w:lvlJc w:val="left"/>
      <w:lvlText w:val="%1."/>
      <w:numFmt w:val="decimal"/>
      <w:start w:val="14"/>
    </w:lvl>
  </w:abstractNum>
  <w:abstractNum w:abstractNumId="23">
    <w:nsid w:val="54E49EB4"/>
    <w:multiLevelType w:val="hybridMultilevel"/>
    <w:lvl w:ilvl="0">
      <w:lvlJc w:val="left"/>
      <w:lvlText w:val="%1."/>
      <w:numFmt w:val="decimal"/>
      <w:start w:val="15"/>
    </w:lvl>
  </w:abstractNum>
  <w:abstractNum w:abstractNumId="24">
    <w:nsid w:val="71F32454"/>
    <w:multiLevelType w:val="hybridMultilevel"/>
    <w:lvl w:ilvl="0">
      <w:lvlJc w:val="left"/>
      <w:lvlText w:val="%1."/>
      <w:numFmt w:val="decimal"/>
      <w:start w:val="16"/>
    </w:lvl>
  </w:abstractNum>
  <w:abstractNum w:abstractNumId="25">
    <w:nsid w:val="2CA88611"/>
    <w:multiLevelType w:val="hybridMultilevel"/>
    <w:lvl w:ilvl="0">
      <w:lvlJc w:val="left"/>
      <w:lvlText w:val="%1."/>
      <w:numFmt w:val="decimal"/>
      <w:start w:val="17"/>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2025-08-18T15:16:25Z</dcterms:created>
  <dcterms:modified xsi:type="dcterms:W3CDTF">2025-08-18T15:16:25Z</dcterms:modified>
</cp:coreProperties>
</file>