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169545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REPORT OF FOREIGN PRIVATE ISSUER</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RULE 13a-16 OR 15d-16</w:t>
      </w:r>
    </w:p>
    <w:p>
      <w:pPr>
        <w:jc w:val="center"/>
        <w:ind w:right="19"/>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 the month of August 2023</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165735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178435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Hirzel House, Smith Street,</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St. Peter Port, Island of Guernsey, GY1 2NG</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Amdocs, Inc.</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625 Maryville Centre Drive, Suite 200, Saint Louis, Missouri 63141</w:t>
      </w:r>
    </w:p>
    <w:p>
      <w:pPr>
        <w:jc w:val="center"/>
        <w:ind w:right="19"/>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3" w:lineRule="exact"/>
        <w:rPr>
          <w:sz w:val="24"/>
          <w:szCs w:val="24"/>
          <w:color w:val="auto"/>
        </w:rPr>
      </w:pPr>
    </w:p>
    <w:p>
      <w:pPr>
        <w:ind w:left="640"/>
        <w:spacing w:after="0"/>
        <w:rPr>
          <w:sz w:val="20"/>
          <w:szCs w:val="20"/>
          <w:color w:val="auto"/>
        </w:rPr>
      </w:pPr>
      <w:r>
        <w:rPr>
          <w:rFonts w:ascii="Arial" w:cs="Arial" w:eastAsia="Arial" w:hAnsi="Arial"/>
          <w:sz w:val="12"/>
          <w:szCs w:val="12"/>
          <w:color w:val="auto"/>
        </w:rPr>
        <w:t>Indicate by check mark whether the registrant files or will file annual reports under cover of Form 20-F or Form 40-F:</w:t>
      </w:r>
    </w:p>
    <w:p>
      <w:pPr>
        <w:spacing w:after="0" w:line="133" w:lineRule="exact"/>
        <w:rPr>
          <w:sz w:val="24"/>
          <w:szCs w:val="24"/>
          <w:color w:val="auto"/>
        </w:rPr>
      </w:pPr>
    </w:p>
    <w:p>
      <w:pPr>
        <w:ind w:left="3500"/>
        <w:spacing w:after="0" w:line="150" w:lineRule="exact"/>
        <w:tabs>
          <w:tab w:leader="none" w:pos="4680" w:val="left"/>
        </w:tabs>
        <w:rPr>
          <w:sz w:val="20"/>
          <w:szCs w:val="20"/>
          <w:color w:val="auto"/>
        </w:rPr>
      </w:pPr>
      <w:r>
        <w:rPr>
          <w:rFonts w:ascii="Arial" w:cs="Arial" w:eastAsia="Arial" w:hAnsi="Arial"/>
          <w:sz w:val="13"/>
          <w:szCs w:val="13"/>
          <w:color w:val="auto"/>
        </w:rPr>
        <w:t xml:space="preserve">FORM 20-F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130175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160020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sectPr>
      </w:pPr>
    </w:p>
    <w:bookmarkStart w:id="1" w:name="page2"/>
    <w:bookmarkEnd w:id="1"/>
    <w:p>
      <w:pPr>
        <w:ind w:left="640" w:right="779"/>
        <w:spacing w:after="0" w:line="35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3180"/>
                    </a:xfrm>
                    <a:prstGeom prst="rect">
                      <a:avLst/>
                    </a:prstGeom>
                    <a:noFill/>
                  </pic:spPr>
                </pic:pic>
              </a:graphicData>
            </a:graphic>
          </wp:anchor>
        </w:drawing>
        <w:t>On August 2, 2023 Amdocs Limited (“Amdocs”) issued a press release announcing financial results for the quarter ended June 30, 2023. A copy of the press release and the accompanying presentation are furnished as Exhibits 99.1 and 99.2 to this Report of Foreign Private Issuer on Form 6-K.</w:t>
      </w:r>
    </w:p>
    <w:p>
      <w:pPr>
        <w:spacing w:after="0" w:line="84" w:lineRule="exact"/>
        <w:rPr>
          <w:sz w:val="20"/>
          <w:szCs w:val="20"/>
          <w:color w:val="auto"/>
        </w:rPr>
      </w:pPr>
    </w:p>
    <w:p>
      <w:pPr>
        <w:ind w:left="640" w:right="759"/>
        <w:spacing w:after="0" w:line="252" w:lineRule="auto"/>
        <w:rPr>
          <w:sz w:val="20"/>
          <w:szCs w:val="20"/>
          <w:color w:val="auto"/>
        </w:rPr>
      </w:pPr>
      <w:r>
        <w:rPr>
          <w:rFonts w:ascii="Arial" w:cs="Arial" w:eastAsia="Arial" w:hAnsi="Arial"/>
          <w:sz w:val="13"/>
          <w:szCs w:val="13"/>
          <w:color w:val="auto"/>
        </w:rPr>
        <w:t>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9019"/>
          </w:cols>
          <w:pgMar w:left="1440" w:top="387" w:right="1440" w:bottom="1440" w:gutter="0" w:footer="0" w:header="0"/>
        </w:sectPr>
      </w:pPr>
    </w:p>
    <w:bookmarkStart w:id="2" w:name="page3"/>
    <w:bookmarkEnd w:id="2"/>
    <w:tbl>
      <w:tblPr>
        <w:tblLayout w:type="fixed"/>
        <w:tblInd w:w="64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980" w:type="dxa"/>
            <w:vAlign w:val="bottom"/>
            <w:gridSpan w:val="2"/>
          </w:tcPr>
          <w:p>
            <w:pPr>
              <w:ind w:left="640"/>
              <w:spacing w:after="0"/>
              <w:rPr>
                <w:sz w:val="20"/>
                <w:szCs w:val="20"/>
                <w:color w:val="auto"/>
              </w:rPr>
            </w:pPr>
            <w:r>
              <w:rPr>
                <w:rFonts w:ascii="Arial" w:cs="Arial" w:eastAsia="Arial" w:hAnsi="Arial"/>
                <w:sz w:val="13"/>
                <w:szCs w:val="13"/>
                <w:color w:val="auto"/>
              </w:rPr>
              <w:t>EXHIBIT INDEX</w:t>
            </w:r>
          </w:p>
        </w:tc>
        <w:tc>
          <w:tcPr>
            <w:tcW w:w="0" w:type="dxa"/>
            <w:vAlign w:val="bottom"/>
          </w:tcPr>
          <w:p>
            <w:pPr>
              <w:spacing w:after="0"/>
              <w:rPr>
                <w:sz w:val="1"/>
                <w:szCs w:val="1"/>
                <w:color w:val="auto"/>
              </w:rPr>
            </w:pPr>
          </w:p>
        </w:tc>
      </w:tr>
      <w:tr>
        <w:trPr>
          <w:trHeight w:val="262"/>
        </w:trPr>
        <w:tc>
          <w:tcPr>
            <w:tcW w:w="860" w:type="dxa"/>
            <w:vAlign w:val="bottom"/>
            <w:gridSpan w:val="2"/>
          </w:tcPr>
          <w:p>
            <w:pPr>
              <w:spacing w:after="0"/>
              <w:rPr>
                <w:sz w:val="20"/>
                <w:szCs w:val="20"/>
                <w:color w:val="auto"/>
              </w:rPr>
            </w:pPr>
            <w:r>
              <w:rPr>
                <w:rFonts w:ascii="Arial" w:cs="Arial" w:eastAsia="Arial" w:hAnsi="Arial"/>
                <w:sz w:val="10"/>
                <w:szCs w:val="10"/>
                <w:color w:val="auto"/>
              </w:rPr>
              <w:t>EXHIBIT</w:t>
            </w:r>
          </w:p>
        </w:tc>
        <w:tc>
          <w:tcPr>
            <w:tcW w:w="6880" w:type="dxa"/>
            <w:vAlign w:val="bottom"/>
            <w:gridSpan w:val="3"/>
            <w:vMerge w:val="restart"/>
          </w:tcPr>
          <w:p>
            <w:pPr>
              <w:spacing w:after="0"/>
              <w:rPr>
                <w:sz w:val="20"/>
                <w:szCs w:val="20"/>
                <w:color w:val="auto"/>
              </w:rPr>
            </w:pPr>
            <w:r>
              <w:rPr>
                <w:rFonts w:ascii="Arial" w:cs="Arial" w:eastAsia="Arial" w:hAnsi="Arial"/>
                <w:sz w:val="10"/>
                <w:szCs w:val="10"/>
                <w:color w:val="auto"/>
              </w:rPr>
              <w:t>DESCRIPTION</w:t>
            </w:r>
          </w:p>
        </w:tc>
        <w:tc>
          <w:tcPr>
            <w:tcW w:w="0" w:type="dxa"/>
            <w:vAlign w:val="bottom"/>
          </w:tcPr>
          <w:p>
            <w:pPr>
              <w:spacing w:after="0"/>
              <w:rPr>
                <w:sz w:val="1"/>
                <w:szCs w:val="1"/>
                <w:color w:val="auto"/>
              </w:rPr>
            </w:pPr>
          </w:p>
        </w:tc>
      </w:tr>
      <w:tr>
        <w:trPr>
          <w:trHeight w:val="117"/>
        </w:trPr>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NO.</w:t>
            </w:r>
          </w:p>
        </w:tc>
        <w:tc>
          <w:tcPr>
            <w:tcW w:w="6880" w:type="dxa"/>
            <w:vAlign w:val="bottom"/>
            <w:tcBorders>
              <w:bottom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860" w:type="dxa"/>
            <w:vAlign w:val="bottom"/>
            <w:gridSpan w:val="2"/>
          </w:tcPr>
          <w:p>
            <w:pPr>
              <w:spacing w:after="0"/>
              <w:rPr>
                <w:sz w:val="20"/>
                <w:szCs w:val="20"/>
                <w:color w:val="auto"/>
              </w:rPr>
            </w:pPr>
            <w:r>
              <w:rPr>
                <w:rFonts w:ascii="Arial" w:cs="Arial" w:eastAsia="Arial" w:hAnsi="Arial"/>
                <w:sz w:val="13"/>
                <w:szCs w:val="13"/>
                <w:color w:val="auto"/>
              </w:rPr>
              <w:t>99.1</w:t>
            </w:r>
          </w:p>
        </w:tc>
        <w:tc>
          <w:tcPr>
            <w:tcW w:w="406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color w:val="0000EE"/>
                <w:w w:val="87"/>
              </w:rPr>
              <w:t>Amdocs Limited Press Release Announcing Q3 Earnings, dated August 2, 2023.</w:t>
            </w: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60" w:type="dxa"/>
            <w:vAlign w:val="bottom"/>
            <w:gridSpan w:val="2"/>
          </w:tcPr>
          <w:p>
            <w:pPr>
              <w:spacing w:after="0"/>
              <w:rPr>
                <w:sz w:val="20"/>
                <w:szCs w:val="20"/>
                <w:color w:val="auto"/>
              </w:rPr>
            </w:pPr>
            <w:r>
              <w:rPr>
                <w:rFonts w:ascii="Arial" w:cs="Arial" w:eastAsia="Arial" w:hAnsi="Arial"/>
                <w:sz w:val="13"/>
                <w:szCs w:val="13"/>
                <w:color w:val="auto"/>
              </w:rPr>
              <w:t>99.2</w:t>
            </w:r>
          </w:p>
        </w:tc>
        <w:tc>
          <w:tcPr>
            <w:tcW w:w="6880" w:type="dxa"/>
            <w:vAlign w:val="bottom"/>
            <w:gridSpan w:val="3"/>
          </w:tcPr>
          <w:p>
            <w:pPr>
              <w:spacing w:after="0"/>
              <w:rPr>
                <w:sz w:val="20"/>
                <w:szCs w:val="20"/>
                <w:color w:val="auto"/>
              </w:rPr>
            </w:pPr>
            <w:r>
              <w:rPr>
                <w:rFonts w:ascii="Arial" w:cs="Arial" w:eastAsia="Arial" w:hAnsi="Arial"/>
                <w:sz w:val="13"/>
                <w:szCs w:val="13"/>
                <w:color w:val="0000EE"/>
              </w:rPr>
              <w:t>Fiscal Q3 2023 Earnings Presentation</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387"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3180"/>
                    </a:xfrm>
                    <a:prstGeom prst="rect">
                      <a:avLst/>
                    </a:prstGeom>
                    <a:noFill/>
                  </pic:spPr>
                </pic:pic>
              </a:graphicData>
            </a:graphic>
          </wp:anchor>
        </w:drawing>
      </w:r>
    </w:p>
    <w:bookmarkStart w:id="3" w:name="page4"/>
    <w:bookmarkEnd w:id="3"/>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3180"/>
                    </a:xfrm>
                    <a:prstGeom prst="rect">
                      <a:avLst/>
                    </a:prstGeom>
                    <a:noFill/>
                  </pic:spPr>
                </pic:pic>
              </a:graphicData>
            </a:graphic>
          </wp:anchor>
        </w:drawing>
        <w:t>SIGNATURES</w:t>
      </w:r>
    </w:p>
    <w:p>
      <w:pPr>
        <w:spacing w:after="0" w:line="158" w:lineRule="exact"/>
        <w:rPr>
          <w:sz w:val="20"/>
          <w:szCs w:val="20"/>
          <w:color w:val="auto"/>
        </w:rPr>
      </w:pPr>
    </w:p>
    <w:p>
      <w:pPr>
        <w:ind w:left="640" w:right="117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AMDOCS LIMITED</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6985</wp:posOffset>
            </wp:positionV>
            <wp:extent cx="180530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5305" cy="5715"/>
                    </a:xfrm>
                    <a:prstGeom prst="rect">
                      <a:avLst/>
                    </a:prstGeom>
                    <a:noFill/>
                  </pic:spPr>
                </pic:pic>
              </a:graphicData>
            </a:graphic>
          </wp:anchor>
        </w:drawing>
      </w:r>
    </w:p>
    <w:p>
      <w:pPr>
        <w:spacing w:after="0" w:line="1"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Matthew E. Smith</w:t>
      </w:r>
    </w:p>
    <w:p>
      <w:pPr>
        <w:spacing w:after="0" w:line="11" w:lineRule="exact"/>
        <w:rPr>
          <w:sz w:val="20"/>
          <w:szCs w:val="20"/>
          <w:color w:val="auto"/>
        </w:rPr>
      </w:pPr>
    </w:p>
    <w:p>
      <w:pPr>
        <w:ind w:left="5520"/>
        <w:spacing w:after="0"/>
        <w:rPr>
          <w:sz w:val="20"/>
          <w:szCs w:val="20"/>
          <w:color w:val="auto"/>
        </w:rPr>
      </w:pPr>
      <w:r>
        <w:rPr>
          <w:rFonts w:ascii="Arial" w:cs="Arial" w:eastAsia="Arial" w:hAnsi="Arial"/>
          <w:sz w:val="13"/>
          <w:szCs w:val="13"/>
          <w:i w:val="1"/>
          <w:iCs w:val="1"/>
          <w:color w:val="auto"/>
        </w:rPr>
        <w:t>Secretary and Authorized Signatory</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 August 2, 2023</w:t>
      </w:r>
    </w:p>
    <w:p>
      <w:pPr>
        <w:sectPr>
          <w:pgSz w:w="11900" w:h="16838" w:orient="portrait"/>
          <w:cols w:equalWidth="0" w:num="1">
            <w:col w:w="9019"/>
          </w:cols>
          <w:pgMar w:left="1440" w:top="383" w:right="1440" w:bottom="1440" w:gutter="0" w:footer="0" w:header="0"/>
        </w:sectPr>
      </w:pPr>
    </w:p>
    <w:bookmarkStart w:id="4" w:name="page5"/>
    <w:bookmarkEnd w:id="4"/>
    <w:p>
      <w:pPr>
        <w:jc w:val="right"/>
        <w:ind w:right="639"/>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118110</wp:posOffset>
            </wp:positionV>
            <wp:extent cx="5019040" cy="1173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19040" cy="117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Amdocs Limited Reports Third Quarter Fiscal 2023 Results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Record Quarterly Revenue of $1.24 Billion, Above Midpoint of Guidance and up 6.5% YoY as Reported and 6.9% YoY in Constant Currency</w:t>
      </w:r>
      <w:r>
        <w:rPr>
          <w:rFonts w:ascii="Arial" w:cs="Arial" w:eastAsia="Arial" w:hAnsi="Arial"/>
          <w:sz w:val="17"/>
          <w:szCs w:val="17"/>
          <w:i w:val="1"/>
          <w:iCs w:val="1"/>
          <w:color w:val="auto"/>
          <w:vertAlign w:val="superscript"/>
        </w:rPr>
        <w:t>(2)</w:t>
      </w:r>
    </w:p>
    <w:p>
      <w:pPr>
        <w:jc w:val="center"/>
        <w:spacing w:after="0"/>
        <w:rPr>
          <w:sz w:val="20"/>
          <w:szCs w:val="20"/>
          <w:color w:val="auto"/>
        </w:rPr>
      </w:pPr>
      <w:r>
        <w:rPr>
          <w:rFonts w:ascii="Arial" w:cs="Arial" w:eastAsia="Arial" w:hAnsi="Arial"/>
          <w:sz w:val="13"/>
          <w:szCs w:val="13"/>
          <w:i w:val="1"/>
          <w:iCs w:val="1"/>
          <w:color w:val="auto"/>
        </w:rPr>
        <w:t>Record 12-Month Backlog of $4.14 Billion, up ~5% YoY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Improved Profitability Reflecting Continued Focus on Operational Excellence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Additional $1.1 Billion Share Repurchase Program Authorized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Launched Amdocs amAIz, a Cutting-Edge Enterprise-Grade Generative AI Framework</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Third Quarter Fiscal 2023 Highlights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(All comparisons are against the prior year)</w:t>
      </w:r>
    </w:p>
    <w:p>
      <w:pPr>
        <w:spacing w:after="0" w:line="87" w:lineRule="exact"/>
        <w:rPr>
          <w:sz w:val="20"/>
          <w:szCs w:val="20"/>
          <w:color w:val="auto"/>
        </w:rPr>
      </w:pPr>
    </w:p>
    <w:p>
      <w:pPr>
        <w:ind w:left="1340" w:right="1239" w:hanging="316"/>
        <w:spacing w:after="0" w:line="210" w:lineRule="auto"/>
        <w:tabs>
          <w:tab w:leader="none" w:pos="1340" w:val="left"/>
        </w:tabs>
        <w:numPr>
          <w:ilvl w:val="1"/>
          <w:numId w:val="1"/>
        </w:numPr>
        <w:rPr>
          <w:rFonts w:ascii="Arial" w:cs="Arial" w:eastAsia="Arial" w:hAnsi="Arial"/>
          <w:sz w:val="13"/>
          <w:szCs w:val="13"/>
          <w:color w:val="auto"/>
        </w:rPr>
      </w:pPr>
      <w:r>
        <w:rPr>
          <w:rFonts w:ascii="Arial" w:cs="Arial" w:eastAsia="Arial" w:hAnsi="Arial"/>
          <w:sz w:val="13"/>
          <w:szCs w:val="13"/>
          <w:color w:val="auto"/>
        </w:rPr>
        <w:t>Record revenue of $1,236 million, up 6.5% as reported and up 6.9% in constant currency</w:t>
      </w:r>
      <w:r>
        <w:rPr>
          <w:rFonts w:ascii="Arial" w:cs="Arial" w:eastAsia="Arial" w:hAnsi="Arial"/>
          <w:sz w:val="18"/>
          <w:szCs w:val="18"/>
          <w:color w:val="auto"/>
          <w:vertAlign w:val="superscript"/>
        </w:rPr>
        <w:t>(2)</w:t>
      </w:r>
      <w:r>
        <w:rPr>
          <w:rFonts w:ascii="Arial" w:cs="Arial" w:eastAsia="Arial" w:hAnsi="Arial"/>
          <w:sz w:val="13"/>
          <w:szCs w:val="13"/>
          <w:color w:val="auto"/>
        </w:rPr>
        <w:t>; revenue was above the midpoint of $1,215-$1,255 million guidance range</w:t>
      </w:r>
    </w:p>
    <w:p>
      <w:pPr>
        <w:spacing w:after="0" w:line="76" w:lineRule="exact"/>
        <w:rPr>
          <w:rFonts w:ascii="Arial" w:cs="Arial" w:eastAsia="Arial" w:hAnsi="Arial"/>
          <w:sz w:val="13"/>
          <w:szCs w:val="13"/>
          <w:color w:val="auto"/>
        </w:rPr>
      </w:pPr>
    </w:p>
    <w:p>
      <w:pPr>
        <w:ind w:left="1340" w:hanging="316"/>
        <w:spacing w:after="0"/>
        <w:tabs>
          <w:tab w:leader="none" w:pos="1340" w:val="left"/>
        </w:tabs>
        <w:numPr>
          <w:ilvl w:val="1"/>
          <w:numId w:val="1"/>
        </w:numPr>
        <w:rPr>
          <w:rFonts w:ascii="Arial" w:cs="Arial" w:eastAsia="Arial" w:hAnsi="Arial"/>
          <w:sz w:val="13"/>
          <w:szCs w:val="13"/>
          <w:color w:val="auto"/>
        </w:rPr>
      </w:pPr>
      <w:r>
        <w:rPr>
          <w:rFonts w:ascii="Arial" w:cs="Arial" w:eastAsia="Arial" w:hAnsi="Arial"/>
          <w:sz w:val="13"/>
          <w:szCs w:val="13"/>
          <w:color w:val="auto"/>
        </w:rPr>
        <w:t>Record revenue of $831 million in North America, up 5.4%, and record revenue of $187 million in Europe, up 28.2%</w:t>
      </w:r>
    </w:p>
    <w:p>
      <w:pPr>
        <w:spacing w:after="0" w:line="87" w:lineRule="exact"/>
        <w:rPr>
          <w:rFonts w:ascii="Arial" w:cs="Arial" w:eastAsia="Arial" w:hAnsi="Arial"/>
          <w:sz w:val="13"/>
          <w:szCs w:val="13"/>
          <w:color w:val="auto"/>
        </w:rPr>
      </w:pPr>
    </w:p>
    <w:p>
      <w:pPr>
        <w:ind w:left="1340" w:hanging="316"/>
        <w:spacing w:after="0"/>
        <w:tabs>
          <w:tab w:leader="none" w:pos="1340" w:val="left"/>
        </w:tabs>
        <w:numPr>
          <w:ilvl w:val="1"/>
          <w:numId w:val="1"/>
        </w:numPr>
        <w:rPr>
          <w:rFonts w:ascii="Arial" w:cs="Arial" w:eastAsia="Arial" w:hAnsi="Arial"/>
          <w:sz w:val="13"/>
          <w:szCs w:val="13"/>
          <w:color w:val="auto"/>
        </w:rPr>
      </w:pPr>
      <w:r>
        <w:rPr>
          <w:rFonts w:ascii="Arial" w:cs="Arial" w:eastAsia="Arial" w:hAnsi="Arial"/>
          <w:sz w:val="13"/>
          <w:szCs w:val="13"/>
          <w:color w:val="auto"/>
        </w:rPr>
        <w:t>Record managed services revenue of $720 million, equivalent to approximately 58% of total revenue</w:t>
      </w:r>
    </w:p>
    <w:p>
      <w:pPr>
        <w:spacing w:after="0" w:line="87" w:lineRule="exact"/>
        <w:rPr>
          <w:rFonts w:ascii="Arial" w:cs="Arial" w:eastAsia="Arial" w:hAnsi="Arial"/>
          <w:sz w:val="13"/>
          <w:szCs w:val="13"/>
          <w:color w:val="auto"/>
        </w:rPr>
      </w:pPr>
    </w:p>
    <w:p>
      <w:pPr>
        <w:ind w:left="1340" w:hanging="316"/>
        <w:spacing w:after="0"/>
        <w:tabs>
          <w:tab w:leader="none" w:pos="1340" w:val="left"/>
        </w:tabs>
        <w:numPr>
          <w:ilvl w:val="1"/>
          <w:numId w:val="1"/>
        </w:numPr>
        <w:rPr>
          <w:rFonts w:ascii="Arial" w:cs="Arial" w:eastAsia="Arial" w:hAnsi="Arial"/>
          <w:sz w:val="11"/>
          <w:szCs w:val="11"/>
          <w:color w:val="auto"/>
        </w:rPr>
      </w:pPr>
      <w:r>
        <w:rPr>
          <w:rFonts w:ascii="Arial" w:cs="Arial" w:eastAsia="Arial" w:hAnsi="Arial"/>
          <w:sz w:val="11"/>
          <w:szCs w:val="11"/>
          <w:color w:val="auto"/>
        </w:rPr>
        <w:t>GAAP diluted EPS of $1.32, above the guidance range of $1.16-$1.26, primarily due to a lower than anticipated GAAP effective tax rate</w:t>
      </w:r>
    </w:p>
    <w:p>
      <w:pPr>
        <w:spacing w:after="0" w:line="110" w:lineRule="exact"/>
        <w:rPr>
          <w:rFonts w:ascii="Arial" w:cs="Arial" w:eastAsia="Arial" w:hAnsi="Arial"/>
          <w:sz w:val="11"/>
          <w:szCs w:val="11"/>
          <w:color w:val="auto"/>
        </w:rPr>
      </w:pPr>
    </w:p>
    <w:p>
      <w:pPr>
        <w:ind w:left="1340" w:right="679" w:hanging="316"/>
        <w:spacing w:after="0" w:line="261" w:lineRule="auto"/>
        <w:tabs>
          <w:tab w:leader="none" w:pos="1340" w:val="left"/>
        </w:tabs>
        <w:numPr>
          <w:ilvl w:val="1"/>
          <w:numId w:val="1"/>
        </w:numPr>
        <w:rPr>
          <w:rFonts w:ascii="Arial" w:cs="Arial" w:eastAsia="Arial" w:hAnsi="Arial"/>
          <w:sz w:val="13"/>
          <w:szCs w:val="13"/>
          <w:color w:val="auto"/>
        </w:rPr>
      </w:pPr>
      <w:r>
        <w:rPr>
          <w:rFonts w:ascii="Arial" w:cs="Arial" w:eastAsia="Arial" w:hAnsi="Arial"/>
          <w:sz w:val="13"/>
          <w:szCs w:val="13"/>
          <w:color w:val="auto"/>
        </w:rPr>
        <w:t>Non-GAAP diluted EPS of $1.57, above the guidance range of $1.45-$1.51, primarily due to a lower than anticipated non-GAAP effective tax rate</w:t>
      </w:r>
    </w:p>
    <w:p>
      <w:pPr>
        <w:spacing w:after="0" w:line="63" w:lineRule="exact"/>
        <w:rPr>
          <w:rFonts w:ascii="Arial" w:cs="Arial" w:eastAsia="Arial" w:hAnsi="Arial"/>
          <w:sz w:val="13"/>
          <w:szCs w:val="13"/>
          <w:color w:val="auto"/>
        </w:rPr>
      </w:pPr>
    </w:p>
    <w:p>
      <w:pPr>
        <w:ind w:left="1340" w:right="939" w:hanging="316"/>
        <w:spacing w:after="0" w:line="261" w:lineRule="auto"/>
        <w:tabs>
          <w:tab w:leader="none" w:pos="1340" w:val="left"/>
        </w:tabs>
        <w:numPr>
          <w:ilvl w:val="1"/>
          <w:numId w:val="1"/>
        </w:numPr>
        <w:rPr>
          <w:rFonts w:ascii="Arial" w:cs="Arial" w:eastAsia="Arial" w:hAnsi="Arial"/>
          <w:sz w:val="13"/>
          <w:szCs w:val="13"/>
          <w:color w:val="auto"/>
        </w:rPr>
      </w:pPr>
      <w:r>
        <w:rPr>
          <w:rFonts w:ascii="Arial" w:cs="Arial" w:eastAsia="Arial" w:hAnsi="Arial"/>
          <w:sz w:val="13"/>
          <w:szCs w:val="13"/>
          <w:color w:val="auto"/>
        </w:rPr>
        <w:t>GAAP operating income of $183 million; GAAP operating margin of 14.8%, up 20 basis points as compared to last year’s third fiscal quarter and down 10 basis points sequentially</w:t>
      </w:r>
    </w:p>
    <w:p>
      <w:pPr>
        <w:spacing w:after="0" w:line="63" w:lineRule="exact"/>
        <w:rPr>
          <w:rFonts w:ascii="Arial" w:cs="Arial" w:eastAsia="Arial" w:hAnsi="Arial"/>
          <w:sz w:val="13"/>
          <w:szCs w:val="13"/>
          <w:color w:val="auto"/>
        </w:rPr>
      </w:pPr>
    </w:p>
    <w:p>
      <w:pPr>
        <w:ind w:left="1340" w:right="739" w:hanging="316"/>
        <w:spacing w:after="0" w:line="261" w:lineRule="auto"/>
        <w:tabs>
          <w:tab w:leader="none" w:pos="1340" w:val="left"/>
        </w:tabs>
        <w:numPr>
          <w:ilvl w:val="1"/>
          <w:numId w:val="1"/>
        </w:numPr>
        <w:rPr>
          <w:rFonts w:ascii="Arial" w:cs="Arial" w:eastAsia="Arial" w:hAnsi="Arial"/>
          <w:sz w:val="13"/>
          <w:szCs w:val="13"/>
          <w:color w:val="auto"/>
        </w:rPr>
      </w:pPr>
      <w:r>
        <w:rPr>
          <w:rFonts w:ascii="Arial" w:cs="Arial" w:eastAsia="Arial" w:hAnsi="Arial"/>
          <w:sz w:val="13"/>
          <w:szCs w:val="13"/>
          <w:color w:val="auto"/>
        </w:rPr>
        <w:t>Non-GAAP operating income of $220 million; non-GAAP operating margin of 17.8%, up 20 basis points as compared to last year’s third fiscal quarter and unchanged sequentially, reflecting a continued focus on operational excellence</w:t>
      </w:r>
    </w:p>
    <w:p>
      <w:pPr>
        <w:spacing w:after="0" w:line="148" w:lineRule="exact"/>
        <w:rPr>
          <w:rFonts w:ascii="Arial" w:cs="Arial" w:eastAsia="Arial" w:hAnsi="Arial"/>
          <w:sz w:val="13"/>
          <w:szCs w:val="13"/>
          <w:color w:val="auto"/>
        </w:rPr>
      </w:pPr>
    </w:p>
    <w:p>
      <w:pPr>
        <w:ind w:left="940" w:hanging="303"/>
        <w:spacing w:after="0"/>
        <w:tabs>
          <w:tab w:leader="none" w:pos="9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Please refer to the Selected Financial Metrics tables below (figures may not sum because of rounding).</w:t>
      </w:r>
    </w:p>
    <w:p>
      <w:pPr>
        <w:spacing w:after="0" w:line="11" w:lineRule="exact"/>
        <w:rPr>
          <w:rFonts w:ascii="Arial" w:cs="Arial" w:eastAsia="Arial" w:hAnsi="Arial"/>
          <w:sz w:val="13"/>
          <w:szCs w:val="13"/>
          <w:color w:val="auto"/>
        </w:rPr>
      </w:pPr>
    </w:p>
    <w:p>
      <w:pPr>
        <w:ind w:left="940" w:hanging="303"/>
        <w:spacing w:after="0"/>
        <w:tabs>
          <w:tab w:leader="none" w:pos="9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Revenue on a constant currency basis assumes exchange rates in the current period were unchanged from the prior period</w:t>
      </w:r>
    </w:p>
    <w:p>
      <w:pPr>
        <w:sectPr>
          <w:pgSz w:w="11900" w:h="16838" w:orient="portrait"/>
          <w:cols w:equalWidth="0" w:num="1">
            <w:col w:w="9019"/>
          </w:cols>
          <w:pgMar w:left="1440" w:top="127" w:right="1440" w:bottom="1440" w:gutter="0" w:footer="0" w:header="0"/>
        </w:sectPr>
      </w:pPr>
    </w:p>
    <w:bookmarkStart w:id="5" w:name="page6"/>
    <w:bookmarkEnd w:id="5"/>
    <w:p>
      <w:pPr>
        <w:ind w:left="1340" w:right="779" w:hanging="316"/>
        <w:spacing w:after="0" w:line="268" w:lineRule="auto"/>
        <w:tabs>
          <w:tab w:leader="none" w:pos="1340" w:val="left"/>
        </w:tabs>
        <w:numPr>
          <w:ilvl w:val="0"/>
          <w:numId w:val="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43180"/>
                    </a:xfrm>
                    <a:prstGeom prst="rect">
                      <a:avLst/>
                    </a:prstGeom>
                    <a:noFill/>
                  </pic:spPr>
                </pic:pic>
              </a:graphicData>
            </a:graphic>
          </wp:anchor>
        </w:drawing>
        <w:t>Free cash flow of $144 million, comprised of cash flow from operations of $173 million, less $29 million in net capital expenditures and other</w:t>
      </w:r>
      <w:r>
        <w:rPr>
          <w:rFonts w:ascii="Arial" w:cs="Arial" w:eastAsia="Arial" w:hAnsi="Arial"/>
          <w:sz w:val="18"/>
          <w:szCs w:val="18"/>
          <w:color w:val="auto"/>
          <w:vertAlign w:val="superscript"/>
        </w:rPr>
        <w:t>(1)</w:t>
      </w:r>
    </w:p>
    <w:p>
      <w:pPr>
        <w:ind w:left="1340" w:hanging="316"/>
        <w:spacing w:after="0"/>
        <w:tabs>
          <w:tab w:leader="none" w:pos="1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Repurchased $129 million of ordinary shares during the third fiscal quarter</w:t>
      </w:r>
    </w:p>
    <w:p>
      <w:pPr>
        <w:spacing w:after="0" w:line="77" w:lineRule="exact"/>
        <w:rPr>
          <w:rFonts w:ascii="Arial" w:cs="Arial" w:eastAsia="Arial" w:hAnsi="Arial"/>
          <w:sz w:val="13"/>
          <w:szCs w:val="13"/>
          <w:color w:val="auto"/>
        </w:rPr>
      </w:pPr>
    </w:p>
    <w:p>
      <w:pPr>
        <w:ind w:left="1340" w:hanging="316"/>
        <w:spacing w:after="0"/>
        <w:tabs>
          <w:tab w:leader="none" w:pos="1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Record twelve-month backlog of $4.14 billion, up approximately 5% as compared to last year’s third fiscal quarter</w:t>
      </w:r>
    </w:p>
    <w:p>
      <w:pPr>
        <w:spacing w:after="0" w:line="87" w:lineRule="exact"/>
        <w:rPr>
          <w:rFonts w:ascii="Arial" w:cs="Arial" w:eastAsia="Arial" w:hAnsi="Arial"/>
          <w:sz w:val="13"/>
          <w:szCs w:val="13"/>
          <w:color w:val="auto"/>
        </w:rPr>
      </w:pPr>
    </w:p>
    <w:p>
      <w:pPr>
        <w:ind w:left="1340" w:hanging="316"/>
        <w:spacing w:after="0"/>
        <w:tabs>
          <w:tab w:leader="none" w:pos="1340" w:val="left"/>
        </w:tabs>
        <w:numPr>
          <w:ilvl w:val="0"/>
          <w:numId w:val="2"/>
        </w:numPr>
        <w:rPr>
          <w:rFonts w:ascii="Arial" w:cs="Arial" w:eastAsia="Arial" w:hAnsi="Arial"/>
          <w:sz w:val="11"/>
          <w:szCs w:val="11"/>
          <w:color w:val="auto"/>
        </w:rPr>
      </w:pPr>
      <w:r>
        <w:rPr>
          <w:rFonts w:ascii="Arial" w:cs="Arial" w:eastAsia="Arial" w:hAnsi="Arial"/>
          <w:sz w:val="11"/>
          <w:szCs w:val="11"/>
          <w:color w:val="auto"/>
        </w:rPr>
        <w:t>Completed the acquisition of TEOCO’s service assurance business on June 30, 2023 for a net consideration of approximately $90 million</w:t>
      </w:r>
    </w:p>
    <w:p>
      <w:pPr>
        <w:spacing w:after="0" w:line="173" w:lineRule="exact"/>
        <w:rPr>
          <w:sz w:val="20"/>
          <w:szCs w:val="20"/>
          <w:color w:val="auto"/>
        </w:rPr>
      </w:pPr>
    </w:p>
    <w:p>
      <w:pPr>
        <w:ind w:left="640" w:right="699"/>
        <w:spacing w:after="0" w:line="267" w:lineRule="auto"/>
        <w:rPr>
          <w:sz w:val="20"/>
          <w:szCs w:val="20"/>
          <w:color w:val="auto"/>
        </w:rPr>
      </w:pPr>
      <w:r>
        <w:rPr>
          <w:rFonts w:ascii="Arial" w:cs="Arial" w:eastAsia="Arial" w:hAnsi="Arial"/>
          <w:sz w:val="13"/>
          <w:szCs w:val="13"/>
          <w:b w:val="1"/>
          <w:bCs w:val="1"/>
          <w:color w:val="auto"/>
        </w:rPr>
        <w:t xml:space="preserve">JERSEY CITY, NJ – August 2, 2023 </w:t>
      </w:r>
      <w:r>
        <w:rPr>
          <w:rFonts w:ascii="Arial" w:cs="Arial" w:eastAsia="Arial" w:hAnsi="Arial"/>
          <w:sz w:val="13"/>
          <w:szCs w:val="13"/>
          <w:color w:val="auto"/>
        </w:rPr>
        <w:t>– Amdocs Limited (NASDAQ: DOX), a leading provider of software and services to communications and media</w:t>
      </w:r>
      <w:r>
        <w:rPr>
          <w:rFonts w:ascii="Arial" w:cs="Arial" w:eastAsia="Arial" w:hAnsi="Arial"/>
          <w:sz w:val="13"/>
          <w:szCs w:val="13"/>
          <w:b w:val="1"/>
          <w:bCs w:val="1"/>
          <w:color w:val="auto"/>
        </w:rPr>
        <w:t xml:space="preserve"> </w:t>
      </w:r>
      <w:r>
        <w:rPr>
          <w:rFonts w:ascii="Arial" w:cs="Arial" w:eastAsia="Arial" w:hAnsi="Arial"/>
          <w:sz w:val="13"/>
          <w:szCs w:val="13"/>
          <w:color w:val="auto"/>
        </w:rPr>
        <w:t>companies, today reported operating results for the three months ended June 30, 2023.</w:t>
      </w:r>
    </w:p>
    <w:p>
      <w:pPr>
        <w:spacing w:after="0" w:line="126" w:lineRule="exact"/>
        <w:rPr>
          <w:sz w:val="20"/>
          <w:szCs w:val="20"/>
          <w:color w:val="auto"/>
        </w:rPr>
      </w:pPr>
    </w:p>
    <w:p>
      <w:pPr>
        <w:ind w:left="640" w:right="779"/>
        <w:spacing w:after="0" w:line="252" w:lineRule="auto"/>
        <w:rPr>
          <w:sz w:val="20"/>
          <w:szCs w:val="20"/>
          <w:color w:val="auto"/>
        </w:rPr>
      </w:pPr>
      <w:r>
        <w:rPr>
          <w:rFonts w:ascii="Arial" w:cs="Arial" w:eastAsia="Arial" w:hAnsi="Arial"/>
          <w:sz w:val="12"/>
          <w:szCs w:val="12"/>
          <w:color w:val="auto"/>
        </w:rPr>
        <w:t>“Q3 was another solid quarter for Amdocs as we executed our strategy to bring cutting-edge innovation across our core growth pillars of digital modernization, 5G monetization, cloud, and network automation. Record revenue of $1.24 billion was up 6.9% in constant currency</w:t>
      </w:r>
      <w:r>
        <w:rPr>
          <w:rFonts w:ascii="Arial" w:cs="Arial" w:eastAsia="Arial" w:hAnsi="Arial"/>
          <w:sz w:val="17"/>
          <w:szCs w:val="17"/>
          <w:color w:val="auto"/>
          <w:vertAlign w:val="superscript"/>
        </w:rPr>
        <w:t>(2)</w:t>
      </w:r>
      <w:r>
        <w:rPr>
          <w:rFonts w:ascii="Arial" w:cs="Arial" w:eastAsia="Arial" w:hAnsi="Arial"/>
          <w:sz w:val="12"/>
          <w:szCs w:val="12"/>
          <w:color w:val="auto"/>
        </w:rPr>
        <w:t>, driven by our best-ever performance in North America and Europe. Q3 was also notable for new cloud-related deals with two North American Tier 1 operators, including a collaboration with TELUS in Canada to move on-premise applications to the public cloud. As a market leader, we further strengthened our position with the launch of Amdocs amAIz, the industry’s first enterprise-grade Generative AI framework which creates a cutting-edge foundation for global communications service providers to benefit from the immense potential of the Gen AI era,” said Shuky Sheffer, president and chief executive officer of Amdocs Management Limited.</w:t>
      </w:r>
    </w:p>
    <w:p>
      <w:pPr>
        <w:spacing w:after="0" w:line="138" w:lineRule="exact"/>
        <w:rPr>
          <w:sz w:val="20"/>
          <w:szCs w:val="20"/>
          <w:color w:val="auto"/>
        </w:rPr>
      </w:pPr>
    </w:p>
    <w:p>
      <w:pPr>
        <w:ind w:left="640" w:right="679"/>
        <w:spacing w:after="0" w:line="271" w:lineRule="auto"/>
        <w:rPr>
          <w:sz w:val="20"/>
          <w:szCs w:val="20"/>
          <w:color w:val="auto"/>
        </w:rPr>
      </w:pPr>
      <w:r>
        <w:rPr>
          <w:rFonts w:ascii="Arial" w:cs="Arial" w:eastAsia="Arial" w:hAnsi="Arial"/>
          <w:sz w:val="12"/>
          <w:szCs w:val="12"/>
          <w:color w:val="auto"/>
        </w:rPr>
        <w:t>“Consistent with our reputation for superb execution, we achieved a high number of project milestones in support of our customers’ digital transformation journeys. XL Axiata in Indonesia is one of many examples, where the migration to our newest highly robust and scalable system recently surpassed 80 million prepaid subscribers. In managed services, we delivered a record quarter as we continued to expand the scope of existing activities while also signing new first-time customers under long-term engagements. Adding to our list of third quarter achievements, we also improved our profitability compared with a year ago, mainly driven by our cost leadership focus, including the implementation of automation and other sophisticated tools,” said Tamar Rapaport-Dagim, chief financial officer &amp; chief operating officer of Amdocs Management Limited.</w:t>
      </w:r>
    </w:p>
    <w:p>
      <w:pPr>
        <w:sectPr>
          <w:pgSz w:w="11900" w:h="16838" w:orient="portrait"/>
          <w:cols w:equalWidth="0" w:num="1">
            <w:col w:w="9019"/>
          </w:cols>
          <w:pgMar w:left="1440" w:top="387" w:right="1440" w:bottom="1440" w:gutter="0" w:footer="0" w:header="0"/>
        </w:sectPr>
      </w:pPr>
    </w:p>
    <w:bookmarkStart w:id="6" w:name="page7"/>
    <w:bookmarkEnd w:id="6"/>
    <w:p>
      <w:pPr>
        <w:ind w:left="640" w:right="679"/>
        <w:spacing w:after="0" w:line="2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43180"/>
                    </a:xfrm>
                    <a:prstGeom prst="rect">
                      <a:avLst/>
                    </a:prstGeom>
                    <a:noFill/>
                  </pic:spPr>
                </pic:pic>
              </a:graphicData>
            </a:graphic>
          </wp:anchor>
        </w:drawing>
        <w:t>Sheffer concluded, “As a key technology enabler to the communications industry, we see a large pipeline of opportunities as our customers’ consider the multi-year investments needed to unlock the potential of cloud-based 5G and broadband networks, Generative AI, and improved consumer and B2B experience. Customer engagement levels remain high, but the impact of economic uncertainty and industry pressure is leading our customers to prioritize and carefully evaluate their investments. Taking everything into consideration, we now expect revenue growth in constant currency</w:t>
      </w:r>
      <w:r>
        <w:rPr>
          <w:rFonts w:ascii="Arial" w:cs="Arial" w:eastAsia="Arial" w:hAnsi="Arial"/>
          <w:sz w:val="17"/>
          <w:szCs w:val="17"/>
          <w:color w:val="auto"/>
          <w:vertAlign w:val="superscript"/>
        </w:rPr>
        <w:t>(2)</w:t>
      </w:r>
      <w:r>
        <w:rPr>
          <w:rFonts w:ascii="Arial" w:cs="Arial" w:eastAsia="Arial" w:hAnsi="Arial"/>
          <w:sz w:val="12"/>
          <w:szCs w:val="12"/>
          <w:color w:val="auto"/>
        </w:rPr>
        <w:t xml:space="preserve"> to be slightly below the 8% midpoint of our original guidance range of 6% to 10% for fiscal 2023, while delivering improved year-over-year profitability and robust earnings to cash conversion for the full year.”</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Revenue</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(All comparisons are against the prior year period)</w:t>
      </w:r>
    </w:p>
    <w:p>
      <w:pPr>
        <w:spacing w:after="0" w:line="156"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4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500"/>
              <w:spacing w:after="0"/>
              <w:rPr>
                <w:sz w:val="20"/>
                <w:szCs w:val="20"/>
                <w:color w:val="auto"/>
              </w:rPr>
            </w:pPr>
            <w:r>
              <w:rPr>
                <w:rFonts w:ascii="Arial" w:cs="Arial" w:eastAsia="Arial" w:hAnsi="Arial"/>
                <w:sz w:val="10"/>
                <w:szCs w:val="10"/>
                <w:b w:val="1"/>
                <w:bCs w:val="1"/>
                <w:color w:val="auto"/>
                <w:w w:val="92"/>
              </w:rPr>
              <w:t>In millions</w:t>
            </w:r>
          </w:p>
        </w:tc>
      </w:tr>
      <w:tr>
        <w:trPr>
          <w:trHeight w:val="104"/>
        </w:trPr>
        <w:tc>
          <w:tcPr>
            <w:tcW w:w="4360" w:type="dxa"/>
            <w:vAlign w:val="bottom"/>
          </w:tcPr>
          <w:p>
            <w:pPr>
              <w:spacing w:after="0"/>
              <w:rPr>
                <w:sz w:val="9"/>
                <w:szCs w:val="9"/>
                <w:color w:val="auto"/>
              </w:rPr>
            </w:pPr>
          </w:p>
        </w:tc>
        <w:tc>
          <w:tcPr>
            <w:tcW w:w="1520" w:type="dxa"/>
            <w:vAlign w:val="bottom"/>
            <w:gridSpan w:val="5"/>
          </w:tcPr>
          <w:p>
            <w:pPr>
              <w:jc w:val="center"/>
              <w:ind w:right="20"/>
              <w:spacing w:after="0" w:line="104" w:lineRule="exact"/>
              <w:rPr>
                <w:sz w:val="20"/>
                <w:szCs w:val="20"/>
                <w:color w:val="auto"/>
              </w:rPr>
            </w:pPr>
            <w:r>
              <w:rPr>
                <w:rFonts w:ascii="Arial" w:cs="Arial" w:eastAsia="Arial" w:hAnsi="Arial"/>
                <w:sz w:val="10"/>
                <w:szCs w:val="10"/>
                <w:b w:val="1"/>
                <w:bCs w:val="1"/>
                <w:color w:val="auto"/>
                <w:w w:val="91"/>
              </w:rPr>
              <w:t>Three months ended</w:t>
            </w:r>
          </w:p>
        </w:tc>
      </w:tr>
      <w:tr>
        <w:trPr>
          <w:trHeight w:val="119"/>
        </w:trPr>
        <w:tc>
          <w:tcPr>
            <w:tcW w:w="4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89"/>
              </w:rPr>
              <w:t>June 30, 2023</w:t>
            </w:r>
          </w:p>
        </w:tc>
      </w:tr>
      <w:tr>
        <w:trPr>
          <w:trHeight w:val="94"/>
        </w:trPr>
        <w:tc>
          <w:tcPr>
            <w:tcW w:w="436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10"/>
                <w:szCs w:val="10"/>
                <w:b w:val="1"/>
                <w:bCs w:val="1"/>
                <w:color w:val="auto"/>
                <w:w w:val="98"/>
              </w:rPr>
              <w:t>Actual</w:t>
            </w:r>
          </w:p>
        </w:tc>
        <w:tc>
          <w:tcPr>
            <w:tcW w:w="1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40" w:type="dxa"/>
            <w:vAlign w:val="bottom"/>
            <w:tcBorders>
              <w:top w:val="single" w:sz="8" w:color="auto"/>
              <w:bottom w:val="single" w:sz="8" w:color="auto"/>
            </w:tcBorders>
          </w:tcPr>
          <w:p>
            <w:pPr>
              <w:jc w:val="right"/>
              <w:ind w:right="169"/>
              <w:spacing w:after="0" w:line="94" w:lineRule="exact"/>
              <w:rPr>
                <w:sz w:val="20"/>
                <w:szCs w:val="20"/>
                <w:color w:val="auto"/>
              </w:rPr>
            </w:pPr>
            <w:r>
              <w:rPr>
                <w:rFonts w:ascii="Arial" w:cs="Arial" w:eastAsia="Arial" w:hAnsi="Arial"/>
                <w:sz w:val="10"/>
                <w:szCs w:val="10"/>
                <w:b w:val="1"/>
                <w:bCs w:val="1"/>
                <w:color w:val="auto"/>
              </w:rPr>
              <w:t>Guidance</w:t>
            </w:r>
          </w:p>
        </w:tc>
        <w:tc>
          <w:tcPr>
            <w:tcW w:w="20" w:type="dxa"/>
            <w:vAlign w:val="bottom"/>
          </w:tcPr>
          <w:p>
            <w:pPr>
              <w:spacing w:after="0"/>
              <w:rPr>
                <w:sz w:val="8"/>
                <w:szCs w:val="8"/>
                <w:color w:val="auto"/>
              </w:rPr>
            </w:pPr>
          </w:p>
        </w:tc>
      </w:tr>
      <w:tr>
        <w:trPr>
          <w:trHeight w:val="141"/>
        </w:trPr>
        <w:tc>
          <w:tcPr>
            <w:tcW w:w="43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3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5"/>
              </w:rPr>
              <w:t>$1,236</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$1,215 - $1,255</w:t>
            </w:r>
          </w:p>
        </w:tc>
        <w:tc>
          <w:tcPr>
            <w:tcW w:w="20" w:type="dxa"/>
            <w:vAlign w:val="bottom"/>
            <w:shd w:val="clear" w:color="auto" w:fill="CCEEFF"/>
          </w:tcPr>
          <w:p>
            <w:pPr>
              <w:spacing w:after="0"/>
              <w:rPr>
                <w:sz w:val="12"/>
                <w:szCs w:val="12"/>
                <w:color w:val="auto"/>
              </w:rPr>
            </w:pPr>
          </w:p>
        </w:tc>
      </w:tr>
      <w:tr>
        <w:trPr>
          <w:trHeight w:val="152"/>
        </w:trPr>
        <w:tc>
          <w:tcPr>
            <w:tcW w:w="4360" w:type="dxa"/>
            <w:vAlign w:val="bottom"/>
          </w:tcPr>
          <w:p>
            <w:pPr>
              <w:spacing w:after="0"/>
              <w:rPr>
                <w:sz w:val="20"/>
                <w:szCs w:val="20"/>
                <w:color w:val="auto"/>
              </w:rPr>
            </w:pPr>
            <w:r>
              <w:rPr>
                <w:rFonts w:ascii="Arial" w:cs="Arial" w:eastAsia="Arial" w:hAnsi="Arial"/>
                <w:sz w:val="13"/>
                <w:szCs w:val="13"/>
                <w:color w:val="auto"/>
              </w:rPr>
              <w:t>Revenue Growth, as reported</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6.5%</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4360" w:type="dxa"/>
            <w:vAlign w:val="bottom"/>
            <w:shd w:val="clear" w:color="auto" w:fill="CCEEFF"/>
          </w:tcPr>
          <w:p>
            <w:pPr>
              <w:spacing w:after="0" w:line="152" w:lineRule="exact"/>
              <w:rPr>
                <w:sz w:val="20"/>
                <w:szCs w:val="20"/>
                <w:color w:val="auto"/>
              </w:rPr>
            </w:pPr>
            <w:r>
              <w:rPr>
                <w:rFonts w:ascii="Arial" w:cs="Arial" w:eastAsia="Arial" w:hAnsi="Arial"/>
                <w:sz w:val="12"/>
                <w:szCs w:val="12"/>
                <w:color w:val="auto"/>
              </w:rPr>
              <w:t xml:space="preserve">Revenue Growth, constant currency </w:t>
            </w:r>
            <w:r>
              <w:rPr>
                <w:rFonts w:ascii="Arial" w:cs="Arial" w:eastAsia="Arial" w:hAnsi="Arial"/>
                <w:sz w:val="17"/>
                <w:szCs w:val="17"/>
                <w:color w:val="auto"/>
                <w:vertAlign w:val="superscript"/>
              </w:rPr>
              <w:t>(2)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bl>
    <w:p>
      <w:pPr>
        <w:spacing w:after="0" w:line="162" w:lineRule="exact"/>
        <w:rPr>
          <w:sz w:val="20"/>
          <w:szCs w:val="20"/>
          <w:color w:val="auto"/>
        </w:rPr>
      </w:pPr>
    </w:p>
    <w:p>
      <w:pPr>
        <w:ind w:left="1340" w:right="919" w:hanging="393"/>
        <w:spacing w:after="0" w:line="261" w:lineRule="auto"/>
        <w:tabs>
          <w:tab w:leader="none" w:pos="1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Revenue for the third fiscal quarter of 2023 was above the midpoint of Amdocs’ guidance and includes a positive impact from foreign currency movements of approximately $5 million compared to our guidance assumptions</w:t>
      </w:r>
    </w:p>
    <w:p>
      <w:pPr>
        <w:spacing w:after="0" w:line="63" w:lineRule="exact"/>
        <w:rPr>
          <w:rFonts w:ascii="Arial" w:cs="Arial" w:eastAsia="Arial" w:hAnsi="Arial"/>
          <w:sz w:val="13"/>
          <w:szCs w:val="13"/>
          <w:color w:val="auto"/>
        </w:rPr>
      </w:pPr>
    </w:p>
    <w:p>
      <w:pPr>
        <w:ind w:left="1340" w:right="819" w:hanging="393"/>
        <w:spacing w:after="0" w:line="261" w:lineRule="auto"/>
        <w:tabs>
          <w:tab w:leader="none" w:pos="1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Revenue for the third fiscal quarter includes a positive impact from foreign currency movements of approximately $3 million relative to the second quarter of fiscal 2023</w:t>
      </w:r>
    </w:p>
    <w:p>
      <w:pPr>
        <w:sectPr>
          <w:pgSz w:w="11900" w:h="16838" w:orient="portrait"/>
          <w:cols w:equalWidth="0" w:num="1">
            <w:col w:w="9019"/>
          </w:cols>
          <w:pgMar w:left="1440" w:top="387" w:right="1440" w:bottom="1440" w:gutter="0" w:footer="0" w:header="0"/>
        </w:sectPr>
      </w:pPr>
    </w:p>
    <w:bookmarkStart w:id="7" w:name="page8"/>
    <w:bookmarkEnd w:id="7"/>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43180"/>
                    </a:xfrm>
                    <a:prstGeom prst="rect">
                      <a:avLst/>
                    </a:prstGeom>
                    <a:noFill/>
                  </pic:spPr>
                </pic:pic>
              </a:graphicData>
            </a:graphic>
          </wp:anchor>
        </w:drawing>
        <w:t>Net Income and Earnings Per Share</w:t>
      </w:r>
    </w:p>
    <w:p>
      <w:pPr>
        <w:spacing w:after="0" w:line="160"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3540" w:type="dxa"/>
            <w:vAlign w:val="bottom"/>
          </w:tcPr>
          <w:p>
            <w:pPr>
              <w:ind w:left="2020"/>
              <w:spacing w:after="0"/>
              <w:rPr>
                <w:sz w:val="20"/>
                <w:szCs w:val="20"/>
                <w:color w:val="auto"/>
              </w:rPr>
            </w:pPr>
            <w:r>
              <w:rPr>
                <w:rFonts w:ascii="Arial" w:cs="Arial" w:eastAsia="Arial" w:hAnsi="Arial"/>
                <w:sz w:val="10"/>
                <w:szCs w:val="10"/>
                <w:b w:val="1"/>
                <w:bCs w:val="1"/>
                <w:color w:val="auto"/>
              </w:rPr>
              <w:t>`</w:t>
            </w:r>
          </w:p>
        </w:tc>
        <w:tc>
          <w:tcPr>
            <w:tcW w:w="680" w:type="dxa"/>
            <w:vAlign w:val="bottom"/>
          </w:tcPr>
          <w:p>
            <w:pPr>
              <w:spacing w:after="0"/>
              <w:rPr>
                <w:sz w:val="10"/>
                <w:szCs w:val="10"/>
                <w:color w:val="auto"/>
              </w:rPr>
            </w:pPr>
          </w:p>
        </w:tc>
        <w:tc>
          <w:tcPr>
            <w:tcW w:w="1660" w:type="dxa"/>
            <w:vAlign w:val="bottom"/>
            <w:gridSpan w:val="6"/>
          </w:tcPr>
          <w:p>
            <w:pPr>
              <w:jc w:val="center"/>
              <w:ind w:right="20"/>
              <w:spacing w:after="0"/>
              <w:rPr>
                <w:sz w:val="20"/>
                <w:szCs w:val="20"/>
                <w:color w:val="auto"/>
              </w:rPr>
            </w:pPr>
            <w:r>
              <w:rPr>
                <w:rFonts w:ascii="Arial" w:cs="Arial" w:eastAsia="Arial" w:hAnsi="Arial"/>
                <w:sz w:val="10"/>
                <w:szCs w:val="10"/>
                <w:b w:val="1"/>
                <w:bCs w:val="1"/>
                <w:color w:val="auto"/>
                <w:w w:val="89"/>
              </w:rPr>
              <w:t>In thousands, except per share data</w:t>
            </w:r>
          </w:p>
        </w:tc>
      </w:tr>
      <w:tr>
        <w:trPr>
          <w:trHeight w:val="104"/>
        </w:trPr>
        <w:tc>
          <w:tcPr>
            <w:tcW w:w="3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gridSpan w:val="5"/>
          </w:tcPr>
          <w:p>
            <w:pPr>
              <w:jc w:val="center"/>
              <w:ind w:right="180"/>
              <w:spacing w:after="0" w:line="104" w:lineRule="exact"/>
              <w:rPr>
                <w:sz w:val="20"/>
                <w:szCs w:val="20"/>
                <w:color w:val="auto"/>
              </w:rPr>
            </w:pPr>
            <w:r>
              <w:rPr>
                <w:rFonts w:ascii="Arial" w:cs="Arial" w:eastAsia="Arial" w:hAnsi="Arial"/>
                <w:sz w:val="10"/>
                <w:szCs w:val="10"/>
                <w:b w:val="1"/>
                <w:bCs w:val="1"/>
                <w:color w:val="auto"/>
                <w:w w:val="89"/>
              </w:rPr>
              <w:t>Three months ended</w:t>
            </w:r>
          </w:p>
        </w:tc>
      </w:tr>
      <w:tr>
        <w:trPr>
          <w:trHeight w:val="119"/>
        </w:trPr>
        <w:tc>
          <w:tcPr>
            <w:tcW w:w="3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center"/>
              <w:ind w:left="341"/>
              <w:spacing w:after="0"/>
              <w:rPr>
                <w:sz w:val="20"/>
                <w:szCs w:val="20"/>
                <w:color w:val="auto"/>
              </w:rPr>
            </w:pPr>
            <w:r>
              <w:rPr>
                <w:rFonts w:ascii="Arial" w:cs="Arial" w:eastAsia="Arial" w:hAnsi="Arial"/>
                <w:sz w:val="10"/>
                <w:szCs w:val="10"/>
                <w:b w:val="1"/>
                <w:bCs w:val="1"/>
                <w:color w:val="auto"/>
                <w:w w:val="89"/>
              </w:rPr>
              <w:t>June 30,</w:t>
            </w:r>
          </w:p>
        </w:tc>
        <w:tc>
          <w:tcPr>
            <w:tcW w:w="5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94"/>
        </w:trPr>
        <w:tc>
          <w:tcPr>
            <w:tcW w:w="3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01"/>
              <w:spacing w:after="0" w:line="94" w:lineRule="exact"/>
              <w:rPr>
                <w:sz w:val="20"/>
                <w:szCs w:val="20"/>
                <w:color w:val="auto"/>
              </w:rPr>
            </w:pPr>
            <w:r>
              <w:rPr>
                <w:rFonts w:ascii="Arial" w:cs="Arial" w:eastAsia="Arial" w:hAnsi="Arial"/>
                <w:sz w:val="10"/>
                <w:szCs w:val="10"/>
                <w:b w:val="1"/>
                <w:bCs w:val="1"/>
                <w:color w:val="auto"/>
              </w:rPr>
              <w:t>2023</w:t>
            </w: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9"/>
              <w:spacing w:after="0" w:line="94" w:lineRule="exact"/>
              <w:rPr>
                <w:sz w:val="20"/>
                <w:szCs w:val="20"/>
                <w:color w:val="auto"/>
              </w:rPr>
            </w:pPr>
            <w:r>
              <w:rPr>
                <w:rFonts w:ascii="Arial" w:cs="Arial" w:eastAsia="Arial" w:hAnsi="Arial"/>
                <w:sz w:val="10"/>
                <w:szCs w:val="10"/>
                <w:b w:val="1"/>
                <w:bCs w:val="1"/>
                <w:color w:val="auto"/>
              </w:rPr>
              <w:t>2022</w:t>
            </w:r>
          </w:p>
        </w:tc>
        <w:tc>
          <w:tcPr>
            <w:tcW w:w="20" w:type="dxa"/>
            <w:vAlign w:val="bottom"/>
          </w:tcPr>
          <w:p>
            <w:pPr>
              <w:spacing w:after="0"/>
              <w:rPr>
                <w:sz w:val="8"/>
                <w:szCs w:val="8"/>
                <w:color w:val="auto"/>
              </w:rPr>
            </w:pPr>
          </w:p>
        </w:tc>
      </w:tr>
      <w:tr>
        <w:trPr>
          <w:trHeight w:val="141"/>
        </w:trPr>
        <w:tc>
          <w:tcPr>
            <w:tcW w:w="354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GAAP Measures</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52"/>
        </w:trPr>
        <w:tc>
          <w:tcPr>
            <w:tcW w:w="3540" w:type="dxa"/>
            <w:vAlign w:val="bottom"/>
          </w:tcPr>
          <w:p>
            <w:pPr>
              <w:spacing w:after="0"/>
              <w:rPr>
                <w:sz w:val="20"/>
                <w:szCs w:val="20"/>
                <w:color w:val="auto"/>
              </w:rPr>
            </w:pPr>
            <w:r>
              <w:rPr>
                <w:rFonts w:ascii="Arial" w:cs="Arial" w:eastAsia="Arial" w:hAnsi="Arial"/>
                <w:sz w:val="13"/>
                <w:szCs w:val="13"/>
                <w:color w:val="auto"/>
              </w:rPr>
              <w:t>Net Income</w:t>
            </w:r>
          </w:p>
        </w:tc>
        <w:tc>
          <w:tcPr>
            <w:tcW w:w="84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160,115</w:t>
            </w: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128,466</w:t>
            </w:r>
          </w:p>
        </w:tc>
        <w:tc>
          <w:tcPr>
            <w:tcW w:w="20" w:type="dxa"/>
            <w:vAlign w:val="bottom"/>
          </w:tcPr>
          <w:p>
            <w:pPr>
              <w:spacing w:after="0"/>
              <w:rPr>
                <w:sz w:val="13"/>
                <w:szCs w:val="13"/>
                <w:color w:val="auto"/>
              </w:rPr>
            </w:pPr>
          </w:p>
        </w:tc>
      </w:tr>
      <w:tr>
        <w:trPr>
          <w:trHeight w:val="152"/>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Amdocs Limited</w:t>
            </w:r>
          </w:p>
        </w:tc>
        <w:tc>
          <w:tcPr>
            <w:tcW w:w="84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159,428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128,466</w:t>
            </w:r>
          </w:p>
        </w:tc>
        <w:tc>
          <w:tcPr>
            <w:tcW w:w="20" w:type="dxa"/>
            <w:vAlign w:val="bottom"/>
            <w:shd w:val="clear" w:color="auto" w:fill="CCEEFF"/>
          </w:tcPr>
          <w:p>
            <w:pPr>
              <w:spacing w:after="0"/>
              <w:rPr>
                <w:sz w:val="13"/>
                <w:szCs w:val="13"/>
                <w:color w:val="auto"/>
              </w:rPr>
            </w:pPr>
          </w:p>
        </w:tc>
      </w:tr>
      <w:tr>
        <w:trPr>
          <w:trHeight w:val="152"/>
        </w:trPr>
        <w:tc>
          <w:tcPr>
            <w:tcW w:w="3540" w:type="dxa"/>
            <w:vAlign w:val="bottom"/>
          </w:tcPr>
          <w:p>
            <w:pPr>
              <w:spacing w:after="0"/>
              <w:rPr>
                <w:sz w:val="20"/>
                <w:szCs w:val="20"/>
                <w:color w:val="auto"/>
              </w:rPr>
            </w:pPr>
            <w:r>
              <w:rPr>
                <w:rFonts w:ascii="Arial" w:cs="Arial" w:eastAsia="Arial" w:hAnsi="Arial"/>
                <w:sz w:val="13"/>
                <w:szCs w:val="13"/>
                <w:color w:val="auto"/>
              </w:rPr>
              <w:t>Diluted earnings per share</w:t>
            </w:r>
          </w:p>
        </w:tc>
        <w:tc>
          <w:tcPr>
            <w:tcW w:w="84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1.32</w:t>
            </w: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1.04</w:t>
            </w:r>
          </w:p>
        </w:tc>
        <w:tc>
          <w:tcPr>
            <w:tcW w:w="20" w:type="dxa"/>
            <w:vAlign w:val="bottom"/>
          </w:tcPr>
          <w:p>
            <w:pPr>
              <w:spacing w:after="0"/>
              <w:rPr>
                <w:sz w:val="13"/>
                <w:szCs w:val="13"/>
                <w:color w:val="auto"/>
              </w:rPr>
            </w:pPr>
          </w:p>
        </w:tc>
      </w:tr>
      <w:tr>
        <w:trPr>
          <w:trHeight w:val="152"/>
        </w:trPr>
        <w:tc>
          <w:tcPr>
            <w:tcW w:w="3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Non-GAAP Measures</w:t>
            </w: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52"/>
        </w:trPr>
        <w:tc>
          <w:tcPr>
            <w:tcW w:w="3540" w:type="dxa"/>
            <w:vAlign w:val="bottom"/>
          </w:tcPr>
          <w:p>
            <w:pPr>
              <w:spacing w:after="0"/>
              <w:rPr>
                <w:sz w:val="20"/>
                <w:szCs w:val="20"/>
                <w:color w:val="auto"/>
              </w:rPr>
            </w:pPr>
            <w:r>
              <w:rPr>
                <w:rFonts w:ascii="Arial" w:cs="Arial" w:eastAsia="Arial" w:hAnsi="Arial"/>
                <w:sz w:val="13"/>
                <w:szCs w:val="13"/>
                <w:color w:val="auto"/>
              </w:rPr>
              <w:t>Non-GAAP Net Income</w:t>
            </w:r>
          </w:p>
        </w:tc>
        <w:tc>
          <w:tcPr>
            <w:tcW w:w="84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189,605</w:t>
            </w: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156,520</w:t>
            </w:r>
          </w:p>
        </w:tc>
        <w:tc>
          <w:tcPr>
            <w:tcW w:w="20" w:type="dxa"/>
            <w:vAlign w:val="bottom"/>
          </w:tcPr>
          <w:p>
            <w:pPr>
              <w:spacing w:after="0"/>
              <w:rPr>
                <w:sz w:val="13"/>
                <w:szCs w:val="13"/>
                <w:color w:val="auto"/>
              </w:rPr>
            </w:pPr>
          </w:p>
        </w:tc>
      </w:tr>
      <w:tr>
        <w:trPr>
          <w:trHeight w:val="152"/>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Non-GAAP Net Income attributable to Amdocs Limited</w:t>
            </w:r>
          </w:p>
        </w:tc>
        <w:tc>
          <w:tcPr>
            <w:tcW w:w="84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188,918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156,520</w:t>
            </w:r>
          </w:p>
        </w:tc>
        <w:tc>
          <w:tcPr>
            <w:tcW w:w="20" w:type="dxa"/>
            <w:vAlign w:val="bottom"/>
            <w:shd w:val="clear" w:color="auto" w:fill="CCEEFF"/>
          </w:tcPr>
          <w:p>
            <w:pPr>
              <w:spacing w:after="0"/>
              <w:rPr>
                <w:sz w:val="13"/>
                <w:szCs w:val="13"/>
                <w:color w:val="auto"/>
              </w:rPr>
            </w:pPr>
          </w:p>
        </w:tc>
      </w:tr>
      <w:tr>
        <w:trPr>
          <w:trHeight w:val="161"/>
        </w:trPr>
        <w:tc>
          <w:tcPr>
            <w:tcW w:w="3540" w:type="dxa"/>
            <w:vAlign w:val="bottom"/>
          </w:tcPr>
          <w:p>
            <w:pPr>
              <w:spacing w:after="0"/>
              <w:rPr>
                <w:sz w:val="20"/>
                <w:szCs w:val="20"/>
                <w:color w:val="auto"/>
              </w:rPr>
            </w:pPr>
            <w:r>
              <w:rPr>
                <w:rFonts w:ascii="Arial" w:cs="Arial" w:eastAsia="Arial" w:hAnsi="Arial"/>
                <w:sz w:val="13"/>
                <w:szCs w:val="13"/>
                <w:color w:val="auto"/>
              </w:rPr>
              <w:t>Non-GAAP Diluted earnings per share</w:t>
            </w:r>
          </w:p>
        </w:tc>
        <w:tc>
          <w:tcPr>
            <w:tcW w:w="84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1.57</w:t>
            </w: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1.27</w:t>
            </w:r>
          </w:p>
        </w:tc>
        <w:tc>
          <w:tcPr>
            <w:tcW w:w="20" w:type="dxa"/>
            <w:vAlign w:val="bottom"/>
          </w:tcPr>
          <w:p>
            <w:pPr>
              <w:spacing w:after="0"/>
              <w:rPr>
                <w:sz w:val="13"/>
                <w:szCs w:val="13"/>
                <w:color w:val="auto"/>
              </w:rPr>
            </w:pPr>
          </w:p>
        </w:tc>
      </w:tr>
    </w:tbl>
    <w:p>
      <w:pPr>
        <w:spacing w:after="0" w:line="153" w:lineRule="exact"/>
        <w:rPr>
          <w:sz w:val="20"/>
          <w:szCs w:val="20"/>
          <w:color w:val="auto"/>
        </w:rPr>
      </w:pPr>
    </w:p>
    <w:p>
      <w:pPr>
        <w:ind w:left="1340" w:right="879" w:hanging="393"/>
        <w:spacing w:after="0" w:line="252" w:lineRule="auto"/>
        <w:tabs>
          <w:tab w:leader="none" w:pos="1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Non-GAAP net income excludes amortization of purchased intangible assets and other acquisition-related costs, changes in certain acquisition related liabilities measured at fair value, equity-based compensation expenses and other, net of related tax effects, in all the periods presented</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3"/>
          <w:szCs w:val="13"/>
          <w:color w:val="auto"/>
        </w:rPr>
        <w:t>For further details of the reconciliation of selected financial metrics from GAAP to Non-GAAP, please refer to the tables below.</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Capital Allocation: Returning Cash to Shareholders</w:t>
      </w:r>
    </w:p>
    <w:p>
      <w:pPr>
        <w:spacing w:after="0" w:line="91" w:lineRule="exact"/>
        <w:rPr>
          <w:sz w:val="20"/>
          <w:szCs w:val="20"/>
          <w:color w:val="auto"/>
        </w:rPr>
      </w:pPr>
    </w:p>
    <w:p>
      <w:pPr>
        <w:ind w:left="1340" w:right="859" w:hanging="393"/>
        <w:spacing w:after="0" w:line="261" w:lineRule="auto"/>
        <w:tabs>
          <w:tab w:leader="none" w:pos="134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M&amp;A Activity: </w:t>
      </w:r>
      <w:r>
        <w:rPr>
          <w:rFonts w:ascii="Arial" w:cs="Arial" w:eastAsia="Arial" w:hAnsi="Arial"/>
          <w:sz w:val="13"/>
          <w:szCs w:val="13"/>
          <w:color w:val="auto"/>
        </w:rPr>
        <w:t>On June 30, 2023, Amdocs completed the acquisition of TEOCO’s service assurance business for a net consideration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approximately $90 million</w:t>
      </w:r>
    </w:p>
    <w:p>
      <w:pPr>
        <w:spacing w:after="0" w:line="63" w:lineRule="exact"/>
        <w:rPr>
          <w:rFonts w:ascii="Arial" w:cs="Arial" w:eastAsia="Arial" w:hAnsi="Arial"/>
          <w:sz w:val="13"/>
          <w:szCs w:val="13"/>
          <w:color w:val="auto"/>
        </w:rPr>
      </w:pPr>
    </w:p>
    <w:p>
      <w:pPr>
        <w:ind w:left="1340" w:right="859" w:hanging="393"/>
        <w:spacing w:after="0" w:line="252" w:lineRule="auto"/>
        <w:tabs>
          <w:tab w:leader="none" w:pos="134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Quarterly Cash Dividend Program: </w:t>
      </w:r>
      <w:r>
        <w:rPr>
          <w:rFonts w:ascii="Arial" w:cs="Arial" w:eastAsia="Arial" w:hAnsi="Arial"/>
          <w:sz w:val="13"/>
          <w:szCs w:val="13"/>
          <w:color w:val="auto"/>
        </w:rPr>
        <w:t>On August 2, 2023, the Board approved the Company’s next quarterly cash dividend payment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$0.435 per share and set September 29, 2023 as the record date for determining the shareholders entitled to receive the dividend, which will be payable on October 27, 2023</w:t>
      </w:r>
    </w:p>
    <w:p>
      <w:pPr>
        <w:spacing w:after="0" w:line="69" w:lineRule="exact"/>
        <w:rPr>
          <w:rFonts w:ascii="Arial" w:cs="Arial" w:eastAsia="Arial" w:hAnsi="Arial"/>
          <w:sz w:val="13"/>
          <w:szCs w:val="13"/>
          <w:color w:val="auto"/>
        </w:rPr>
      </w:pPr>
    </w:p>
    <w:p>
      <w:pPr>
        <w:ind w:left="1340" w:right="779" w:hanging="393"/>
        <w:spacing w:after="0" w:line="309" w:lineRule="auto"/>
        <w:tabs>
          <w:tab w:leader="none" w:pos="1340" w:val="left"/>
        </w:tabs>
        <w:numPr>
          <w:ilvl w:val="0"/>
          <w:numId w:val="5"/>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Share Repurchase Activity: </w:t>
      </w:r>
      <w:r>
        <w:rPr>
          <w:rFonts w:ascii="Arial" w:cs="Arial" w:eastAsia="Arial" w:hAnsi="Arial"/>
          <w:sz w:val="11"/>
          <w:szCs w:val="11"/>
          <w:color w:val="auto"/>
        </w:rPr>
        <w:t>Repurchased $129 million of ordinary shares during the third quarter of fiscal 2023. The board of directors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has approved a share repurchase plan authorizing the repurchase of up to $1.1 billion of ordinary shares at the company’s discretion; this plan has no expiration date and is in addition to the current authorization, which, as of June 30, 2023, provided for up to $156 million of remaining repurchase authorization. Between the two authorizations, we have up to $1.26 billion of remaining repurchase authority</w:t>
      </w:r>
    </w:p>
    <w:p>
      <w:pPr>
        <w:sectPr>
          <w:pgSz w:w="11900" w:h="16838" w:orient="portrait"/>
          <w:cols w:equalWidth="0" w:num="1">
            <w:col w:w="9019"/>
          </w:cols>
          <w:pgMar w:left="1440" w:top="383" w:right="1440" w:bottom="1440" w:gutter="0" w:footer="0" w:header="0"/>
        </w:sectPr>
      </w:pPr>
    </w:p>
    <w:bookmarkStart w:id="8" w:name="page9"/>
    <w:bookmarkEnd w:id="8"/>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43180"/>
                    </a:xfrm>
                    <a:prstGeom prst="rect">
                      <a:avLst/>
                    </a:prstGeom>
                    <a:noFill/>
                  </pic:spPr>
                </pic:pic>
              </a:graphicData>
            </a:graphic>
          </wp:anchor>
        </w:drawing>
        <w:t>Twelve-month Backlog</w:t>
      </w:r>
    </w:p>
    <w:p>
      <w:pPr>
        <w:spacing w:after="0" w:line="158" w:lineRule="exact"/>
        <w:rPr>
          <w:sz w:val="20"/>
          <w:szCs w:val="20"/>
          <w:color w:val="auto"/>
        </w:rPr>
      </w:pPr>
    </w:p>
    <w:p>
      <w:pPr>
        <w:jc w:val="both"/>
        <w:ind w:left="640" w:right="859"/>
        <w:spacing w:after="0" w:line="252" w:lineRule="auto"/>
        <w:rPr>
          <w:sz w:val="20"/>
          <w:szCs w:val="20"/>
          <w:color w:val="auto"/>
        </w:rPr>
      </w:pPr>
      <w:r>
        <w:rPr>
          <w:rFonts w:ascii="Arial" w:cs="Arial" w:eastAsia="Arial" w:hAnsi="Arial"/>
          <w:sz w:val="13"/>
          <w:szCs w:val="13"/>
          <w:color w:val="auto"/>
        </w:rPr>
        <w:t>Twelve-month backlog was a record $4.14 billion at the end of the third quarter of fiscal 2023, up approximately 5% as compared to last year’s third fiscal quarter. Twelve-month backlog includes anticipated revenue related to contracts, estimated revenue from managed services contracts, letters of intent, maintenance and estimated on-going support activities.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Fourth Quarter Fiscal 2023 Outlook</w:t>
      </w:r>
    </w:p>
    <w:p>
      <w:pPr>
        <w:spacing w:after="0" w:line="160"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2740" w:type="dxa"/>
            <w:vAlign w:val="bottom"/>
            <w:gridSpan w:val="4"/>
          </w:tcPr>
          <w:p>
            <w:pPr>
              <w:ind w:left="1280"/>
              <w:spacing w:after="0"/>
              <w:rPr>
                <w:sz w:val="20"/>
                <w:szCs w:val="20"/>
                <w:color w:val="auto"/>
              </w:rPr>
            </w:pPr>
            <w:r>
              <w:rPr>
                <w:rFonts w:ascii="Arial" w:cs="Arial" w:eastAsia="Arial" w:hAnsi="Arial"/>
                <w:sz w:val="10"/>
                <w:szCs w:val="10"/>
                <w:b w:val="1"/>
                <w:bCs w:val="1"/>
                <w:color w:val="auto"/>
                <w:w w:val="91"/>
              </w:rPr>
              <w:t>In millions, except per share data</w:t>
            </w:r>
          </w:p>
        </w:tc>
      </w:tr>
      <w:tr>
        <w:trPr>
          <w:trHeight w:val="119"/>
        </w:trPr>
        <w:tc>
          <w:tcPr>
            <w:tcW w:w="25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Q4 2023</w:t>
            </w:r>
          </w:p>
        </w:tc>
        <w:tc>
          <w:tcPr>
            <w:tcW w:w="20" w:type="dxa"/>
            <w:vAlign w:val="bottom"/>
          </w:tcPr>
          <w:p>
            <w:pPr>
              <w:spacing w:after="0"/>
              <w:rPr>
                <w:sz w:val="10"/>
                <w:szCs w:val="10"/>
                <w:color w:val="auto"/>
              </w:rPr>
            </w:pPr>
          </w:p>
        </w:tc>
      </w:tr>
      <w:tr>
        <w:trPr>
          <w:trHeight w:val="141"/>
        </w:trPr>
        <w:tc>
          <w:tcPr>
            <w:tcW w:w="25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1580" w:type="dxa"/>
            <w:vAlign w:val="bottom"/>
            <w:gridSpan w:val="2"/>
            <w:shd w:val="clear" w:color="auto" w:fill="CCEEFF"/>
          </w:tcPr>
          <w:p>
            <w:pPr>
              <w:ind w:left="1280"/>
              <w:spacing w:after="0" w:line="141"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1,220-$1,260</w:t>
            </w:r>
          </w:p>
        </w:tc>
      </w:tr>
      <w:tr>
        <w:trPr>
          <w:trHeight w:val="152"/>
        </w:trPr>
        <w:tc>
          <w:tcPr>
            <w:tcW w:w="2500" w:type="dxa"/>
            <w:vAlign w:val="bottom"/>
          </w:tcPr>
          <w:p>
            <w:pPr>
              <w:spacing w:after="0"/>
              <w:rPr>
                <w:sz w:val="20"/>
                <w:szCs w:val="20"/>
                <w:color w:val="auto"/>
              </w:rPr>
            </w:pPr>
            <w:r>
              <w:rPr>
                <w:rFonts w:ascii="Arial" w:cs="Arial" w:eastAsia="Arial" w:hAnsi="Arial"/>
                <w:sz w:val="13"/>
                <w:szCs w:val="13"/>
                <w:color w:val="auto"/>
              </w:rPr>
              <w:t>GAAP diluted EPS</w:t>
            </w:r>
          </w:p>
        </w:tc>
        <w:tc>
          <w:tcPr>
            <w:tcW w:w="1580" w:type="dxa"/>
            <w:vAlign w:val="bottom"/>
            <w:gridSpan w:val="2"/>
          </w:tcPr>
          <w:p>
            <w:pPr>
              <w:ind w:left="128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3"/>
                <w:szCs w:val="13"/>
                <w:color w:val="auto"/>
              </w:rPr>
              <w:t>0.67-$0.81</w:t>
            </w:r>
          </w:p>
        </w:tc>
      </w:tr>
      <w:tr>
        <w:trPr>
          <w:trHeight w:val="152"/>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Non-GAAP diluted EPS</w:t>
            </w: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1.38-$1.44</w:t>
            </w:r>
          </w:p>
        </w:tc>
      </w:tr>
    </w:tbl>
    <w:p>
      <w:pPr>
        <w:spacing w:after="0" w:line="162" w:lineRule="exact"/>
        <w:rPr>
          <w:sz w:val="20"/>
          <w:szCs w:val="20"/>
          <w:color w:val="auto"/>
        </w:rPr>
      </w:pPr>
    </w:p>
    <w:p>
      <w:pPr>
        <w:ind w:left="1340" w:right="919" w:hanging="316"/>
        <w:spacing w:after="0" w:line="261" w:lineRule="auto"/>
        <w:tabs>
          <w:tab w:leader="none" w:pos="1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Fourth quarter revenue guidance assumes negative $2m sequential impact from foreign currency fluctuations as compared to the third quarter of fiscal 2023</w:t>
      </w:r>
    </w:p>
    <w:p>
      <w:pPr>
        <w:spacing w:after="0" w:line="63" w:lineRule="exact"/>
        <w:rPr>
          <w:rFonts w:ascii="Arial" w:cs="Arial" w:eastAsia="Arial" w:hAnsi="Arial"/>
          <w:sz w:val="13"/>
          <w:szCs w:val="13"/>
          <w:color w:val="auto"/>
        </w:rPr>
      </w:pPr>
    </w:p>
    <w:p>
      <w:pPr>
        <w:ind w:left="1340" w:right="659" w:hanging="316"/>
        <w:spacing w:after="0" w:line="249" w:lineRule="auto"/>
        <w:tabs>
          <w:tab w:leader="none" w:pos="1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Fourth quarter non-GAAP diluted EPS guidance excludes restructuring charges of approximately $0.33-$0.40 per share, equity-based compensation expense of approximately $0.17-$0.19 per share, amortization of purchased intangible assets and other acquisition-related costs of approximately $0.11 per share, changes in certain acquisitions related liabilities measured at fair value, and other, net of related tax effects</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Full Year Fiscal 2023 Outlook</w:t>
      </w:r>
    </w:p>
    <w:p>
      <w:pPr>
        <w:spacing w:after="0" w:line="171" w:lineRule="exact"/>
        <w:rPr>
          <w:sz w:val="20"/>
          <w:szCs w:val="20"/>
          <w:color w:val="auto"/>
        </w:rPr>
      </w:pPr>
    </w:p>
    <w:tbl>
      <w:tblPr>
        <w:tblLayout w:type="fixed"/>
        <w:tblInd w:w="1560" w:type="dxa"/>
        <w:tblCellMar>
          <w:top w:w="0" w:type="dxa"/>
          <w:left w:w="0" w:type="dxa"/>
          <w:bottom w:w="0" w:type="dxa"/>
          <w:right w:w="0" w:type="dxa"/>
        </w:tblCellMar>
      </w:tblPr>
      <w:tr>
        <w:trPr>
          <w:trHeight w:val="119"/>
        </w:trPr>
        <w:tc>
          <w:tcPr>
            <w:tcW w:w="3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6"/>
          </w:tcPr>
          <w:p>
            <w:pPr>
              <w:jc w:val="center"/>
              <w:ind w:right="320"/>
              <w:spacing w:after="0"/>
              <w:rPr>
                <w:sz w:val="20"/>
                <w:szCs w:val="20"/>
                <w:color w:val="auto"/>
              </w:rPr>
            </w:pPr>
            <w:r>
              <w:rPr>
                <w:rFonts w:ascii="Arial" w:cs="Arial" w:eastAsia="Arial" w:hAnsi="Arial"/>
                <w:sz w:val="10"/>
                <w:szCs w:val="10"/>
                <w:b w:val="1"/>
                <w:bCs w:val="1"/>
                <w:color w:val="auto"/>
                <w:w w:val="92"/>
              </w:rPr>
              <w:t>FY 2023, year-over-year growth</w:t>
            </w:r>
          </w:p>
        </w:tc>
      </w:tr>
      <w:tr>
        <w:trPr>
          <w:trHeight w:val="94"/>
        </w:trPr>
        <w:tc>
          <w:tcPr>
            <w:tcW w:w="3400" w:type="dxa"/>
            <w:vAlign w:val="bottom"/>
          </w:tcPr>
          <w:p>
            <w:pPr>
              <w:spacing w:after="0"/>
              <w:rPr>
                <w:sz w:val="8"/>
                <w:szCs w:val="8"/>
                <w:color w:val="auto"/>
              </w:rPr>
            </w:pPr>
          </w:p>
        </w:tc>
        <w:tc>
          <w:tcPr>
            <w:tcW w:w="800" w:type="dxa"/>
            <w:vAlign w:val="bottom"/>
            <w:tcBorders>
              <w:top w:val="single" w:sz="8" w:color="auto"/>
            </w:tcBorders>
            <w:gridSpan w:val="2"/>
          </w:tcPr>
          <w:p>
            <w:pPr>
              <w:spacing w:after="0" w:line="94" w:lineRule="exact"/>
              <w:rPr>
                <w:sz w:val="20"/>
                <w:szCs w:val="20"/>
                <w:color w:val="auto"/>
              </w:rPr>
            </w:pPr>
            <w:r>
              <w:rPr>
                <w:rFonts w:ascii="Arial" w:cs="Arial" w:eastAsia="Arial" w:hAnsi="Arial"/>
                <w:sz w:val="10"/>
                <w:szCs w:val="10"/>
                <w:b w:val="1"/>
                <w:bCs w:val="1"/>
                <w:color w:val="auto"/>
                <w:w w:val="92"/>
              </w:rPr>
              <w:t>Current Guidance</w:t>
            </w:r>
          </w:p>
        </w:tc>
        <w:tc>
          <w:tcPr>
            <w:tcW w:w="42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3"/>
          </w:tcPr>
          <w:p>
            <w:pPr>
              <w:ind w:left="320"/>
              <w:spacing w:after="0" w:line="94" w:lineRule="exact"/>
              <w:rPr>
                <w:sz w:val="20"/>
                <w:szCs w:val="20"/>
                <w:color w:val="auto"/>
              </w:rPr>
            </w:pPr>
            <w:r>
              <w:rPr>
                <w:rFonts w:ascii="Arial" w:cs="Arial" w:eastAsia="Arial" w:hAnsi="Arial"/>
                <w:sz w:val="10"/>
                <w:szCs w:val="10"/>
                <w:b w:val="1"/>
                <w:bCs w:val="1"/>
                <w:color w:val="auto"/>
                <w:w w:val="86"/>
              </w:rPr>
              <w:t>Previous Guidance</w:t>
            </w:r>
          </w:p>
        </w:tc>
        <w:tc>
          <w:tcPr>
            <w:tcW w:w="140" w:type="dxa"/>
            <w:vAlign w:val="bottom"/>
          </w:tcPr>
          <w:p>
            <w:pPr>
              <w:spacing w:after="0"/>
              <w:rPr>
                <w:sz w:val="8"/>
                <w:szCs w:val="8"/>
                <w:color w:val="auto"/>
              </w:rPr>
            </w:pPr>
          </w:p>
        </w:tc>
      </w:tr>
      <w:tr>
        <w:trPr>
          <w:trHeight w:val="20"/>
        </w:trPr>
        <w:tc>
          <w:tcPr>
            <w:tcW w:w="3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1"/>
        </w:trPr>
        <w:tc>
          <w:tcPr>
            <w:tcW w:w="34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Revenue growth, as reported</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1" w:lineRule="exact"/>
              <w:rPr>
                <w:sz w:val="20"/>
                <w:szCs w:val="20"/>
                <w:color w:val="auto"/>
              </w:rPr>
            </w:pPr>
            <w:r>
              <w:rPr>
                <w:rFonts w:ascii="Arial" w:cs="Arial" w:eastAsia="Arial" w:hAnsi="Arial"/>
                <w:sz w:val="13"/>
                <w:szCs w:val="13"/>
                <w:color w:val="auto"/>
              </w:rPr>
              <w:t>6.3%-7.1%</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6.0%-8.0%</w:t>
            </w:r>
          </w:p>
        </w:tc>
      </w:tr>
      <w:tr>
        <w:trPr>
          <w:trHeight w:val="152"/>
        </w:trPr>
        <w:tc>
          <w:tcPr>
            <w:tcW w:w="3400" w:type="dxa"/>
            <w:vAlign w:val="bottom"/>
          </w:tcPr>
          <w:p>
            <w:pPr>
              <w:spacing w:after="0" w:line="152" w:lineRule="exact"/>
              <w:rPr>
                <w:sz w:val="20"/>
                <w:szCs w:val="20"/>
                <w:color w:val="auto"/>
              </w:rPr>
            </w:pPr>
            <w:r>
              <w:rPr>
                <w:rFonts w:ascii="Arial" w:cs="Arial" w:eastAsia="Arial" w:hAnsi="Arial"/>
                <w:sz w:val="12"/>
                <w:szCs w:val="12"/>
                <w:color w:val="auto"/>
              </w:rPr>
              <w:t>Revenue growth, constant currency</w:t>
            </w:r>
            <w:r>
              <w:rPr>
                <w:rFonts w:ascii="Arial" w:cs="Arial" w:eastAsia="Arial" w:hAnsi="Arial"/>
                <w:sz w:val="17"/>
                <w:szCs w:val="17"/>
                <w:color w:val="auto"/>
                <w:vertAlign w:val="superscript"/>
              </w:rPr>
              <w:t>(2)</w:t>
            </w:r>
          </w:p>
        </w:tc>
        <w:tc>
          <w:tcPr>
            <w:tcW w:w="180" w:type="dxa"/>
            <w:vAlign w:val="bottom"/>
          </w:tcPr>
          <w:p>
            <w:pPr>
              <w:spacing w:after="0"/>
              <w:rPr>
                <w:sz w:val="13"/>
                <w:szCs w:val="13"/>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3"/>
                <w:szCs w:val="13"/>
                <w:color w:val="auto"/>
              </w:rPr>
              <w:t>7.2%-8.0%</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7.0%-9.0%</w:t>
            </w:r>
          </w:p>
        </w:tc>
      </w:tr>
      <w:tr>
        <w:trPr>
          <w:trHeight w:val="152"/>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GAAP diluted EPS growth</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6"/>
              </w:rPr>
              <w:t>(3.0)%-0.0%</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8"/>
              </w:rPr>
              <w:t>3.0%-10.0%</w:t>
            </w:r>
          </w:p>
        </w:tc>
      </w:tr>
      <w:tr>
        <w:trPr>
          <w:trHeight w:val="161"/>
        </w:trPr>
        <w:tc>
          <w:tcPr>
            <w:tcW w:w="3400" w:type="dxa"/>
            <w:vAlign w:val="bottom"/>
          </w:tcPr>
          <w:p>
            <w:pPr>
              <w:spacing w:after="0"/>
              <w:rPr>
                <w:sz w:val="20"/>
                <w:szCs w:val="20"/>
                <w:color w:val="auto"/>
              </w:rPr>
            </w:pPr>
            <w:r>
              <w:rPr>
                <w:rFonts w:ascii="Arial" w:cs="Arial" w:eastAsia="Arial" w:hAnsi="Arial"/>
                <w:sz w:val="13"/>
                <w:szCs w:val="13"/>
                <w:color w:val="auto"/>
              </w:rPr>
              <w:t>Non-GAAP diluted EPS growth</w:t>
            </w:r>
          </w:p>
        </w:tc>
        <w:tc>
          <w:tcPr>
            <w:tcW w:w="180" w:type="dxa"/>
            <w:vAlign w:val="bottom"/>
          </w:tcPr>
          <w:p>
            <w:pPr>
              <w:spacing w:after="0"/>
              <w:rPr>
                <w:sz w:val="13"/>
                <w:szCs w:val="13"/>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3"/>
                <w:szCs w:val="13"/>
                <w:color w:val="auto"/>
                <w:w w:val="89"/>
              </w:rPr>
              <w:t>11.0%-12.0%</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w w:val="98"/>
              </w:rPr>
              <w:t>9.0%-13.0%</w:t>
            </w:r>
          </w:p>
        </w:tc>
      </w:tr>
      <w:tr>
        <w:trPr>
          <w:trHeight w:val="232"/>
        </w:trPr>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4"/>
          </w:tcPr>
          <w:p>
            <w:pPr>
              <w:jc w:val="center"/>
              <w:ind w:left="360"/>
              <w:spacing w:after="0"/>
              <w:rPr>
                <w:sz w:val="20"/>
                <w:szCs w:val="20"/>
                <w:color w:val="auto"/>
              </w:rPr>
            </w:pPr>
            <w:r>
              <w:rPr>
                <w:rFonts w:ascii="Arial" w:cs="Arial" w:eastAsia="Arial" w:hAnsi="Arial"/>
                <w:sz w:val="10"/>
                <w:szCs w:val="10"/>
                <w:b w:val="1"/>
                <w:bCs w:val="1"/>
                <w:color w:val="auto"/>
                <w:w w:val="92"/>
              </w:rPr>
              <w:t>FY 2023, in millions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19"/>
        </w:trPr>
        <w:tc>
          <w:tcPr>
            <w:tcW w:w="3400" w:type="dxa"/>
            <w:vAlign w:val="bottom"/>
          </w:tcPr>
          <w:p>
            <w:pPr>
              <w:spacing w:after="0"/>
              <w:rPr>
                <w:sz w:val="10"/>
                <w:szCs w:val="10"/>
                <w:color w:val="auto"/>
              </w:rPr>
            </w:pPr>
          </w:p>
        </w:tc>
        <w:tc>
          <w:tcPr>
            <w:tcW w:w="1220" w:type="dxa"/>
            <w:vAlign w:val="bottom"/>
            <w:gridSpan w:val="3"/>
          </w:tcPr>
          <w:p>
            <w:pPr>
              <w:spacing w:after="0"/>
              <w:rPr>
                <w:sz w:val="20"/>
                <w:szCs w:val="20"/>
                <w:color w:val="auto"/>
              </w:rPr>
            </w:pPr>
            <w:r>
              <w:rPr>
                <w:rFonts w:ascii="Arial" w:cs="Arial" w:eastAsia="Arial" w:hAnsi="Arial"/>
                <w:sz w:val="10"/>
                <w:szCs w:val="10"/>
                <w:b w:val="1"/>
                <w:bCs w:val="1"/>
                <w:color w:val="auto"/>
              </w:rPr>
              <w:t>Current Guidance</w:t>
            </w:r>
          </w:p>
        </w:tc>
        <w:tc>
          <w:tcPr>
            <w:tcW w:w="1260" w:type="dxa"/>
            <w:vAlign w:val="bottom"/>
            <w:gridSpan w:val="4"/>
          </w:tcPr>
          <w:p>
            <w:pPr>
              <w:ind w:left="320"/>
              <w:spacing w:after="0"/>
              <w:rPr>
                <w:sz w:val="20"/>
                <w:szCs w:val="20"/>
                <w:color w:val="auto"/>
              </w:rPr>
            </w:pPr>
            <w:r>
              <w:rPr>
                <w:rFonts w:ascii="Arial" w:cs="Arial" w:eastAsia="Arial" w:hAnsi="Arial"/>
                <w:sz w:val="10"/>
                <w:szCs w:val="10"/>
                <w:b w:val="1"/>
                <w:bCs w:val="1"/>
                <w:color w:val="auto"/>
              </w:rPr>
              <w:t>Previous Guidance</w:t>
            </w:r>
          </w:p>
        </w:tc>
      </w:tr>
      <w:tr>
        <w:trPr>
          <w:trHeight w:val="152"/>
        </w:trPr>
        <w:tc>
          <w:tcPr>
            <w:tcW w:w="3400" w:type="dxa"/>
            <w:vAlign w:val="bottom"/>
            <w:shd w:val="clear" w:color="auto" w:fill="CCEEFF"/>
          </w:tcPr>
          <w:p>
            <w:pPr>
              <w:spacing w:after="0" w:line="152" w:lineRule="exact"/>
              <w:rPr>
                <w:sz w:val="20"/>
                <w:szCs w:val="20"/>
                <w:color w:val="auto"/>
              </w:rPr>
            </w:pPr>
            <w:r>
              <w:rPr>
                <w:rFonts w:ascii="Arial" w:cs="Arial" w:eastAsia="Arial" w:hAnsi="Arial"/>
                <w:sz w:val="12"/>
                <w:szCs w:val="12"/>
                <w:color w:val="auto"/>
              </w:rPr>
              <w:t>Free cash flow</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700</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w:t>
            </w:r>
          </w:p>
        </w:tc>
        <w:tc>
          <w:tcPr>
            <w:tcW w:w="140" w:type="dxa"/>
            <w:vAlign w:val="bottom"/>
            <w:shd w:val="clear" w:color="auto" w:fill="CCEEFF"/>
          </w:tcPr>
          <w:p>
            <w:pPr>
              <w:spacing w:after="0"/>
              <w:rPr>
                <w:sz w:val="13"/>
                <w:szCs w:val="13"/>
                <w:color w:val="auto"/>
              </w:rPr>
            </w:pPr>
          </w:p>
        </w:tc>
      </w:tr>
    </w:tbl>
    <w:p>
      <w:pPr>
        <w:sectPr>
          <w:pgSz w:w="11900" w:h="16838" w:orient="portrait"/>
          <w:cols w:equalWidth="0" w:num="1">
            <w:col w:w="9019"/>
          </w:cols>
          <w:pgMar w:left="1440" w:top="383" w:right="1440" w:bottom="1440" w:gutter="0" w:footer="0" w:header="0"/>
        </w:sectPr>
      </w:pPr>
    </w:p>
    <w:bookmarkStart w:id="9" w:name="page10"/>
    <w:bookmarkEnd w:id="9"/>
    <w:p>
      <w:pPr>
        <w:ind w:left="1340" w:right="759" w:hanging="316"/>
        <w:spacing w:after="0" w:line="252" w:lineRule="auto"/>
        <w:tabs>
          <w:tab w:leader="none" w:pos="1340" w:val="left"/>
        </w:tabs>
        <w:numPr>
          <w:ilvl w:val="0"/>
          <w:numId w:val="7"/>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43180"/>
                    </a:xfrm>
                    <a:prstGeom prst="rect">
                      <a:avLst/>
                    </a:prstGeom>
                    <a:noFill/>
                  </pic:spPr>
                </pic:pic>
              </a:graphicData>
            </a:graphic>
          </wp:anchor>
        </w:drawing>
        <w:t>Full year fiscal 2023 revenue guidance incorporates an expected unfavorable impact from foreign currency fluctuations of approximately 0.9% year-over-year, as compared with an unfavorable impact of approximately 1% year-over-year previously, and an immaterial contribution from the consolidation of TEOCO’s service assurance business</w:t>
      </w:r>
    </w:p>
    <w:p>
      <w:pPr>
        <w:spacing w:after="0" w:line="69" w:lineRule="exact"/>
        <w:rPr>
          <w:rFonts w:ascii="Arial" w:cs="Arial" w:eastAsia="Arial" w:hAnsi="Arial"/>
          <w:sz w:val="13"/>
          <w:szCs w:val="13"/>
          <w:color w:val="auto"/>
        </w:rPr>
      </w:pPr>
    </w:p>
    <w:p>
      <w:pPr>
        <w:ind w:left="1340" w:right="839" w:hanging="316"/>
        <w:spacing w:after="0" w:line="249" w:lineRule="auto"/>
        <w:tabs>
          <w:tab w:leader="none" w:pos="1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Non-GAAP diluted earnings per share growth excludes equity-based compensation expense of approximately $0.60-$0.62 per share, restructuring charges of approximately $0.49-$0.55 per share, amortization of purchased intangible assets and other acquisition-related costs of approximately $0.38 per share, changes in certain acquisitions related liabilities measured at fair value, and other, net of related tax effects</w:t>
      </w:r>
    </w:p>
    <w:p>
      <w:pPr>
        <w:spacing w:after="0" w:line="71" w:lineRule="exact"/>
        <w:rPr>
          <w:rFonts w:ascii="Arial" w:cs="Arial" w:eastAsia="Arial" w:hAnsi="Arial"/>
          <w:sz w:val="13"/>
          <w:szCs w:val="13"/>
          <w:color w:val="auto"/>
        </w:rPr>
      </w:pPr>
    </w:p>
    <w:p>
      <w:pPr>
        <w:ind w:left="1340" w:right="719" w:hanging="316"/>
        <w:spacing w:after="0" w:line="261" w:lineRule="auto"/>
        <w:tabs>
          <w:tab w:leader="none" w:pos="1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impact of the acquisition of TEOCO’s service assurance business on Amdocs’ non-GAAP diluted earnings per share is expected to be neutral in the full fiscal year 2023</w:t>
      </w:r>
    </w:p>
    <w:p>
      <w:pPr>
        <w:spacing w:after="0" w:line="63" w:lineRule="exact"/>
        <w:rPr>
          <w:rFonts w:ascii="Arial" w:cs="Arial" w:eastAsia="Arial" w:hAnsi="Arial"/>
          <w:sz w:val="13"/>
          <w:szCs w:val="13"/>
          <w:color w:val="auto"/>
        </w:rPr>
      </w:pPr>
    </w:p>
    <w:p>
      <w:pPr>
        <w:ind w:left="1340" w:hanging="316"/>
        <w:spacing w:after="0"/>
        <w:tabs>
          <w:tab w:leader="none" w:pos="1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Non-GAAP effective tax rate is anticipated to be within a range of 13.0% to 17.0% for the full year fiscal 2023</w:t>
      </w:r>
    </w:p>
    <w:p>
      <w:pPr>
        <w:spacing w:after="0" w:line="87" w:lineRule="exact"/>
        <w:rPr>
          <w:rFonts w:ascii="Arial" w:cs="Arial" w:eastAsia="Arial" w:hAnsi="Arial"/>
          <w:sz w:val="13"/>
          <w:szCs w:val="13"/>
          <w:color w:val="auto"/>
        </w:rPr>
      </w:pPr>
    </w:p>
    <w:p>
      <w:pPr>
        <w:ind w:left="1340" w:right="759" w:hanging="316"/>
        <w:spacing w:after="0" w:line="210" w:lineRule="auto"/>
        <w:tabs>
          <w:tab w:leader="none" w:pos="1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Free cash flow</w:t>
      </w:r>
      <w:r>
        <w:rPr>
          <w:rFonts w:ascii="Arial" w:cs="Arial" w:eastAsia="Arial" w:hAnsi="Arial"/>
          <w:sz w:val="18"/>
          <w:szCs w:val="18"/>
          <w:color w:val="auto"/>
          <w:vertAlign w:val="superscript"/>
        </w:rPr>
        <w:t>(1)</w:t>
      </w:r>
      <w:r>
        <w:rPr>
          <w:rFonts w:ascii="Arial" w:cs="Arial" w:eastAsia="Arial" w:hAnsi="Arial"/>
          <w:sz w:val="13"/>
          <w:szCs w:val="13"/>
          <w:color w:val="auto"/>
        </w:rPr>
        <w:t xml:space="preserve"> is comprised of cash flow from operations, less net capital expenditures and other, and excludes payments related to the anticipated restructuring charges</w:t>
      </w:r>
    </w:p>
    <w:p>
      <w:pPr>
        <w:spacing w:after="0" w:line="143" w:lineRule="exact"/>
        <w:rPr>
          <w:sz w:val="20"/>
          <w:szCs w:val="20"/>
          <w:color w:val="auto"/>
        </w:rPr>
      </w:pPr>
    </w:p>
    <w:p>
      <w:pPr>
        <w:ind w:left="640" w:right="699"/>
        <w:spacing w:after="0" w:line="271" w:lineRule="auto"/>
        <w:rPr>
          <w:sz w:val="20"/>
          <w:szCs w:val="20"/>
          <w:color w:val="auto"/>
        </w:rPr>
      </w:pPr>
      <w:r>
        <w:rPr>
          <w:rFonts w:ascii="Arial" w:cs="Arial" w:eastAsia="Arial" w:hAnsi="Arial"/>
          <w:sz w:val="12"/>
          <w:szCs w:val="12"/>
          <w:color w:val="auto"/>
        </w:rPr>
        <w:t>The forward looking statements regarding our fourth fiscal quarter 2023 and full year fiscal 2023 guidance take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certain geopolitical events, the current inflationary environment, global or regional events, such as the COVID-19 pandemic and the prevailing level of macro-economic, business and operational uncertainty, which have created, and continue to create, a significant amount of uncertainty, or from current and potential customer consolidation or their other strategic corporate activities.</w:t>
      </w:r>
    </w:p>
    <w:p>
      <w:pPr>
        <w:sectPr>
          <w:pgSz w:w="11900" w:h="16838" w:orient="portrait"/>
          <w:cols w:equalWidth="0" w:num="1">
            <w:col w:w="9019"/>
          </w:cols>
          <w:pgMar w:left="1440" w:top="387" w:right="1440" w:bottom="1440" w:gutter="0" w:footer="0" w:header="0"/>
        </w:sectPr>
      </w:pPr>
    </w:p>
    <w:bookmarkStart w:id="10" w:name="page11"/>
    <w:bookmarkEnd w:id="10"/>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43180"/>
                    </a:xfrm>
                    <a:prstGeom prst="rect">
                      <a:avLst/>
                    </a:prstGeom>
                    <a:noFill/>
                  </pic:spPr>
                </pic:pic>
              </a:graphicData>
            </a:graphic>
          </wp:anchor>
        </w:drawing>
        <w:t>Conference Call and Earnings Webcast Presentation Details</w:t>
      </w:r>
    </w:p>
    <w:p>
      <w:pPr>
        <w:spacing w:after="0" w:line="82" w:lineRule="exact"/>
        <w:rPr>
          <w:sz w:val="20"/>
          <w:szCs w:val="20"/>
          <w:color w:val="auto"/>
        </w:rPr>
      </w:pPr>
    </w:p>
    <w:p>
      <w:pPr>
        <w:ind w:left="640" w:right="959"/>
        <w:spacing w:after="0" w:line="261" w:lineRule="auto"/>
        <w:rPr>
          <w:sz w:val="20"/>
          <w:szCs w:val="20"/>
          <w:color w:val="auto"/>
        </w:rPr>
      </w:pPr>
      <w:r>
        <w:rPr>
          <w:rFonts w:ascii="Arial" w:cs="Arial" w:eastAsia="Arial" w:hAnsi="Arial"/>
          <w:sz w:val="13"/>
          <w:szCs w:val="13"/>
          <w:color w:val="auto"/>
        </w:rPr>
        <w:t>Amdocs will host a conference call and earnings webcast presentation on August 2, 2023 at 5:00 p.m. Eastern Time to discuss the Company’s third quarter of fiscal 2023 results.</w:t>
      </w:r>
    </w:p>
    <w:p>
      <w:pPr>
        <w:spacing w:after="0" w:line="130" w:lineRule="exact"/>
        <w:rPr>
          <w:sz w:val="20"/>
          <w:szCs w:val="20"/>
          <w:color w:val="auto"/>
        </w:rPr>
      </w:pPr>
    </w:p>
    <w:p>
      <w:pPr>
        <w:jc w:val="both"/>
        <w:ind w:left="640" w:right="679"/>
        <w:spacing w:after="0" w:line="252" w:lineRule="auto"/>
        <w:rPr>
          <w:sz w:val="20"/>
          <w:szCs w:val="20"/>
          <w:color w:val="auto"/>
        </w:rPr>
      </w:pPr>
      <w:r>
        <w:rPr>
          <w:rFonts w:ascii="Arial" w:cs="Arial" w:eastAsia="Arial" w:hAnsi="Arial"/>
          <w:sz w:val="13"/>
          <w:szCs w:val="13"/>
          <w:color w:val="auto"/>
        </w:rPr>
        <w:t xml:space="preserve">To participate in the call, please register </w:t>
      </w:r>
      <w:r>
        <w:rPr>
          <w:rFonts w:ascii="Arial" w:cs="Arial" w:eastAsia="Arial" w:hAnsi="Arial"/>
          <w:sz w:val="13"/>
          <w:szCs w:val="13"/>
          <w:u w:val="single" w:color="auto"/>
          <w:color w:val="auto"/>
        </w:rPr>
        <w:t>here</w:t>
      </w:r>
      <w:r>
        <w:rPr>
          <w:rFonts w:ascii="Arial" w:cs="Arial" w:eastAsia="Arial" w:hAnsi="Arial"/>
          <w:sz w:val="13"/>
          <w:szCs w:val="13"/>
          <w:color w:val="auto"/>
        </w:rPr>
        <w:t xml:space="preserve"> to receive the dial-in numbers and unique access PIN. The conference call and webcast will also be carried live on the Internet and may be accessed via the Amdocs website at </w:t>
      </w:r>
      <w:r>
        <w:rPr>
          <w:rFonts w:ascii="Arial" w:cs="Arial" w:eastAsia="Arial" w:hAnsi="Arial"/>
          <w:sz w:val="13"/>
          <w:szCs w:val="13"/>
          <w:u w:val="single" w:color="auto"/>
          <w:color w:val="auto"/>
        </w:rPr>
        <w:t>https://investors</w:t>
      </w:r>
      <w:r>
        <w:rPr>
          <w:rFonts w:ascii="Arial" w:cs="Arial" w:eastAsia="Arial" w:hAnsi="Arial"/>
          <w:sz w:val="13"/>
          <w:szCs w:val="13"/>
          <w:color w:val="auto"/>
        </w:rPr>
        <w:t>.amdocs.com. Presentation slides will be available shortly before the webcast.</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Non-GAAP Financial Measures</w:t>
      </w:r>
    </w:p>
    <w:p>
      <w:pPr>
        <w:spacing w:after="0" w:line="82" w:lineRule="exact"/>
        <w:rPr>
          <w:sz w:val="20"/>
          <w:szCs w:val="20"/>
          <w:color w:val="auto"/>
        </w:rPr>
      </w:pPr>
    </w:p>
    <w:p>
      <w:pPr>
        <w:ind w:left="640" w:right="719"/>
        <w:spacing w:after="0" w:line="247" w:lineRule="auto"/>
        <w:rPr>
          <w:sz w:val="20"/>
          <w:szCs w:val="20"/>
          <w:color w:val="auto"/>
        </w:rPr>
      </w:pPr>
      <w:r>
        <w:rPr>
          <w:rFonts w:ascii="Arial" w:cs="Arial" w:eastAsia="Arial" w:hAnsi="Arial"/>
          <w:sz w:val="12"/>
          <w:szCs w:val="12"/>
          <w:color w:val="auto"/>
        </w:rPr>
        <w:t>This release includes non-GAAP diluted earnings per share and other non-GAAP financial measures, including free cash flow and normalized free cash flow, revenue on a constant currency</w:t>
      </w:r>
      <w:r>
        <w:rPr>
          <w:rFonts w:ascii="Arial" w:cs="Arial" w:eastAsia="Arial" w:hAnsi="Arial"/>
          <w:sz w:val="17"/>
          <w:szCs w:val="17"/>
          <w:color w:val="auto"/>
          <w:vertAlign w:val="superscript"/>
        </w:rPr>
        <w:t>(2)</w:t>
      </w:r>
      <w:r>
        <w:rPr>
          <w:rFonts w:ascii="Arial" w:cs="Arial" w:eastAsia="Arial" w:hAnsi="Arial"/>
          <w:sz w:val="12"/>
          <w:szCs w:val="12"/>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These other non-GAAP measures exclude the following items:</w:t>
      </w:r>
    </w:p>
    <w:p>
      <w:pPr>
        <w:spacing w:after="0" w:line="74" w:lineRule="exact"/>
        <w:rPr>
          <w:sz w:val="20"/>
          <w:szCs w:val="20"/>
          <w:color w:val="auto"/>
        </w:rPr>
      </w:pPr>
    </w:p>
    <w:p>
      <w:pPr>
        <w:ind w:left="1340" w:hanging="316"/>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amortization of purchased intangible assets and other acquisition-related costs;</w:t>
      </w:r>
    </w:p>
    <w:p>
      <w:pPr>
        <w:spacing w:after="0" w:line="87" w:lineRule="exact"/>
        <w:rPr>
          <w:rFonts w:ascii="Arial" w:cs="Arial" w:eastAsia="Arial" w:hAnsi="Arial"/>
          <w:sz w:val="13"/>
          <w:szCs w:val="13"/>
          <w:color w:val="auto"/>
        </w:rPr>
      </w:pPr>
    </w:p>
    <w:p>
      <w:pPr>
        <w:ind w:left="1340" w:hanging="316"/>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changes in certain acquisition-related liabilities measured at fair value;</w:t>
      </w:r>
    </w:p>
    <w:p>
      <w:pPr>
        <w:spacing w:after="0" w:line="87" w:lineRule="exact"/>
        <w:rPr>
          <w:rFonts w:ascii="Arial" w:cs="Arial" w:eastAsia="Arial" w:hAnsi="Arial"/>
          <w:sz w:val="13"/>
          <w:szCs w:val="13"/>
          <w:color w:val="auto"/>
        </w:rPr>
      </w:pPr>
    </w:p>
    <w:p>
      <w:pPr>
        <w:ind w:left="1340" w:hanging="316"/>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restructuring and unusual charges or benefits (such as a gain from divestiture of OpenMarket);</w:t>
      </w:r>
    </w:p>
    <w:p>
      <w:pPr>
        <w:spacing w:after="0" w:line="87" w:lineRule="exact"/>
        <w:rPr>
          <w:rFonts w:ascii="Arial" w:cs="Arial" w:eastAsia="Arial" w:hAnsi="Arial"/>
          <w:sz w:val="13"/>
          <w:szCs w:val="13"/>
          <w:color w:val="auto"/>
        </w:rPr>
      </w:pPr>
    </w:p>
    <w:p>
      <w:pPr>
        <w:ind w:left="1340" w:hanging="316"/>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equity-based compensation expense;</w:t>
      </w:r>
    </w:p>
    <w:p>
      <w:pPr>
        <w:spacing w:after="0" w:line="87" w:lineRule="exact"/>
        <w:rPr>
          <w:rFonts w:ascii="Arial" w:cs="Arial" w:eastAsia="Arial" w:hAnsi="Arial"/>
          <w:sz w:val="13"/>
          <w:szCs w:val="13"/>
          <w:color w:val="auto"/>
        </w:rPr>
      </w:pPr>
    </w:p>
    <w:p>
      <w:pPr>
        <w:ind w:left="1340" w:hanging="316"/>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other; and</w:t>
      </w:r>
    </w:p>
    <w:p>
      <w:pPr>
        <w:spacing w:after="0" w:line="87" w:lineRule="exact"/>
        <w:rPr>
          <w:rFonts w:ascii="Arial" w:cs="Arial" w:eastAsia="Arial" w:hAnsi="Arial"/>
          <w:sz w:val="13"/>
          <w:szCs w:val="13"/>
          <w:color w:val="auto"/>
        </w:rPr>
      </w:pPr>
    </w:p>
    <w:p>
      <w:pPr>
        <w:ind w:left="1340" w:hanging="316"/>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tax effects related to the above.</w:t>
      </w:r>
    </w:p>
    <w:p>
      <w:pPr>
        <w:spacing w:after="0" w:line="154" w:lineRule="exact"/>
        <w:rPr>
          <w:sz w:val="20"/>
          <w:szCs w:val="20"/>
          <w:color w:val="auto"/>
        </w:rPr>
      </w:pPr>
    </w:p>
    <w:p>
      <w:pPr>
        <w:ind w:left="640" w:right="779"/>
        <w:spacing w:after="0" w:line="252" w:lineRule="auto"/>
        <w:rPr>
          <w:sz w:val="20"/>
          <w:szCs w:val="20"/>
          <w:color w:val="auto"/>
        </w:rPr>
      </w:pPr>
      <w:r>
        <w:rPr>
          <w:rFonts w:ascii="Arial" w:cs="Arial" w:eastAsia="Arial" w:hAnsi="Arial"/>
          <w:sz w:val="13"/>
          <w:szCs w:val="13"/>
          <w:color w:val="auto"/>
        </w:rPr>
        <w:t>Free cash flow equals cash generated by operating activities less net capital expenditures and other. Normalized free cash flow, a measure of our operating performance, is further adjusted to exclude net capital expenditures related to the new campus development, payments for non-recurring and unusual charges (such as capital gains tax in relation to the</w:t>
      </w:r>
    </w:p>
    <w:p>
      <w:pPr>
        <w:sectPr>
          <w:pgSz w:w="11900" w:h="16838" w:orient="portrait"/>
          <w:cols w:equalWidth="0" w:num="1">
            <w:col w:w="9019"/>
          </w:cols>
          <w:pgMar w:left="1440" w:top="383" w:right="1440" w:bottom="1440" w:gutter="0" w:footer="0" w:header="0"/>
        </w:sectPr>
      </w:pPr>
    </w:p>
    <w:bookmarkStart w:id="11" w:name="page12"/>
    <w:bookmarkEnd w:id="11"/>
    <w:p>
      <w:pPr>
        <w:ind w:left="640" w:right="639"/>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43180"/>
                    </a:xfrm>
                    <a:prstGeom prst="rect">
                      <a:avLst/>
                    </a:prstGeom>
                    <a:noFill/>
                  </pic:spPr>
                </pic:pic>
              </a:graphicData>
            </a:graphic>
          </wp:anchor>
        </w:drawing>
        <w:t>divestiture of OpenMarket), and payments of acquisition related liabilities. Normalized free cash flow is not comparable to free cash flow.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27" w:lineRule="exact"/>
        <w:rPr>
          <w:sz w:val="20"/>
          <w:szCs w:val="20"/>
          <w:color w:val="auto"/>
        </w:rPr>
      </w:pPr>
    </w:p>
    <w:p>
      <w:pPr>
        <w:ind w:left="640" w:right="719"/>
        <w:spacing w:after="0" w:line="252" w:lineRule="auto"/>
        <w:rPr>
          <w:sz w:val="20"/>
          <w:szCs w:val="20"/>
          <w:color w:val="auto"/>
        </w:rPr>
      </w:pPr>
      <w:r>
        <w:rPr>
          <w:rFonts w:ascii="Arial" w:cs="Arial" w:eastAsia="Arial" w:hAnsi="Arial"/>
          <w:sz w:val="12"/>
          <w:szCs w:val="12"/>
          <w:color w:val="auto"/>
        </w:rPr>
        <w:t>Amdocs believes that the presentation of non-GAAP diluted earnings per share and other financial measures, including free cash flow and normalized free cash flow, revenue on a constant currency</w:t>
      </w:r>
      <w:r>
        <w:rPr>
          <w:rFonts w:ascii="Arial" w:cs="Arial" w:eastAsia="Arial" w:hAnsi="Arial"/>
          <w:sz w:val="17"/>
          <w:szCs w:val="17"/>
          <w:color w:val="auto"/>
          <w:vertAlign w:val="superscript"/>
        </w:rPr>
        <w:t>(2)</w:t>
      </w:r>
      <w:r>
        <w:rPr>
          <w:rFonts w:ascii="Arial" w:cs="Arial" w:eastAsia="Arial" w:hAnsi="Arial"/>
          <w:sz w:val="12"/>
          <w:szCs w:val="12"/>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38" w:lineRule="exact"/>
        <w:rPr>
          <w:sz w:val="20"/>
          <w:szCs w:val="20"/>
          <w:color w:val="auto"/>
        </w:rPr>
      </w:pPr>
    </w:p>
    <w:p>
      <w:pPr>
        <w:ind w:left="640" w:right="679"/>
        <w:spacing w:after="0" w:line="300" w:lineRule="auto"/>
        <w:rPr>
          <w:sz w:val="20"/>
          <w:szCs w:val="20"/>
          <w:color w:val="auto"/>
        </w:rPr>
      </w:pPr>
      <w:r>
        <w:rPr>
          <w:rFonts w:ascii="Arial" w:cs="Arial" w:eastAsia="Arial" w:hAnsi="Arial"/>
          <w:sz w:val="11"/>
          <w:szCs w:val="11"/>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restructuring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ectPr>
          <w:pgSz w:w="11900" w:h="16838" w:orient="portrait"/>
          <w:cols w:equalWidth="0" w:num="1">
            <w:col w:w="9019"/>
          </w:cols>
          <w:pgMar w:left="1440" w:top="387" w:right="1440" w:bottom="1440" w:gutter="0" w:footer="0" w:header="0"/>
        </w:sectPr>
      </w:pPr>
    </w:p>
    <w:bookmarkStart w:id="12" w:name="page13"/>
    <w:bookmarkEnd w:id="12"/>
    <w:p>
      <w:pPr>
        <w:ind w:left="640" w:right="719"/>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43180"/>
                    </a:xfrm>
                    <a:prstGeom prst="rect">
                      <a:avLst/>
                    </a:prstGeom>
                    <a:noFill/>
                  </pic:spPr>
                </pic:pic>
              </a:graphicData>
            </a:graphic>
          </wp:anchor>
        </w:drawing>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Supporting Resources</w:t>
      </w:r>
    </w:p>
    <w:p>
      <w:pPr>
        <w:spacing w:after="0" w:line="91" w:lineRule="exact"/>
        <w:rPr>
          <w:sz w:val="20"/>
          <w:szCs w:val="20"/>
          <w:color w:val="auto"/>
        </w:rPr>
      </w:pPr>
    </w:p>
    <w:p>
      <w:pPr>
        <w:ind w:left="940" w:hanging="225"/>
        <w:spacing w:after="0"/>
        <w:tabs>
          <w:tab w:leader="none" w:pos="940" w:val="left"/>
        </w:tabs>
        <w:numPr>
          <w:ilvl w:val="0"/>
          <w:numId w:val="9"/>
        </w:numPr>
        <w:rPr>
          <w:rFonts w:ascii="Arial" w:cs="Arial" w:eastAsia="Arial" w:hAnsi="Arial"/>
          <w:sz w:val="13"/>
          <w:szCs w:val="13"/>
          <w:color w:val="auto"/>
        </w:rPr>
      </w:pPr>
      <w:r>
        <w:rPr>
          <w:rFonts w:ascii="Arial" w:cs="Arial" w:eastAsia="Arial" w:hAnsi="Arial"/>
          <w:sz w:val="13"/>
          <w:szCs w:val="13"/>
          <w:color w:val="auto"/>
        </w:rPr>
        <w:t xml:space="preserve">Keep up with Amdocs news by visiting the Company’s </w:t>
      </w:r>
      <w:r>
        <w:rPr>
          <w:rFonts w:ascii="Arial" w:cs="Arial" w:eastAsia="Arial" w:hAnsi="Arial"/>
          <w:sz w:val="13"/>
          <w:szCs w:val="13"/>
          <w:u w:val="single" w:color="auto"/>
          <w:color w:val="auto"/>
        </w:rPr>
        <w:t>website</w:t>
      </w:r>
    </w:p>
    <w:p>
      <w:pPr>
        <w:spacing w:after="0" w:line="87" w:lineRule="exact"/>
        <w:rPr>
          <w:rFonts w:ascii="Arial" w:cs="Arial" w:eastAsia="Arial" w:hAnsi="Arial"/>
          <w:sz w:val="13"/>
          <w:szCs w:val="13"/>
          <w:color w:val="auto"/>
        </w:rPr>
      </w:pPr>
    </w:p>
    <w:p>
      <w:pPr>
        <w:ind w:left="940" w:hanging="225"/>
        <w:spacing w:after="0"/>
        <w:tabs>
          <w:tab w:leader="none" w:pos="940" w:val="left"/>
        </w:tabs>
        <w:numPr>
          <w:ilvl w:val="0"/>
          <w:numId w:val="9"/>
        </w:numPr>
        <w:rPr>
          <w:rFonts w:ascii="Arial" w:cs="Arial" w:eastAsia="Arial" w:hAnsi="Arial"/>
          <w:sz w:val="13"/>
          <w:szCs w:val="13"/>
          <w:color w:val="auto"/>
        </w:rPr>
      </w:pPr>
      <w:r>
        <w:rPr>
          <w:rFonts w:ascii="Arial" w:cs="Arial" w:eastAsia="Arial" w:hAnsi="Arial"/>
          <w:sz w:val="13"/>
          <w:szCs w:val="13"/>
          <w:color w:val="auto"/>
        </w:rPr>
        <w:t xml:space="preserve">Subscribe to Amdocs’ </w:t>
      </w:r>
      <w:r>
        <w:rPr>
          <w:rFonts w:ascii="Arial" w:cs="Arial" w:eastAsia="Arial" w:hAnsi="Arial"/>
          <w:sz w:val="13"/>
          <w:szCs w:val="13"/>
          <w:u w:val="single" w:color="auto"/>
          <w:color w:val="auto"/>
        </w:rPr>
        <w:t>RSS Feed</w:t>
      </w:r>
      <w:r>
        <w:rPr>
          <w:rFonts w:ascii="Arial" w:cs="Arial" w:eastAsia="Arial" w:hAnsi="Arial"/>
          <w:sz w:val="13"/>
          <w:szCs w:val="13"/>
          <w:color w:val="auto"/>
        </w:rPr>
        <w:t xml:space="preserve"> and follow us on </w:t>
      </w:r>
      <w:r>
        <w:rPr>
          <w:rFonts w:ascii="Arial" w:cs="Arial" w:eastAsia="Arial" w:hAnsi="Arial"/>
          <w:sz w:val="13"/>
          <w:szCs w:val="13"/>
          <w:u w:val="single" w:color="auto"/>
          <w:color w:val="auto"/>
        </w:rPr>
        <w:t>Twitter</w:t>
      </w:r>
      <w:r>
        <w:rPr>
          <w:rFonts w:ascii="Arial" w:cs="Arial" w:eastAsia="Arial" w:hAnsi="Arial"/>
          <w:sz w:val="13"/>
          <w:szCs w:val="13"/>
          <w:color w:val="auto"/>
        </w:rPr>
        <w:t xml:space="preserve">, </w:t>
      </w:r>
      <w:r>
        <w:rPr>
          <w:rFonts w:ascii="Arial" w:cs="Arial" w:eastAsia="Arial" w:hAnsi="Arial"/>
          <w:sz w:val="13"/>
          <w:szCs w:val="13"/>
          <w:u w:val="single" w:color="auto"/>
          <w:color w:val="auto"/>
        </w:rPr>
        <w:t>Facebook</w:t>
      </w:r>
      <w:r>
        <w:rPr>
          <w:rFonts w:ascii="Arial" w:cs="Arial" w:eastAsia="Arial" w:hAnsi="Arial"/>
          <w:sz w:val="13"/>
          <w:szCs w:val="13"/>
          <w:color w:val="auto"/>
        </w:rPr>
        <w:t xml:space="preserve">, </w:t>
      </w:r>
      <w:r>
        <w:rPr>
          <w:rFonts w:ascii="Arial" w:cs="Arial" w:eastAsia="Arial" w:hAnsi="Arial"/>
          <w:sz w:val="13"/>
          <w:szCs w:val="13"/>
          <w:u w:val="single" w:color="auto"/>
          <w:color w:val="auto"/>
        </w:rPr>
        <w:t>LinkedIn</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YouTube</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Amdocs</w:t>
      </w:r>
    </w:p>
    <w:p>
      <w:pPr>
        <w:spacing w:after="0" w:line="82" w:lineRule="exact"/>
        <w:rPr>
          <w:sz w:val="20"/>
          <w:szCs w:val="20"/>
          <w:color w:val="auto"/>
        </w:rPr>
      </w:pPr>
    </w:p>
    <w:p>
      <w:pPr>
        <w:ind w:left="640" w:right="779"/>
        <w:spacing w:after="0" w:line="247" w:lineRule="auto"/>
        <w:rPr>
          <w:sz w:val="20"/>
          <w:szCs w:val="20"/>
          <w:color w:val="auto"/>
        </w:rPr>
      </w:pPr>
      <w:r>
        <w:rPr>
          <w:rFonts w:ascii="Arial" w:cs="Arial" w:eastAsia="Arial" w:hAnsi="Arial"/>
          <w:sz w:val="13"/>
          <w:szCs w:val="13"/>
          <w:color w:val="auto"/>
        </w:rPr>
        <w:t>Amdocs helps those who build the future to make it amazing. With our market-leading portfolio of software products and services, we unlock our customers’ innovative potential, empowering them to provide next-generation communication and media experiences for both the individual end user and large enterprise customers. Our approximately 30,000 employees around the globe are here to accelerate service providers’ migration to the cloud, enable them to differentiate in the 5G era, and digitalize and automate their operations. Listed on the NASDAQ Global Select Market, Amdocs had revenue of $4.58 billion in fiscal 2022.</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For more information, visit Amdocs at </w:t>
      </w:r>
      <w:r>
        <w:rPr>
          <w:rFonts w:ascii="Arial" w:cs="Arial" w:eastAsia="Arial" w:hAnsi="Arial"/>
          <w:sz w:val="13"/>
          <w:szCs w:val="13"/>
          <w:u w:val="single" w:color="auto"/>
          <w:color w:val="auto"/>
        </w:rPr>
        <w:t>www.amdocs.com</w:t>
      </w:r>
      <w:r>
        <w:rPr>
          <w:rFonts w:ascii="Arial" w:cs="Arial" w:eastAsia="Arial" w:hAnsi="Arial"/>
          <w:sz w:val="13"/>
          <w:szCs w:val="13"/>
          <w:color w:val="auto"/>
        </w:rPr>
        <w:t>.</w:t>
      </w:r>
    </w:p>
    <w:p>
      <w:pPr>
        <w:sectPr>
          <w:pgSz w:w="11900" w:h="16838" w:orient="portrait"/>
          <w:cols w:equalWidth="0" w:num="1">
            <w:col w:w="9019"/>
          </w:cols>
          <w:pgMar w:left="1440" w:top="387" w:right="1440" w:bottom="1440" w:gutter="0" w:footer="0" w:header="0"/>
        </w:sectPr>
      </w:pPr>
    </w:p>
    <w:bookmarkStart w:id="13" w:name="page14"/>
    <w:bookmarkEnd w:id="13"/>
    <w:p>
      <w:pPr>
        <w:ind w:left="640" w:right="659"/>
        <w:spacing w:after="0" w:line="29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43180"/>
                    </a:xfrm>
                    <a:prstGeom prst="rect">
                      <a:avLst/>
                    </a:prstGeom>
                    <a:noFill/>
                  </pic:spPr>
                </pic:pic>
              </a:graphicData>
            </a:graphic>
          </wp:anchor>
        </w:drawing>
        <w:t>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global or regional events such as the COVID-19 pandemic, as well as the current inflationary environment, and the effects of these conditions on the company’s clients’ businesses and levels of business activity,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risks associated with operating businesses in the international market, and our ability to be successful in our artificial intelligence initiatives.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2022 filed on December 13, 2022 and in our Form 6-K furnished for the first quarter of fiscal 2023 filed on February 13, 2023 and for the second quarter of fiscal 2023 filed on May 22, 2023.</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Contact:</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Matthew Smith</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Head of Investor Relations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Amdocs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314-212-8328</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E-mail: dox_info@amdocs.com</w:t>
      </w:r>
    </w:p>
    <w:p>
      <w:pPr>
        <w:sectPr>
          <w:pgSz w:w="11900" w:h="16838" w:orient="portrait"/>
          <w:cols w:equalWidth="0" w:num="1">
            <w:col w:w="9019"/>
          </w:cols>
          <w:pgMar w:left="1440" w:top="387"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43180"/>
                    </a:xfrm>
                    <a:prstGeom prst="rect">
                      <a:avLst/>
                    </a:prstGeom>
                    <a:noFill/>
                  </pic:spPr>
                </pic:pic>
              </a:graphicData>
            </a:graphic>
          </wp:anchor>
        </w:drawing>
        <w:t>AMDOCS LIMITED</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Income</w:t>
      </w:r>
    </w:p>
    <w:p>
      <w:pPr>
        <w:jc w:val="center"/>
        <w:ind w:right="19"/>
        <w:spacing w:after="0"/>
        <w:rPr>
          <w:sz w:val="20"/>
          <w:szCs w:val="20"/>
          <w:color w:val="auto"/>
        </w:rPr>
      </w:pPr>
      <w:r>
        <w:rPr>
          <w:rFonts w:ascii="Arial" w:cs="Arial" w:eastAsia="Arial" w:hAnsi="Arial"/>
          <w:sz w:val="10"/>
          <w:szCs w:val="10"/>
          <w:b w:val="1"/>
          <w:bCs w:val="1"/>
          <w:color w:val="auto"/>
        </w:rPr>
        <w:t>(In thousands, except per share data)</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5"/>
          </w:tcPr>
          <w:p>
            <w:pPr>
              <w:jc w:val="right"/>
              <w:ind w:right="340"/>
              <w:spacing w:after="0"/>
              <w:rPr>
                <w:sz w:val="20"/>
                <w:szCs w:val="20"/>
                <w:color w:val="auto"/>
              </w:rPr>
            </w:pPr>
            <w:r>
              <w:rPr>
                <w:rFonts w:ascii="Arial" w:cs="Arial" w:eastAsia="Arial" w:hAnsi="Arial"/>
                <w:sz w:val="10"/>
                <w:szCs w:val="10"/>
                <w:b w:val="1"/>
                <w:bCs w:val="1"/>
                <w:color w:val="auto"/>
              </w:rPr>
              <w:t>Three months ended</w:t>
            </w:r>
          </w:p>
        </w:tc>
        <w:tc>
          <w:tcPr>
            <w:tcW w:w="80" w:type="dxa"/>
            <w:vAlign w:val="bottom"/>
          </w:tcPr>
          <w:p>
            <w:pPr>
              <w:spacing w:after="0"/>
              <w:rPr>
                <w:sz w:val="10"/>
                <w:szCs w:val="10"/>
                <w:color w:val="auto"/>
              </w:rPr>
            </w:pPr>
          </w:p>
        </w:tc>
        <w:tc>
          <w:tcPr>
            <w:tcW w:w="130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5"/>
          </w:tcPr>
          <w:p>
            <w:pPr>
              <w:jc w:val="right"/>
              <w:ind w:right="600"/>
              <w:spacing w:after="0"/>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10"/>
                <w:szCs w:val="10"/>
                <w:color w:val="auto"/>
              </w:rPr>
            </w:pPr>
          </w:p>
        </w:tc>
        <w:tc>
          <w:tcPr>
            <w:tcW w:w="1300" w:type="dxa"/>
            <w:vAlign w:val="bottom"/>
            <w:gridSpan w:val="5"/>
          </w:tcPr>
          <w:p>
            <w:pPr>
              <w:jc w:val="right"/>
              <w:ind w:right="540"/>
              <w:spacing w:after="0"/>
              <w:rPr>
                <w:sz w:val="20"/>
                <w:szCs w:val="20"/>
                <w:color w:val="auto"/>
              </w:rPr>
            </w:pPr>
            <w:r>
              <w:rPr>
                <w:rFonts w:ascii="Arial" w:cs="Arial" w:eastAsia="Arial" w:hAnsi="Arial"/>
                <w:sz w:val="10"/>
                <w:szCs w:val="10"/>
                <w:b w:val="1"/>
                <w:bCs w:val="1"/>
                <w:color w:val="auto"/>
              </w:rPr>
              <w:t>June 30,</w:t>
            </w:r>
          </w:p>
        </w:tc>
        <w:tc>
          <w:tcPr>
            <w:tcW w:w="0" w:type="dxa"/>
            <w:vAlign w:val="bottom"/>
          </w:tcPr>
          <w:p>
            <w:pPr>
              <w:spacing w:after="0"/>
              <w:rPr>
                <w:sz w:val="1"/>
                <w:szCs w:val="1"/>
                <w:color w:val="auto"/>
              </w:rPr>
            </w:pPr>
          </w:p>
        </w:tc>
      </w:tr>
      <w:tr>
        <w:trPr>
          <w:trHeight w:val="94"/>
        </w:trPr>
        <w:tc>
          <w:tcPr>
            <w:tcW w:w="494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18"/>
              <w:spacing w:after="0" w:line="94" w:lineRule="exact"/>
              <w:rPr>
                <w:sz w:val="20"/>
                <w:szCs w:val="20"/>
                <w:color w:val="auto"/>
              </w:rPr>
            </w:pPr>
            <w:r>
              <w:rPr>
                <w:rFonts w:ascii="Arial" w:cs="Arial" w:eastAsia="Arial" w:hAnsi="Arial"/>
                <w:sz w:val="10"/>
                <w:szCs w:val="10"/>
                <w:b w:val="1"/>
                <w:bCs w:val="1"/>
                <w:color w:val="auto"/>
              </w:rPr>
              <w:t>2023</w:t>
            </w: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17"/>
              <w:spacing w:after="0" w:line="94" w:lineRule="exact"/>
              <w:rPr>
                <w:sz w:val="20"/>
                <w:szCs w:val="20"/>
                <w:color w:val="auto"/>
              </w:rPr>
            </w:pPr>
            <w:r>
              <w:rPr>
                <w:rFonts w:ascii="Arial" w:cs="Arial" w:eastAsia="Arial" w:hAnsi="Arial"/>
                <w:sz w:val="10"/>
                <w:szCs w:val="10"/>
                <w:b w:val="1"/>
                <w:bCs w:val="1"/>
                <w:color w:val="auto"/>
              </w:rPr>
              <w:t>2022</w:t>
            </w:r>
          </w:p>
        </w:tc>
        <w:tc>
          <w:tcPr>
            <w:tcW w:w="14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18"/>
              <w:spacing w:after="0" w:line="94" w:lineRule="exact"/>
              <w:rPr>
                <w:sz w:val="20"/>
                <w:szCs w:val="20"/>
                <w:color w:val="auto"/>
              </w:rPr>
            </w:pPr>
            <w:r>
              <w:rPr>
                <w:rFonts w:ascii="Arial" w:cs="Arial" w:eastAsia="Arial" w:hAnsi="Arial"/>
                <w:sz w:val="10"/>
                <w:szCs w:val="10"/>
                <w:b w:val="1"/>
                <w:bCs w:val="1"/>
                <w:color w:val="auto"/>
              </w:rPr>
              <w:t>2023</w:t>
            </w: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17"/>
              <w:spacing w:after="0" w:line="94" w:lineRule="exact"/>
              <w:rPr>
                <w:sz w:val="20"/>
                <w:szCs w:val="20"/>
                <w:color w:val="auto"/>
              </w:rPr>
            </w:pPr>
            <w:r>
              <w:rPr>
                <w:rFonts w:ascii="Arial" w:cs="Arial" w:eastAsia="Arial" w:hAnsi="Arial"/>
                <w:sz w:val="10"/>
                <w:szCs w:val="10"/>
                <w:b w:val="1"/>
                <w:bCs w:val="1"/>
                <w:color w:val="auto"/>
              </w:rPr>
              <w:t>2022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9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1,235,962</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1,160,290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w w:val="82"/>
              </w:rPr>
              <w:t>3,644,986</w:t>
            </w:r>
          </w:p>
        </w:tc>
        <w:tc>
          <w:tcPr>
            <w:tcW w:w="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w w:val="82"/>
              </w:rPr>
              <w:t>3,410,193</w:t>
            </w:r>
          </w:p>
        </w:tc>
        <w:tc>
          <w:tcPr>
            <w:tcW w:w="0" w:type="dxa"/>
            <w:vAlign w:val="bottom"/>
          </w:tcPr>
          <w:p>
            <w:pPr>
              <w:spacing w:after="0"/>
              <w:rPr>
                <w:sz w:val="1"/>
                <w:szCs w:val="1"/>
                <w:color w:val="auto"/>
              </w:rPr>
            </w:pPr>
          </w:p>
        </w:tc>
      </w:tr>
      <w:tr>
        <w:trPr>
          <w:trHeight w:val="152"/>
        </w:trPr>
        <w:tc>
          <w:tcPr>
            <w:tcW w:w="4940" w:type="dxa"/>
            <w:vAlign w:val="bottom"/>
          </w:tcPr>
          <w:p>
            <w:pPr>
              <w:spacing w:after="0"/>
              <w:rPr>
                <w:sz w:val="20"/>
                <w:szCs w:val="20"/>
                <w:color w:val="auto"/>
              </w:rPr>
            </w:pPr>
            <w:r>
              <w:rPr>
                <w:rFonts w:ascii="Arial" w:cs="Arial" w:eastAsia="Arial" w:hAnsi="Arial"/>
                <w:sz w:val="13"/>
                <w:szCs w:val="13"/>
                <w:color w:val="auto"/>
              </w:rPr>
              <w:t>Operating expenses:</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9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Cost of revenue</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804,007</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748,214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2"/>
              </w:rPr>
              <w:t>2,356,341</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2"/>
              </w:rPr>
              <w:t>2,206,189</w:t>
            </w:r>
          </w:p>
        </w:tc>
        <w:tc>
          <w:tcPr>
            <w:tcW w:w="0" w:type="dxa"/>
            <w:vAlign w:val="bottom"/>
          </w:tcPr>
          <w:p>
            <w:pPr>
              <w:spacing w:after="0"/>
              <w:rPr>
                <w:sz w:val="1"/>
                <w:szCs w:val="1"/>
                <w:color w:val="auto"/>
              </w:rPr>
            </w:pPr>
          </w:p>
        </w:tc>
      </w:tr>
      <w:tr>
        <w:trPr>
          <w:trHeight w:val="152"/>
        </w:trPr>
        <w:tc>
          <w:tcPr>
            <w:tcW w:w="4940" w:type="dxa"/>
            <w:vAlign w:val="bottom"/>
          </w:tcPr>
          <w:p>
            <w:pPr>
              <w:ind w:left="260"/>
              <w:spacing w:after="0"/>
              <w:rPr>
                <w:sz w:val="20"/>
                <w:szCs w:val="20"/>
                <w:color w:val="auto"/>
              </w:rPr>
            </w:pPr>
            <w:r>
              <w:rPr>
                <w:rFonts w:ascii="Arial" w:cs="Arial" w:eastAsia="Arial" w:hAnsi="Arial"/>
                <w:sz w:val="13"/>
                <w:szCs w:val="13"/>
                <w:color w:val="auto"/>
              </w:rPr>
              <w:t>Research and development</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92,162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89,479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277,162</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258,488</w:t>
            </w:r>
          </w:p>
        </w:tc>
        <w:tc>
          <w:tcPr>
            <w:tcW w:w="0" w:type="dxa"/>
            <w:vAlign w:val="bottom"/>
          </w:tcPr>
          <w:p>
            <w:pPr>
              <w:spacing w:after="0"/>
              <w:rPr>
                <w:sz w:val="1"/>
                <w:szCs w:val="1"/>
                <w:color w:val="auto"/>
              </w:rPr>
            </w:pPr>
          </w:p>
        </w:tc>
      </w:tr>
      <w:tr>
        <w:trPr>
          <w:trHeight w:val="152"/>
        </w:trPr>
        <w:tc>
          <w:tcPr>
            <w:tcW w:w="49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Selling, general and administrative</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143,777</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136,110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430,327</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399,168</w:t>
            </w:r>
          </w:p>
        </w:tc>
        <w:tc>
          <w:tcPr>
            <w:tcW w:w="0" w:type="dxa"/>
            <w:vAlign w:val="bottom"/>
          </w:tcPr>
          <w:p>
            <w:pPr>
              <w:spacing w:after="0"/>
              <w:rPr>
                <w:sz w:val="1"/>
                <w:szCs w:val="1"/>
                <w:color w:val="auto"/>
              </w:rPr>
            </w:pPr>
          </w:p>
        </w:tc>
      </w:tr>
      <w:tr>
        <w:trPr>
          <w:trHeight w:val="152"/>
        </w:trPr>
        <w:tc>
          <w:tcPr>
            <w:tcW w:w="4940" w:type="dxa"/>
            <w:vAlign w:val="bottom"/>
          </w:tcPr>
          <w:p>
            <w:pPr>
              <w:ind w:left="260"/>
              <w:spacing w:after="0"/>
              <w:rPr>
                <w:sz w:val="20"/>
                <w:szCs w:val="20"/>
                <w:color w:val="auto"/>
              </w:rPr>
            </w:pPr>
            <w:r>
              <w:rPr>
                <w:rFonts w:ascii="Arial" w:cs="Arial" w:eastAsia="Arial" w:hAnsi="Arial"/>
                <w:sz w:val="13"/>
                <w:szCs w:val="13"/>
                <w:color w:val="auto"/>
              </w:rPr>
              <w:t>Amortization of purchased intangible assets and other</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13,302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17,173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41,555</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53,237</w:t>
            </w:r>
          </w:p>
        </w:tc>
        <w:tc>
          <w:tcPr>
            <w:tcW w:w="0" w:type="dxa"/>
            <w:vAlign w:val="bottom"/>
          </w:tcPr>
          <w:p>
            <w:pPr>
              <w:spacing w:after="0"/>
              <w:rPr>
                <w:sz w:val="1"/>
                <w:szCs w:val="1"/>
                <w:color w:val="auto"/>
              </w:rPr>
            </w:pPr>
          </w:p>
        </w:tc>
      </w:tr>
      <w:tr>
        <w:trPr>
          <w:trHeight w:val="152"/>
        </w:trPr>
        <w:tc>
          <w:tcPr>
            <w:tcW w:w="49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Restructuring charges</w:t>
            </w:r>
          </w:p>
        </w:tc>
        <w:tc>
          <w:tcPr>
            <w:tcW w:w="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24,536</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1,053,248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990,976</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w w:val="82"/>
              </w:rPr>
              <w:t>3,129,921</w:t>
            </w: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w w:val="82"/>
              </w:rPr>
              <w:t>2,917,082</w:t>
            </w:r>
          </w:p>
        </w:tc>
        <w:tc>
          <w:tcPr>
            <w:tcW w:w="0" w:type="dxa"/>
            <w:vAlign w:val="bottom"/>
          </w:tcPr>
          <w:p>
            <w:pPr>
              <w:spacing w:after="0"/>
              <w:rPr>
                <w:sz w:val="1"/>
                <w:szCs w:val="1"/>
                <w:color w:val="auto"/>
              </w:rPr>
            </w:pPr>
          </w:p>
        </w:tc>
      </w:tr>
      <w:tr>
        <w:trPr>
          <w:trHeight w:val="151"/>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182,714</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169,314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515,065</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493,111</w:t>
            </w:r>
          </w:p>
        </w:tc>
        <w:tc>
          <w:tcPr>
            <w:tcW w:w="0" w:type="dxa"/>
            <w:vAlign w:val="bottom"/>
          </w:tcPr>
          <w:p>
            <w:pPr>
              <w:spacing w:after="0"/>
              <w:rPr>
                <w:sz w:val="1"/>
                <w:szCs w:val="1"/>
                <w:color w:val="auto"/>
              </w:rPr>
            </w:pPr>
          </w:p>
        </w:tc>
      </w:tr>
      <w:tr>
        <w:trPr>
          <w:trHeight w:val="152"/>
        </w:trPr>
        <w:tc>
          <w:tcPr>
            <w:tcW w:w="4940" w:type="dxa"/>
            <w:vAlign w:val="bottom"/>
          </w:tcPr>
          <w:p>
            <w:pPr>
              <w:spacing w:after="0"/>
              <w:rPr>
                <w:sz w:val="20"/>
                <w:szCs w:val="20"/>
                <w:color w:val="auto"/>
              </w:rPr>
            </w:pPr>
            <w:r>
              <w:rPr>
                <w:rFonts w:ascii="Arial" w:cs="Arial" w:eastAsia="Arial" w:hAnsi="Arial"/>
                <w:sz w:val="13"/>
                <w:szCs w:val="13"/>
                <w:color w:val="auto"/>
              </w:rPr>
              <w:t>Interest and other expense, net</w:t>
            </w:r>
          </w:p>
        </w:tc>
        <w:tc>
          <w:tcPr>
            <w:tcW w:w="6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(4,421)</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(7,811)</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(12,322)</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(18,992)</w:t>
            </w:r>
          </w:p>
        </w:tc>
        <w:tc>
          <w:tcPr>
            <w:tcW w:w="0" w:type="dxa"/>
            <w:vAlign w:val="bottom"/>
          </w:tcPr>
          <w:p>
            <w:pPr>
              <w:spacing w:after="0"/>
              <w:rPr>
                <w:sz w:val="1"/>
                <w:szCs w:val="1"/>
                <w:color w:val="auto"/>
              </w:rPr>
            </w:pPr>
          </w:p>
        </w:tc>
      </w:tr>
      <w:tr>
        <w:trPr>
          <w:trHeight w:val="152"/>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Gain from sale of a business</w:t>
            </w:r>
          </w:p>
        </w:tc>
        <w:tc>
          <w:tcPr>
            <w:tcW w:w="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40" w:type="dxa"/>
            <w:vAlign w:val="bottom"/>
          </w:tcPr>
          <w:p>
            <w:pPr>
              <w:spacing w:after="0"/>
              <w:rPr>
                <w:sz w:val="20"/>
                <w:szCs w:val="20"/>
                <w:color w:val="auto"/>
              </w:rPr>
            </w:pPr>
            <w:r>
              <w:rPr>
                <w:rFonts w:ascii="Arial" w:cs="Arial" w:eastAsia="Arial" w:hAnsi="Arial"/>
                <w:sz w:val="13"/>
                <w:szCs w:val="13"/>
                <w:color w:val="auto"/>
              </w:rPr>
              <w:t>Income before income taxes</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178,293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161,503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502,743</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484,119</w:t>
            </w:r>
          </w:p>
        </w:tc>
        <w:tc>
          <w:tcPr>
            <w:tcW w:w="0" w:type="dxa"/>
            <w:vAlign w:val="bottom"/>
          </w:tcPr>
          <w:p>
            <w:pPr>
              <w:spacing w:after="0"/>
              <w:rPr>
                <w:sz w:val="1"/>
                <w:szCs w:val="1"/>
                <w:color w:val="auto"/>
              </w:rPr>
            </w:pPr>
          </w:p>
        </w:tc>
      </w:tr>
      <w:tr>
        <w:trPr>
          <w:trHeight w:val="152"/>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18,178</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33,037</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62,447</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63,554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940" w:type="dxa"/>
            <w:vAlign w:val="bottom"/>
          </w:tcPr>
          <w:p>
            <w:pPr>
              <w:spacing w:after="0"/>
              <w:rPr>
                <w:sz w:val="20"/>
                <w:szCs w:val="20"/>
                <w:color w:val="auto"/>
              </w:rPr>
            </w:pPr>
            <w:r>
              <w:rPr>
                <w:rFonts w:ascii="Arial" w:cs="Arial" w:eastAsia="Arial" w:hAnsi="Arial"/>
                <w:sz w:val="13"/>
                <w:szCs w:val="13"/>
                <w:color w:val="auto"/>
              </w:rPr>
              <w:t>Net income</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160,115</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128,466</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440,296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420,565</w:t>
            </w:r>
          </w:p>
        </w:tc>
        <w:tc>
          <w:tcPr>
            <w:tcW w:w="0" w:type="dxa"/>
            <w:vAlign w:val="bottom"/>
          </w:tcPr>
          <w:p>
            <w:pPr>
              <w:spacing w:after="0"/>
              <w:rPr>
                <w:sz w:val="1"/>
                <w:szCs w:val="1"/>
                <w:color w:val="auto"/>
              </w:rPr>
            </w:pPr>
          </w:p>
        </w:tc>
      </w:tr>
      <w:tr>
        <w:trPr>
          <w:trHeight w:val="161"/>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noncontrolling interests</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687</w:t>
            </w: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1,598</w:t>
            </w:r>
          </w:p>
        </w:tc>
        <w:tc>
          <w:tcPr>
            <w:tcW w:w="14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940" w:type="dxa"/>
            <w:vAlign w:val="bottom"/>
          </w:tcPr>
          <w:p>
            <w:pPr>
              <w:spacing w:after="0"/>
              <w:rPr>
                <w:sz w:val="20"/>
                <w:szCs w:val="20"/>
                <w:color w:val="auto"/>
              </w:rPr>
            </w:pPr>
            <w:r>
              <w:rPr>
                <w:rFonts w:ascii="Arial" w:cs="Arial" w:eastAsia="Arial" w:hAnsi="Arial"/>
                <w:sz w:val="13"/>
                <w:szCs w:val="13"/>
                <w:color w:val="auto"/>
              </w:rPr>
              <w:t>Net income attributable to Amdocs Limited</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159,428</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128,466</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438,698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420,565</w:t>
            </w:r>
          </w:p>
        </w:tc>
        <w:tc>
          <w:tcPr>
            <w:tcW w:w="0" w:type="dxa"/>
            <w:vAlign w:val="bottom"/>
          </w:tcPr>
          <w:p>
            <w:pPr>
              <w:spacing w:after="0"/>
              <w:rPr>
                <w:sz w:val="1"/>
                <w:szCs w:val="1"/>
                <w:color w:val="auto"/>
              </w:rPr>
            </w:pPr>
          </w:p>
        </w:tc>
      </w:tr>
      <w:tr>
        <w:trPr>
          <w:trHeight w:val="28"/>
        </w:trPr>
        <w:tc>
          <w:tcPr>
            <w:tcW w:w="49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 attributable to Amdocs Limited</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3.65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3"/>
                <w:szCs w:val="13"/>
                <w:color w:val="auto"/>
              </w:rPr>
              <w:t>Diluted earnings per share attributable to Amdocs Limited</w:t>
            </w: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940" w:type="dxa"/>
            <w:vAlign w:val="bottom"/>
            <w:vMerge w:val="continue"/>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1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3.62</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3.39</w:t>
            </w:r>
          </w:p>
        </w:tc>
        <w:tc>
          <w:tcPr>
            <w:tcW w:w="0" w:type="dxa"/>
            <w:vAlign w:val="bottom"/>
          </w:tcPr>
          <w:p>
            <w:pPr>
              <w:spacing w:after="0"/>
              <w:rPr>
                <w:sz w:val="1"/>
                <w:szCs w:val="1"/>
                <w:color w:val="auto"/>
              </w:rPr>
            </w:pPr>
          </w:p>
        </w:tc>
      </w:tr>
      <w:tr>
        <w:trPr>
          <w:trHeight w:val="151"/>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Cash dividends declared per ordinary share</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0.435</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0.395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1.265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1.150</w:t>
            </w:r>
          </w:p>
        </w:tc>
        <w:tc>
          <w:tcPr>
            <w:tcW w:w="0" w:type="dxa"/>
            <w:vAlign w:val="bottom"/>
          </w:tcPr>
          <w:p>
            <w:pPr>
              <w:spacing w:after="0"/>
              <w:rPr>
                <w:sz w:val="1"/>
                <w:szCs w:val="1"/>
                <w:color w:val="auto"/>
              </w:rPr>
            </w:pPr>
          </w:p>
        </w:tc>
      </w:tr>
      <w:tr>
        <w:trPr>
          <w:trHeight w:val="151"/>
        </w:trPr>
        <w:tc>
          <w:tcPr>
            <w:tcW w:w="4940" w:type="dxa"/>
            <w:vAlign w:val="bottom"/>
          </w:tcPr>
          <w:p>
            <w:pPr>
              <w:spacing w:after="0"/>
              <w:rPr>
                <w:sz w:val="20"/>
                <w:szCs w:val="20"/>
                <w:color w:val="auto"/>
              </w:rPr>
            </w:pPr>
            <w:r>
              <w:rPr>
                <w:rFonts w:ascii="Arial" w:cs="Arial" w:eastAsia="Arial" w:hAnsi="Arial"/>
                <w:sz w:val="13"/>
                <w:szCs w:val="13"/>
                <w:color w:val="auto"/>
              </w:rPr>
              <w:t>Basic weighted average number of shares outstanding</w:t>
            </w:r>
          </w:p>
        </w:tc>
        <w:tc>
          <w:tcPr>
            <w:tcW w:w="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119,520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122,319</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120,230</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123,271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Diluted weighted average number of shares outstanding</w:t>
            </w:r>
          </w:p>
        </w:tc>
        <w:tc>
          <w:tcPr>
            <w:tcW w:w="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120,351</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123,153</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121,070</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124,098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83"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43180"/>
                    </a:xfrm>
                    <a:prstGeom prst="rect">
                      <a:avLst/>
                    </a:prstGeom>
                    <a:noFill/>
                  </pic:spPr>
                </pic:pic>
              </a:graphicData>
            </a:graphic>
          </wp:anchor>
        </w:drawing>
        <w:t>AMDOCS LIMITED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Selected Financial Metrics</w:t>
      </w:r>
    </w:p>
    <w:p>
      <w:pPr>
        <w:jc w:val="center"/>
        <w:spacing w:after="0"/>
        <w:rPr>
          <w:sz w:val="20"/>
          <w:szCs w:val="20"/>
          <w:color w:val="auto"/>
        </w:rPr>
      </w:pPr>
      <w:r>
        <w:rPr>
          <w:rFonts w:ascii="Arial" w:cs="Arial" w:eastAsia="Arial" w:hAnsi="Arial"/>
          <w:sz w:val="10"/>
          <w:szCs w:val="10"/>
          <w:b w:val="1"/>
          <w:bCs w:val="1"/>
          <w:color w:val="auto"/>
        </w:rPr>
        <w:t>(In thousands, except per share data)</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8"/>
          </w:tcPr>
          <w:p>
            <w:pPr>
              <w:jc w:val="center"/>
              <w:ind w:right="360"/>
              <w:spacing w:after="0"/>
              <w:rPr>
                <w:sz w:val="20"/>
                <w:szCs w:val="20"/>
                <w:color w:val="auto"/>
              </w:rPr>
            </w:pPr>
            <w:r>
              <w:rPr>
                <w:rFonts w:ascii="Arial" w:cs="Arial" w:eastAsia="Arial" w:hAnsi="Arial"/>
                <w:sz w:val="10"/>
                <w:szCs w:val="10"/>
                <w:b w:val="1"/>
                <w:bCs w:val="1"/>
                <w:color w:val="auto"/>
                <w:w w:val="89"/>
              </w:rPr>
              <w:t>Three months ended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8"/>
          </w:tcPr>
          <w:p>
            <w:pPr>
              <w:jc w:val="center"/>
              <w:ind w:right="120"/>
              <w:spacing w:after="0"/>
              <w:rPr>
                <w:sz w:val="20"/>
                <w:szCs w:val="20"/>
                <w:color w:val="auto"/>
              </w:rPr>
            </w:pPr>
            <w:r>
              <w:rPr>
                <w:rFonts w:ascii="Arial" w:cs="Arial" w:eastAsia="Arial" w:hAnsi="Arial"/>
                <w:sz w:val="10"/>
                <w:szCs w:val="10"/>
                <w:b w:val="1"/>
                <w:bCs w:val="1"/>
                <w:color w:val="auto"/>
                <w:w w:val="90"/>
              </w:rPr>
              <w:t>Nine months ended</w:t>
            </w:r>
          </w:p>
        </w:tc>
      </w:tr>
      <w:tr>
        <w:trPr>
          <w:trHeight w:val="119"/>
        </w:trPr>
        <w:tc>
          <w:tcPr>
            <w:tcW w:w="3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5"/>
          </w:tcPr>
          <w:p>
            <w:pPr>
              <w:jc w:val="center"/>
              <w:ind w:left="229"/>
              <w:spacing w:after="0"/>
              <w:rPr>
                <w:sz w:val="20"/>
                <w:szCs w:val="20"/>
                <w:color w:val="auto"/>
              </w:rPr>
            </w:pPr>
            <w:r>
              <w:rPr>
                <w:rFonts w:ascii="Arial" w:cs="Arial" w:eastAsia="Arial" w:hAnsi="Arial"/>
                <w:sz w:val="10"/>
                <w:szCs w:val="10"/>
                <w:b w:val="1"/>
                <w:bCs w:val="1"/>
                <w:color w:val="auto"/>
                <w:w w:val="89"/>
              </w:rPr>
              <w:t>June 30,</w:t>
            </w:r>
          </w:p>
        </w:tc>
        <w:tc>
          <w:tcPr>
            <w:tcW w:w="4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5"/>
          </w:tcPr>
          <w:p>
            <w:pPr>
              <w:jc w:val="center"/>
              <w:ind w:left="329"/>
              <w:spacing w:after="0"/>
              <w:rPr>
                <w:sz w:val="20"/>
                <w:szCs w:val="20"/>
                <w:color w:val="auto"/>
              </w:rPr>
            </w:pPr>
            <w:r>
              <w:rPr>
                <w:rFonts w:ascii="Arial" w:cs="Arial" w:eastAsia="Arial" w:hAnsi="Arial"/>
                <w:sz w:val="10"/>
                <w:szCs w:val="10"/>
                <w:b w:val="1"/>
                <w:bCs w:val="1"/>
                <w:color w:val="auto"/>
                <w:w w:val="89"/>
              </w:rPr>
              <w:t>June 30,</w:t>
            </w: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4"/>
        </w:trPr>
        <w:tc>
          <w:tcPr>
            <w:tcW w:w="31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jc w:val="right"/>
              <w:ind w:right="129"/>
              <w:spacing w:after="0" w:line="94" w:lineRule="exact"/>
              <w:rPr>
                <w:sz w:val="20"/>
                <w:szCs w:val="20"/>
                <w:color w:val="auto"/>
              </w:rPr>
            </w:pPr>
            <w:r>
              <w:rPr>
                <w:rFonts w:ascii="Arial" w:cs="Arial" w:eastAsia="Arial" w:hAnsi="Arial"/>
                <w:sz w:val="10"/>
                <w:szCs w:val="10"/>
                <w:b w:val="1"/>
                <w:bCs w:val="1"/>
                <w:color w:val="auto"/>
              </w:rPr>
              <w:t>2023</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9"/>
              <w:spacing w:after="0" w:line="94" w:lineRule="exact"/>
              <w:rPr>
                <w:sz w:val="20"/>
                <w:szCs w:val="20"/>
                <w:color w:val="auto"/>
              </w:rPr>
            </w:pPr>
            <w:r>
              <w:rPr>
                <w:rFonts w:ascii="Arial" w:cs="Arial" w:eastAsia="Arial" w:hAnsi="Arial"/>
                <w:sz w:val="10"/>
                <w:szCs w:val="10"/>
                <w:b w:val="1"/>
                <w:bCs w:val="1"/>
                <w:color w:val="auto"/>
              </w:rPr>
              <w:t>2022</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jc w:val="right"/>
              <w:ind w:right="109"/>
              <w:spacing w:after="0" w:line="94" w:lineRule="exact"/>
              <w:rPr>
                <w:sz w:val="20"/>
                <w:szCs w:val="20"/>
                <w:color w:val="auto"/>
              </w:rPr>
            </w:pPr>
            <w:r>
              <w:rPr>
                <w:rFonts w:ascii="Arial" w:cs="Arial" w:eastAsia="Arial" w:hAnsi="Arial"/>
                <w:sz w:val="10"/>
                <w:szCs w:val="10"/>
                <w:b w:val="1"/>
                <w:bCs w:val="1"/>
                <w:color w:val="auto"/>
              </w:rPr>
              <w:t>2023</w:t>
            </w: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80"/>
              <w:spacing w:after="0" w:line="94" w:lineRule="exact"/>
              <w:rPr>
                <w:sz w:val="20"/>
                <w:szCs w:val="20"/>
                <w:color w:val="auto"/>
              </w:rPr>
            </w:pPr>
            <w:r>
              <w:rPr>
                <w:rFonts w:ascii="Arial" w:cs="Arial" w:eastAsia="Arial" w:hAnsi="Arial"/>
                <w:sz w:val="10"/>
                <w:szCs w:val="10"/>
                <w:b w:val="1"/>
                <w:bCs w:val="1"/>
                <w:color w:val="auto"/>
              </w:rPr>
              <w:t>2022</w:t>
            </w:r>
          </w:p>
        </w:tc>
        <w:tc>
          <w:tcPr>
            <w:tcW w:w="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141"/>
        </w:trPr>
        <w:tc>
          <w:tcPr>
            <w:tcW w:w="31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2420" w:type="dxa"/>
            <w:vAlign w:val="bottom"/>
            <w:gridSpan w:val="5"/>
            <w:shd w:val="clear" w:color="auto" w:fill="CCEEFF"/>
          </w:tcPr>
          <w:p>
            <w:pPr>
              <w:jc w:val="right"/>
              <w:ind w:right="49"/>
              <w:spacing w:after="0" w:line="141" w:lineRule="exact"/>
              <w:rPr>
                <w:sz w:val="20"/>
                <w:szCs w:val="20"/>
                <w:color w:val="auto"/>
              </w:rPr>
            </w:pPr>
            <w:r>
              <w:rPr>
                <w:rFonts w:ascii="Arial" w:cs="Arial" w:eastAsia="Arial" w:hAnsi="Arial"/>
                <w:sz w:val="13"/>
                <w:szCs w:val="13"/>
                <w:color w:val="auto"/>
              </w:rPr>
              <w:t>$1,235,962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w w:val="86"/>
              </w:rPr>
              <w:t>$1,160,290</w:t>
            </w:r>
          </w:p>
        </w:tc>
        <w:tc>
          <w:tcPr>
            <w:tcW w:w="160" w:type="dxa"/>
            <w:vAlign w:val="bottom"/>
            <w:shd w:val="clear" w:color="auto" w:fill="CCEEFF"/>
          </w:tcPr>
          <w:p>
            <w:pPr>
              <w:spacing w:after="0"/>
              <w:rPr>
                <w:sz w:val="12"/>
                <w:szCs w:val="12"/>
                <w:color w:val="auto"/>
              </w:rPr>
            </w:pPr>
          </w:p>
        </w:tc>
        <w:tc>
          <w:tcPr>
            <w:tcW w:w="660" w:type="dxa"/>
            <w:vAlign w:val="bottom"/>
            <w:gridSpan w:val="5"/>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w w:val="82"/>
              </w:rPr>
              <w:t>$3,644,986</w:t>
            </w:r>
          </w:p>
        </w:tc>
        <w:tc>
          <w:tcPr>
            <w:tcW w:w="660" w:type="dxa"/>
            <w:vAlign w:val="bottom"/>
            <w:gridSpan w:val="4"/>
            <w:shd w:val="clear" w:color="auto" w:fill="CCEEFF"/>
          </w:tcPr>
          <w:p>
            <w:pPr>
              <w:jc w:val="right"/>
              <w:spacing w:after="0" w:line="141" w:lineRule="exact"/>
              <w:rPr>
                <w:sz w:val="20"/>
                <w:szCs w:val="20"/>
                <w:color w:val="auto"/>
              </w:rPr>
            </w:pPr>
            <w:r>
              <w:rPr>
                <w:rFonts w:ascii="Arial" w:cs="Arial" w:eastAsia="Arial" w:hAnsi="Arial"/>
                <w:sz w:val="13"/>
                <w:szCs w:val="13"/>
                <w:color w:val="auto"/>
                <w:w w:val="98"/>
              </w:rPr>
              <w:t>$3,410,193</w:t>
            </w:r>
          </w:p>
        </w:tc>
        <w:tc>
          <w:tcPr>
            <w:tcW w:w="40" w:type="dxa"/>
            <w:vAlign w:val="bottom"/>
            <w:shd w:val="clear" w:color="auto" w:fill="CCEEFF"/>
          </w:tcPr>
          <w:p>
            <w:pPr>
              <w:spacing w:after="0"/>
              <w:rPr>
                <w:sz w:val="12"/>
                <w:szCs w:val="12"/>
                <w:color w:val="auto"/>
              </w:rPr>
            </w:pPr>
          </w:p>
        </w:tc>
      </w:tr>
      <w:tr>
        <w:trPr>
          <w:trHeight w:val="152"/>
        </w:trPr>
        <w:tc>
          <w:tcPr>
            <w:tcW w:w="3120" w:type="dxa"/>
            <w:vAlign w:val="bottom"/>
          </w:tcPr>
          <w:p>
            <w:pPr>
              <w:spacing w:after="0"/>
              <w:rPr>
                <w:sz w:val="20"/>
                <w:szCs w:val="20"/>
                <w:color w:val="auto"/>
              </w:rPr>
            </w:pPr>
            <w:r>
              <w:rPr>
                <w:rFonts w:ascii="Arial" w:cs="Arial" w:eastAsia="Arial" w:hAnsi="Arial"/>
                <w:sz w:val="13"/>
                <w:szCs w:val="13"/>
                <w:color w:val="auto"/>
              </w:rPr>
              <w:t>Non-GAAP operating income</w:t>
            </w: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3"/>
          </w:tcPr>
          <w:p>
            <w:pPr>
              <w:jc w:val="right"/>
              <w:ind w:right="49"/>
              <w:spacing w:after="0"/>
              <w:rPr>
                <w:sz w:val="20"/>
                <w:szCs w:val="20"/>
                <w:color w:val="auto"/>
              </w:rPr>
            </w:pPr>
            <w:r>
              <w:rPr>
                <w:rFonts w:ascii="Arial" w:cs="Arial" w:eastAsia="Arial" w:hAnsi="Arial"/>
                <w:sz w:val="13"/>
                <w:szCs w:val="13"/>
                <w:color w:val="auto"/>
                <w:w w:val="89"/>
              </w:rPr>
              <w:t>220,222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center"/>
              <w:spacing w:after="0"/>
              <w:rPr>
                <w:sz w:val="20"/>
                <w:szCs w:val="20"/>
                <w:color w:val="auto"/>
              </w:rPr>
            </w:pPr>
            <w:r>
              <w:rPr>
                <w:rFonts w:ascii="Arial" w:cs="Arial" w:eastAsia="Arial" w:hAnsi="Arial"/>
                <w:sz w:val="13"/>
                <w:szCs w:val="13"/>
                <w:color w:val="auto"/>
                <w:w w:val="89"/>
              </w:rPr>
              <w:t>204,325</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3"/>
                <w:szCs w:val="13"/>
                <w:color w:val="auto"/>
              </w:rPr>
              <w:t>647,497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3"/>
              </w:rPr>
              <w:t>599,557</w:t>
            </w:r>
          </w:p>
        </w:tc>
        <w:tc>
          <w:tcPr>
            <w:tcW w:w="40" w:type="dxa"/>
            <w:vAlign w:val="bottom"/>
          </w:tcPr>
          <w:p>
            <w:pPr>
              <w:spacing w:after="0"/>
              <w:rPr>
                <w:sz w:val="13"/>
                <w:szCs w:val="13"/>
                <w:color w:val="auto"/>
              </w:rPr>
            </w:pPr>
          </w:p>
        </w:tc>
      </w:tr>
      <w:tr>
        <w:trPr>
          <w:trHeight w:val="152"/>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Non-GAAP net income</w:t>
            </w:r>
          </w:p>
        </w:tc>
        <w:tc>
          <w:tcPr>
            <w:tcW w:w="1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49"/>
              <w:spacing w:after="0"/>
              <w:rPr>
                <w:sz w:val="20"/>
                <w:szCs w:val="20"/>
                <w:color w:val="auto"/>
              </w:rPr>
            </w:pPr>
            <w:r>
              <w:rPr>
                <w:rFonts w:ascii="Arial" w:cs="Arial" w:eastAsia="Arial" w:hAnsi="Arial"/>
                <w:sz w:val="13"/>
                <w:szCs w:val="13"/>
                <w:color w:val="auto"/>
                <w:w w:val="89"/>
              </w:rPr>
              <w:t>189,605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156,520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545,445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497,599</w:t>
            </w:r>
          </w:p>
        </w:tc>
        <w:tc>
          <w:tcPr>
            <w:tcW w:w="40" w:type="dxa"/>
            <w:vAlign w:val="bottom"/>
            <w:shd w:val="clear" w:color="auto" w:fill="CCEEFF"/>
          </w:tcPr>
          <w:p>
            <w:pPr>
              <w:spacing w:after="0"/>
              <w:rPr>
                <w:sz w:val="13"/>
                <w:szCs w:val="13"/>
                <w:color w:val="auto"/>
              </w:rPr>
            </w:pPr>
          </w:p>
        </w:tc>
      </w:tr>
      <w:tr>
        <w:trPr>
          <w:trHeight w:val="152"/>
        </w:trPr>
        <w:tc>
          <w:tcPr>
            <w:tcW w:w="3120" w:type="dxa"/>
            <w:vAlign w:val="bottom"/>
          </w:tcPr>
          <w:p>
            <w:pPr>
              <w:spacing w:after="0"/>
              <w:rPr>
                <w:sz w:val="20"/>
                <w:szCs w:val="20"/>
                <w:color w:val="auto"/>
              </w:rPr>
            </w:pPr>
            <w:r>
              <w:rPr>
                <w:rFonts w:ascii="Arial" w:cs="Arial" w:eastAsia="Arial" w:hAnsi="Arial"/>
                <w:sz w:val="13"/>
                <w:szCs w:val="13"/>
                <w:color w:val="auto"/>
                <w:w w:val="99"/>
              </w:rPr>
              <w:t>Non-GAAP net income attributable to Amdocs Limited</w:t>
            </w: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3"/>
          </w:tcPr>
          <w:p>
            <w:pPr>
              <w:jc w:val="right"/>
              <w:ind w:right="49"/>
              <w:spacing w:after="0"/>
              <w:rPr>
                <w:sz w:val="20"/>
                <w:szCs w:val="20"/>
                <w:color w:val="auto"/>
              </w:rPr>
            </w:pPr>
            <w:r>
              <w:rPr>
                <w:rFonts w:ascii="Arial" w:cs="Arial" w:eastAsia="Arial" w:hAnsi="Arial"/>
                <w:sz w:val="13"/>
                <w:szCs w:val="13"/>
                <w:color w:val="auto"/>
                <w:w w:val="89"/>
              </w:rPr>
              <w:t>188,918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center"/>
              <w:spacing w:after="0"/>
              <w:rPr>
                <w:sz w:val="20"/>
                <w:szCs w:val="20"/>
                <w:color w:val="auto"/>
              </w:rPr>
            </w:pPr>
            <w:r>
              <w:rPr>
                <w:rFonts w:ascii="Arial" w:cs="Arial" w:eastAsia="Arial" w:hAnsi="Arial"/>
                <w:sz w:val="13"/>
                <w:szCs w:val="13"/>
                <w:color w:val="auto"/>
                <w:w w:val="89"/>
              </w:rPr>
              <w:t>156,520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3"/>
                <w:szCs w:val="13"/>
                <w:color w:val="auto"/>
              </w:rPr>
              <w:t>543,847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3"/>
              </w:rPr>
              <w:t>497,599</w:t>
            </w:r>
          </w:p>
        </w:tc>
        <w:tc>
          <w:tcPr>
            <w:tcW w:w="40" w:type="dxa"/>
            <w:vAlign w:val="bottom"/>
          </w:tcPr>
          <w:p>
            <w:pPr>
              <w:spacing w:after="0"/>
              <w:rPr>
                <w:sz w:val="13"/>
                <w:szCs w:val="13"/>
                <w:color w:val="auto"/>
              </w:rPr>
            </w:pPr>
          </w:p>
        </w:tc>
      </w:tr>
      <w:tr>
        <w:trPr>
          <w:trHeight w:val="152"/>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Non-GAAP diluted earnings per share</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ind w:right="49"/>
              <w:spacing w:after="0"/>
              <w:rPr>
                <w:sz w:val="20"/>
                <w:szCs w:val="20"/>
                <w:color w:val="auto"/>
              </w:rPr>
            </w:pPr>
            <w:r>
              <w:rPr>
                <w:rFonts w:ascii="Arial" w:cs="Arial" w:eastAsia="Arial" w:hAnsi="Arial"/>
                <w:sz w:val="13"/>
                <w:szCs w:val="13"/>
                <w:color w:val="auto"/>
              </w:rPr>
              <w:t>1.57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1.27</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4.49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4.01</w:t>
            </w:r>
          </w:p>
        </w:tc>
        <w:tc>
          <w:tcPr>
            <w:tcW w:w="40" w:type="dxa"/>
            <w:vAlign w:val="bottom"/>
            <w:shd w:val="clear" w:color="auto" w:fill="CCEEFF"/>
          </w:tcPr>
          <w:p>
            <w:pPr>
              <w:spacing w:after="0"/>
              <w:rPr>
                <w:sz w:val="13"/>
                <w:szCs w:val="13"/>
                <w:color w:val="auto"/>
              </w:rPr>
            </w:pPr>
          </w:p>
        </w:tc>
      </w:tr>
      <w:tr>
        <w:trPr>
          <w:trHeight w:val="161"/>
        </w:trPr>
        <w:tc>
          <w:tcPr>
            <w:tcW w:w="3120" w:type="dxa"/>
            <w:vAlign w:val="bottom"/>
          </w:tcPr>
          <w:p>
            <w:pPr>
              <w:spacing w:after="0"/>
              <w:rPr>
                <w:sz w:val="20"/>
                <w:szCs w:val="20"/>
                <w:color w:val="auto"/>
              </w:rPr>
            </w:pPr>
            <w:r>
              <w:rPr>
                <w:rFonts w:ascii="Arial" w:cs="Arial" w:eastAsia="Arial" w:hAnsi="Arial"/>
                <w:sz w:val="13"/>
                <w:szCs w:val="13"/>
                <w:color w:val="auto"/>
                <w:w w:val="96"/>
              </w:rPr>
              <w:t>Diluted weighted average number of shares outstanding</w:t>
            </w: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3"/>
          </w:tcPr>
          <w:p>
            <w:pPr>
              <w:jc w:val="right"/>
              <w:ind w:right="49"/>
              <w:spacing w:after="0"/>
              <w:rPr>
                <w:sz w:val="20"/>
                <w:szCs w:val="20"/>
                <w:color w:val="auto"/>
              </w:rPr>
            </w:pPr>
            <w:r>
              <w:rPr>
                <w:rFonts w:ascii="Arial" w:cs="Arial" w:eastAsia="Arial" w:hAnsi="Arial"/>
                <w:sz w:val="13"/>
                <w:szCs w:val="13"/>
                <w:color w:val="auto"/>
                <w:w w:val="89"/>
              </w:rPr>
              <w:t>120,351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center"/>
              <w:spacing w:after="0"/>
              <w:rPr>
                <w:sz w:val="20"/>
                <w:szCs w:val="20"/>
                <w:color w:val="auto"/>
              </w:rPr>
            </w:pPr>
            <w:r>
              <w:rPr>
                <w:rFonts w:ascii="Arial" w:cs="Arial" w:eastAsia="Arial" w:hAnsi="Arial"/>
                <w:sz w:val="13"/>
                <w:szCs w:val="13"/>
                <w:color w:val="auto"/>
                <w:w w:val="89"/>
              </w:rPr>
              <w:t>123,153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3"/>
                <w:szCs w:val="13"/>
                <w:color w:val="auto"/>
              </w:rPr>
              <w:t>121,070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3"/>
              </w:rPr>
              <w:t>124,098</w:t>
            </w:r>
          </w:p>
        </w:tc>
        <w:tc>
          <w:tcPr>
            <w:tcW w:w="40" w:type="dxa"/>
            <w:vAlign w:val="bottom"/>
          </w:tcPr>
          <w:p>
            <w:pPr>
              <w:spacing w:after="0"/>
              <w:rPr>
                <w:sz w:val="13"/>
                <w:szCs w:val="13"/>
                <w:color w:val="auto"/>
              </w:rPr>
            </w:pPr>
          </w:p>
        </w:tc>
      </w:tr>
      <w:tr>
        <w:trPr>
          <w:trHeight w:val="431"/>
        </w:trPr>
        <w:tc>
          <w:tcPr>
            <w:tcW w:w="3120" w:type="dxa"/>
            <w:vAlign w:val="bottom"/>
          </w:tcPr>
          <w:p>
            <w:pPr>
              <w:spacing w:after="0"/>
              <w:rPr>
                <w:sz w:val="24"/>
                <w:szCs w:val="24"/>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7"/>
              </w:rPr>
              <w:t>Free Cash Flows</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0"/>
        </w:trPr>
        <w:tc>
          <w:tcPr>
            <w:tcW w:w="3120" w:type="dxa"/>
            <w:vAlign w:val="bottom"/>
          </w:tcPr>
          <w:p>
            <w:pPr>
              <w:spacing w:after="0"/>
              <w:rPr>
                <w:sz w:val="11"/>
                <w:szCs w:val="11"/>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(In thousands)</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49"/>
        </w:trPr>
        <w:tc>
          <w:tcPr>
            <w:tcW w:w="3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gridSpan w:val="8"/>
          </w:tcPr>
          <w:p>
            <w:pPr>
              <w:ind w:left="140"/>
              <w:spacing w:after="0"/>
              <w:rPr>
                <w:sz w:val="20"/>
                <w:szCs w:val="20"/>
                <w:color w:val="auto"/>
              </w:rPr>
            </w:pPr>
            <w:r>
              <w:rPr>
                <w:rFonts w:ascii="Arial" w:cs="Arial" w:eastAsia="Arial" w:hAnsi="Arial"/>
                <w:sz w:val="10"/>
                <w:szCs w:val="10"/>
                <w:b w:val="1"/>
                <w:bCs w:val="1"/>
                <w:color w:val="auto"/>
              </w:rPr>
              <w:t>Three months ended</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8"/>
          </w:tcPr>
          <w:p>
            <w:pPr>
              <w:jc w:val="center"/>
              <w:ind w:right="100"/>
              <w:spacing w:after="0"/>
              <w:rPr>
                <w:sz w:val="20"/>
                <w:szCs w:val="20"/>
                <w:color w:val="auto"/>
              </w:rPr>
            </w:pPr>
            <w:r>
              <w:rPr>
                <w:rFonts w:ascii="Arial" w:cs="Arial" w:eastAsia="Arial" w:hAnsi="Arial"/>
                <w:sz w:val="10"/>
                <w:szCs w:val="10"/>
                <w:b w:val="1"/>
                <w:bCs w:val="1"/>
                <w:color w:val="auto"/>
                <w:w w:val="88"/>
              </w:rPr>
              <w:t>Nine months ended</w:t>
            </w:r>
          </w:p>
        </w:tc>
      </w:tr>
      <w:tr>
        <w:trPr>
          <w:trHeight w:val="119"/>
        </w:trPr>
        <w:tc>
          <w:tcPr>
            <w:tcW w:w="3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gridSpan w:val="7"/>
          </w:tcPr>
          <w:p>
            <w:pPr>
              <w:jc w:val="right"/>
              <w:ind w:right="560"/>
              <w:spacing w:after="0"/>
              <w:rPr>
                <w:sz w:val="20"/>
                <w:szCs w:val="20"/>
                <w:color w:val="auto"/>
              </w:rPr>
            </w:pPr>
            <w:r>
              <w:rPr>
                <w:rFonts w:ascii="Arial" w:cs="Arial" w:eastAsia="Arial" w:hAnsi="Arial"/>
                <w:sz w:val="10"/>
                <w:szCs w:val="10"/>
                <w:b w:val="1"/>
                <w:bCs w:val="1"/>
                <w:color w:val="auto"/>
                <w:w w:val="89"/>
              </w:rPr>
              <w:t>June 30,</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5"/>
          </w:tcPr>
          <w:p>
            <w:pPr>
              <w:jc w:val="center"/>
              <w:ind w:left="369"/>
              <w:spacing w:after="0"/>
              <w:rPr>
                <w:sz w:val="20"/>
                <w:szCs w:val="20"/>
                <w:color w:val="auto"/>
              </w:rPr>
            </w:pPr>
            <w:r>
              <w:rPr>
                <w:rFonts w:ascii="Arial" w:cs="Arial" w:eastAsia="Arial" w:hAnsi="Arial"/>
                <w:sz w:val="10"/>
                <w:szCs w:val="10"/>
                <w:b w:val="1"/>
                <w:bCs w:val="1"/>
                <w:color w:val="auto"/>
                <w:w w:val="89"/>
              </w:rPr>
              <w:t>June 30,</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94"/>
        </w:trPr>
        <w:tc>
          <w:tcPr>
            <w:tcW w:w="31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Borders>
              <w:top w:val="single" w:sz="8" w:color="auto"/>
              <w:bottom w:val="single" w:sz="8" w:color="auto"/>
            </w:tcBorders>
          </w:tcPr>
          <w:p>
            <w:pPr>
              <w:ind w:left="140"/>
              <w:spacing w:after="0" w:line="94" w:lineRule="exact"/>
              <w:rPr>
                <w:sz w:val="20"/>
                <w:szCs w:val="20"/>
                <w:color w:val="auto"/>
              </w:rPr>
            </w:pPr>
            <w:r>
              <w:rPr>
                <w:rFonts w:ascii="Arial" w:cs="Arial" w:eastAsia="Arial" w:hAnsi="Arial"/>
                <w:sz w:val="10"/>
                <w:szCs w:val="10"/>
                <w:b w:val="1"/>
                <w:bCs w:val="1"/>
                <w:color w:val="auto"/>
                <w:w w:val="98"/>
              </w:rPr>
              <w:t>2023</w:t>
            </w:r>
          </w:p>
        </w:tc>
        <w:tc>
          <w:tcPr>
            <w:tcW w:w="10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center"/>
              <w:spacing w:after="0" w:line="94" w:lineRule="exact"/>
              <w:rPr>
                <w:sz w:val="20"/>
                <w:szCs w:val="20"/>
                <w:color w:val="auto"/>
              </w:rPr>
            </w:pPr>
            <w:r>
              <w:rPr>
                <w:rFonts w:ascii="Arial" w:cs="Arial" w:eastAsia="Arial" w:hAnsi="Arial"/>
                <w:sz w:val="10"/>
                <w:szCs w:val="10"/>
                <w:b w:val="1"/>
                <w:bCs w:val="1"/>
                <w:color w:val="auto"/>
                <w:w w:val="89"/>
              </w:rPr>
              <w:t>2022</w:t>
            </w:r>
          </w:p>
        </w:tc>
        <w:tc>
          <w:tcPr>
            <w:tcW w:w="20" w:type="dxa"/>
            <w:vAlign w:val="bottom"/>
            <w:tcBorders>
              <w:top w:val="single" w:sz="8" w:color="auto"/>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top w:val="single" w:sz="8" w:color="auto"/>
              <w:bottom w:val="single" w:sz="8" w:color="auto"/>
            </w:tcBorders>
          </w:tcPr>
          <w:p>
            <w:pPr>
              <w:jc w:val="right"/>
              <w:ind w:right="89"/>
              <w:spacing w:after="0" w:line="94" w:lineRule="exact"/>
              <w:rPr>
                <w:sz w:val="20"/>
                <w:szCs w:val="20"/>
                <w:color w:val="auto"/>
              </w:rPr>
            </w:pPr>
            <w:r>
              <w:rPr>
                <w:rFonts w:ascii="Arial" w:cs="Arial" w:eastAsia="Arial" w:hAnsi="Arial"/>
                <w:sz w:val="10"/>
                <w:szCs w:val="10"/>
                <w:b w:val="1"/>
                <w:bCs w:val="1"/>
                <w:color w:val="auto"/>
              </w:rPr>
              <w:t>2023</w:t>
            </w: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100"/>
              <w:spacing w:after="0" w:line="94" w:lineRule="exact"/>
              <w:rPr>
                <w:sz w:val="20"/>
                <w:szCs w:val="20"/>
                <w:color w:val="auto"/>
              </w:rPr>
            </w:pPr>
            <w:r>
              <w:rPr>
                <w:rFonts w:ascii="Arial" w:cs="Arial" w:eastAsia="Arial" w:hAnsi="Arial"/>
                <w:sz w:val="10"/>
                <w:szCs w:val="10"/>
                <w:b w:val="1"/>
                <w:bCs w:val="1"/>
                <w:color w:val="auto"/>
              </w:rPr>
              <w:t>2022</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1"/>
        </w:trPr>
        <w:tc>
          <w:tcPr>
            <w:tcW w:w="31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Net Cash Provided by Operating Activities</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w w:val="95"/>
              </w:rPr>
              <w:t>$172,557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center"/>
              <w:ind w:right="140"/>
              <w:spacing w:after="0" w:line="141" w:lineRule="exact"/>
              <w:rPr>
                <w:sz w:val="20"/>
                <w:szCs w:val="20"/>
                <w:color w:val="auto"/>
              </w:rPr>
            </w:pPr>
            <w:r>
              <w:rPr>
                <w:rFonts w:ascii="Arial" w:cs="Arial" w:eastAsia="Arial" w:hAnsi="Arial"/>
                <w:sz w:val="13"/>
                <w:szCs w:val="13"/>
                <w:color w:val="auto"/>
                <w:w w:val="84"/>
              </w:rPr>
              <w:t>$166,826</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w w:val="84"/>
              </w:rPr>
              <w:t>$550,259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w w:val="85"/>
              </w:rPr>
              <w:t>539,800</w:t>
            </w:r>
          </w:p>
        </w:tc>
        <w:tc>
          <w:tcPr>
            <w:tcW w:w="40" w:type="dxa"/>
            <w:vAlign w:val="bottom"/>
            <w:shd w:val="clear" w:color="auto" w:fill="CCEEFF"/>
          </w:tcPr>
          <w:p>
            <w:pPr>
              <w:spacing w:after="0"/>
              <w:rPr>
                <w:sz w:val="12"/>
                <w:szCs w:val="12"/>
                <w:color w:val="auto"/>
              </w:rPr>
            </w:pPr>
          </w:p>
        </w:tc>
      </w:tr>
      <w:tr>
        <w:trPr>
          <w:trHeight w:val="152"/>
        </w:trPr>
        <w:tc>
          <w:tcPr>
            <w:tcW w:w="3120" w:type="dxa"/>
            <w:vAlign w:val="bottom"/>
          </w:tcPr>
          <w:p>
            <w:pPr>
              <w:spacing w:after="0"/>
              <w:rPr>
                <w:sz w:val="20"/>
                <w:szCs w:val="20"/>
                <w:color w:val="auto"/>
              </w:rPr>
            </w:pPr>
            <w:r>
              <w:rPr>
                <w:rFonts w:ascii="Arial" w:cs="Arial" w:eastAsia="Arial" w:hAnsi="Arial"/>
                <w:sz w:val="13"/>
                <w:szCs w:val="13"/>
                <w:color w:val="auto"/>
              </w:rPr>
              <w:t>Purchases of property and equipment, net (a)</w:t>
            </w: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5"/>
          </w:tcPr>
          <w:p>
            <w:pPr>
              <w:jc w:val="right"/>
              <w:ind w:right="40"/>
              <w:spacing w:after="0"/>
              <w:rPr>
                <w:sz w:val="20"/>
                <w:szCs w:val="20"/>
                <w:color w:val="auto"/>
              </w:rPr>
            </w:pPr>
            <w:r>
              <w:rPr>
                <w:rFonts w:ascii="Arial" w:cs="Arial" w:eastAsia="Arial" w:hAnsi="Arial"/>
                <w:sz w:val="13"/>
                <w:szCs w:val="13"/>
                <w:color w:val="auto"/>
              </w:rPr>
              <w:t>(28,983)</w:t>
            </w:r>
          </w:p>
        </w:tc>
        <w:tc>
          <w:tcPr>
            <w:tcW w:w="12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(40,904)</w:t>
            </w:r>
          </w:p>
        </w:tc>
        <w:tc>
          <w:tcPr>
            <w:tcW w:w="60" w:type="dxa"/>
            <w:vAlign w:val="bottom"/>
          </w:tcPr>
          <w:p>
            <w:pPr>
              <w:spacing w:after="0"/>
              <w:rPr>
                <w:sz w:val="13"/>
                <w:szCs w:val="13"/>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3"/>
                <w:szCs w:val="13"/>
                <w:color w:val="auto"/>
              </w:rPr>
              <w:t>(97,805)</w:t>
            </w:r>
          </w:p>
        </w:tc>
        <w:tc>
          <w:tcPr>
            <w:tcW w:w="660" w:type="dxa"/>
            <w:vAlign w:val="bottom"/>
            <w:gridSpan w:val="4"/>
          </w:tcPr>
          <w:p>
            <w:pPr>
              <w:jc w:val="right"/>
              <w:spacing w:after="0"/>
              <w:rPr>
                <w:sz w:val="20"/>
                <w:szCs w:val="20"/>
                <w:color w:val="auto"/>
              </w:rPr>
            </w:pPr>
            <w:r>
              <w:rPr>
                <w:rFonts w:ascii="Arial" w:cs="Arial" w:eastAsia="Arial" w:hAnsi="Arial"/>
                <w:sz w:val="13"/>
                <w:szCs w:val="13"/>
                <w:color w:val="auto"/>
              </w:rPr>
              <w:t>(145,400)</w:t>
            </w:r>
          </w:p>
        </w:tc>
        <w:tc>
          <w:tcPr>
            <w:tcW w:w="40" w:type="dxa"/>
            <w:vAlign w:val="bottom"/>
          </w:tcPr>
          <w:p>
            <w:pPr>
              <w:spacing w:after="0"/>
              <w:rPr>
                <w:sz w:val="13"/>
                <w:szCs w:val="13"/>
                <w:color w:val="auto"/>
              </w:rPr>
            </w:pPr>
          </w:p>
        </w:tc>
      </w:tr>
      <w:tr>
        <w:trPr>
          <w:trHeight w:val="151"/>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Free Cash Flow</w:t>
            </w:r>
          </w:p>
        </w:tc>
        <w:tc>
          <w:tcPr>
            <w:tcW w:w="1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5"/>
              </w:rPr>
              <w:t>$143,574</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tcBorders>
              <w:top w:val="single" w:sz="8" w:color="auto"/>
            </w:tcBorders>
            <w:gridSpan w:val="3"/>
            <w:shd w:val="clear" w:color="auto" w:fill="CCEEFF"/>
          </w:tcPr>
          <w:p>
            <w:pPr>
              <w:jc w:val="center"/>
              <w:ind w:right="140"/>
              <w:spacing w:after="0"/>
              <w:rPr>
                <w:sz w:val="20"/>
                <w:szCs w:val="20"/>
                <w:color w:val="auto"/>
              </w:rPr>
            </w:pPr>
            <w:r>
              <w:rPr>
                <w:rFonts w:ascii="Arial" w:cs="Arial" w:eastAsia="Arial" w:hAnsi="Arial"/>
                <w:sz w:val="13"/>
                <w:szCs w:val="13"/>
                <w:color w:val="auto"/>
                <w:w w:val="84"/>
              </w:rPr>
              <w:t>$125,922</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4"/>
              </w:rPr>
              <w:t>$452,454</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394,400</w:t>
            </w:r>
          </w:p>
        </w:tc>
        <w:tc>
          <w:tcPr>
            <w:tcW w:w="40" w:type="dxa"/>
            <w:vAlign w:val="bottom"/>
            <w:shd w:val="clear" w:color="auto" w:fill="CCEEFF"/>
          </w:tcPr>
          <w:p>
            <w:pPr>
              <w:spacing w:after="0"/>
              <w:rPr>
                <w:sz w:val="13"/>
                <w:szCs w:val="13"/>
                <w:color w:val="auto"/>
              </w:rPr>
            </w:pPr>
          </w:p>
        </w:tc>
      </w:tr>
    </w:tbl>
    <w:p>
      <w:pPr>
        <w:spacing w:after="0" w:line="143" w:lineRule="exact"/>
        <w:rPr>
          <w:sz w:val="20"/>
          <w:szCs w:val="20"/>
          <w:color w:val="auto"/>
        </w:rPr>
      </w:pPr>
    </w:p>
    <w:p>
      <w:pPr>
        <w:ind w:left="640" w:right="839"/>
        <w:spacing w:after="0" w:line="320" w:lineRule="auto"/>
        <w:rPr>
          <w:sz w:val="20"/>
          <w:szCs w:val="20"/>
          <w:color w:val="auto"/>
        </w:rPr>
      </w:pPr>
      <w:r>
        <w:rPr>
          <w:rFonts w:ascii="Arial" w:cs="Arial" w:eastAsia="Arial" w:hAnsi="Arial"/>
          <w:sz w:val="11"/>
          <w:szCs w:val="11"/>
          <w:color w:val="auto"/>
        </w:rPr>
        <w:t>Normalized Free Cash Flow (b) for the nine months ended June 30, 2022: $489,619, excluding net capital expenditures related to the new campus, development of $77,676, payment for acquisition related liability of $14,350, and tax payment on sale of business of $3,193. Normalized Free Cash Flow (b) for the three months ended June 30, 2022: $144,182, excluding net capital development of $18,260 expenditures related to the new campus.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39370</wp:posOffset>
            </wp:positionV>
            <wp:extent cx="54165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62" w:lineRule="exact"/>
        <w:rPr>
          <w:sz w:val="20"/>
          <w:szCs w:val="20"/>
          <w:color w:val="auto"/>
        </w:rPr>
      </w:pPr>
    </w:p>
    <w:p>
      <w:pPr>
        <w:ind w:left="940" w:right="859" w:hanging="303"/>
        <w:spacing w:after="0" w:line="250" w:lineRule="auto"/>
        <w:tabs>
          <w:tab w:leader="none" w:pos="9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amounts under “Purchase of property and equipment, net” include proceeds from sale of property and equipment of $380 and $521 for the nine months ended June 30, 2023 and 2022, respectively.</w:t>
      </w:r>
    </w:p>
    <w:p>
      <w:pPr>
        <w:ind w:left="940" w:hanging="303"/>
        <w:spacing w:after="0"/>
        <w:tabs>
          <w:tab w:leader="none" w:pos="9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Since Q12023, the Normalized Free Cash Flow is no longer applicable.</w:t>
      </w:r>
    </w:p>
    <w:p>
      <w:pPr>
        <w:sectPr>
          <w:pgSz w:w="11900" w:h="16838" w:orient="portrait"/>
          <w:cols w:equalWidth="0" w:num="1">
            <w:col w:w="9019"/>
          </w:cols>
          <w:pgMar w:left="1440" w:top="383" w:right="144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43180"/>
                    </a:xfrm>
                    <a:prstGeom prst="rect">
                      <a:avLst/>
                    </a:prstGeom>
                    <a:noFill/>
                  </pic:spPr>
                </pic:pic>
              </a:graphicData>
            </a:graphic>
          </wp:anchor>
        </w:drawing>
        <w:t>AMDOCS LIMITED</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Reconciliation of Selected Financial Metrics from GAAP to Non-GAAP</w:t>
      </w:r>
    </w:p>
    <w:p>
      <w:pPr>
        <w:jc w:val="center"/>
        <w:ind w:right="19"/>
        <w:spacing w:after="0"/>
        <w:rPr>
          <w:sz w:val="20"/>
          <w:szCs w:val="20"/>
          <w:color w:val="auto"/>
        </w:rPr>
      </w:pPr>
      <w:r>
        <w:rPr>
          <w:rFonts w:ascii="Arial" w:cs="Arial" w:eastAsia="Arial" w:hAnsi="Arial"/>
          <w:sz w:val="10"/>
          <w:szCs w:val="10"/>
          <w:b w:val="1"/>
          <w:bCs w:val="1"/>
          <w:color w:val="auto"/>
        </w:rPr>
        <w:t>(In thousands)</w:t>
      </w:r>
    </w:p>
    <w:p>
      <w:pPr>
        <w:spacing w:after="0" w:line="150"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2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15"/>
          </w:tcPr>
          <w:p>
            <w:pPr>
              <w:ind w:left="20"/>
              <w:spacing w:after="0"/>
              <w:rPr>
                <w:sz w:val="20"/>
                <w:szCs w:val="20"/>
                <w:color w:val="auto"/>
              </w:rPr>
            </w:pPr>
            <w:r>
              <w:rPr>
                <w:rFonts w:ascii="Arial" w:cs="Arial" w:eastAsia="Arial" w:hAnsi="Arial"/>
                <w:sz w:val="10"/>
                <w:szCs w:val="10"/>
                <w:b w:val="1"/>
                <w:bCs w:val="1"/>
                <w:color w:val="auto"/>
              </w:rPr>
              <w:t>Three Months Ended June 30, 2023</w:t>
            </w: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5"/>
          </w:tcPr>
          <w:p>
            <w:pPr>
              <w:jc w:val="center"/>
              <w:ind w:right="220"/>
              <w:spacing w:after="0" w:line="79" w:lineRule="exact"/>
              <w:rPr>
                <w:sz w:val="20"/>
                <w:szCs w:val="20"/>
                <w:color w:val="auto"/>
              </w:rPr>
            </w:pPr>
            <w:r>
              <w:rPr>
                <w:rFonts w:ascii="Arial" w:cs="Arial" w:eastAsia="Arial" w:hAnsi="Arial"/>
                <w:sz w:val="9"/>
                <w:szCs w:val="9"/>
                <w:b w:val="1"/>
                <w:bCs w:val="1"/>
                <w:color w:val="auto"/>
                <w:w w:val="98"/>
              </w:rPr>
              <w:t>Changes in</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4"/>
          </w:tcPr>
          <w:p>
            <w:pPr>
              <w:jc w:val="center"/>
              <w:ind w:right="280"/>
              <w:spacing w:after="0" w:line="104" w:lineRule="exact"/>
              <w:rPr>
                <w:sz w:val="20"/>
                <w:szCs w:val="20"/>
                <w:color w:val="auto"/>
              </w:rPr>
            </w:pPr>
            <w:r>
              <w:rPr>
                <w:rFonts w:ascii="Arial" w:cs="Arial" w:eastAsia="Arial" w:hAnsi="Arial"/>
                <w:sz w:val="10"/>
                <w:szCs w:val="10"/>
                <w:b w:val="1"/>
                <w:bCs w:val="1"/>
                <w:color w:val="auto"/>
                <w:w w:val="91"/>
              </w:rPr>
              <w:t>certain</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6"/>
          </w:tcPr>
          <w:p>
            <w:pPr>
              <w:jc w:val="center"/>
              <w:ind w:right="180"/>
              <w:spacing w:after="0" w:line="104" w:lineRule="exact"/>
              <w:rPr>
                <w:sz w:val="20"/>
                <w:szCs w:val="20"/>
                <w:color w:val="auto"/>
              </w:rPr>
            </w:pPr>
            <w:r>
              <w:rPr>
                <w:rFonts w:ascii="Arial" w:cs="Arial" w:eastAsia="Arial" w:hAnsi="Arial"/>
                <w:sz w:val="10"/>
                <w:szCs w:val="10"/>
                <w:b w:val="1"/>
                <w:bCs w:val="1"/>
                <w:color w:val="auto"/>
                <w:w w:val="89"/>
              </w:rPr>
              <w:t>acquisitions</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4"/>
          </w:tcPr>
          <w:p>
            <w:pPr>
              <w:jc w:val="center"/>
              <w:ind w:right="200"/>
              <w:spacing w:after="0" w:line="104" w:lineRule="exact"/>
              <w:rPr>
                <w:sz w:val="20"/>
                <w:szCs w:val="20"/>
                <w:color w:val="auto"/>
              </w:rPr>
            </w:pPr>
            <w:r>
              <w:rPr>
                <w:rFonts w:ascii="Arial" w:cs="Arial" w:eastAsia="Arial" w:hAnsi="Arial"/>
                <w:sz w:val="10"/>
                <w:szCs w:val="10"/>
                <w:b w:val="1"/>
                <w:bCs w:val="1"/>
                <w:color w:val="auto"/>
                <w:w w:val="94"/>
              </w:rPr>
              <w:t>Amortization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4"/>
          </w:tcPr>
          <w:p>
            <w:pPr>
              <w:jc w:val="center"/>
              <w:ind w:right="280"/>
              <w:spacing w:after="0" w:line="104" w:lineRule="exact"/>
              <w:rPr>
                <w:sz w:val="20"/>
                <w:szCs w:val="20"/>
                <w:color w:val="auto"/>
              </w:rPr>
            </w:pPr>
            <w:r>
              <w:rPr>
                <w:rFonts w:ascii="Arial" w:cs="Arial" w:eastAsia="Arial" w:hAnsi="Arial"/>
                <w:sz w:val="10"/>
                <w:szCs w:val="10"/>
                <w:b w:val="1"/>
                <w:bCs w:val="1"/>
                <w:color w:val="auto"/>
                <w:w w:val="91"/>
              </w:rPr>
              <w:t>related</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4"/>
          </w:tcPr>
          <w:p>
            <w:pPr>
              <w:jc w:val="center"/>
              <w:ind w:right="180"/>
              <w:spacing w:after="0" w:line="104" w:lineRule="exact"/>
              <w:rPr>
                <w:sz w:val="20"/>
                <w:szCs w:val="20"/>
                <w:color w:val="auto"/>
              </w:rPr>
            </w:pPr>
            <w:r>
              <w:rPr>
                <w:rFonts w:ascii="Arial" w:cs="Arial" w:eastAsia="Arial" w:hAnsi="Arial"/>
                <w:sz w:val="10"/>
                <w:szCs w:val="10"/>
                <w:b w:val="1"/>
                <w:bCs w:val="1"/>
                <w:color w:val="auto"/>
                <w:w w:val="89"/>
              </w:rPr>
              <w:t>of purchased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5"/>
          </w:tcPr>
          <w:p>
            <w:pPr>
              <w:jc w:val="center"/>
              <w:ind w:right="220"/>
              <w:spacing w:after="0" w:line="104" w:lineRule="exact"/>
              <w:rPr>
                <w:sz w:val="20"/>
                <w:szCs w:val="20"/>
                <w:color w:val="auto"/>
              </w:rPr>
            </w:pPr>
            <w:r>
              <w:rPr>
                <w:rFonts w:ascii="Arial" w:cs="Arial" w:eastAsia="Arial" w:hAnsi="Arial"/>
                <w:sz w:val="10"/>
                <w:szCs w:val="10"/>
                <w:b w:val="1"/>
                <w:bCs w:val="1"/>
                <w:color w:val="auto"/>
                <w:w w:val="93"/>
              </w:rPr>
              <w:t>liabilities</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4"/>
          </w:tcPr>
          <w:p>
            <w:pPr>
              <w:jc w:val="center"/>
              <w:ind w:right="200"/>
              <w:spacing w:after="0" w:line="104" w:lineRule="exact"/>
              <w:rPr>
                <w:sz w:val="20"/>
                <w:szCs w:val="20"/>
                <w:color w:val="auto"/>
              </w:rPr>
            </w:pPr>
            <w:r>
              <w:rPr>
                <w:rFonts w:ascii="Arial" w:cs="Arial" w:eastAsia="Arial" w:hAnsi="Arial"/>
                <w:sz w:val="10"/>
                <w:szCs w:val="10"/>
                <w:b w:val="1"/>
                <w:bCs w:val="1"/>
                <w:color w:val="auto"/>
                <w:w w:val="88"/>
              </w:rPr>
              <w:t>intangible</w:t>
            </w:r>
          </w:p>
        </w:tc>
        <w:tc>
          <w:tcPr>
            <w:tcW w:w="780" w:type="dxa"/>
            <w:vAlign w:val="bottom"/>
            <w:gridSpan w:val="5"/>
          </w:tcPr>
          <w:p>
            <w:pPr>
              <w:ind w:left="20"/>
              <w:spacing w:after="0" w:line="104" w:lineRule="exact"/>
              <w:rPr>
                <w:sz w:val="20"/>
                <w:szCs w:val="20"/>
                <w:color w:val="auto"/>
              </w:rPr>
            </w:pPr>
            <w:r>
              <w:rPr>
                <w:rFonts w:ascii="Arial" w:cs="Arial" w:eastAsia="Arial" w:hAnsi="Arial"/>
                <w:sz w:val="10"/>
                <w:szCs w:val="10"/>
                <w:b w:val="1"/>
                <w:bCs w:val="1"/>
                <w:color w:val="auto"/>
              </w:rPr>
              <w:t>Equity based</w:t>
            </w:r>
          </w:p>
        </w:tc>
        <w:tc>
          <w:tcPr>
            <w:tcW w:w="40" w:type="dxa"/>
            <w:vAlign w:val="bottom"/>
          </w:tcPr>
          <w:p>
            <w:pPr>
              <w:spacing w:after="0"/>
              <w:rPr>
                <w:sz w:val="9"/>
                <w:szCs w:val="9"/>
                <w:color w:val="auto"/>
              </w:rPr>
            </w:pPr>
          </w:p>
        </w:tc>
        <w:tc>
          <w:tcPr>
            <w:tcW w:w="700" w:type="dxa"/>
            <w:vAlign w:val="bottom"/>
            <w:gridSpan w:val="5"/>
          </w:tcPr>
          <w:p>
            <w:pPr>
              <w:jc w:val="center"/>
              <w:ind w:right="200"/>
              <w:spacing w:after="0" w:line="104" w:lineRule="exact"/>
              <w:rPr>
                <w:sz w:val="20"/>
                <w:szCs w:val="20"/>
                <w:color w:val="auto"/>
              </w:rPr>
            </w:pPr>
            <w:r>
              <w:rPr>
                <w:rFonts w:ascii="Arial" w:cs="Arial" w:eastAsia="Arial" w:hAnsi="Arial"/>
                <w:sz w:val="10"/>
                <w:szCs w:val="10"/>
                <w:b w:val="1"/>
                <w:bCs w:val="1"/>
                <w:color w:val="auto"/>
                <w:w w:val="88"/>
              </w:rPr>
              <w:t>measured</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4"/>
          </w:tcPr>
          <w:p>
            <w:pPr>
              <w:jc w:val="center"/>
              <w:ind w:right="180"/>
              <w:spacing w:after="0" w:line="104" w:lineRule="exact"/>
              <w:rPr>
                <w:sz w:val="20"/>
                <w:szCs w:val="20"/>
                <w:color w:val="auto"/>
              </w:rPr>
            </w:pPr>
            <w:r>
              <w:rPr>
                <w:rFonts w:ascii="Arial" w:cs="Arial" w:eastAsia="Arial" w:hAnsi="Arial"/>
                <w:sz w:val="10"/>
                <w:szCs w:val="10"/>
                <w:b w:val="1"/>
                <w:bCs w:val="1"/>
                <w:color w:val="auto"/>
                <w:w w:val="85"/>
              </w:rPr>
              <w:t>assets and</w:t>
            </w:r>
          </w:p>
        </w:tc>
        <w:tc>
          <w:tcPr>
            <w:tcW w:w="780" w:type="dxa"/>
            <w:vAlign w:val="bottom"/>
            <w:gridSpan w:val="5"/>
          </w:tcPr>
          <w:p>
            <w:pPr>
              <w:spacing w:after="0" w:line="104" w:lineRule="exact"/>
              <w:rPr>
                <w:sz w:val="20"/>
                <w:szCs w:val="20"/>
                <w:color w:val="auto"/>
              </w:rPr>
            </w:pPr>
            <w:r>
              <w:rPr>
                <w:rFonts w:ascii="Arial" w:cs="Arial" w:eastAsia="Arial" w:hAnsi="Arial"/>
                <w:sz w:val="10"/>
                <w:szCs w:val="10"/>
                <w:b w:val="1"/>
                <w:bCs w:val="1"/>
                <w:color w:val="auto"/>
              </w:rPr>
              <w:t>compensation</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4"/>
          </w:tcPr>
          <w:p>
            <w:pPr>
              <w:jc w:val="center"/>
              <w:ind w:right="280"/>
              <w:spacing w:after="0" w:line="104" w:lineRule="exact"/>
              <w:rPr>
                <w:sz w:val="20"/>
                <w:szCs w:val="20"/>
                <w:color w:val="auto"/>
              </w:rPr>
            </w:pPr>
            <w:r>
              <w:rPr>
                <w:rFonts w:ascii="Arial" w:cs="Arial" w:eastAsia="Arial" w:hAnsi="Arial"/>
                <w:sz w:val="10"/>
                <w:szCs w:val="10"/>
                <w:b w:val="1"/>
                <w:bCs w:val="1"/>
                <w:color w:val="auto"/>
                <w:w w:val="95"/>
              </w:rPr>
              <w:t>at fair</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Tax</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4"/>
          </w:tcPr>
          <w:p>
            <w:pPr>
              <w:jc w:val="right"/>
              <w:ind w:right="340"/>
              <w:spacing w:after="0"/>
              <w:rPr>
                <w:sz w:val="20"/>
                <w:szCs w:val="20"/>
                <w:color w:val="auto"/>
              </w:rPr>
            </w:pPr>
            <w:r>
              <w:rPr>
                <w:rFonts w:ascii="Arial" w:cs="Arial" w:eastAsia="Arial" w:hAnsi="Arial"/>
                <w:sz w:val="10"/>
                <w:szCs w:val="10"/>
                <w:b w:val="1"/>
                <w:bCs w:val="1"/>
                <w:color w:val="auto"/>
              </w:rPr>
              <w:t>GAAP</w:t>
            </w:r>
          </w:p>
        </w:tc>
        <w:tc>
          <w:tcPr>
            <w:tcW w:w="180" w:type="dxa"/>
            <w:vAlign w:val="bottom"/>
          </w:tcPr>
          <w:p>
            <w:pPr>
              <w:spacing w:after="0"/>
              <w:rPr>
                <w:sz w:val="10"/>
                <w:szCs w:val="10"/>
                <w:color w:val="auto"/>
              </w:rPr>
            </w:pPr>
          </w:p>
        </w:tc>
        <w:tc>
          <w:tcPr>
            <w:tcW w:w="6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87"/>
              </w:rPr>
              <w:t>other</w:t>
            </w:r>
          </w:p>
        </w:tc>
        <w:tc>
          <w:tcPr>
            <w:tcW w:w="120" w:type="dxa"/>
            <w:vAlign w:val="bottom"/>
          </w:tcPr>
          <w:p>
            <w:pPr>
              <w:spacing w:after="0"/>
              <w:rPr>
                <w:sz w:val="10"/>
                <w:szCs w:val="10"/>
                <w:color w:val="auto"/>
              </w:rPr>
            </w:pPr>
          </w:p>
        </w:tc>
        <w:tc>
          <w:tcPr>
            <w:tcW w:w="660" w:type="dxa"/>
            <w:vAlign w:val="bottom"/>
            <w:gridSpan w:val="4"/>
          </w:tcPr>
          <w:p>
            <w:pPr>
              <w:jc w:val="right"/>
              <w:ind w:right="300"/>
              <w:spacing w:after="0"/>
              <w:rPr>
                <w:sz w:val="20"/>
                <w:szCs w:val="20"/>
                <w:color w:val="auto"/>
              </w:rPr>
            </w:pPr>
            <w:r>
              <w:rPr>
                <w:rFonts w:ascii="Arial" w:cs="Arial" w:eastAsia="Arial" w:hAnsi="Arial"/>
                <w:sz w:val="10"/>
                <w:szCs w:val="10"/>
                <w:b w:val="1"/>
                <w:bCs w:val="1"/>
                <w:color w:val="auto"/>
                <w:w w:val="84"/>
              </w:rPr>
              <w:t>expense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4"/>
          </w:tcPr>
          <w:p>
            <w:pPr>
              <w:jc w:val="center"/>
              <w:ind w:right="300"/>
              <w:spacing w:after="0"/>
              <w:rPr>
                <w:sz w:val="20"/>
                <w:szCs w:val="20"/>
                <w:color w:val="auto"/>
              </w:rPr>
            </w:pPr>
            <w:r>
              <w:rPr>
                <w:rFonts w:ascii="Arial" w:cs="Arial" w:eastAsia="Arial" w:hAnsi="Arial"/>
                <w:sz w:val="10"/>
                <w:szCs w:val="10"/>
                <w:b w:val="1"/>
                <w:bCs w:val="1"/>
                <w:color w:val="auto"/>
                <w:w w:val="93"/>
              </w:rPr>
              <w:t>value</w:t>
            </w:r>
          </w:p>
        </w:tc>
        <w:tc>
          <w:tcPr>
            <w:tcW w:w="420" w:type="dxa"/>
            <w:vAlign w:val="bottom"/>
            <w:gridSpan w:val="4"/>
          </w:tcPr>
          <w:p>
            <w:pPr>
              <w:spacing w:after="0"/>
              <w:rPr>
                <w:sz w:val="20"/>
                <w:szCs w:val="20"/>
                <w:color w:val="auto"/>
              </w:rPr>
            </w:pPr>
            <w:r>
              <w:rPr>
                <w:rFonts w:ascii="Arial" w:cs="Arial" w:eastAsia="Arial" w:hAnsi="Arial"/>
                <w:sz w:val="10"/>
                <w:szCs w:val="10"/>
                <w:b w:val="1"/>
                <w:bCs w:val="1"/>
                <w:color w:val="auto"/>
              </w:rPr>
              <w:t>Other</w:t>
            </w:r>
          </w:p>
        </w:tc>
        <w:tc>
          <w:tcPr>
            <w:tcW w:w="600" w:type="dxa"/>
            <w:vAlign w:val="bottom"/>
            <w:gridSpan w:val="4"/>
          </w:tcPr>
          <w:p>
            <w:pPr>
              <w:ind w:left="80"/>
              <w:spacing w:after="0"/>
              <w:rPr>
                <w:sz w:val="20"/>
                <w:szCs w:val="20"/>
                <w:color w:val="auto"/>
              </w:rPr>
            </w:pPr>
            <w:r>
              <w:rPr>
                <w:rFonts w:ascii="Arial" w:cs="Arial" w:eastAsia="Arial" w:hAnsi="Arial"/>
                <w:sz w:val="10"/>
                <w:szCs w:val="10"/>
                <w:b w:val="1"/>
                <w:bCs w:val="1"/>
                <w:color w:val="auto"/>
              </w:rPr>
              <w:t>effect</w:t>
            </w:r>
          </w:p>
        </w:tc>
        <w:tc>
          <w:tcPr>
            <w:tcW w:w="66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rPr>
              <w:t>Non-GAAP</w:t>
            </w:r>
          </w:p>
        </w:tc>
        <w:tc>
          <w:tcPr>
            <w:tcW w:w="0" w:type="dxa"/>
            <w:vAlign w:val="bottom"/>
          </w:tcPr>
          <w:p>
            <w:pPr>
              <w:spacing w:after="0"/>
              <w:rPr>
                <w:sz w:val="1"/>
                <w:szCs w:val="1"/>
                <w:color w:val="auto"/>
              </w:rPr>
            </w:pPr>
          </w:p>
        </w:tc>
      </w:tr>
      <w:tr>
        <w:trPr>
          <w:trHeight w:val="141"/>
        </w:trPr>
        <w:tc>
          <w:tcPr>
            <w:tcW w:w="28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Operating expenses:</w:t>
            </w:r>
          </w:p>
        </w:tc>
        <w:tc>
          <w:tcPr>
            <w:tcW w:w="20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top w:val="single" w:sz="8" w:color="auto"/>
              <w:right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right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20"/>
                <w:szCs w:val="20"/>
                <w:color w:val="auto"/>
              </w:rPr>
            </w:pPr>
            <w:r>
              <w:rPr>
                <w:rFonts w:ascii="Arial" w:cs="Arial" w:eastAsia="Arial" w:hAnsi="Arial"/>
                <w:sz w:val="13"/>
                <w:szCs w:val="13"/>
                <w:color w:val="auto"/>
              </w:rPr>
              <w:t>Cost of revenue</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804,007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jc w:val="right"/>
              <w:ind w:right="67"/>
              <w:spacing w:after="0"/>
              <w:rPr>
                <w:sz w:val="20"/>
                <w:szCs w:val="20"/>
                <w:color w:val="auto"/>
              </w:rPr>
            </w:pPr>
            <w:r>
              <w:rPr>
                <w:rFonts w:ascii="Arial" w:cs="Arial" w:eastAsia="Arial" w:hAnsi="Arial"/>
                <w:sz w:val="9"/>
                <w:szCs w:val="9"/>
                <w:color w:val="auto"/>
                <w:w w:val="78"/>
              </w:rPr>
              <w:t>$</w:t>
            </w:r>
          </w:p>
        </w:tc>
        <w:tc>
          <w:tcPr>
            <w:tcW w:w="6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w w:val="86"/>
              </w:rPr>
              <w:t>(11,852)</w:t>
            </w:r>
          </w:p>
        </w:tc>
        <w:tc>
          <w:tcPr>
            <w:tcW w:w="8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(152)</w:t>
            </w:r>
          </w:p>
        </w:tc>
        <w:tc>
          <w:tcPr>
            <w:tcW w:w="120" w:type="dxa"/>
            <w:vAlign w:val="bottom"/>
          </w:tcPr>
          <w:p>
            <w:pPr>
              <w:spacing w:after="0"/>
              <w:rPr>
                <w:sz w:val="13"/>
                <w:szCs w:val="13"/>
                <w:color w:val="auto"/>
              </w:rPr>
            </w:pPr>
          </w:p>
        </w:tc>
        <w:tc>
          <w:tcPr>
            <w:tcW w:w="420" w:type="dxa"/>
            <w:vAlign w:val="bottom"/>
            <w:gridSpan w:val="4"/>
          </w:tcPr>
          <w:p>
            <w:pPr>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21"/>
              <w:spacing w:after="0"/>
              <w:rPr>
                <w:sz w:val="20"/>
                <w:szCs w:val="20"/>
                <w:color w:val="auto"/>
              </w:rPr>
            </w:pPr>
            <w:r>
              <w:rPr>
                <w:rFonts w:ascii="Arial" w:cs="Arial" w:eastAsia="Arial" w:hAnsi="Arial"/>
                <w:sz w:val="13"/>
                <w:szCs w:val="13"/>
                <w:color w:val="auto"/>
                <w:w w:val="82"/>
              </w:rPr>
              <w:t>$</w:t>
            </w: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792,003</w:t>
            </w:r>
          </w:p>
        </w:tc>
        <w:tc>
          <w:tcPr>
            <w:tcW w:w="0" w:type="dxa"/>
            <w:vAlign w:val="bottom"/>
          </w:tcPr>
          <w:p>
            <w:pPr>
              <w:spacing w:after="0"/>
              <w:rPr>
                <w:sz w:val="1"/>
                <w:szCs w:val="1"/>
                <w:color w:val="auto"/>
              </w:rPr>
            </w:pPr>
          </w:p>
        </w:tc>
      </w:tr>
      <w:tr>
        <w:trPr>
          <w:trHeight w:val="152"/>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20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92,162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(2,037)</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90,125</w:t>
            </w:r>
          </w:p>
        </w:tc>
        <w:tc>
          <w:tcPr>
            <w:tcW w:w="0" w:type="dxa"/>
            <w:vAlign w:val="bottom"/>
          </w:tcPr>
          <w:p>
            <w:pPr>
              <w:spacing w:after="0"/>
              <w:rPr>
                <w:sz w:val="1"/>
                <w:szCs w:val="1"/>
                <w:color w:val="auto"/>
              </w:rPr>
            </w:pPr>
          </w:p>
        </w:tc>
      </w:tr>
      <w:tr>
        <w:trPr>
          <w:trHeight w:val="152"/>
        </w:trPr>
        <w:tc>
          <w:tcPr>
            <w:tcW w:w="286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2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143,777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w w:val="86"/>
              </w:rPr>
              <w:t>(10,165)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133,612</w:t>
            </w:r>
          </w:p>
        </w:tc>
        <w:tc>
          <w:tcPr>
            <w:tcW w:w="0" w:type="dxa"/>
            <w:vAlign w:val="bottom"/>
          </w:tcPr>
          <w:p>
            <w:pPr>
              <w:spacing w:after="0"/>
              <w:rPr>
                <w:sz w:val="1"/>
                <w:szCs w:val="1"/>
                <w:color w:val="auto"/>
              </w:rPr>
            </w:pPr>
          </w:p>
        </w:tc>
      </w:tr>
      <w:tr>
        <w:trPr>
          <w:trHeight w:val="152"/>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w w:val="91"/>
              </w:rPr>
              <w:t>Amortization of purchased intangible assets and other</w:t>
            </w:r>
          </w:p>
        </w:tc>
        <w:tc>
          <w:tcPr>
            <w:tcW w:w="20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13,302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6"/>
              </w:rPr>
              <w:t>(13,302)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3"/>
                <w:szCs w:val="13"/>
                <w:color w:val="auto"/>
              </w:rPr>
              <w:t>Total operating expenses</w:t>
            </w: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w w:val="82"/>
              </w:rPr>
              <w:t>1,053,248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w w:val="86"/>
              </w:rPr>
              <w:t>(13,302)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w w:val="86"/>
              </w:rPr>
              <w:t>(24,054)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(152)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1,015,740</w:t>
            </w:r>
          </w:p>
        </w:tc>
        <w:tc>
          <w:tcPr>
            <w:tcW w:w="0" w:type="dxa"/>
            <w:vAlign w:val="bottom"/>
          </w:tcPr>
          <w:p>
            <w:pPr>
              <w:spacing w:after="0"/>
              <w:rPr>
                <w:sz w:val="1"/>
                <w:szCs w:val="1"/>
                <w:color w:val="auto"/>
              </w:rPr>
            </w:pPr>
          </w:p>
        </w:tc>
      </w:tr>
      <w:tr>
        <w:trPr>
          <w:trHeight w:val="151"/>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00" w:type="dxa"/>
            <w:vAlign w:val="bottom"/>
            <w:tcBorders>
              <w:right w:val="single" w:sz="8" w:color="CCEEFF"/>
            </w:tcBorders>
            <w:shd w:val="clear" w:color="auto" w:fill="CCEEFF"/>
          </w:tcPr>
          <w:p>
            <w:pPr>
              <w:spacing w:after="0"/>
              <w:rPr>
                <w:sz w:val="13"/>
                <w:szCs w:val="13"/>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182,714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top w:val="single" w:sz="8" w:color="auto"/>
              <w:right w:val="single" w:sz="8" w:color="CCEEFF"/>
            </w:tcBorders>
            <w:shd w:val="clear" w:color="auto" w:fill="CCEEFF"/>
          </w:tcPr>
          <w:p>
            <w:pPr>
              <w:spacing w:after="0"/>
              <w:rPr>
                <w:sz w:val="13"/>
                <w:szCs w:val="13"/>
                <w:color w:val="auto"/>
              </w:rPr>
            </w:pPr>
          </w:p>
        </w:tc>
        <w:tc>
          <w:tcPr>
            <w:tcW w:w="5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5"/>
              </w:rPr>
              <w:t>13,302</w:t>
            </w:r>
          </w:p>
        </w:tc>
        <w:tc>
          <w:tcPr>
            <w:tcW w:w="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24,054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top w:val="single" w:sz="8" w:color="auto"/>
              <w:right w:val="single" w:sz="8" w:color="CCEEFF"/>
            </w:tcBorders>
            <w:shd w:val="clear" w:color="auto" w:fill="CCEEFF"/>
          </w:tcPr>
          <w:p>
            <w:pPr>
              <w:spacing w:after="0"/>
              <w:rPr>
                <w:sz w:val="13"/>
                <w:szCs w:val="13"/>
                <w:color w:val="auto"/>
              </w:rPr>
            </w:pPr>
          </w:p>
        </w:tc>
        <w:tc>
          <w:tcPr>
            <w:tcW w:w="32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220,222</w:t>
            </w:r>
          </w:p>
        </w:tc>
        <w:tc>
          <w:tcPr>
            <w:tcW w:w="0" w:type="dxa"/>
            <w:vAlign w:val="bottom"/>
          </w:tcPr>
          <w:p>
            <w:pPr>
              <w:spacing w:after="0"/>
              <w:rPr>
                <w:sz w:val="1"/>
                <w:szCs w:val="1"/>
                <w:color w:val="auto"/>
              </w:rPr>
            </w:pPr>
          </w:p>
        </w:tc>
      </w:tr>
      <w:tr>
        <w:trPr>
          <w:trHeight w:val="152"/>
        </w:trPr>
        <w:tc>
          <w:tcPr>
            <w:tcW w:w="2860" w:type="dxa"/>
            <w:vAlign w:val="bottom"/>
          </w:tcPr>
          <w:p>
            <w:pPr>
              <w:spacing w:after="0"/>
              <w:rPr>
                <w:sz w:val="20"/>
                <w:szCs w:val="20"/>
                <w:color w:val="auto"/>
              </w:rPr>
            </w:pPr>
            <w:r>
              <w:rPr>
                <w:rFonts w:ascii="Arial" w:cs="Arial" w:eastAsia="Arial" w:hAnsi="Arial"/>
                <w:sz w:val="13"/>
                <w:szCs w:val="13"/>
                <w:color w:val="auto"/>
              </w:rPr>
              <w:t>Interest and other expense, net</w:t>
            </w:r>
          </w:p>
        </w:tc>
        <w:tc>
          <w:tcPr>
            <w:tcW w:w="200" w:type="dxa"/>
            <w:vAlign w:val="bottom"/>
          </w:tcPr>
          <w:p>
            <w:pPr>
              <w:spacing w:after="0"/>
              <w:rPr>
                <w:sz w:val="13"/>
                <w:szCs w:val="13"/>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(4,421)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3"/>
                <w:szCs w:val="13"/>
                <w:color w:val="auto"/>
                <w:w w:val="82"/>
              </w:rPr>
              <w:t>$508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(3,913)</w:t>
            </w:r>
          </w:p>
        </w:tc>
        <w:tc>
          <w:tcPr>
            <w:tcW w:w="0" w:type="dxa"/>
            <w:vAlign w:val="bottom"/>
          </w:tcPr>
          <w:p>
            <w:pPr>
              <w:spacing w:after="0"/>
              <w:rPr>
                <w:sz w:val="1"/>
                <w:szCs w:val="1"/>
                <w:color w:val="auto"/>
              </w:rPr>
            </w:pPr>
          </w:p>
        </w:tc>
      </w:tr>
      <w:tr>
        <w:trPr>
          <w:trHeight w:val="152"/>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20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18,178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8,526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26,704</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160,115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w w:val="95"/>
              </w:rPr>
              <w:t>13,302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5"/>
              </w:rPr>
              <w:t>24,054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152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3"/>
                <w:szCs w:val="13"/>
                <w:color w:val="auto"/>
              </w:rPr>
              <w:t>508</w:t>
            </w:r>
          </w:p>
        </w:tc>
        <w:tc>
          <w:tcPr>
            <w:tcW w:w="80" w:type="dxa"/>
            <w:vAlign w:val="bottom"/>
          </w:tcPr>
          <w:p>
            <w:pPr>
              <w:spacing w:after="0"/>
              <w:rPr>
                <w:sz w:val="13"/>
                <w:szCs w:val="13"/>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3"/>
                <w:szCs w:val="13"/>
                <w:color w:val="auto"/>
              </w:rPr>
              <w:t>(8,526)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189,605</w:t>
            </w:r>
          </w:p>
        </w:tc>
        <w:tc>
          <w:tcPr>
            <w:tcW w:w="0" w:type="dxa"/>
            <w:vAlign w:val="bottom"/>
          </w:tcPr>
          <w:p>
            <w:pPr>
              <w:spacing w:after="0"/>
              <w:rPr>
                <w:sz w:val="1"/>
                <w:szCs w:val="1"/>
                <w:color w:val="auto"/>
              </w:rPr>
            </w:pPr>
          </w:p>
        </w:tc>
      </w:tr>
      <w:tr>
        <w:trPr>
          <w:trHeight w:val="151"/>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w w:val="99"/>
              </w:rPr>
              <w:t>Net income attributable to noncontrolling interests</w:t>
            </w:r>
          </w:p>
        </w:tc>
        <w:tc>
          <w:tcPr>
            <w:tcW w:w="200" w:type="dxa"/>
            <w:vAlign w:val="bottom"/>
            <w:tcBorders>
              <w:right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687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top w:val="single" w:sz="8" w:color="auto"/>
              <w:bottom w:val="single" w:sz="8" w:color="auto"/>
              <w:right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top w:val="single" w:sz="8" w:color="auto"/>
              <w:bottom w:val="single" w:sz="8" w:color="auto"/>
              <w:right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687</w:t>
            </w:r>
          </w:p>
        </w:tc>
        <w:tc>
          <w:tcPr>
            <w:tcW w:w="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60" w:type="dxa"/>
            <w:vAlign w:val="bottom"/>
          </w:tcPr>
          <w:p>
            <w:pPr>
              <w:spacing w:after="0"/>
              <w:rPr>
                <w:sz w:val="20"/>
                <w:szCs w:val="20"/>
                <w:color w:val="auto"/>
              </w:rPr>
            </w:pPr>
            <w:r>
              <w:rPr>
                <w:rFonts w:ascii="Arial" w:cs="Arial" w:eastAsia="Arial" w:hAnsi="Arial"/>
                <w:sz w:val="13"/>
                <w:szCs w:val="13"/>
                <w:color w:val="auto"/>
              </w:rPr>
              <w:t>Net income attributable to Amdocs Limited</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159,428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jc w:val="right"/>
              <w:ind w:right="67"/>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w w:val="95"/>
              </w:rPr>
              <w:t>13,302</w:t>
            </w:r>
          </w:p>
        </w:tc>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5"/>
              </w:rPr>
              <w:t>24,054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152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3"/>
                <w:szCs w:val="13"/>
                <w:u w:val="single" w:color="auto"/>
                <w:color w:val="auto"/>
                <w:w w:val="82"/>
              </w:rPr>
              <w:t>$</w:t>
            </w:r>
            <w:r>
              <w:rPr>
                <w:rFonts w:ascii="Arial" w:cs="Arial" w:eastAsia="Arial" w:hAnsi="Arial"/>
                <w:sz w:val="13"/>
                <w:szCs w:val="13"/>
                <w:color w:val="auto"/>
                <w:w w:val="82"/>
              </w:rPr>
              <w:t>508</w:t>
            </w:r>
          </w:p>
        </w:tc>
        <w:tc>
          <w:tcPr>
            <w:tcW w:w="80" w:type="dxa"/>
            <w:vAlign w:val="bottom"/>
          </w:tcPr>
          <w:p>
            <w:pPr>
              <w:spacing w:after="0"/>
              <w:rPr>
                <w:sz w:val="13"/>
                <w:szCs w:val="13"/>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3"/>
                <w:szCs w:val="13"/>
                <w:u w:val="single" w:color="auto"/>
                <w:color w:val="auto"/>
                <w:w w:val="86"/>
              </w:rPr>
              <w:t>$</w:t>
            </w:r>
            <w:r>
              <w:rPr>
                <w:rFonts w:ascii="Arial" w:cs="Arial" w:eastAsia="Arial" w:hAnsi="Arial"/>
                <w:sz w:val="13"/>
                <w:szCs w:val="13"/>
                <w:color w:val="auto"/>
                <w:w w:val="86"/>
              </w:rPr>
              <w:t>(8,526)</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188,918</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14"/>
          </w:tcPr>
          <w:p>
            <w:pPr>
              <w:jc w:val="right"/>
              <w:ind w:right="280"/>
              <w:spacing w:after="0"/>
              <w:rPr>
                <w:sz w:val="20"/>
                <w:szCs w:val="20"/>
                <w:color w:val="auto"/>
              </w:rPr>
            </w:pPr>
            <w:r>
              <w:rPr>
                <w:rFonts w:ascii="Arial" w:cs="Arial" w:eastAsia="Arial" w:hAnsi="Arial"/>
                <w:sz w:val="10"/>
                <w:szCs w:val="10"/>
                <w:b w:val="1"/>
                <w:bCs w:val="1"/>
                <w:color w:val="auto"/>
                <w:w w:val="91"/>
              </w:rPr>
              <w:t>Three Months Ended June 30, 2022</w:t>
            </w:r>
          </w:p>
        </w:tc>
        <w:tc>
          <w:tcPr>
            <w:tcW w:w="1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2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4"/>
          </w:tcPr>
          <w:p>
            <w:pPr>
              <w:jc w:val="center"/>
              <w:ind w:right="100"/>
              <w:spacing w:after="0" w:line="79" w:lineRule="exact"/>
              <w:rPr>
                <w:sz w:val="20"/>
                <w:szCs w:val="20"/>
                <w:color w:val="auto"/>
              </w:rPr>
            </w:pPr>
            <w:r>
              <w:rPr>
                <w:rFonts w:ascii="Arial" w:cs="Arial" w:eastAsia="Arial" w:hAnsi="Arial"/>
                <w:sz w:val="9"/>
                <w:szCs w:val="9"/>
                <w:b w:val="1"/>
                <w:bCs w:val="1"/>
                <w:color w:val="auto"/>
                <w:w w:val="98"/>
              </w:rPr>
              <w:t>Changes in</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tcPr>
          <w:p>
            <w:pPr>
              <w:jc w:val="center"/>
              <w:ind w:right="200"/>
              <w:spacing w:after="0" w:line="104" w:lineRule="exact"/>
              <w:rPr>
                <w:sz w:val="20"/>
                <w:szCs w:val="20"/>
                <w:color w:val="auto"/>
              </w:rPr>
            </w:pPr>
            <w:r>
              <w:rPr>
                <w:rFonts w:ascii="Arial" w:cs="Arial" w:eastAsia="Arial" w:hAnsi="Arial"/>
                <w:sz w:val="10"/>
                <w:szCs w:val="10"/>
                <w:b w:val="1"/>
                <w:bCs w:val="1"/>
                <w:color w:val="auto"/>
                <w:w w:val="91"/>
              </w:rPr>
              <w:t>certain</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4"/>
          </w:tcPr>
          <w:p>
            <w:pPr>
              <w:jc w:val="center"/>
              <w:ind w:right="100"/>
              <w:spacing w:after="0" w:line="104" w:lineRule="exact"/>
              <w:rPr>
                <w:sz w:val="20"/>
                <w:szCs w:val="20"/>
                <w:color w:val="auto"/>
              </w:rPr>
            </w:pPr>
            <w:r>
              <w:rPr>
                <w:rFonts w:ascii="Arial" w:cs="Arial" w:eastAsia="Arial" w:hAnsi="Arial"/>
                <w:sz w:val="10"/>
                <w:szCs w:val="10"/>
                <w:b w:val="1"/>
                <w:bCs w:val="1"/>
                <w:color w:val="auto"/>
                <w:w w:val="89"/>
              </w:rPr>
              <w:t>acquisitions</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4"/>
          </w:tcPr>
          <w:p>
            <w:pPr>
              <w:jc w:val="center"/>
              <w:spacing w:after="0" w:line="104" w:lineRule="exact"/>
              <w:rPr>
                <w:sz w:val="20"/>
                <w:szCs w:val="20"/>
                <w:color w:val="auto"/>
              </w:rPr>
            </w:pPr>
            <w:r>
              <w:rPr>
                <w:rFonts w:ascii="Arial" w:cs="Arial" w:eastAsia="Arial" w:hAnsi="Arial"/>
                <w:sz w:val="10"/>
                <w:szCs w:val="10"/>
                <w:b w:val="1"/>
                <w:bCs w:val="1"/>
                <w:color w:val="auto"/>
                <w:w w:val="94"/>
              </w:rPr>
              <w:t>Amortization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tcPr>
          <w:p>
            <w:pPr>
              <w:jc w:val="center"/>
              <w:ind w:right="200"/>
              <w:spacing w:after="0" w:line="104" w:lineRule="exact"/>
              <w:rPr>
                <w:sz w:val="20"/>
                <w:szCs w:val="20"/>
                <w:color w:val="auto"/>
              </w:rPr>
            </w:pPr>
            <w:r>
              <w:rPr>
                <w:rFonts w:ascii="Arial" w:cs="Arial" w:eastAsia="Arial" w:hAnsi="Arial"/>
                <w:sz w:val="10"/>
                <w:szCs w:val="10"/>
                <w:b w:val="1"/>
                <w:bCs w:val="1"/>
                <w:color w:val="auto"/>
                <w:w w:val="91"/>
              </w:rPr>
              <w:t>related</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3"/>
          </w:tcPr>
          <w:p>
            <w:pPr>
              <w:jc w:val="center"/>
              <w:ind w:right="100"/>
              <w:spacing w:after="0" w:line="104" w:lineRule="exact"/>
              <w:rPr>
                <w:sz w:val="20"/>
                <w:szCs w:val="20"/>
                <w:color w:val="auto"/>
              </w:rPr>
            </w:pPr>
            <w:r>
              <w:rPr>
                <w:rFonts w:ascii="Arial" w:cs="Arial" w:eastAsia="Arial" w:hAnsi="Arial"/>
                <w:sz w:val="10"/>
                <w:szCs w:val="10"/>
                <w:b w:val="1"/>
                <w:bCs w:val="1"/>
                <w:color w:val="auto"/>
                <w:w w:val="79"/>
              </w:rPr>
              <w:t>of purchased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4"/>
          </w:tcPr>
          <w:p>
            <w:pPr>
              <w:jc w:val="center"/>
              <w:ind w:right="100"/>
              <w:spacing w:after="0" w:line="104" w:lineRule="exact"/>
              <w:rPr>
                <w:sz w:val="20"/>
                <w:szCs w:val="20"/>
                <w:color w:val="auto"/>
              </w:rPr>
            </w:pPr>
            <w:r>
              <w:rPr>
                <w:rFonts w:ascii="Arial" w:cs="Arial" w:eastAsia="Arial" w:hAnsi="Arial"/>
                <w:sz w:val="10"/>
                <w:szCs w:val="10"/>
                <w:b w:val="1"/>
                <w:bCs w:val="1"/>
                <w:color w:val="auto"/>
                <w:w w:val="93"/>
              </w:rPr>
              <w:t>liabilities</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3"/>
          </w:tcPr>
          <w:p>
            <w:pPr>
              <w:jc w:val="center"/>
              <w:ind w:right="160"/>
              <w:spacing w:after="0" w:line="104" w:lineRule="exact"/>
              <w:rPr>
                <w:sz w:val="20"/>
                <w:szCs w:val="20"/>
                <w:color w:val="auto"/>
              </w:rPr>
            </w:pPr>
            <w:r>
              <w:rPr>
                <w:rFonts w:ascii="Arial" w:cs="Arial" w:eastAsia="Arial" w:hAnsi="Arial"/>
                <w:sz w:val="10"/>
                <w:szCs w:val="10"/>
                <w:b w:val="1"/>
                <w:bCs w:val="1"/>
                <w:color w:val="auto"/>
                <w:w w:val="93"/>
              </w:rPr>
              <w:t>intangible</w:t>
            </w:r>
          </w:p>
        </w:tc>
        <w:tc>
          <w:tcPr>
            <w:tcW w:w="120" w:type="dxa"/>
            <w:vAlign w:val="bottom"/>
          </w:tcPr>
          <w:p>
            <w:pPr>
              <w:spacing w:after="0"/>
              <w:rPr>
                <w:sz w:val="9"/>
                <w:szCs w:val="9"/>
                <w:color w:val="auto"/>
              </w:rPr>
            </w:pPr>
          </w:p>
        </w:tc>
        <w:tc>
          <w:tcPr>
            <w:tcW w:w="660" w:type="dxa"/>
            <w:vAlign w:val="bottom"/>
            <w:gridSpan w:val="4"/>
          </w:tcPr>
          <w:p>
            <w:pPr>
              <w:spacing w:after="0" w:line="104" w:lineRule="exact"/>
              <w:rPr>
                <w:sz w:val="20"/>
                <w:szCs w:val="20"/>
                <w:color w:val="auto"/>
              </w:rPr>
            </w:pPr>
            <w:r>
              <w:rPr>
                <w:rFonts w:ascii="Arial" w:cs="Arial" w:eastAsia="Arial" w:hAnsi="Arial"/>
                <w:sz w:val="10"/>
                <w:szCs w:val="10"/>
                <w:b w:val="1"/>
                <w:bCs w:val="1"/>
                <w:color w:val="auto"/>
              </w:rPr>
              <w:t>Equity based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4"/>
          </w:tcPr>
          <w:p>
            <w:pPr>
              <w:jc w:val="center"/>
              <w:ind w:right="120"/>
              <w:spacing w:after="0" w:line="104" w:lineRule="exact"/>
              <w:rPr>
                <w:sz w:val="20"/>
                <w:szCs w:val="20"/>
                <w:color w:val="auto"/>
              </w:rPr>
            </w:pPr>
            <w:r>
              <w:rPr>
                <w:rFonts w:ascii="Arial" w:cs="Arial" w:eastAsia="Arial" w:hAnsi="Arial"/>
                <w:sz w:val="10"/>
                <w:szCs w:val="10"/>
                <w:b w:val="1"/>
                <w:bCs w:val="1"/>
                <w:color w:val="auto"/>
                <w:w w:val="88"/>
              </w:rPr>
              <w:t>measured</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3"/>
          </w:tcPr>
          <w:p>
            <w:pPr>
              <w:jc w:val="center"/>
              <w:ind w:right="160"/>
              <w:spacing w:after="0" w:line="104" w:lineRule="exact"/>
              <w:rPr>
                <w:sz w:val="20"/>
                <w:szCs w:val="20"/>
                <w:color w:val="auto"/>
              </w:rPr>
            </w:pPr>
            <w:r>
              <w:rPr>
                <w:rFonts w:ascii="Arial" w:cs="Arial" w:eastAsia="Arial" w:hAnsi="Arial"/>
                <w:sz w:val="10"/>
                <w:szCs w:val="10"/>
                <w:b w:val="1"/>
                <w:bCs w:val="1"/>
                <w:color w:val="auto"/>
                <w:w w:val="85"/>
              </w:rPr>
              <w:t>assets and</w:t>
            </w:r>
          </w:p>
        </w:tc>
        <w:tc>
          <w:tcPr>
            <w:tcW w:w="780" w:type="dxa"/>
            <w:vAlign w:val="bottom"/>
            <w:gridSpan w:val="5"/>
          </w:tcPr>
          <w:p>
            <w:pPr>
              <w:ind w:left="100"/>
              <w:spacing w:after="0" w:line="104" w:lineRule="exact"/>
              <w:rPr>
                <w:sz w:val="20"/>
                <w:szCs w:val="20"/>
                <w:color w:val="auto"/>
              </w:rPr>
            </w:pPr>
            <w:r>
              <w:rPr>
                <w:rFonts w:ascii="Arial" w:cs="Arial" w:eastAsia="Arial" w:hAnsi="Arial"/>
                <w:sz w:val="10"/>
                <w:szCs w:val="10"/>
                <w:b w:val="1"/>
                <w:bCs w:val="1"/>
                <w:color w:val="auto"/>
                <w:w w:val="97"/>
              </w:rPr>
              <w:t>compensation</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tcPr>
          <w:p>
            <w:pPr>
              <w:jc w:val="center"/>
              <w:ind w:right="200"/>
              <w:spacing w:after="0" w:line="104" w:lineRule="exact"/>
              <w:rPr>
                <w:sz w:val="20"/>
                <w:szCs w:val="20"/>
                <w:color w:val="auto"/>
              </w:rPr>
            </w:pPr>
            <w:r>
              <w:rPr>
                <w:rFonts w:ascii="Arial" w:cs="Arial" w:eastAsia="Arial" w:hAnsi="Arial"/>
                <w:sz w:val="10"/>
                <w:szCs w:val="10"/>
                <w:b w:val="1"/>
                <w:bCs w:val="1"/>
                <w:color w:val="auto"/>
                <w:w w:val="95"/>
              </w:rPr>
              <w:t>at fair</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3"/>
          </w:tcPr>
          <w:p>
            <w:pPr>
              <w:ind w:left="40"/>
              <w:spacing w:after="0" w:line="104" w:lineRule="exact"/>
              <w:rPr>
                <w:sz w:val="20"/>
                <w:szCs w:val="20"/>
                <w:color w:val="auto"/>
              </w:rPr>
            </w:pPr>
            <w:r>
              <w:rPr>
                <w:rFonts w:ascii="Arial" w:cs="Arial" w:eastAsia="Arial" w:hAnsi="Arial"/>
                <w:sz w:val="10"/>
                <w:szCs w:val="10"/>
                <w:b w:val="1"/>
                <w:bCs w:val="1"/>
                <w:color w:val="auto"/>
              </w:rPr>
              <w:t>Tax</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0"/>
                <w:szCs w:val="10"/>
                <w:b w:val="1"/>
                <w:bCs w:val="1"/>
                <w:color w:val="auto"/>
              </w:rPr>
              <w:t>GAAP</w:t>
            </w:r>
          </w:p>
        </w:tc>
        <w:tc>
          <w:tcPr>
            <w:tcW w:w="180" w:type="dxa"/>
            <w:vAlign w:val="bottom"/>
          </w:tcPr>
          <w:p>
            <w:pPr>
              <w:spacing w:after="0"/>
              <w:rPr>
                <w:sz w:val="10"/>
                <w:szCs w:val="10"/>
                <w:color w:val="auto"/>
              </w:rPr>
            </w:pPr>
          </w:p>
        </w:tc>
        <w:tc>
          <w:tcPr>
            <w:tcW w:w="6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5"/>
              </w:rPr>
              <w:t>other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0"/>
                <w:szCs w:val="10"/>
                <w:b w:val="1"/>
                <w:bCs w:val="1"/>
                <w:color w:val="auto"/>
                <w:w w:val="89"/>
              </w:rPr>
              <w:t>expense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3"/>
              </w:rPr>
              <w:t>value</w:t>
            </w:r>
          </w:p>
        </w:tc>
        <w:tc>
          <w:tcPr>
            <w:tcW w:w="80" w:type="dxa"/>
            <w:vAlign w:val="bottom"/>
          </w:tcPr>
          <w:p>
            <w:pPr>
              <w:spacing w:after="0"/>
              <w:rPr>
                <w:sz w:val="10"/>
                <w:szCs w:val="10"/>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w w:val="89"/>
              </w:rPr>
              <w:t>Other</w:t>
            </w:r>
          </w:p>
        </w:tc>
        <w:tc>
          <w:tcPr>
            <w:tcW w:w="160" w:type="dxa"/>
            <w:vAlign w:val="bottom"/>
          </w:tcPr>
          <w:p>
            <w:pPr>
              <w:spacing w:after="0"/>
              <w:rPr>
                <w:sz w:val="10"/>
                <w:szCs w:val="10"/>
                <w:color w:val="auto"/>
              </w:rPr>
            </w:pPr>
          </w:p>
        </w:tc>
        <w:tc>
          <w:tcPr>
            <w:tcW w:w="440" w:type="dxa"/>
            <w:vAlign w:val="bottom"/>
            <w:gridSpan w:val="3"/>
          </w:tcPr>
          <w:p>
            <w:pPr>
              <w:spacing w:after="0"/>
              <w:rPr>
                <w:sz w:val="20"/>
                <w:szCs w:val="20"/>
                <w:color w:val="auto"/>
              </w:rPr>
            </w:pPr>
            <w:r>
              <w:rPr>
                <w:rFonts w:ascii="Arial" w:cs="Arial" w:eastAsia="Arial" w:hAnsi="Arial"/>
                <w:sz w:val="10"/>
                <w:szCs w:val="10"/>
                <w:b w:val="1"/>
                <w:bCs w:val="1"/>
                <w:color w:val="auto"/>
              </w:rPr>
              <w:t>effect</w:t>
            </w:r>
          </w:p>
        </w:tc>
        <w:tc>
          <w:tcPr>
            <w:tcW w:w="8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2"/>
              </w:rPr>
              <w:t>Non-GAAP</w:t>
            </w:r>
          </w:p>
        </w:tc>
        <w:tc>
          <w:tcPr>
            <w:tcW w:w="0" w:type="dxa"/>
            <w:vAlign w:val="bottom"/>
          </w:tcPr>
          <w:p>
            <w:pPr>
              <w:spacing w:after="0"/>
              <w:rPr>
                <w:sz w:val="1"/>
                <w:szCs w:val="1"/>
                <w:color w:val="auto"/>
              </w:rPr>
            </w:pPr>
          </w:p>
        </w:tc>
      </w:tr>
      <w:tr>
        <w:trPr>
          <w:trHeight w:val="132"/>
        </w:trPr>
        <w:tc>
          <w:tcPr>
            <w:tcW w:w="286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3"/>
                <w:szCs w:val="13"/>
                <w:color w:val="auto"/>
              </w:rPr>
              <w:t>Operating expenses:</w:t>
            </w: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20"/>
                <w:szCs w:val="20"/>
                <w:color w:val="auto"/>
              </w:rPr>
            </w:pPr>
            <w:r>
              <w:rPr>
                <w:rFonts w:ascii="Arial" w:cs="Arial" w:eastAsia="Arial" w:hAnsi="Arial"/>
                <w:sz w:val="13"/>
                <w:szCs w:val="13"/>
                <w:color w:val="auto"/>
              </w:rPr>
              <w:t>Cost of revenue</w:t>
            </w:r>
          </w:p>
        </w:tc>
        <w:tc>
          <w:tcPr>
            <w:tcW w:w="200" w:type="dxa"/>
            <w:vAlign w:val="bottom"/>
          </w:tcPr>
          <w:p>
            <w:pPr>
              <w:spacing w:after="0"/>
              <w:rPr>
                <w:sz w:val="13"/>
                <w:szCs w:val="13"/>
                <w:color w:val="auto"/>
              </w:rPr>
            </w:pP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$748,214</w:t>
            </w:r>
          </w:p>
        </w:tc>
        <w:tc>
          <w:tcPr>
            <w:tcW w:w="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rPr>
              <w:t>(8,523)</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ind w:right="100"/>
              <w:spacing w:after="0"/>
              <w:rPr>
                <w:sz w:val="20"/>
                <w:szCs w:val="20"/>
                <w:color w:val="auto"/>
              </w:rPr>
            </w:pPr>
            <w:r>
              <w:rPr>
                <w:rFonts w:ascii="Arial" w:cs="Arial" w:eastAsia="Arial" w:hAnsi="Arial"/>
                <w:sz w:val="13"/>
                <w:szCs w:val="13"/>
                <w:color w:val="auto"/>
              </w:rPr>
              <w:t>284</w:t>
            </w:r>
          </w:p>
        </w:tc>
        <w:tc>
          <w:tcPr>
            <w:tcW w:w="80" w:type="dxa"/>
            <w:vAlign w:val="bottom"/>
          </w:tcPr>
          <w:p>
            <w:pPr>
              <w:spacing w:after="0"/>
              <w:rPr>
                <w:sz w:val="13"/>
                <w:szCs w:val="13"/>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3"/>
                <w:szCs w:val="13"/>
                <w:color w:val="auto"/>
                <w:w w:val="88"/>
              </w:rPr>
              <w:t>$—</w:t>
            </w:r>
          </w:p>
        </w:tc>
        <w:tc>
          <w:tcPr>
            <w:tcW w:w="160" w:type="dxa"/>
            <w:vAlign w:val="bottom"/>
          </w:tcPr>
          <w:p>
            <w:pPr>
              <w:ind w:left="80"/>
              <w:spacing w:after="0"/>
              <w:rPr>
                <w:sz w:val="20"/>
                <w:szCs w:val="20"/>
                <w:color w:val="auto"/>
              </w:rPr>
            </w:pPr>
            <w:r>
              <w:rPr>
                <w:rFonts w:ascii="Arial" w:cs="Arial" w:eastAsia="Arial" w:hAnsi="Arial"/>
                <w:sz w:val="9"/>
                <w:szCs w:val="9"/>
                <w:color w:val="auto"/>
                <w:w w:val="78"/>
              </w:rPr>
              <w:t>$</w:t>
            </w:r>
          </w:p>
        </w:tc>
        <w:tc>
          <w:tcPr>
            <w:tcW w:w="44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$ 739,975</w:t>
            </w:r>
          </w:p>
        </w:tc>
        <w:tc>
          <w:tcPr>
            <w:tcW w:w="0" w:type="dxa"/>
            <w:vAlign w:val="bottom"/>
          </w:tcPr>
          <w:p>
            <w:pPr>
              <w:spacing w:after="0"/>
              <w:rPr>
                <w:sz w:val="1"/>
                <w:szCs w:val="1"/>
                <w:color w:val="auto"/>
              </w:rPr>
            </w:pPr>
          </w:p>
        </w:tc>
      </w:tr>
      <w:tr>
        <w:trPr>
          <w:trHeight w:val="152"/>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89,479</w:t>
            </w: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(1,495)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87,984</w:t>
            </w:r>
          </w:p>
        </w:tc>
        <w:tc>
          <w:tcPr>
            <w:tcW w:w="0" w:type="dxa"/>
            <w:vAlign w:val="bottom"/>
          </w:tcPr>
          <w:p>
            <w:pPr>
              <w:spacing w:after="0"/>
              <w:rPr>
                <w:sz w:val="1"/>
                <w:szCs w:val="1"/>
                <w:color w:val="auto"/>
              </w:rPr>
            </w:pPr>
          </w:p>
        </w:tc>
      </w:tr>
      <w:tr>
        <w:trPr>
          <w:trHeight w:val="152"/>
        </w:trPr>
        <w:tc>
          <w:tcPr>
            <w:tcW w:w="286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200" w:type="dxa"/>
            <w:vAlign w:val="bottom"/>
          </w:tcPr>
          <w:p>
            <w:pPr>
              <w:spacing w:after="0"/>
              <w:rPr>
                <w:sz w:val="13"/>
                <w:szCs w:val="13"/>
                <w:color w:val="auto"/>
              </w:rPr>
            </w:pP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136,110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rPr>
              <w:t>(8,104)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128,006</w:t>
            </w:r>
          </w:p>
        </w:tc>
        <w:tc>
          <w:tcPr>
            <w:tcW w:w="0" w:type="dxa"/>
            <w:vAlign w:val="bottom"/>
          </w:tcPr>
          <w:p>
            <w:pPr>
              <w:spacing w:after="0"/>
              <w:rPr>
                <w:sz w:val="1"/>
                <w:szCs w:val="1"/>
                <w:color w:val="auto"/>
              </w:rPr>
            </w:pPr>
          </w:p>
        </w:tc>
      </w:tr>
      <w:tr>
        <w:trPr>
          <w:trHeight w:val="152"/>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w w:val="91"/>
              </w:rPr>
              <w:t>Amortization of purchased intangible assets and other</w:t>
            </w: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17,173</w:t>
            </w: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(17,173)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3"/>
                <w:szCs w:val="13"/>
                <w:color w:val="auto"/>
              </w:rPr>
              <w:t>Total operating expenses</w:t>
            </w: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w w:val="97"/>
              </w:rPr>
              <w:t>990,976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(17,173)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rPr>
              <w:t>(18,122)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3"/>
                <w:szCs w:val="13"/>
                <w:color w:val="auto"/>
              </w:rPr>
              <w:t>284</w:t>
            </w:r>
          </w:p>
        </w:tc>
        <w:tc>
          <w:tcPr>
            <w:tcW w:w="80" w:type="dxa"/>
            <w:vAlign w:val="bottom"/>
          </w:tcPr>
          <w:p>
            <w:pPr>
              <w:spacing w:after="0"/>
              <w:rPr>
                <w:sz w:val="13"/>
                <w:szCs w:val="13"/>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44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955,965</w:t>
            </w:r>
          </w:p>
        </w:tc>
        <w:tc>
          <w:tcPr>
            <w:tcW w:w="0" w:type="dxa"/>
            <w:vAlign w:val="bottom"/>
          </w:tcPr>
          <w:p>
            <w:pPr>
              <w:spacing w:after="0"/>
              <w:rPr>
                <w:sz w:val="1"/>
                <w:szCs w:val="1"/>
                <w:color w:val="auto"/>
              </w:rPr>
            </w:pPr>
          </w:p>
        </w:tc>
      </w:tr>
      <w:tr>
        <w:trPr>
          <w:trHeight w:val="151"/>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169,314</w:t>
            </w: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17,173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18,122</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(284)</w:t>
            </w:r>
          </w:p>
        </w:tc>
        <w:tc>
          <w:tcPr>
            <w:tcW w:w="80" w:type="dxa"/>
            <w:vAlign w:val="bottom"/>
            <w:shd w:val="clear" w:color="auto" w:fill="CCEEFF"/>
          </w:tcPr>
          <w:p>
            <w:pPr>
              <w:spacing w:after="0"/>
              <w:rPr>
                <w:sz w:val="13"/>
                <w:szCs w:val="13"/>
                <w:color w:val="auto"/>
              </w:rPr>
            </w:pPr>
          </w:p>
        </w:tc>
        <w:tc>
          <w:tcPr>
            <w:tcW w:w="340" w:type="dxa"/>
            <w:vAlign w:val="bottom"/>
            <w:tcBorders>
              <w:top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spacing w:after="0"/>
              <w:rPr>
                <w:sz w:val="13"/>
                <w:szCs w:val="13"/>
                <w:color w:val="auto"/>
              </w:rPr>
            </w:pPr>
          </w:p>
        </w:tc>
        <w:tc>
          <w:tcPr>
            <w:tcW w:w="440" w:type="dxa"/>
            <w:vAlign w:val="bottom"/>
            <w:tcBorders>
              <w:top w:val="single" w:sz="8" w:color="auto"/>
            </w:tcBorders>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204,325</w:t>
            </w:r>
          </w:p>
        </w:tc>
        <w:tc>
          <w:tcPr>
            <w:tcW w:w="0" w:type="dxa"/>
            <w:vAlign w:val="bottom"/>
          </w:tcPr>
          <w:p>
            <w:pPr>
              <w:spacing w:after="0"/>
              <w:rPr>
                <w:sz w:val="1"/>
                <w:szCs w:val="1"/>
                <w:color w:val="auto"/>
              </w:rPr>
            </w:pPr>
          </w:p>
        </w:tc>
      </w:tr>
      <w:tr>
        <w:trPr>
          <w:trHeight w:val="152"/>
        </w:trPr>
        <w:tc>
          <w:tcPr>
            <w:tcW w:w="2860" w:type="dxa"/>
            <w:vAlign w:val="bottom"/>
          </w:tcPr>
          <w:p>
            <w:pPr>
              <w:spacing w:after="0"/>
              <w:rPr>
                <w:sz w:val="20"/>
                <w:szCs w:val="20"/>
                <w:color w:val="auto"/>
              </w:rPr>
            </w:pPr>
            <w:r>
              <w:rPr>
                <w:rFonts w:ascii="Arial" w:cs="Arial" w:eastAsia="Arial" w:hAnsi="Arial"/>
                <w:sz w:val="13"/>
                <w:szCs w:val="13"/>
                <w:color w:val="auto"/>
              </w:rPr>
              <w:t>Interest and other expense, net</w:t>
            </w:r>
          </w:p>
        </w:tc>
        <w:tc>
          <w:tcPr>
            <w:tcW w:w="200" w:type="dxa"/>
            <w:vAlign w:val="bottom"/>
          </w:tcPr>
          <w:p>
            <w:pPr>
              <w:spacing w:after="0"/>
              <w:rPr>
                <w:sz w:val="13"/>
                <w:szCs w:val="13"/>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3"/>
                <w:szCs w:val="13"/>
                <w:color w:val="auto"/>
              </w:rPr>
              <w:t>(7,811)</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4"/>
          </w:tcPr>
          <w:p>
            <w:pPr>
              <w:jc w:val="right"/>
              <w:ind w:right="80"/>
              <w:spacing w:after="0"/>
              <w:rPr>
                <w:sz w:val="20"/>
                <w:szCs w:val="20"/>
                <w:color w:val="auto"/>
              </w:rPr>
            </w:pPr>
            <w:r>
              <w:rPr>
                <w:rFonts w:ascii="Arial" w:cs="Arial" w:eastAsia="Arial" w:hAnsi="Arial"/>
                <w:sz w:val="13"/>
                <w:szCs w:val="13"/>
                <w:color w:val="auto"/>
              </w:rPr>
              <w:t>500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(7,311)</w:t>
            </w:r>
          </w:p>
        </w:tc>
        <w:tc>
          <w:tcPr>
            <w:tcW w:w="0" w:type="dxa"/>
            <w:vAlign w:val="bottom"/>
          </w:tcPr>
          <w:p>
            <w:pPr>
              <w:spacing w:after="0"/>
              <w:rPr>
                <w:sz w:val="1"/>
                <w:szCs w:val="1"/>
                <w:color w:val="auto"/>
              </w:rPr>
            </w:pPr>
          </w:p>
        </w:tc>
      </w:tr>
      <w:tr>
        <w:trPr>
          <w:trHeight w:val="152"/>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33,037</w:t>
            </w: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3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w w:val="79"/>
              </w:rPr>
              <w:t>7,457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40,494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60" w:type="dxa"/>
            <w:vAlign w:val="bottom"/>
          </w:tcPr>
          <w:p>
            <w:pPr>
              <w:spacing w:after="0"/>
              <w:rPr>
                <w:sz w:val="20"/>
                <w:szCs w:val="20"/>
                <w:color w:val="auto"/>
              </w:rPr>
            </w:pPr>
            <w:r>
              <w:rPr>
                <w:rFonts w:ascii="Arial" w:cs="Arial" w:eastAsia="Arial" w:hAnsi="Arial"/>
                <w:sz w:val="13"/>
                <w:szCs w:val="13"/>
                <w:color w:val="auto"/>
              </w:rPr>
              <w:t>Net income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u w:val="single" w:color="auto"/>
                <w:color w:val="auto"/>
                <w:w w:val="84"/>
              </w:rPr>
              <w:t>$</w:t>
            </w:r>
            <w:r>
              <w:rPr>
                <w:rFonts w:ascii="Arial" w:cs="Arial" w:eastAsia="Arial" w:hAnsi="Arial"/>
                <w:sz w:val="13"/>
                <w:szCs w:val="13"/>
                <w:color w:val="auto"/>
                <w:w w:val="84"/>
              </w:rPr>
              <w:t>128,466</w:t>
            </w:r>
          </w:p>
        </w:tc>
        <w:tc>
          <w:tcPr>
            <w:tcW w:w="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17,173</w:t>
            </w:r>
          </w:p>
        </w:tc>
        <w:tc>
          <w:tcPr>
            <w:tcW w:w="80" w:type="dxa"/>
            <w:vAlign w:val="bottom"/>
          </w:tcPr>
          <w:p>
            <w:pPr>
              <w:spacing w:after="0"/>
              <w:rPr>
                <w:sz w:val="13"/>
                <w:szCs w:val="13"/>
                <w:color w:val="auto"/>
              </w:rPr>
            </w:pP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18,122</w:t>
            </w:r>
          </w:p>
        </w:tc>
        <w:tc>
          <w:tcPr>
            <w:tcW w:w="8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ind w:right="60"/>
              <w:spacing w:after="0"/>
              <w:rPr>
                <w:sz w:val="20"/>
                <w:szCs w:val="20"/>
                <w:color w:val="auto"/>
              </w:rPr>
            </w:pPr>
            <w:r>
              <w:rPr>
                <w:rFonts w:ascii="Arial" w:cs="Arial" w:eastAsia="Arial" w:hAnsi="Arial"/>
                <w:sz w:val="13"/>
                <w:szCs w:val="13"/>
                <w:color w:val="auto"/>
              </w:rPr>
              <w:t>(284)</w:t>
            </w:r>
          </w:p>
        </w:tc>
        <w:tc>
          <w:tcPr>
            <w:tcW w:w="420" w:type="dxa"/>
            <w:vAlign w:val="bottom"/>
            <w:gridSpan w:val="4"/>
          </w:tcPr>
          <w:p>
            <w:pPr>
              <w:jc w:val="right"/>
              <w:ind w:right="80"/>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500</w:t>
            </w:r>
          </w:p>
        </w:tc>
        <w:tc>
          <w:tcPr>
            <w:tcW w:w="600" w:type="dxa"/>
            <w:vAlign w:val="bottom"/>
            <w:gridSpan w:val="4"/>
          </w:tcPr>
          <w:p>
            <w:pPr>
              <w:ind w:left="80"/>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(7,457)</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$ 156,520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383" w:right="1440"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43180"/>
                    </a:xfrm>
                    <a:prstGeom prst="rect">
                      <a:avLst/>
                    </a:prstGeom>
                    <a:noFill/>
                  </pic:spPr>
                </pic:pic>
              </a:graphicData>
            </a:graphic>
          </wp:anchor>
        </w:drawing>
        <w:t>AMDOCS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Reconciliation of Selected Financial Metrics from GAAP to Non-GAAP</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8"/>
          </w:tcPr>
          <w:p>
            <w:pPr>
              <w:ind w:left="280"/>
              <w:spacing w:after="0"/>
              <w:rPr>
                <w:sz w:val="20"/>
                <w:szCs w:val="20"/>
                <w:color w:val="auto"/>
              </w:rPr>
            </w:pPr>
            <w:r>
              <w:rPr>
                <w:rFonts w:ascii="Arial" w:cs="Arial" w:eastAsia="Arial" w:hAnsi="Arial"/>
                <w:sz w:val="10"/>
                <w:szCs w:val="10"/>
                <w:b w:val="1"/>
                <w:bCs w:val="1"/>
                <w:color w:val="auto"/>
                <w:w w:val="96"/>
              </w:rPr>
              <w:t>Nine Months Ended June 30, 2023</w:t>
            </w: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tcPr>
          <w:p>
            <w:pPr>
              <w:jc w:val="center"/>
              <w:ind w:right="140"/>
              <w:spacing w:after="0" w:line="79" w:lineRule="exact"/>
              <w:rPr>
                <w:sz w:val="20"/>
                <w:szCs w:val="20"/>
                <w:color w:val="auto"/>
              </w:rPr>
            </w:pPr>
            <w:r>
              <w:rPr>
                <w:rFonts w:ascii="Arial" w:cs="Arial" w:eastAsia="Arial" w:hAnsi="Arial"/>
                <w:sz w:val="9"/>
                <w:szCs w:val="9"/>
                <w:b w:val="1"/>
                <w:bCs w:val="1"/>
                <w:color w:val="auto"/>
                <w:w w:val="90"/>
              </w:rPr>
              <w:t>Changes in</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91"/>
              </w:rPr>
              <w:t>certain</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center"/>
              <w:ind w:right="140"/>
              <w:spacing w:after="0" w:line="104" w:lineRule="exact"/>
              <w:rPr>
                <w:sz w:val="20"/>
                <w:szCs w:val="20"/>
                <w:color w:val="auto"/>
              </w:rPr>
            </w:pPr>
            <w:r>
              <w:rPr>
                <w:rFonts w:ascii="Arial" w:cs="Arial" w:eastAsia="Arial" w:hAnsi="Arial"/>
                <w:sz w:val="10"/>
                <w:szCs w:val="10"/>
                <w:b w:val="1"/>
                <w:bCs w:val="1"/>
                <w:color w:val="auto"/>
                <w:w w:val="75"/>
              </w:rPr>
              <w:t>acquisitions</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ind w:left="40"/>
              <w:spacing w:after="0" w:line="104" w:lineRule="exact"/>
              <w:rPr>
                <w:sz w:val="20"/>
                <w:szCs w:val="20"/>
                <w:color w:val="auto"/>
              </w:rPr>
            </w:pPr>
            <w:r>
              <w:rPr>
                <w:rFonts w:ascii="Arial" w:cs="Arial" w:eastAsia="Arial" w:hAnsi="Arial"/>
                <w:sz w:val="10"/>
                <w:szCs w:val="10"/>
                <w:b w:val="1"/>
                <w:bCs w:val="1"/>
                <w:color w:val="auto"/>
              </w:rPr>
              <w:t>Amortization</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91"/>
              </w:rPr>
              <w:t>related</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w w:val="89"/>
              </w:rPr>
              <w:t>of purchased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88"/>
              </w:rPr>
              <w:t>liabilities</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40"/>
              <w:spacing w:after="0" w:line="104" w:lineRule="exact"/>
              <w:rPr>
                <w:sz w:val="20"/>
                <w:szCs w:val="20"/>
                <w:color w:val="auto"/>
              </w:rPr>
            </w:pPr>
            <w:r>
              <w:rPr>
                <w:rFonts w:ascii="Arial" w:cs="Arial" w:eastAsia="Arial" w:hAnsi="Arial"/>
                <w:sz w:val="10"/>
                <w:szCs w:val="10"/>
                <w:b w:val="1"/>
                <w:bCs w:val="1"/>
                <w:color w:val="auto"/>
                <w:w w:val="93"/>
              </w:rPr>
              <w:t>intangible</w:t>
            </w:r>
          </w:p>
        </w:tc>
        <w:tc>
          <w:tcPr>
            <w:tcW w:w="60" w:type="dxa"/>
            <w:vAlign w:val="bottom"/>
          </w:tcPr>
          <w:p>
            <w:pPr>
              <w:spacing w:after="0"/>
              <w:rPr>
                <w:sz w:val="9"/>
                <w:szCs w:val="9"/>
                <w:color w:val="auto"/>
              </w:rPr>
            </w:pPr>
          </w:p>
        </w:tc>
        <w:tc>
          <w:tcPr>
            <w:tcW w:w="680" w:type="dxa"/>
            <w:vAlign w:val="bottom"/>
            <w:gridSpan w:val="3"/>
          </w:tcPr>
          <w:p>
            <w:pPr>
              <w:ind w:left="20"/>
              <w:spacing w:after="0" w:line="104" w:lineRule="exact"/>
              <w:rPr>
                <w:sz w:val="20"/>
                <w:szCs w:val="20"/>
                <w:color w:val="auto"/>
              </w:rPr>
            </w:pPr>
            <w:r>
              <w:rPr>
                <w:rFonts w:ascii="Arial" w:cs="Arial" w:eastAsia="Arial" w:hAnsi="Arial"/>
                <w:sz w:val="10"/>
                <w:szCs w:val="10"/>
                <w:b w:val="1"/>
                <w:bCs w:val="1"/>
                <w:color w:val="auto"/>
              </w:rPr>
              <w:t>Equity based</w:t>
            </w:r>
          </w:p>
        </w:tc>
        <w:tc>
          <w:tcPr>
            <w:tcW w:w="120" w:type="dxa"/>
            <w:vAlign w:val="bottom"/>
          </w:tcPr>
          <w:p>
            <w:pPr>
              <w:spacing w:after="0"/>
              <w:rPr>
                <w:sz w:val="9"/>
                <w:szCs w:val="9"/>
                <w:color w:val="auto"/>
              </w:rPr>
            </w:pPr>
          </w:p>
        </w:tc>
        <w:tc>
          <w:tcPr>
            <w:tcW w:w="58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w w:val="84"/>
              </w:rPr>
              <w:t>measured</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40"/>
              <w:spacing w:after="0" w:line="104" w:lineRule="exact"/>
              <w:rPr>
                <w:sz w:val="20"/>
                <w:szCs w:val="20"/>
                <w:color w:val="auto"/>
              </w:rPr>
            </w:pPr>
            <w:r>
              <w:rPr>
                <w:rFonts w:ascii="Arial" w:cs="Arial" w:eastAsia="Arial" w:hAnsi="Arial"/>
                <w:sz w:val="10"/>
                <w:szCs w:val="10"/>
                <w:b w:val="1"/>
                <w:bCs w:val="1"/>
                <w:color w:val="auto"/>
                <w:w w:val="85"/>
              </w:rPr>
              <w:t>assets and</w:t>
            </w:r>
          </w:p>
        </w:tc>
        <w:tc>
          <w:tcPr>
            <w:tcW w:w="60" w:type="dxa"/>
            <w:vAlign w:val="bottom"/>
          </w:tcPr>
          <w:p>
            <w:pPr>
              <w:spacing w:after="0"/>
              <w:rPr>
                <w:sz w:val="9"/>
                <w:szCs w:val="9"/>
                <w:color w:val="auto"/>
              </w:rPr>
            </w:pPr>
          </w:p>
        </w:tc>
        <w:tc>
          <w:tcPr>
            <w:tcW w:w="68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w w:val="97"/>
              </w:rPr>
              <w:t>compensation</w:t>
            </w:r>
          </w:p>
        </w:tc>
        <w:tc>
          <w:tcPr>
            <w:tcW w:w="120" w:type="dxa"/>
            <w:vAlign w:val="bottom"/>
          </w:tcPr>
          <w:p>
            <w:pPr>
              <w:spacing w:after="0"/>
              <w:rPr>
                <w:sz w:val="9"/>
                <w:szCs w:val="9"/>
                <w:color w:val="auto"/>
              </w:rPr>
            </w:pPr>
          </w:p>
        </w:tc>
        <w:tc>
          <w:tcPr>
            <w:tcW w:w="58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95"/>
              </w:rPr>
              <w:t>at fair</w:t>
            </w:r>
          </w:p>
        </w:tc>
        <w:tc>
          <w:tcPr>
            <w:tcW w:w="640" w:type="dxa"/>
            <w:vAlign w:val="bottom"/>
            <w:gridSpan w:val="4"/>
          </w:tcPr>
          <w:p>
            <w:pPr>
              <w:jc w:val="center"/>
              <w:spacing w:after="0" w:line="104" w:lineRule="exact"/>
              <w:rPr>
                <w:sz w:val="20"/>
                <w:szCs w:val="20"/>
                <w:color w:val="auto"/>
              </w:rPr>
            </w:pPr>
            <w:r>
              <w:rPr>
                <w:rFonts w:ascii="Arial" w:cs="Arial" w:eastAsia="Arial" w:hAnsi="Arial"/>
                <w:sz w:val="10"/>
                <w:szCs w:val="10"/>
                <w:b w:val="1"/>
                <w:bCs w:val="1"/>
                <w:color w:val="auto"/>
                <w:w w:val="91"/>
              </w:rPr>
              <w:t>Restructuring</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92"/>
              </w:rPr>
              <w:t>Tax</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GAAP</w:t>
            </w:r>
          </w:p>
        </w:tc>
        <w:tc>
          <w:tcPr>
            <w:tcW w:w="100" w:type="dxa"/>
            <w:vAlign w:val="bottom"/>
          </w:tcPr>
          <w:p>
            <w:pPr>
              <w:spacing w:after="0"/>
              <w:rPr>
                <w:sz w:val="10"/>
                <w:szCs w:val="10"/>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other</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9"/>
              </w:rPr>
              <w:t>expense</w:t>
            </w:r>
          </w:p>
        </w:tc>
        <w:tc>
          <w:tcPr>
            <w:tcW w:w="120" w:type="dxa"/>
            <w:vAlign w:val="bottom"/>
          </w:tcPr>
          <w:p>
            <w:pPr>
              <w:spacing w:after="0"/>
              <w:rPr>
                <w:sz w:val="10"/>
                <w:szCs w:val="10"/>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5"/>
              </w:rPr>
              <w:t>value</w:t>
            </w:r>
          </w:p>
        </w:tc>
        <w:tc>
          <w:tcPr>
            <w:tcW w:w="100" w:type="dxa"/>
            <w:vAlign w:val="bottom"/>
          </w:tcPr>
          <w:p>
            <w:pPr>
              <w:spacing w:after="0"/>
              <w:rPr>
                <w:sz w:val="10"/>
                <w:szCs w:val="10"/>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8"/>
              </w:rPr>
              <w:t>charges</w:t>
            </w:r>
          </w:p>
        </w:tc>
        <w:tc>
          <w:tcPr>
            <w:tcW w:w="40" w:type="dxa"/>
            <w:vAlign w:val="bottom"/>
          </w:tcPr>
          <w:p>
            <w:pPr>
              <w:spacing w:after="0"/>
              <w:rPr>
                <w:sz w:val="10"/>
                <w:szCs w:val="10"/>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Other</w:t>
            </w:r>
          </w:p>
        </w:tc>
        <w:tc>
          <w:tcPr>
            <w:tcW w:w="100" w:type="dxa"/>
            <w:vAlign w:val="bottom"/>
          </w:tcPr>
          <w:p>
            <w:pPr>
              <w:spacing w:after="0"/>
              <w:rPr>
                <w:sz w:val="10"/>
                <w:szCs w:val="10"/>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effect</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Non-GAAP</w:t>
            </w:r>
          </w:p>
        </w:tc>
        <w:tc>
          <w:tcPr>
            <w:tcW w:w="0" w:type="dxa"/>
            <w:vAlign w:val="bottom"/>
          </w:tcPr>
          <w:p>
            <w:pPr>
              <w:spacing w:after="0"/>
              <w:rPr>
                <w:sz w:val="1"/>
                <w:szCs w:val="1"/>
                <w:color w:val="auto"/>
              </w:rPr>
            </w:pPr>
          </w:p>
        </w:tc>
      </w:tr>
      <w:tr>
        <w:trPr>
          <w:trHeight w:val="141"/>
        </w:trPr>
        <w:tc>
          <w:tcPr>
            <w:tcW w:w="25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Operating expenses:</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20"/>
                <w:szCs w:val="20"/>
                <w:color w:val="auto"/>
              </w:rPr>
            </w:pPr>
            <w:r>
              <w:rPr>
                <w:rFonts w:ascii="Arial" w:cs="Arial" w:eastAsia="Arial" w:hAnsi="Arial"/>
                <w:sz w:val="13"/>
                <w:szCs w:val="13"/>
                <w:color w:val="auto"/>
              </w:rPr>
              <w:t>Cost of revenue</w:t>
            </w: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$2,356,341</w:t>
            </w:r>
          </w:p>
        </w:tc>
        <w:tc>
          <w:tcPr>
            <w:tcW w:w="120" w:type="dxa"/>
            <w:vAlign w:val="bottom"/>
          </w:tcPr>
          <w:p>
            <w:pPr>
              <w:spacing w:after="0"/>
              <w:rPr>
                <w:sz w:val="13"/>
                <w:szCs w:val="13"/>
                <w:color w:val="auto"/>
              </w:rPr>
            </w:pP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(30,568)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(1,436)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w w:val="86"/>
              </w:rPr>
              <w:t>$2,324,337</w:t>
            </w:r>
          </w:p>
        </w:tc>
        <w:tc>
          <w:tcPr>
            <w:tcW w:w="0" w:type="dxa"/>
            <w:vAlign w:val="bottom"/>
          </w:tcPr>
          <w:p>
            <w:pPr>
              <w:spacing w:after="0"/>
              <w:rPr>
                <w:sz w:val="1"/>
                <w:szCs w:val="1"/>
                <w:color w:val="auto"/>
              </w:rPr>
            </w:pPr>
          </w:p>
        </w:tc>
      </w:tr>
      <w:tr>
        <w:trPr>
          <w:trHeight w:val="152"/>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277,162</w:t>
            </w:r>
          </w:p>
        </w:tc>
        <w:tc>
          <w:tcPr>
            <w:tcW w:w="12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(5,224)</w:t>
            </w:r>
          </w:p>
        </w:tc>
        <w:tc>
          <w:tcPr>
            <w:tcW w:w="12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271,938</w:t>
            </w:r>
          </w:p>
        </w:tc>
        <w:tc>
          <w:tcPr>
            <w:tcW w:w="0" w:type="dxa"/>
            <w:vAlign w:val="bottom"/>
          </w:tcPr>
          <w:p>
            <w:pPr>
              <w:spacing w:after="0"/>
              <w:rPr>
                <w:sz w:val="1"/>
                <w:szCs w:val="1"/>
                <w:color w:val="auto"/>
              </w:rPr>
            </w:pPr>
          </w:p>
        </w:tc>
      </w:tr>
      <w:tr>
        <w:trPr>
          <w:trHeight w:val="152"/>
        </w:trPr>
        <w:tc>
          <w:tcPr>
            <w:tcW w:w="250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430,327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(29,113)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401,214</w:t>
            </w:r>
          </w:p>
        </w:tc>
        <w:tc>
          <w:tcPr>
            <w:tcW w:w="0" w:type="dxa"/>
            <w:vAlign w:val="bottom"/>
          </w:tcPr>
          <w:p>
            <w:pPr>
              <w:spacing w:after="0"/>
              <w:rPr>
                <w:sz w:val="1"/>
                <w:szCs w:val="1"/>
                <w:color w:val="auto"/>
              </w:rPr>
            </w:pPr>
          </w:p>
        </w:tc>
      </w:tr>
      <w:tr>
        <w:trPr>
          <w:trHeight w:val="143"/>
        </w:trPr>
        <w:tc>
          <w:tcPr>
            <w:tcW w:w="25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w w:val="89"/>
              </w:rPr>
              <w:t>Amortization of purchased intangible assets and</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41,555</w:t>
            </w:r>
          </w:p>
        </w:tc>
        <w:tc>
          <w:tcPr>
            <w:tcW w:w="12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(41,555)</w:t>
            </w:r>
          </w:p>
        </w:tc>
        <w:tc>
          <w:tcPr>
            <w:tcW w:w="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500" w:type="dxa"/>
            <w:vAlign w:val="bottom"/>
          </w:tcPr>
          <w:p>
            <w:pPr>
              <w:spacing w:after="0"/>
              <w:rPr>
                <w:sz w:val="20"/>
                <w:szCs w:val="20"/>
                <w:color w:val="auto"/>
              </w:rPr>
            </w:pPr>
            <w:r>
              <w:rPr>
                <w:rFonts w:ascii="Arial" w:cs="Arial" w:eastAsia="Arial" w:hAnsi="Arial"/>
                <w:sz w:val="13"/>
                <w:szCs w:val="13"/>
                <w:color w:val="auto"/>
              </w:rPr>
              <w:t>Restructuring charges</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24,536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3"/>
                <w:szCs w:val="13"/>
                <w:color w:val="auto"/>
              </w:rPr>
              <w:t>(24,536)</w:t>
            </w: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3,129,921</w:t>
            </w:r>
          </w:p>
        </w:tc>
        <w:tc>
          <w:tcPr>
            <w:tcW w:w="12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(41,555)</w:t>
            </w:r>
          </w:p>
        </w:tc>
        <w:tc>
          <w:tcPr>
            <w:tcW w:w="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(64,905)</w:t>
            </w:r>
          </w:p>
        </w:tc>
        <w:tc>
          <w:tcPr>
            <w:tcW w:w="120" w:type="dxa"/>
            <w:vAlign w:val="bottom"/>
            <w:tcBorders>
              <w:right w:val="single" w:sz="8" w:color="CCEEFF"/>
            </w:tcBorders>
            <w:shd w:val="clear" w:color="auto" w:fill="CCEEFF"/>
          </w:tcPr>
          <w:p>
            <w:pPr>
              <w:spacing w:after="0"/>
              <w:rPr>
                <w:sz w:val="13"/>
                <w:szCs w:val="13"/>
                <w:color w:val="auto"/>
              </w:rPr>
            </w:pPr>
          </w:p>
        </w:tc>
        <w:tc>
          <w:tcPr>
            <w:tcW w:w="5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(1,436)</w:t>
            </w:r>
          </w:p>
        </w:tc>
        <w:tc>
          <w:tcPr>
            <w:tcW w:w="10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21"/>
              <w:spacing w:after="0"/>
              <w:rPr>
                <w:sz w:val="20"/>
                <w:szCs w:val="20"/>
                <w:color w:val="auto"/>
              </w:rPr>
            </w:pPr>
            <w:r>
              <w:rPr>
                <w:rFonts w:ascii="Arial" w:cs="Arial" w:eastAsia="Arial" w:hAnsi="Arial"/>
                <w:sz w:val="13"/>
                <w:szCs w:val="13"/>
                <w:color w:val="auto"/>
              </w:rPr>
              <w:t>(24,536)</w:t>
            </w:r>
          </w:p>
        </w:tc>
        <w:tc>
          <w:tcPr>
            <w:tcW w:w="22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2,997,489</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3"/>
                <w:szCs w:val="13"/>
                <w:color w:val="auto"/>
              </w:rPr>
              <w:t>Operating income</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515,065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41,555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64,905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1,436</w:t>
            </w:r>
          </w:p>
        </w:tc>
        <w:tc>
          <w:tcPr>
            <w:tcW w:w="10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24,536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647,497</w:t>
            </w:r>
          </w:p>
        </w:tc>
        <w:tc>
          <w:tcPr>
            <w:tcW w:w="0" w:type="dxa"/>
            <w:vAlign w:val="bottom"/>
          </w:tcPr>
          <w:p>
            <w:pPr>
              <w:spacing w:after="0"/>
              <w:rPr>
                <w:sz w:val="1"/>
                <w:szCs w:val="1"/>
                <w:color w:val="auto"/>
              </w:rPr>
            </w:pPr>
          </w:p>
        </w:tc>
      </w:tr>
      <w:tr>
        <w:trPr>
          <w:trHeight w:val="152"/>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Interest and other expense, net</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(12,322)</w:t>
            </w:r>
          </w:p>
        </w:tc>
        <w:tc>
          <w:tcPr>
            <w:tcW w:w="10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508</w:t>
            </w:r>
          </w:p>
        </w:tc>
        <w:tc>
          <w:tcPr>
            <w:tcW w:w="10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(11,814)</w:t>
            </w:r>
          </w:p>
        </w:tc>
        <w:tc>
          <w:tcPr>
            <w:tcW w:w="0" w:type="dxa"/>
            <w:vAlign w:val="bottom"/>
          </w:tcPr>
          <w:p>
            <w:pPr>
              <w:spacing w:after="0"/>
              <w:rPr>
                <w:sz w:val="1"/>
                <w:szCs w:val="1"/>
                <w:color w:val="auto"/>
              </w:rPr>
            </w:pPr>
          </w:p>
        </w:tc>
      </w:tr>
      <w:tr>
        <w:trPr>
          <w:trHeight w:val="152"/>
        </w:trPr>
        <w:tc>
          <w:tcPr>
            <w:tcW w:w="2500" w:type="dxa"/>
            <w:vAlign w:val="bottom"/>
          </w:tcPr>
          <w:p>
            <w:pPr>
              <w:spacing w:after="0"/>
              <w:rPr>
                <w:sz w:val="20"/>
                <w:szCs w:val="20"/>
                <w:color w:val="auto"/>
              </w:rPr>
            </w:pPr>
            <w:r>
              <w:rPr>
                <w:rFonts w:ascii="Arial" w:cs="Arial" w:eastAsia="Arial" w:hAnsi="Arial"/>
                <w:sz w:val="13"/>
                <w:szCs w:val="13"/>
                <w:color w:val="auto"/>
              </w:rPr>
              <w:t>Income tax expense</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62,447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27,791</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90,238</w:t>
            </w:r>
          </w:p>
        </w:tc>
        <w:tc>
          <w:tcPr>
            <w:tcW w:w="0" w:type="dxa"/>
            <w:vAlign w:val="bottom"/>
          </w:tcPr>
          <w:p>
            <w:pPr>
              <w:spacing w:after="0"/>
              <w:rPr>
                <w:sz w:val="1"/>
                <w:szCs w:val="1"/>
                <w:color w:val="auto"/>
              </w:rPr>
            </w:pPr>
          </w:p>
        </w:tc>
      </w:tr>
      <w:tr>
        <w:trPr>
          <w:trHeight w:val="15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440,296</w:t>
            </w:r>
          </w:p>
        </w:tc>
        <w:tc>
          <w:tcPr>
            <w:tcW w:w="12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41,555</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64,905</w:t>
            </w:r>
          </w:p>
        </w:tc>
        <w:tc>
          <w:tcPr>
            <w:tcW w:w="10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1,436</w:t>
            </w:r>
          </w:p>
        </w:tc>
        <w:tc>
          <w:tcPr>
            <w:tcW w:w="10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24,536</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508</w:t>
            </w:r>
          </w:p>
        </w:tc>
        <w:tc>
          <w:tcPr>
            <w:tcW w:w="10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6"/>
              </w:rPr>
              <w:t>(27,791)</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545,445</w:t>
            </w:r>
          </w:p>
        </w:tc>
        <w:tc>
          <w:tcPr>
            <w:tcW w:w="0" w:type="dxa"/>
            <w:vAlign w:val="bottom"/>
          </w:tcPr>
          <w:p>
            <w:pPr>
              <w:spacing w:after="0"/>
              <w:rPr>
                <w:sz w:val="1"/>
                <w:szCs w:val="1"/>
                <w:color w:val="auto"/>
              </w:rPr>
            </w:pPr>
          </w:p>
        </w:tc>
      </w:tr>
      <w:tr>
        <w:trPr>
          <w:trHeight w:val="142"/>
        </w:trPr>
        <w:tc>
          <w:tcPr>
            <w:tcW w:w="2500" w:type="dxa"/>
            <w:vAlign w:val="bottom"/>
          </w:tcPr>
          <w:p>
            <w:pPr>
              <w:spacing w:after="0" w:line="142" w:lineRule="exact"/>
              <w:rPr>
                <w:sz w:val="20"/>
                <w:szCs w:val="20"/>
                <w:color w:val="auto"/>
              </w:rPr>
            </w:pPr>
            <w:r>
              <w:rPr>
                <w:rFonts w:ascii="Arial" w:cs="Arial" w:eastAsia="Arial" w:hAnsi="Arial"/>
                <w:sz w:val="13"/>
                <w:szCs w:val="13"/>
                <w:color w:val="auto"/>
              </w:rPr>
              <w:t>Net income attributable to noncontrolling</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500" w:type="dxa"/>
            <w:vAlign w:val="bottom"/>
          </w:tcPr>
          <w:p>
            <w:pPr>
              <w:ind w:left="12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1,598</w:t>
            </w:r>
          </w:p>
        </w:tc>
        <w:tc>
          <w:tcPr>
            <w:tcW w:w="0" w:type="dxa"/>
            <w:vAlign w:val="bottom"/>
          </w:tcPr>
          <w:p>
            <w:pPr>
              <w:spacing w:after="0"/>
              <w:rPr>
                <w:sz w:val="1"/>
                <w:szCs w:val="1"/>
                <w:color w:val="auto"/>
              </w:rPr>
            </w:pPr>
          </w:p>
        </w:tc>
      </w:tr>
      <w:tr>
        <w:trPr>
          <w:trHeight w:val="15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Amdocs Limited</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438,698</w:t>
            </w:r>
          </w:p>
        </w:tc>
        <w:tc>
          <w:tcPr>
            <w:tcW w:w="12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41,555</w:t>
            </w:r>
          </w:p>
        </w:tc>
        <w:tc>
          <w:tcPr>
            <w:tcW w:w="100" w:type="dxa"/>
            <w:vAlign w:val="bottom"/>
            <w:tcBorders>
              <w:left w:val="single" w:sz="8" w:color="CCEEFF"/>
            </w:tcBorders>
            <w:shd w:val="clear" w:color="auto" w:fill="CCEEFF"/>
          </w:tcPr>
          <w:p>
            <w:pPr>
              <w:spacing w:after="0"/>
              <w:rPr>
                <w:sz w:val="13"/>
                <w:szCs w:val="13"/>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64,905</w:t>
            </w:r>
          </w:p>
        </w:tc>
        <w:tc>
          <w:tcPr>
            <w:tcW w:w="10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1,436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24,536</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508</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6"/>
              </w:rPr>
              <w:t>(27,791)</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  543,847</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8"/>
          </w:tcPr>
          <w:p>
            <w:pPr>
              <w:ind w:left="260"/>
              <w:spacing w:after="0"/>
              <w:rPr>
                <w:sz w:val="20"/>
                <w:szCs w:val="20"/>
                <w:color w:val="auto"/>
              </w:rPr>
            </w:pPr>
            <w:r>
              <w:rPr>
                <w:rFonts w:ascii="Arial" w:cs="Arial" w:eastAsia="Arial" w:hAnsi="Arial"/>
                <w:sz w:val="10"/>
                <w:szCs w:val="10"/>
                <w:b w:val="1"/>
                <w:bCs w:val="1"/>
                <w:color w:val="auto"/>
                <w:w w:val="98"/>
              </w:rPr>
              <w:t>Nine Months Ended June 30, 2022</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tcPr>
          <w:p>
            <w:pPr>
              <w:jc w:val="center"/>
              <w:ind w:right="180"/>
              <w:spacing w:after="0" w:line="79" w:lineRule="exact"/>
              <w:rPr>
                <w:sz w:val="20"/>
                <w:szCs w:val="20"/>
                <w:color w:val="auto"/>
              </w:rPr>
            </w:pPr>
            <w:r>
              <w:rPr>
                <w:rFonts w:ascii="Arial" w:cs="Arial" w:eastAsia="Arial" w:hAnsi="Arial"/>
                <w:sz w:val="9"/>
                <w:szCs w:val="9"/>
                <w:b w:val="1"/>
                <w:bCs w:val="1"/>
                <w:color w:val="auto"/>
                <w:w w:val="82"/>
              </w:rPr>
              <w:t>Changes in</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center"/>
              <w:ind w:right="240"/>
              <w:spacing w:after="0" w:line="104" w:lineRule="exact"/>
              <w:rPr>
                <w:sz w:val="20"/>
                <w:szCs w:val="20"/>
                <w:color w:val="auto"/>
              </w:rPr>
            </w:pPr>
            <w:r>
              <w:rPr>
                <w:rFonts w:ascii="Arial" w:cs="Arial" w:eastAsia="Arial" w:hAnsi="Arial"/>
                <w:sz w:val="10"/>
                <w:szCs w:val="10"/>
                <w:b w:val="1"/>
                <w:bCs w:val="1"/>
                <w:color w:val="auto"/>
                <w:w w:val="91"/>
              </w:rPr>
              <w:t>certain</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jc w:val="center"/>
              <w:ind w:right="120"/>
              <w:spacing w:after="0" w:line="104" w:lineRule="exact"/>
              <w:rPr>
                <w:sz w:val="20"/>
                <w:szCs w:val="20"/>
                <w:color w:val="auto"/>
              </w:rPr>
            </w:pPr>
            <w:r>
              <w:rPr>
                <w:rFonts w:ascii="Arial" w:cs="Arial" w:eastAsia="Arial" w:hAnsi="Arial"/>
                <w:sz w:val="10"/>
                <w:szCs w:val="10"/>
                <w:b w:val="1"/>
                <w:bCs w:val="1"/>
                <w:color w:val="auto"/>
                <w:w w:val="85"/>
              </w:rPr>
              <w:t>acquisitions</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jc w:val="center"/>
              <w:ind w:right="100"/>
              <w:spacing w:after="0" w:line="104" w:lineRule="exact"/>
              <w:rPr>
                <w:sz w:val="20"/>
                <w:szCs w:val="20"/>
                <w:color w:val="auto"/>
              </w:rPr>
            </w:pPr>
            <w:r>
              <w:rPr>
                <w:rFonts w:ascii="Arial" w:cs="Arial" w:eastAsia="Arial" w:hAnsi="Arial"/>
                <w:sz w:val="10"/>
                <w:szCs w:val="10"/>
                <w:b w:val="1"/>
                <w:bCs w:val="1"/>
                <w:color w:val="auto"/>
                <w:w w:val="94"/>
              </w:rPr>
              <w:t>Amortization</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center"/>
              <w:ind w:right="240"/>
              <w:spacing w:after="0" w:line="104" w:lineRule="exact"/>
              <w:rPr>
                <w:sz w:val="20"/>
                <w:szCs w:val="20"/>
                <w:color w:val="auto"/>
              </w:rPr>
            </w:pPr>
            <w:r>
              <w:rPr>
                <w:rFonts w:ascii="Arial" w:cs="Arial" w:eastAsia="Arial" w:hAnsi="Arial"/>
                <w:sz w:val="10"/>
                <w:szCs w:val="10"/>
                <w:b w:val="1"/>
                <w:bCs w:val="1"/>
                <w:color w:val="auto"/>
                <w:w w:val="91"/>
              </w:rPr>
              <w:t>related</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ind w:left="20"/>
              <w:spacing w:after="0" w:line="104" w:lineRule="exact"/>
              <w:rPr>
                <w:sz w:val="20"/>
                <w:szCs w:val="20"/>
                <w:color w:val="auto"/>
              </w:rPr>
            </w:pPr>
            <w:r>
              <w:rPr>
                <w:rFonts w:ascii="Arial" w:cs="Arial" w:eastAsia="Arial" w:hAnsi="Arial"/>
                <w:sz w:val="10"/>
                <w:szCs w:val="10"/>
                <w:b w:val="1"/>
                <w:bCs w:val="1"/>
                <w:color w:val="auto"/>
              </w:rPr>
              <w:t>of purchased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center"/>
              <w:ind w:right="220"/>
              <w:spacing w:after="0" w:line="104" w:lineRule="exact"/>
              <w:rPr>
                <w:sz w:val="20"/>
                <w:szCs w:val="20"/>
                <w:color w:val="auto"/>
              </w:rPr>
            </w:pPr>
            <w:r>
              <w:rPr>
                <w:rFonts w:ascii="Arial" w:cs="Arial" w:eastAsia="Arial" w:hAnsi="Arial"/>
                <w:sz w:val="10"/>
                <w:szCs w:val="10"/>
                <w:b w:val="1"/>
                <w:bCs w:val="1"/>
                <w:color w:val="auto"/>
                <w:w w:val="83"/>
              </w:rPr>
              <w:t>liabilities</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60"/>
              <w:spacing w:after="0" w:line="104" w:lineRule="exact"/>
              <w:rPr>
                <w:sz w:val="20"/>
                <w:szCs w:val="20"/>
                <w:color w:val="auto"/>
              </w:rPr>
            </w:pPr>
            <w:r>
              <w:rPr>
                <w:rFonts w:ascii="Arial" w:cs="Arial" w:eastAsia="Arial" w:hAnsi="Arial"/>
                <w:sz w:val="10"/>
                <w:szCs w:val="10"/>
                <w:b w:val="1"/>
                <w:bCs w:val="1"/>
                <w:color w:val="auto"/>
                <w:w w:val="88"/>
              </w:rPr>
              <w:t>intangible</w:t>
            </w:r>
          </w:p>
        </w:tc>
        <w:tc>
          <w:tcPr>
            <w:tcW w:w="60" w:type="dxa"/>
            <w:vAlign w:val="bottom"/>
          </w:tcPr>
          <w:p>
            <w:pPr>
              <w:spacing w:after="0"/>
              <w:rPr>
                <w:sz w:val="9"/>
                <w:szCs w:val="9"/>
                <w:color w:val="auto"/>
              </w:rPr>
            </w:pPr>
          </w:p>
        </w:tc>
        <w:tc>
          <w:tcPr>
            <w:tcW w:w="680" w:type="dxa"/>
            <w:vAlign w:val="bottom"/>
            <w:gridSpan w:val="3"/>
          </w:tcPr>
          <w:p>
            <w:pPr>
              <w:jc w:val="right"/>
              <w:ind w:right="120"/>
              <w:spacing w:after="0" w:line="104" w:lineRule="exact"/>
              <w:rPr>
                <w:sz w:val="20"/>
                <w:szCs w:val="20"/>
                <w:color w:val="auto"/>
              </w:rPr>
            </w:pPr>
            <w:r>
              <w:rPr>
                <w:rFonts w:ascii="Arial" w:cs="Arial" w:eastAsia="Arial" w:hAnsi="Arial"/>
                <w:sz w:val="10"/>
                <w:szCs w:val="10"/>
                <w:b w:val="1"/>
                <w:bCs w:val="1"/>
                <w:color w:val="auto"/>
                <w:w w:val="86"/>
              </w:rPr>
              <w:t>Equity based</w:t>
            </w:r>
          </w:p>
        </w:tc>
        <w:tc>
          <w:tcPr>
            <w:tcW w:w="120" w:type="dxa"/>
            <w:vAlign w:val="bottom"/>
          </w:tcPr>
          <w:p>
            <w:pPr>
              <w:spacing w:after="0"/>
              <w:rPr>
                <w:sz w:val="9"/>
                <w:szCs w:val="9"/>
                <w:color w:val="auto"/>
              </w:rPr>
            </w:pPr>
          </w:p>
        </w:tc>
        <w:tc>
          <w:tcPr>
            <w:tcW w:w="58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80"/>
              </w:rPr>
              <w:t>measured</w:t>
            </w:r>
          </w:p>
        </w:tc>
        <w:tc>
          <w:tcPr>
            <w:tcW w:w="600" w:type="dxa"/>
            <w:vAlign w:val="bottom"/>
            <w:gridSpan w:val="3"/>
          </w:tcPr>
          <w:p>
            <w:pPr>
              <w:jc w:val="center"/>
              <w:ind w:right="160"/>
              <w:spacing w:after="0" w:line="104" w:lineRule="exact"/>
              <w:rPr>
                <w:sz w:val="20"/>
                <w:szCs w:val="20"/>
                <w:color w:val="auto"/>
              </w:rPr>
            </w:pPr>
            <w:r>
              <w:rPr>
                <w:rFonts w:ascii="Arial" w:cs="Arial" w:eastAsia="Arial" w:hAnsi="Arial"/>
                <w:sz w:val="10"/>
                <w:szCs w:val="10"/>
                <w:b w:val="1"/>
                <w:bCs w:val="1"/>
                <w:color w:val="auto"/>
                <w:w w:val="93"/>
              </w:rPr>
              <w:t>Gain from</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60"/>
              <w:spacing w:after="0" w:line="104" w:lineRule="exact"/>
              <w:rPr>
                <w:sz w:val="20"/>
                <w:szCs w:val="20"/>
                <w:color w:val="auto"/>
              </w:rPr>
            </w:pPr>
            <w:r>
              <w:rPr>
                <w:rFonts w:ascii="Arial" w:cs="Arial" w:eastAsia="Arial" w:hAnsi="Arial"/>
                <w:sz w:val="10"/>
                <w:szCs w:val="10"/>
                <w:b w:val="1"/>
                <w:bCs w:val="1"/>
                <w:color w:val="auto"/>
                <w:w w:val="81"/>
              </w:rPr>
              <w:t>assets and</w:t>
            </w:r>
          </w:p>
        </w:tc>
        <w:tc>
          <w:tcPr>
            <w:tcW w:w="740" w:type="dxa"/>
            <w:vAlign w:val="bottom"/>
            <w:gridSpan w:val="4"/>
          </w:tcPr>
          <w:p>
            <w:pPr>
              <w:ind w:left="40"/>
              <w:spacing w:after="0" w:line="104" w:lineRule="exact"/>
              <w:rPr>
                <w:sz w:val="20"/>
                <w:szCs w:val="20"/>
                <w:color w:val="auto"/>
              </w:rPr>
            </w:pPr>
            <w:r>
              <w:rPr>
                <w:rFonts w:ascii="Arial" w:cs="Arial" w:eastAsia="Arial" w:hAnsi="Arial"/>
                <w:sz w:val="10"/>
                <w:szCs w:val="10"/>
                <w:b w:val="1"/>
                <w:bCs w:val="1"/>
                <w:color w:val="auto"/>
              </w:rPr>
              <w:t>compensation</w:t>
            </w:r>
          </w:p>
        </w:tc>
        <w:tc>
          <w:tcPr>
            <w:tcW w:w="120" w:type="dxa"/>
            <w:vAlign w:val="bottom"/>
          </w:tcPr>
          <w:p>
            <w:pPr>
              <w:spacing w:after="0"/>
              <w:rPr>
                <w:sz w:val="9"/>
                <w:szCs w:val="9"/>
                <w:color w:val="auto"/>
              </w:rPr>
            </w:pPr>
          </w:p>
        </w:tc>
        <w:tc>
          <w:tcPr>
            <w:tcW w:w="580" w:type="dxa"/>
            <w:vAlign w:val="bottom"/>
            <w:gridSpan w:val="2"/>
          </w:tcPr>
          <w:p>
            <w:pPr>
              <w:jc w:val="center"/>
              <w:ind w:right="240"/>
              <w:spacing w:after="0" w:line="104" w:lineRule="exact"/>
              <w:rPr>
                <w:sz w:val="20"/>
                <w:szCs w:val="20"/>
                <w:color w:val="auto"/>
              </w:rPr>
            </w:pPr>
            <w:r>
              <w:rPr>
                <w:rFonts w:ascii="Arial" w:cs="Arial" w:eastAsia="Arial" w:hAnsi="Arial"/>
                <w:sz w:val="10"/>
                <w:szCs w:val="10"/>
                <w:b w:val="1"/>
                <w:bCs w:val="1"/>
                <w:color w:val="auto"/>
                <w:w w:val="95"/>
              </w:rPr>
              <w:t>at fair</w:t>
            </w:r>
          </w:p>
        </w:tc>
        <w:tc>
          <w:tcPr>
            <w:tcW w:w="600" w:type="dxa"/>
            <w:vAlign w:val="bottom"/>
            <w:gridSpan w:val="3"/>
          </w:tcPr>
          <w:p>
            <w:pPr>
              <w:jc w:val="center"/>
              <w:ind w:right="180"/>
              <w:spacing w:after="0" w:line="104" w:lineRule="exact"/>
              <w:rPr>
                <w:sz w:val="20"/>
                <w:szCs w:val="20"/>
                <w:color w:val="auto"/>
              </w:rPr>
            </w:pPr>
            <w:r>
              <w:rPr>
                <w:rFonts w:ascii="Arial" w:cs="Arial" w:eastAsia="Arial" w:hAnsi="Arial"/>
                <w:sz w:val="10"/>
                <w:szCs w:val="10"/>
                <w:b w:val="1"/>
                <w:bCs w:val="1"/>
                <w:color w:val="auto"/>
                <w:w w:val="84"/>
              </w:rPr>
              <w:t>sale of a</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92"/>
              </w:rPr>
              <w:t>Tax</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GAAP</w:t>
            </w:r>
          </w:p>
        </w:tc>
        <w:tc>
          <w:tcPr>
            <w:tcW w:w="10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other</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79"/>
              </w:rPr>
              <w:t>expense</w:t>
            </w:r>
          </w:p>
        </w:tc>
        <w:tc>
          <w:tcPr>
            <w:tcW w:w="120" w:type="dxa"/>
            <w:vAlign w:val="bottom"/>
          </w:tcPr>
          <w:p>
            <w:pPr>
              <w:spacing w:after="0"/>
              <w:rPr>
                <w:sz w:val="10"/>
                <w:szCs w:val="10"/>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5"/>
              </w:rPr>
              <w:t>value</w:t>
            </w:r>
          </w:p>
        </w:tc>
        <w:tc>
          <w:tcPr>
            <w:tcW w:w="60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82"/>
              </w:rPr>
              <w:t>business</w:t>
            </w:r>
          </w:p>
        </w:tc>
        <w:tc>
          <w:tcPr>
            <w:tcW w:w="40" w:type="dxa"/>
            <w:vAlign w:val="bottom"/>
          </w:tcPr>
          <w:p>
            <w:pPr>
              <w:spacing w:after="0"/>
              <w:rPr>
                <w:sz w:val="10"/>
                <w:szCs w:val="10"/>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w w:val="89"/>
              </w:rPr>
              <w:t>Other</w:t>
            </w:r>
          </w:p>
        </w:tc>
        <w:tc>
          <w:tcPr>
            <w:tcW w:w="100" w:type="dxa"/>
            <w:vAlign w:val="bottom"/>
          </w:tcPr>
          <w:p>
            <w:pPr>
              <w:spacing w:after="0"/>
              <w:rPr>
                <w:sz w:val="10"/>
                <w:szCs w:val="10"/>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effect</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Non-GAAP</w:t>
            </w:r>
          </w:p>
        </w:tc>
        <w:tc>
          <w:tcPr>
            <w:tcW w:w="0" w:type="dxa"/>
            <w:vAlign w:val="bottom"/>
          </w:tcPr>
          <w:p>
            <w:pPr>
              <w:spacing w:after="0"/>
              <w:rPr>
                <w:sz w:val="1"/>
                <w:szCs w:val="1"/>
                <w:color w:val="auto"/>
              </w:rPr>
            </w:pPr>
          </w:p>
        </w:tc>
      </w:tr>
      <w:tr>
        <w:trPr>
          <w:trHeight w:val="132"/>
        </w:trPr>
        <w:tc>
          <w:tcPr>
            <w:tcW w:w="250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3"/>
                <w:szCs w:val="13"/>
                <w:color w:val="auto"/>
              </w:rPr>
              <w:t>Operating expenses:</w:t>
            </w: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100" w:type="dxa"/>
            <w:vAlign w:val="bottom"/>
            <w:tcBorders>
              <w:top w:val="single" w:sz="8" w:color="auto"/>
              <w:righ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left w:val="single" w:sz="8" w:color="CCEEFF"/>
            </w:tcBorders>
            <w:shd w:val="clear" w:color="auto" w:fill="CCEEFF"/>
          </w:tcPr>
          <w:p>
            <w:pPr>
              <w:spacing w:after="0"/>
              <w:rPr>
                <w:sz w:val="11"/>
                <w:szCs w:val="11"/>
                <w:color w:val="auto"/>
              </w:rPr>
            </w:pPr>
          </w:p>
        </w:tc>
        <w:tc>
          <w:tcPr>
            <w:tcW w:w="6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left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left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20"/>
                <w:szCs w:val="20"/>
                <w:color w:val="auto"/>
              </w:rPr>
            </w:pPr>
            <w:r>
              <w:rPr>
                <w:rFonts w:ascii="Arial" w:cs="Arial" w:eastAsia="Arial" w:hAnsi="Arial"/>
                <w:sz w:val="13"/>
                <w:szCs w:val="13"/>
                <w:color w:val="auto"/>
              </w:rPr>
              <w:t>Cost of revenue</w:t>
            </w:r>
          </w:p>
        </w:tc>
        <w:tc>
          <w:tcPr>
            <w:tcW w:w="660" w:type="dxa"/>
            <w:vAlign w:val="bottom"/>
            <w:gridSpan w:val="3"/>
          </w:tcPr>
          <w:p>
            <w:pPr>
              <w:jc w:val="right"/>
              <w:spacing w:after="0"/>
              <w:rPr>
                <w:sz w:val="20"/>
                <w:szCs w:val="20"/>
                <w:color w:val="auto"/>
              </w:rPr>
            </w:pPr>
            <w:r>
              <w:rPr>
                <w:rFonts w:ascii="Arial" w:cs="Arial" w:eastAsia="Arial" w:hAnsi="Arial"/>
                <w:sz w:val="13"/>
                <w:szCs w:val="13"/>
                <w:color w:val="auto"/>
                <w:w w:val="98"/>
              </w:rPr>
              <w:t>$2,206,189</w:t>
            </w:r>
          </w:p>
        </w:tc>
        <w:tc>
          <w:tcPr>
            <w:tcW w:w="1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(23,740)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(509)</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center"/>
              <w:ind w:right="80"/>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0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w w:val="86"/>
              </w:rPr>
              <w:t>$2,181,940</w:t>
            </w:r>
          </w:p>
        </w:tc>
        <w:tc>
          <w:tcPr>
            <w:tcW w:w="0" w:type="dxa"/>
            <w:vAlign w:val="bottom"/>
          </w:tcPr>
          <w:p>
            <w:pPr>
              <w:spacing w:after="0"/>
              <w:rPr>
                <w:sz w:val="1"/>
                <w:szCs w:val="1"/>
                <w:color w:val="auto"/>
              </w:rPr>
            </w:pPr>
          </w:p>
        </w:tc>
      </w:tr>
      <w:tr>
        <w:trPr>
          <w:trHeight w:val="152"/>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258,488</w:t>
            </w:r>
          </w:p>
        </w:tc>
        <w:tc>
          <w:tcPr>
            <w:tcW w:w="12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(4,093)</w:t>
            </w:r>
          </w:p>
        </w:tc>
        <w:tc>
          <w:tcPr>
            <w:tcW w:w="12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254,395</w:t>
            </w:r>
          </w:p>
        </w:tc>
        <w:tc>
          <w:tcPr>
            <w:tcW w:w="0" w:type="dxa"/>
            <w:vAlign w:val="bottom"/>
          </w:tcPr>
          <w:p>
            <w:pPr>
              <w:spacing w:after="0"/>
              <w:rPr>
                <w:sz w:val="1"/>
                <w:szCs w:val="1"/>
                <w:color w:val="auto"/>
              </w:rPr>
            </w:pPr>
          </w:p>
        </w:tc>
      </w:tr>
      <w:tr>
        <w:trPr>
          <w:trHeight w:val="152"/>
        </w:trPr>
        <w:tc>
          <w:tcPr>
            <w:tcW w:w="250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399,168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(24,867)</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374,301</w:t>
            </w:r>
          </w:p>
        </w:tc>
        <w:tc>
          <w:tcPr>
            <w:tcW w:w="0" w:type="dxa"/>
            <w:vAlign w:val="bottom"/>
          </w:tcPr>
          <w:p>
            <w:pPr>
              <w:spacing w:after="0"/>
              <w:rPr>
                <w:sz w:val="1"/>
                <w:szCs w:val="1"/>
                <w:color w:val="auto"/>
              </w:rPr>
            </w:pPr>
          </w:p>
        </w:tc>
      </w:tr>
      <w:tr>
        <w:trPr>
          <w:trHeight w:val="143"/>
        </w:trPr>
        <w:tc>
          <w:tcPr>
            <w:tcW w:w="25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w w:val="89"/>
              </w:rPr>
              <w:t>Amortization of purchased intangible assets and</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53,237</w:t>
            </w:r>
          </w:p>
        </w:tc>
        <w:tc>
          <w:tcPr>
            <w:tcW w:w="12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(53,237)</w:t>
            </w:r>
          </w:p>
        </w:tc>
        <w:tc>
          <w:tcPr>
            <w:tcW w:w="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3"/>
                <w:szCs w:val="13"/>
                <w:color w:val="auto"/>
              </w:rPr>
              <w:t>Total operating expenses</w:t>
            </w:r>
          </w:p>
        </w:tc>
        <w:tc>
          <w:tcPr>
            <w:tcW w:w="100" w:type="dxa"/>
            <w:vAlign w:val="bottom"/>
            <w:tcBorders>
              <w:righ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w w:val="93"/>
              </w:rPr>
              <w:t>2,917,082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(53,237)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(52,700)</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(509)</w:t>
            </w:r>
          </w:p>
        </w:tc>
        <w:tc>
          <w:tcPr>
            <w:tcW w:w="100" w:type="dxa"/>
            <w:vAlign w:val="bottom"/>
          </w:tcPr>
          <w:p>
            <w:pPr>
              <w:spacing w:after="0"/>
              <w:rPr>
                <w:sz w:val="13"/>
                <w:szCs w:val="13"/>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2,810,636</w:t>
            </w:r>
          </w:p>
        </w:tc>
        <w:tc>
          <w:tcPr>
            <w:tcW w:w="0" w:type="dxa"/>
            <w:vAlign w:val="bottom"/>
          </w:tcPr>
          <w:p>
            <w:pPr>
              <w:spacing w:after="0"/>
              <w:rPr>
                <w:sz w:val="1"/>
                <w:szCs w:val="1"/>
                <w:color w:val="auto"/>
              </w:rPr>
            </w:pPr>
          </w:p>
        </w:tc>
      </w:tr>
      <w:tr>
        <w:trPr>
          <w:trHeight w:val="15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493,111</w:t>
            </w:r>
          </w:p>
        </w:tc>
        <w:tc>
          <w:tcPr>
            <w:tcW w:w="120" w:type="dxa"/>
            <w:vAlign w:val="bottom"/>
            <w:tcBorders>
              <w:left w:val="single" w:sz="8" w:color="CCEEFF"/>
            </w:tcBorders>
            <w:shd w:val="clear" w:color="auto" w:fill="CCEEFF"/>
          </w:tcPr>
          <w:p>
            <w:pPr>
              <w:spacing w:after="0"/>
              <w:rPr>
                <w:sz w:val="13"/>
                <w:szCs w:val="13"/>
                <w:color w:val="auto"/>
              </w:rPr>
            </w:pPr>
          </w:p>
        </w:tc>
        <w:tc>
          <w:tcPr>
            <w:tcW w:w="100" w:type="dxa"/>
            <w:vAlign w:val="bottom"/>
            <w:tcBorders>
              <w:top w:val="single" w:sz="8" w:color="auto"/>
              <w:right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53,237</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52,700</w:t>
            </w:r>
          </w:p>
        </w:tc>
        <w:tc>
          <w:tcPr>
            <w:tcW w:w="10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1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right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5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599,557</w:t>
            </w:r>
          </w:p>
        </w:tc>
        <w:tc>
          <w:tcPr>
            <w:tcW w:w="0" w:type="dxa"/>
            <w:vAlign w:val="bottom"/>
          </w:tcPr>
          <w:p>
            <w:pPr>
              <w:spacing w:after="0"/>
              <w:rPr>
                <w:sz w:val="1"/>
                <w:szCs w:val="1"/>
                <w:color w:val="auto"/>
              </w:rPr>
            </w:pPr>
          </w:p>
        </w:tc>
      </w:tr>
      <w:tr>
        <w:trPr>
          <w:trHeight w:val="152"/>
        </w:trPr>
        <w:tc>
          <w:tcPr>
            <w:tcW w:w="2500" w:type="dxa"/>
            <w:vAlign w:val="bottom"/>
          </w:tcPr>
          <w:p>
            <w:pPr>
              <w:spacing w:after="0"/>
              <w:rPr>
                <w:sz w:val="20"/>
                <w:szCs w:val="20"/>
                <w:color w:val="auto"/>
              </w:rPr>
            </w:pPr>
            <w:r>
              <w:rPr>
                <w:rFonts w:ascii="Arial" w:cs="Arial" w:eastAsia="Arial" w:hAnsi="Arial"/>
                <w:sz w:val="13"/>
                <w:szCs w:val="13"/>
                <w:color w:val="auto"/>
              </w:rPr>
              <w:t>Interest and other expense, net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(18,992)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(20,997)</w:t>
            </w:r>
          </w:p>
        </w:tc>
        <w:tc>
          <w:tcPr>
            <w:tcW w:w="0" w:type="dxa"/>
            <w:vAlign w:val="bottom"/>
          </w:tcPr>
          <w:p>
            <w:pPr>
              <w:spacing w:after="0"/>
              <w:rPr>
                <w:sz w:val="1"/>
                <w:szCs w:val="1"/>
                <w:color w:val="auto"/>
              </w:rPr>
            </w:pPr>
          </w:p>
        </w:tc>
      </w:tr>
      <w:tr>
        <w:trPr>
          <w:trHeight w:val="152"/>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Gain from sale of a business</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12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tcBorders>
              <w:left w:val="single" w:sz="8" w:color="CCEEFF"/>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$(10,000)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500" w:type="dxa"/>
            <w:vAlign w:val="bottom"/>
          </w:tcPr>
          <w:p>
            <w:pPr>
              <w:spacing w:after="0"/>
              <w:rPr>
                <w:sz w:val="20"/>
                <w:szCs w:val="20"/>
                <w:color w:val="auto"/>
              </w:rPr>
            </w:pPr>
            <w:r>
              <w:rPr>
                <w:rFonts w:ascii="Arial" w:cs="Arial" w:eastAsia="Arial" w:hAnsi="Arial"/>
                <w:sz w:val="13"/>
                <w:szCs w:val="13"/>
                <w:color w:val="auto"/>
              </w:rPr>
              <w:t>Income tax expense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63,554</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17,407</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80,961</w:t>
            </w:r>
          </w:p>
        </w:tc>
        <w:tc>
          <w:tcPr>
            <w:tcW w:w="0" w:type="dxa"/>
            <w:vAlign w:val="bottom"/>
          </w:tcPr>
          <w:p>
            <w:pPr>
              <w:spacing w:after="0"/>
              <w:rPr>
                <w:sz w:val="1"/>
                <w:szCs w:val="1"/>
                <w:color w:val="auto"/>
              </w:rPr>
            </w:pPr>
          </w:p>
        </w:tc>
      </w:tr>
      <w:tr>
        <w:trPr>
          <w:trHeight w:val="15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420,565</w:t>
            </w:r>
          </w:p>
        </w:tc>
        <w:tc>
          <w:tcPr>
            <w:tcW w:w="12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53,237</w:t>
            </w:r>
          </w:p>
        </w:tc>
        <w:tc>
          <w:tcPr>
            <w:tcW w:w="100" w:type="dxa"/>
            <w:vAlign w:val="bottom"/>
            <w:tcBorders>
              <w:left w:val="single" w:sz="8" w:color="CCEEFF"/>
            </w:tcBorders>
            <w:shd w:val="clear" w:color="auto" w:fill="CCEEFF"/>
          </w:tcPr>
          <w:p>
            <w:pPr>
              <w:spacing w:after="0"/>
              <w:rPr>
                <w:sz w:val="13"/>
                <w:szCs w:val="13"/>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52,700</w:t>
            </w:r>
          </w:p>
        </w:tc>
        <w:tc>
          <w:tcPr>
            <w:tcW w:w="10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160" w:type="dxa"/>
            <w:vAlign w:val="bottom"/>
            <w:tcBorders>
              <w:left w:val="single" w:sz="8" w:color="CCEEFF"/>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(10,000)</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3"/>
                <w:szCs w:val="13"/>
                <w:u w:val="single" w:color="auto"/>
                <w:color w:val="auto"/>
                <w:w w:val="78"/>
              </w:rPr>
              <w:t>$</w:t>
            </w:r>
            <w:r>
              <w:rPr>
                <w:rFonts w:ascii="Arial" w:cs="Arial" w:eastAsia="Arial" w:hAnsi="Arial"/>
                <w:sz w:val="13"/>
                <w:szCs w:val="13"/>
                <w:color w:val="auto"/>
                <w:w w:val="78"/>
              </w:rPr>
              <w:t>(2,005)</w:t>
            </w:r>
          </w:p>
        </w:tc>
        <w:tc>
          <w:tcPr>
            <w:tcW w:w="10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6"/>
              </w:rPr>
              <w:t>(17,407)</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497,599</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383"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43180"/>
                    </a:xfrm>
                    <a:prstGeom prst="rect">
                      <a:avLst/>
                    </a:prstGeom>
                    <a:noFill/>
                  </pic:spPr>
                </pic:pic>
              </a:graphicData>
            </a:graphic>
          </wp:anchor>
        </w:drawing>
        <w:t>AMDOCS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95"/>
              </w:rPr>
              <w:t>As of</w:t>
            </w: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9"/>
        </w:trPr>
        <w:tc>
          <w:tcPr>
            <w:tcW w:w="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jc w:val="right"/>
              <w:ind w:right="38"/>
              <w:spacing w:after="0" w:line="79" w:lineRule="exact"/>
              <w:rPr>
                <w:sz w:val="20"/>
                <w:szCs w:val="20"/>
                <w:color w:val="auto"/>
              </w:rPr>
            </w:pPr>
            <w:r>
              <w:rPr>
                <w:rFonts w:ascii="Arial" w:cs="Arial" w:eastAsia="Arial" w:hAnsi="Arial"/>
                <w:sz w:val="9"/>
                <w:szCs w:val="9"/>
                <w:b w:val="1"/>
                <w:bCs w:val="1"/>
                <w:color w:val="auto"/>
              </w:rPr>
              <w:t>June 30,</w:t>
            </w:r>
          </w:p>
        </w:tc>
        <w:tc>
          <w:tcPr>
            <w:tcW w:w="800" w:type="dxa"/>
            <w:vAlign w:val="bottom"/>
            <w:gridSpan w:val="3"/>
          </w:tcPr>
          <w:p>
            <w:pPr>
              <w:ind w:left="180"/>
              <w:spacing w:after="0" w:line="79" w:lineRule="exact"/>
              <w:rPr>
                <w:sz w:val="20"/>
                <w:szCs w:val="20"/>
                <w:color w:val="auto"/>
              </w:rPr>
            </w:pPr>
            <w:r>
              <w:rPr>
                <w:rFonts w:ascii="Arial" w:cs="Arial" w:eastAsia="Arial" w:hAnsi="Arial"/>
                <w:sz w:val="9"/>
                <w:szCs w:val="9"/>
                <w:b w:val="1"/>
                <w:bCs w:val="1"/>
                <w:color w:val="auto"/>
                <w:w w:val="97"/>
              </w:rPr>
              <w:t>September 30,</w:t>
            </w:r>
          </w:p>
        </w:tc>
        <w:tc>
          <w:tcPr>
            <w:tcW w:w="40" w:type="dxa"/>
            <w:vAlign w:val="bottom"/>
          </w:tcPr>
          <w:p>
            <w:pPr>
              <w:spacing w:after="0"/>
              <w:rPr>
                <w:sz w:val="6"/>
                <w:szCs w:val="6"/>
                <w:color w:val="auto"/>
              </w:rPr>
            </w:pPr>
          </w:p>
        </w:tc>
      </w:tr>
      <w:tr>
        <w:trPr>
          <w:trHeight w:val="119"/>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2023</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2022</w:t>
            </w:r>
          </w:p>
        </w:tc>
        <w:tc>
          <w:tcPr>
            <w:tcW w:w="40" w:type="dxa"/>
            <w:vAlign w:val="bottom"/>
          </w:tcPr>
          <w:p>
            <w:pPr>
              <w:spacing w:after="0"/>
              <w:rPr>
                <w:sz w:val="10"/>
                <w:szCs w:val="10"/>
                <w:color w:val="auto"/>
              </w:rPr>
            </w:pPr>
          </w:p>
        </w:tc>
      </w:tr>
      <w:tr>
        <w:trPr>
          <w:trHeight w:val="141"/>
        </w:trPr>
        <w:tc>
          <w:tcPr>
            <w:tcW w:w="20" w:type="dxa"/>
            <w:vAlign w:val="bottom"/>
          </w:tcPr>
          <w:p>
            <w:pPr>
              <w:spacing w:after="0"/>
              <w:rPr>
                <w:sz w:val="12"/>
                <w:szCs w:val="12"/>
                <w:color w:val="auto"/>
              </w:rPr>
            </w:pPr>
          </w:p>
        </w:tc>
        <w:tc>
          <w:tcPr>
            <w:tcW w:w="630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ASSETS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b w:val="1"/>
                <w:bCs w:val="1"/>
                <w:color w:val="auto"/>
              </w:rPr>
              <w:t>Current assets: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517,657</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573,377</w:t>
            </w:r>
          </w:p>
        </w:tc>
        <w:tc>
          <w:tcPr>
            <w:tcW w:w="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Short-term interest-bearing investments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231,858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244,603</w:t>
            </w: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 net, including unbilled of $195,028 and $157,165, respectively</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1,076,123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946,777</w:t>
            </w:r>
          </w:p>
        </w:tc>
        <w:tc>
          <w:tcPr>
            <w:tcW w:w="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Prepaid expenses and other current assets</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270,197</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238,390</w:t>
            </w:r>
          </w:p>
        </w:tc>
        <w:tc>
          <w:tcPr>
            <w:tcW w:w="4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current 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2,095,835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2,003,147</w:t>
            </w:r>
          </w:p>
        </w:tc>
        <w:tc>
          <w:tcPr>
            <w:tcW w:w="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783,257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794,287</w:t>
            </w: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Lease 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149,586</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176,884</w:t>
            </w:r>
          </w:p>
        </w:tc>
        <w:tc>
          <w:tcPr>
            <w:tcW w:w="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Goodwill and other intangible assets, net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2"/>
              </w:rPr>
              <w:t>2,897,340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2,841,137</w:t>
            </w: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assets</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613,324</w:t>
            </w: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574,938</w:t>
            </w:r>
          </w:p>
        </w:tc>
        <w:tc>
          <w:tcPr>
            <w:tcW w:w="40" w:type="dxa"/>
            <w:vAlign w:val="bottom"/>
            <w:shd w:val="clear" w:color="auto" w:fill="CCEEFF"/>
          </w:tcPr>
          <w:p>
            <w:pPr>
              <w:spacing w:after="0"/>
              <w:rPr>
                <w:sz w:val="13"/>
                <w:szCs w:val="13"/>
                <w:color w:val="auto"/>
              </w:rPr>
            </w:pPr>
          </w:p>
        </w:tc>
      </w:tr>
      <w:tr>
        <w:trPr>
          <w:trHeight w:val="168"/>
        </w:trPr>
        <w:tc>
          <w:tcPr>
            <w:tcW w:w="6320" w:type="dxa"/>
            <w:vAlign w:val="bottom"/>
            <w:gridSpan w:val="2"/>
          </w:tcPr>
          <w:p>
            <w:pPr>
              <w:spacing w:after="0"/>
              <w:rPr>
                <w:sz w:val="20"/>
                <w:szCs w:val="20"/>
                <w:color w:val="auto"/>
              </w:rPr>
            </w:pPr>
            <w:r>
              <w:rPr>
                <w:rFonts w:ascii="Arial" w:cs="Arial" w:eastAsia="Arial" w:hAnsi="Arial"/>
                <w:sz w:val="13"/>
                <w:szCs w:val="13"/>
                <w:b w:val="1"/>
                <w:bCs w:val="1"/>
                <w:color w:val="auto"/>
              </w:rPr>
              <w:t>Total assets</w:t>
            </w:r>
          </w:p>
        </w:tc>
        <w:tc>
          <w:tcPr>
            <w:tcW w:w="80" w:type="dxa"/>
            <w:vAlign w:val="bottom"/>
          </w:tcPr>
          <w:p>
            <w:pPr>
              <w:jc w:val="right"/>
              <w:spacing w:after="0"/>
              <w:rPr>
                <w:sz w:val="20"/>
                <w:szCs w:val="20"/>
                <w:color w:val="auto"/>
              </w:rPr>
            </w:pPr>
            <w:r>
              <w:rPr>
                <w:rFonts w:ascii="Arial" w:cs="Arial" w:eastAsia="Arial" w:hAnsi="Arial"/>
                <w:sz w:val="13"/>
                <w:szCs w:val="13"/>
                <w:u w:val="single" w:color="auto"/>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82"/>
              </w:rPr>
              <w:t>6,539,342</w:t>
            </w:r>
          </w:p>
        </w:tc>
        <w:tc>
          <w:tcPr>
            <w:tcW w:w="260" w:type="dxa"/>
            <w:vAlign w:val="bottom"/>
            <w:gridSpan w:val="2"/>
          </w:tcPr>
          <w:p>
            <w:pPr>
              <w:ind w:left="180"/>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89"/>
              </w:rPr>
              <w:t>6,390,393</w:t>
            </w:r>
          </w:p>
        </w:tc>
        <w:tc>
          <w:tcPr>
            <w:tcW w:w="4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AND SHAREHOLDERS’ EQUITY</w:t>
            </w: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b w:val="1"/>
                <w:bCs w:val="1"/>
                <w:color w:val="auto"/>
              </w:rPr>
              <w:t>Current liabilities: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 accruals and other</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1,054,029</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955,658</w:t>
            </w:r>
          </w:p>
        </w:tc>
        <w:tc>
          <w:tcPr>
            <w:tcW w:w="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Lease liabilities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39,609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43,336</w:t>
            </w: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307,708</w:t>
            </w: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253,686</w:t>
            </w:r>
          </w:p>
        </w:tc>
        <w:tc>
          <w:tcPr>
            <w:tcW w:w="40" w:type="dxa"/>
            <w:vAlign w:val="bottom"/>
            <w:shd w:val="clear" w:color="auto" w:fill="CCEEFF"/>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6300" w:type="dxa"/>
            <w:vAlign w:val="bottom"/>
          </w:tcPr>
          <w:p>
            <w:pPr>
              <w:ind w:left="240"/>
              <w:spacing w:after="0"/>
              <w:rPr>
                <w:sz w:val="20"/>
                <w:szCs w:val="20"/>
                <w:color w:val="auto"/>
              </w:rPr>
            </w:pPr>
            <w:r>
              <w:rPr>
                <w:rFonts w:ascii="Arial" w:cs="Arial" w:eastAsia="Arial" w:hAnsi="Arial"/>
                <w:sz w:val="13"/>
                <w:szCs w:val="13"/>
                <w:b w:val="1"/>
                <w:bCs w:val="1"/>
                <w:color w:val="auto"/>
              </w:rPr>
              <w:t>Total current liabilities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2"/>
              </w:rPr>
              <w:t>1,401,346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1,252,680</w:t>
            </w: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Lease liabilities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111,869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138,378</w:t>
            </w:r>
          </w:p>
        </w:tc>
        <w:tc>
          <w:tcPr>
            <w:tcW w:w="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Long-term debt, net of unamortized debt issuance costs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645,549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645,117</w:t>
            </w: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liabilities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728,302</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793,940</w:t>
            </w:r>
          </w:p>
        </w:tc>
        <w:tc>
          <w:tcPr>
            <w:tcW w:w="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b w:val="1"/>
                <w:bCs w:val="1"/>
                <w:color w:val="auto"/>
              </w:rPr>
              <w:t>Total Amdocs Limited Shareholders’ equity</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2"/>
              </w:rPr>
              <w:t>3,608,378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3,517,769</w:t>
            </w: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43,898</w:t>
            </w: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42,509</w:t>
            </w:r>
          </w:p>
        </w:tc>
        <w:tc>
          <w:tcPr>
            <w:tcW w:w="40" w:type="dxa"/>
            <w:vAlign w:val="bottom"/>
            <w:shd w:val="clear" w:color="auto" w:fill="CCEEFF"/>
          </w:tcPr>
          <w:p>
            <w:pPr>
              <w:spacing w:after="0"/>
              <w:rPr>
                <w:sz w:val="13"/>
                <w:szCs w:val="13"/>
                <w:color w:val="auto"/>
              </w:rPr>
            </w:pPr>
          </w:p>
        </w:tc>
      </w:tr>
      <w:tr>
        <w:trPr>
          <w:trHeight w:val="151"/>
        </w:trPr>
        <w:tc>
          <w:tcPr>
            <w:tcW w:w="6320" w:type="dxa"/>
            <w:vAlign w:val="bottom"/>
            <w:gridSpan w:val="2"/>
          </w:tcPr>
          <w:p>
            <w:pPr>
              <w:spacing w:after="0"/>
              <w:rPr>
                <w:sz w:val="20"/>
                <w:szCs w:val="20"/>
                <w:color w:val="auto"/>
              </w:rPr>
            </w:pPr>
            <w:r>
              <w:rPr>
                <w:rFonts w:ascii="Arial" w:cs="Arial" w:eastAsia="Arial" w:hAnsi="Arial"/>
                <w:sz w:val="13"/>
                <w:szCs w:val="13"/>
                <w:b w:val="1"/>
                <w:bCs w:val="1"/>
                <w:color w:val="auto"/>
              </w:rPr>
              <w:t>Total equity</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3,652,276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3,560,278</w:t>
            </w:r>
          </w:p>
        </w:tc>
        <w:tc>
          <w:tcPr>
            <w:tcW w:w="40" w:type="dxa"/>
            <w:vAlign w:val="bottom"/>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liabilities and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6,539,342</w:t>
            </w: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6,390,393</w:t>
            </w:r>
          </w:p>
        </w:tc>
        <w:tc>
          <w:tcPr>
            <w:tcW w:w="40" w:type="dxa"/>
            <w:vAlign w:val="bottom"/>
            <w:shd w:val="clear" w:color="auto" w:fill="CCEEFF"/>
          </w:tcPr>
          <w:p>
            <w:pPr>
              <w:spacing w:after="0"/>
              <w:rPr>
                <w:sz w:val="13"/>
                <w:szCs w:val="13"/>
                <w:color w:val="auto"/>
              </w:rPr>
            </w:pPr>
          </w:p>
        </w:tc>
      </w:tr>
    </w:tbl>
    <w:p>
      <w:pPr>
        <w:sectPr>
          <w:pgSz w:w="11900" w:h="16838" w:orient="portrait"/>
          <w:cols w:equalWidth="0" w:num="1">
            <w:col w:w="9019"/>
          </w:cols>
          <w:pgMar w:left="1440" w:top="383" w:right="144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43180"/>
                    </a:xfrm>
                    <a:prstGeom prst="rect">
                      <a:avLst/>
                    </a:prstGeom>
                    <a:noFill/>
                  </pic:spPr>
                </pic:pic>
              </a:graphicData>
            </a:graphic>
          </wp:anchor>
        </w:drawing>
        <w:t>AMDOCS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157" w:lineRule="exact"/>
        <w:rPr>
          <w:sz w:val="20"/>
          <w:szCs w:val="20"/>
          <w:color w:val="auto"/>
        </w:rPr>
      </w:pPr>
    </w:p>
    <w:p>
      <w:pPr>
        <w:jc w:val="center"/>
        <w:ind w:left="6320"/>
        <w:spacing w:after="0"/>
        <w:rPr>
          <w:sz w:val="20"/>
          <w:szCs w:val="20"/>
          <w:color w:val="auto"/>
        </w:rPr>
      </w:pPr>
      <w:r>
        <w:rPr>
          <w:rFonts w:ascii="Arial" w:cs="Arial" w:eastAsia="Arial" w:hAnsi="Arial"/>
          <w:sz w:val="10"/>
          <w:szCs w:val="10"/>
          <w:b w:val="1"/>
          <w:bCs w:val="1"/>
          <w:color w:val="auto"/>
        </w:rPr>
        <w:t>Nine months ended</w:t>
      </w:r>
    </w:p>
    <w:p>
      <w:pPr>
        <w:jc w:val="center"/>
        <w:ind w:left="6320"/>
        <w:spacing w:after="0" w:line="227" w:lineRule="auto"/>
        <w:rPr>
          <w:sz w:val="20"/>
          <w:szCs w:val="20"/>
          <w:color w:val="auto"/>
        </w:rPr>
      </w:pPr>
      <w:r>
        <w:rPr>
          <w:rFonts w:ascii="Arial" w:cs="Arial" w:eastAsia="Arial" w:hAnsi="Arial"/>
          <w:sz w:val="10"/>
          <w:szCs w:val="10"/>
          <w:b w:val="1"/>
          <w:bCs w:val="1"/>
          <w:color w:val="auto"/>
        </w:rPr>
        <w:t>June 30,</w:t>
      </w:r>
    </w:p>
    <w:tbl>
      <w:tblPr>
        <w:tblLayout w:type="fixed"/>
        <w:tblInd w:w="640" w:type="dxa"/>
        <w:tblCellMar>
          <w:top w:w="0" w:type="dxa"/>
          <w:left w:w="0" w:type="dxa"/>
          <w:bottom w:w="0" w:type="dxa"/>
          <w:right w:w="0" w:type="dxa"/>
        </w:tblCellMar>
      </w:tblPr>
      <w:tr>
        <w:trPr>
          <w:trHeight w:val="94"/>
        </w:trPr>
        <w:tc>
          <w:tcPr>
            <w:tcW w:w="5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20" w:type="dxa"/>
            <w:vAlign w:val="bottom"/>
            <w:tcBorders>
              <w:top w:val="single" w:sz="8" w:color="auto"/>
            </w:tcBorders>
          </w:tcPr>
          <w:p>
            <w:pPr>
              <w:jc w:val="right"/>
              <w:ind w:right="99"/>
              <w:spacing w:after="0" w:line="94" w:lineRule="exact"/>
              <w:rPr>
                <w:sz w:val="20"/>
                <w:szCs w:val="20"/>
                <w:color w:val="auto"/>
              </w:rPr>
            </w:pPr>
            <w:r>
              <w:rPr>
                <w:rFonts w:ascii="Arial" w:cs="Arial" w:eastAsia="Arial" w:hAnsi="Arial"/>
                <w:sz w:val="10"/>
                <w:szCs w:val="10"/>
                <w:b w:val="1"/>
                <w:bCs w:val="1"/>
                <w:color w:val="auto"/>
              </w:rPr>
              <w:t>2023</w:t>
            </w: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2"/>
          </w:tcPr>
          <w:p>
            <w:pPr>
              <w:jc w:val="right"/>
              <w:ind w:right="97"/>
              <w:spacing w:after="0" w:line="94" w:lineRule="exact"/>
              <w:rPr>
                <w:sz w:val="20"/>
                <w:szCs w:val="20"/>
                <w:color w:val="auto"/>
              </w:rPr>
            </w:pPr>
            <w:r>
              <w:rPr>
                <w:rFonts w:ascii="Arial" w:cs="Arial" w:eastAsia="Arial" w:hAnsi="Arial"/>
                <w:sz w:val="10"/>
                <w:szCs w:val="10"/>
                <w:b w:val="1"/>
                <w:bCs w:val="1"/>
                <w:color w:val="auto"/>
              </w:rPr>
              <w:t>2022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506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Cash Flow from Operating Activities:</w:t>
            </w:r>
          </w:p>
        </w:tc>
        <w:tc>
          <w:tcPr>
            <w:tcW w:w="13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20"/>
                <w:szCs w:val="20"/>
                <w:color w:val="auto"/>
              </w:rPr>
            </w:pPr>
            <w:r>
              <w:rPr>
                <w:rFonts w:ascii="Arial" w:cs="Arial" w:eastAsia="Arial" w:hAnsi="Arial"/>
                <w:sz w:val="13"/>
                <w:szCs w:val="13"/>
                <w:color w:val="auto"/>
              </w:rPr>
              <w:t>Net income</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$ 440,296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$ 420,565</w:t>
            </w:r>
          </w:p>
        </w:tc>
        <w:tc>
          <w:tcPr>
            <w:tcW w:w="0" w:type="dxa"/>
            <w:vAlign w:val="bottom"/>
          </w:tcPr>
          <w:p>
            <w:pPr>
              <w:spacing w:after="0"/>
              <w:rPr>
                <w:sz w:val="1"/>
                <w:szCs w:val="1"/>
                <w:color w:val="auto"/>
              </w:rPr>
            </w:pPr>
          </w:p>
        </w:tc>
      </w:tr>
      <w:tr>
        <w:trPr>
          <w:trHeight w:val="152"/>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Reconciliation of net income to net cash provided by operating activities:</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060" w:type="dxa"/>
            <w:vAlign w:val="bottom"/>
          </w:tcPr>
          <w:p>
            <w:pPr>
              <w:ind w:left="260"/>
              <w:spacing w:after="0"/>
              <w:rPr>
                <w:sz w:val="20"/>
                <w:szCs w:val="20"/>
                <w:color w:val="auto"/>
              </w:rPr>
            </w:pPr>
            <w:r>
              <w:rPr>
                <w:rFonts w:ascii="Arial" w:cs="Arial" w:eastAsia="Arial" w:hAnsi="Arial"/>
                <w:sz w:val="13"/>
                <w:szCs w:val="13"/>
                <w:color w:val="auto"/>
              </w:rPr>
              <w:t>Depreciation, amortization and impairment</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148,412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174,712</w:t>
            </w:r>
          </w:p>
        </w:tc>
        <w:tc>
          <w:tcPr>
            <w:tcW w:w="0" w:type="dxa"/>
            <w:vAlign w:val="bottom"/>
          </w:tcPr>
          <w:p>
            <w:pPr>
              <w:spacing w:after="0"/>
              <w:rPr>
                <w:sz w:val="1"/>
                <w:szCs w:val="1"/>
                <w:color w:val="auto"/>
              </w:rPr>
            </w:pPr>
          </w:p>
        </w:tc>
      </w:tr>
      <w:tr>
        <w:trPr>
          <w:trHeight w:val="152"/>
        </w:trPr>
        <w:tc>
          <w:tcPr>
            <w:tcW w:w="5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Amortization of debt issuance cost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152"/>
        </w:trPr>
        <w:tc>
          <w:tcPr>
            <w:tcW w:w="5060" w:type="dxa"/>
            <w:vAlign w:val="bottom"/>
          </w:tcPr>
          <w:p>
            <w:pPr>
              <w:ind w:left="260"/>
              <w:spacing w:after="0"/>
              <w:rPr>
                <w:sz w:val="20"/>
                <w:szCs w:val="20"/>
                <w:color w:val="auto"/>
              </w:rPr>
            </w:pPr>
            <w:r>
              <w:rPr>
                <w:rFonts w:ascii="Arial" w:cs="Arial" w:eastAsia="Arial" w:hAnsi="Arial"/>
                <w:sz w:val="13"/>
                <w:szCs w:val="13"/>
                <w:color w:val="auto"/>
              </w:rPr>
              <w:t>Equity-based compensation expense</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64,905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52,700</w:t>
            </w:r>
          </w:p>
        </w:tc>
        <w:tc>
          <w:tcPr>
            <w:tcW w:w="0" w:type="dxa"/>
            <w:vAlign w:val="bottom"/>
          </w:tcPr>
          <w:p>
            <w:pPr>
              <w:spacing w:after="0"/>
              <w:rPr>
                <w:sz w:val="1"/>
                <w:szCs w:val="1"/>
                <w:color w:val="auto"/>
              </w:rPr>
            </w:pPr>
          </w:p>
        </w:tc>
      </w:tr>
      <w:tr>
        <w:trPr>
          <w:trHeight w:val="152"/>
        </w:trPr>
        <w:tc>
          <w:tcPr>
            <w:tcW w:w="5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Gain from sale of a business</w:t>
            </w:r>
          </w:p>
        </w:tc>
        <w:tc>
          <w:tcPr>
            <w:tcW w:w="134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52"/>
        </w:trPr>
        <w:tc>
          <w:tcPr>
            <w:tcW w:w="5060" w:type="dxa"/>
            <w:vAlign w:val="bottom"/>
          </w:tcPr>
          <w:p>
            <w:pPr>
              <w:ind w:left="260"/>
              <w:spacing w:after="0"/>
              <w:rPr>
                <w:sz w:val="20"/>
                <w:szCs w:val="20"/>
                <w:color w:val="auto"/>
              </w:rPr>
            </w:pPr>
            <w:r>
              <w:rPr>
                <w:rFonts w:ascii="Arial" w:cs="Arial" w:eastAsia="Arial" w:hAnsi="Arial"/>
                <w:sz w:val="13"/>
                <w:szCs w:val="13"/>
                <w:color w:val="auto"/>
              </w:rPr>
              <w:t>Deferred income taxes</w:t>
            </w:r>
          </w:p>
        </w:tc>
        <w:tc>
          <w:tcPr>
            <w:tcW w:w="2000" w:type="dxa"/>
            <w:vAlign w:val="bottom"/>
            <w:gridSpan w:val="4"/>
          </w:tcPr>
          <w:p>
            <w:pPr>
              <w:jc w:val="right"/>
              <w:ind w:right="100"/>
              <w:spacing w:after="0"/>
              <w:rPr>
                <w:sz w:val="20"/>
                <w:szCs w:val="20"/>
                <w:color w:val="auto"/>
              </w:rPr>
            </w:pPr>
            <w:r>
              <w:rPr>
                <w:rFonts w:ascii="Arial" w:cs="Arial" w:eastAsia="Arial" w:hAnsi="Arial"/>
                <w:sz w:val="13"/>
                <w:szCs w:val="13"/>
                <w:color w:val="auto"/>
              </w:rPr>
              <w:t>(45,906)</w:t>
            </w: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(20,442)</w:t>
            </w:r>
          </w:p>
        </w:tc>
        <w:tc>
          <w:tcPr>
            <w:tcW w:w="0" w:type="dxa"/>
            <w:vAlign w:val="bottom"/>
          </w:tcPr>
          <w:p>
            <w:pPr>
              <w:spacing w:after="0"/>
              <w:rPr>
                <w:sz w:val="1"/>
                <w:szCs w:val="1"/>
                <w:color w:val="auto"/>
              </w:rPr>
            </w:pPr>
          </w:p>
        </w:tc>
      </w:tr>
      <w:tr>
        <w:trPr>
          <w:trHeight w:val="152"/>
        </w:trPr>
        <w:tc>
          <w:tcPr>
            <w:tcW w:w="5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Loss from short-term interest-bearing investments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2,185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2,028</w:t>
            </w:r>
          </w:p>
        </w:tc>
        <w:tc>
          <w:tcPr>
            <w:tcW w:w="0" w:type="dxa"/>
            <w:vAlign w:val="bottom"/>
          </w:tcPr>
          <w:p>
            <w:pPr>
              <w:spacing w:after="0"/>
              <w:rPr>
                <w:sz w:val="1"/>
                <w:szCs w:val="1"/>
                <w:color w:val="auto"/>
              </w:rPr>
            </w:pPr>
          </w:p>
        </w:tc>
      </w:tr>
      <w:tr>
        <w:trPr>
          <w:trHeight w:val="152"/>
        </w:trPr>
        <w:tc>
          <w:tcPr>
            <w:tcW w:w="5060" w:type="dxa"/>
            <w:vAlign w:val="bottom"/>
          </w:tcPr>
          <w:p>
            <w:pPr>
              <w:spacing w:after="0"/>
              <w:rPr>
                <w:sz w:val="20"/>
                <w:szCs w:val="20"/>
                <w:color w:val="auto"/>
              </w:rPr>
            </w:pPr>
            <w:r>
              <w:rPr>
                <w:rFonts w:ascii="Arial" w:cs="Arial" w:eastAsia="Arial" w:hAnsi="Arial"/>
                <w:sz w:val="13"/>
                <w:szCs w:val="13"/>
                <w:color w:val="auto"/>
              </w:rPr>
              <w:t>Net changes in operating assets and liabilities, net of amounts acquired:</w:t>
            </w: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receivable, net</w:t>
            </w:r>
          </w:p>
        </w:tc>
        <w:tc>
          <w:tcPr>
            <w:tcW w:w="200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(128,371)</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(157,557)</w:t>
            </w:r>
          </w:p>
        </w:tc>
        <w:tc>
          <w:tcPr>
            <w:tcW w:w="0" w:type="dxa"/>
            <w:vAlign w:val="bottom"/>
          </w:tcPr>
          <w:p>
            <w:pPr>
              <w:spacing w:after="0"/>
              <w:rPr>
                <w:sz w:val="1"/>
                <w:szCs w:val="1"/>
                <w:color w:val="auto"/>
              </w:rPr>
            </w:pPr>
          </w:p>
        </w:tc>
      </w:tr>
      <w:tr>
        <w:trPr>
          <w:trHeight w:val="152"/>
        </w:trPr>
        <w:tc>
          <w:tcPr>
            <w:tcW w:w="5060" w:type="dxa"/>
            <w:vAlign w:val="bottom"/>
          </w:tcPr>
          <w:p>
            <w:pPr>
              <w:ind w:left="260"/>
              <w:spacing w:after="0"/>
              <w:rPr>
                <w:sz w:val="20"/>
                <w:szCs w:val="20"/>
                <w:color w:val="auto"/>
              </w:rPr>
            </w:pPr>
            <w:r>
              <w:rPr>
                <w:rFonts w:ascii="Arial" w:cs="Arial" w:eastAsia="Arial" w:hAnsi="Arial"/>
                <w:sz w:val="13"/>
                <w:szCs w:val="13"/>
                <w:color w:val="auto"/>
              </w:rPr>
              <w:t>Prepaid expenses and other current assets</w:t>
            </w:r>
          </w:p>
        </w:tc>
        <w:tc>
          <w:tcPr>
            <w:tcW w:w="2000" w:type="dxa"/>
            <w:vAlign w:val="bottom"/>
            <w:gridSpan w:val="4"/>
          </w:tcPr>
          <w:p>
            <w:pPr>
              <w:jc w:val="right"/>
              <w:ind w:right="100"/>
              <w:spacing w:after="0"/>
              <w:rPr>
                <w:sz w:val="20"/>
                <w:szCs w:val="20"/>
                <w:color w:val="auto"/>
              </w:rPr>
            </w:pPr>
            <w:r>
              <w:rPr>
                <w:rFonts w:ascii="Arial" w:cs="Arial" w:eastAsia="Arial" w:hAnsi="Arial"/>
                <w:sz w:val="13"/>
                <w:szCs w:val="13"/>
                <w:color w:val="auto"/>
              </w:rPr>
              <w:t>(34,353)</w:t>
            </w: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3,534</w:t>
            </w:r>
          </w:p>
        </w:tc>
        <w:tc>
          <w:tcPr>
            <w:tcW w:w="0" w:type="dxa"/>
            <w:vAlign w:val="bottom"/>
          </w:tcPr>
          <w:p>
            <w:pPr>
              <w:spacing w:after="0"/>
              <w:rPr>
                <w:sz w:val="1"/>
                <w:szCs w:val="1"/>
                <w:color w:val="auto"/>
              </w:rPr>
            </w:pPr>
          </w:p>
        </w:tc>
      </w:tr>
      <w:tr>
        <w:trPr>
          <w:trHeight w:val="152"/>
        </w:trPr>
        <w:tc>
          <w:tcPr>
            <w:tcW w:w="5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noncurrent assets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3,410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27,918</w:t>
            </w:r>
          </w:p>
        </w:tc>
        <w:tc>
          <w:tcPr>
            <w:tcW w:w="0" w:type="dxa"/>
            <w:vAlign w:val="bottom"/>
          </w:tcPr>
          <w:p>
            <w:pPr>
              <w:spacing w:after="0"/>
              <w:rPr>
                <w:sz w:val="1"/>
                <w:szCs w:val="1"/>
                <w:color w:val="auto"/>
              </w:rPr>
            </w:pPr>
          </w:p>
        </w:tc>
      </w:tr>
      <w:tr>
        <w:trPr>
          <w:trHeight w:val="152"/>
        </w:trPr>
        <w:tc>
          <w:tcPr>
            <w:tcW w:w="5060" w:type="dxa"/>
            <w:vAlign w:val="bottom"/>
          </w:tcPr>
          <w:p>
            <w:pPr>
              <w:ind w:left="260"/>
              <w:spacing w:after="0"/>
              <w:rPr>
                <w:sz w:val="20"/>
                <w:szCs w:val="20"/>
                <w:color w:val="auto"/>
              </w:rPr>
            </w:pPr>
            <w:r>
              <w:rPr>
                <w:rFonts w:ascii="Arial" w:cs="Arial" w:eastAsia="Arial" w:hAnsi="Arial"/>
                <w:sz w:val="13"/>
                <w:szCs w:val="13"/>
                <w:color w:val="auto"/>
              </w:rPr>
              <w:t>Lease assets and liabilities, net</w:t>
            </w:r>
          </w:p>
        </w:tc>
        <w:tc>
          <w:tcPr>
            <w:tcW w:w="2000" w:type="dxa"/>
            <w:vAlign w:val="bottom"/>
            <w:gridSpan w:val="4"/>
          </w:tcPr>
          <w:p>
            <w:pPr>
              <w:jc w:val="right"/>
              <w:ind w:right="100"/>
              <w:spacing w:after="0"/>
              <w:rPr>
                <w:sz w:val="20"/>
                <w:szCs w:val="20"/>
                <w:color w:val="auto"/>
              </w:rPr>
            </w:pPr>
            <w:r>
              <w:rPr>
                <w:rFonts w:ascii="Arial" w:cs="Arial" w:eastAsia="Arial" w:hAnsi="Arial"/>
                <w:sz w:val="13"/>
                <w:szCs w:val="13"/>
                <w:color w:val="auto"/>
              </w:rPr>
              <w:t>(2,937)</w:t>
            </w: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3,603</w:t>
            </w:r>
          </w:p>
        </w:tc>
        <w:tc>
          <w:tcPr>
            <w:tcW w:w="0" w:type="dxa"/>
            <w:vAlign w:val="bottom"/>
          </w:tcPr>
          <w:p>
            <w:pPr>
              <w:spacing w:after="0"/>
              <w:rPr>
                <w:sz w:val="1"/>
                <w:szCs w:val="1"/>
                <w:color w:val="auto"/>
              </w:rPr>
            </w:pPr>
          </w:p>
        </w:tc>
      </w:tr>
      <w:tr>
        <w:trPr>
          <w:trHeight w:val="152"/>
        </w:trPr>
        <w:tc>
          <w:tcPr>
            <w:tcW w:w="5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payable, accrued expenses and accrued personnel</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108,922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(63,804)</w:t>
            </w:r>
          </w:p>
        </w:tc>
        <w:tc>
          <w:tcPr>
            <w:tcW w:w="0" w:type="dxa"/>
            <w:vAlign w:val="bottom"/>
          </w:tcPr>
          <w:p>
            <w:pPr>
              <w:spacing w:after="0"/>
              <w:rPr>
                <w:sz w:val="1"/>
                <w:szCs w:val="1"/>
                <w:color w:val="auto"/>
              </w:rPr>
            </w:pPr>
          </w:p>
        </w:tc>
      </w:tr>
      <w:tr>
        <w:trPr>
          <w:trHeight w:val="152"/>
        </w:trPr>
        <w:tc>
          <w:tcPr>
            <w:tcW w:w="5060" w:type="dxa"/>
            <w:vAlign w:val="bottom"/>
          </w:tcPr>
          <w:p>
            <w:pPr>
              <w:ind w:left="260"/>
              <w:spacing w:after="0"/>
              <w:rPr>
                <w:sz w:val="20"/>
                <w:szCs w:val="20"/>
                <w:color w:val="auto"/>
              </w:rPr>
            </w:pPr>
            <w:r>
              <w:rPr>
                <w:rFonts w:ascii="Arial" w:cs="Arial" w:eastAsia="Arial" w:hAnsi="Arial"/>
                <w:sz w:val="13"/>
                <w:szCs w:val="13"/>
                <w:color w:val="auto"/>
              </w:rPr>
              <w:t>Deferred revenue</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1,207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28,465</w:t>
            </w:r>
          </w:p>
        </w:tc>
        <w:tc>
          <w:tcPr>
            <w:tcW w:w="0" w:type="dxa"/>
            <w:vAlign w:val="bottom"/>
          </w:tcPr>
          <w:p>
            <w:pPr>
              <w:spacing w:after="0"/>
              <w:rPr>
                <w:sz w:val="1"/>
                <w:szCs w:val="1"/>
                <w:color w:val="auto"/>
              </w:rPr>
            </w:pPr>
          </w:p>
        </w:tc>
      </w:tr>
      <w:tr>
        <w:trPr>
          <w:trHeight w:val="152"/>
        </w:trPr>
        <w:tc>
          <w:tcPr>
            <w:tcW w:w="5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Income taxes payable, net</w:t>
            </w:r>
          </w:p>
        </w:tc>
        <w:tc>
          <w:tcPr>
            <w:tcW w:w="200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(42,744)</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19,903</w:t>
            </w:r>
          </w:p>
        </w:tc>
        <w:tc>
          <w:tcPr>
            <w:tcW w:w="0" w:type="dxa"/>
            <w:vAlign w:val="bottom"/>
          </w:tcPr>
          <w:p>
            <w:pPr>
              <w:spacing w:after="0"/>
              <w:rPr>
                <w:sz w:val="1"/>
                <w:szCs w:val="1"/>
                <w:color w:val="auto"/>
              </w:rPr>
            </w:pPr>
          </w:p>
        </w:tc>
      </w:tr>
      <w:tr>
        <w:trPr>
          <w:trHeight w:val="152"/>
        </w:trPr>
        <w:tc>
          <w:tcPr>
            <w:tcW w:w="5060" w:type="dxa"/>
            <w:vAlign w:val="bottom"/>
          </w:tcPr>
          <w:p>
            <w:pPr>
              <w:ind w:left="260"/>
              <w:spacing w:after="0"/>
              <w:rPr>
                <w:sz w:val="20"/>
                <w:szCs w:val="20"/>
                <w:color w:val="auto"/>
              </w:rPr>
            </w:pPr>
            <w:r>
              <w:rPr>
                <w:rFonts w:ascii="Arial" w:cs="Arial" w:eastAsia="Arial" w:hAnsi="Arial"/>
                <w:sz w:val="13"/>
                <w:szCs w:val="13"/>
                <w:color w:val="auto"/>
              </w:rPr>
              <w:t>Other noncurrent liabilities</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34,801</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57,754</w:t>
            </w:r>
          </w:p>
        </w:tc>
        <w:tc>
          <w:tcPr>
            <w:tcW w:w="0" w:type="dxa"/>
            <w:vAlign w:val="bottom"/>
          </w:tcPr>
          <w:p>
            <w:pPr>
              <w:spacing w:after="0"/>
              <w:rPr>
                <w:sz w:val="1"/>
                <w:szCs w:val="1"/>
                <w:color w:val="auto"/>
              </w:rPr>
            </w:pPr>
          </w:p>
        </w:tc>
      </w:tr>
      <w:tr>
        <w:trPr>
          <w:trHeight w:val="151"/>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550,259</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539,800</w:t>
            </w:r>
          </w:p>
        </w:tc>
        <w:tc>
          <w:tcPr>
            <w:tcW w:w="0" w:type="dxa"/>
            <w:vAlign w:val="bottom"/>
          </w:tcPr>
          <w:p>
            <w:pPr>
              <w:spacing w:after="0"/>
              <w:rPr>
                <w:sz w:val="1"/>
                <w:szCs w:val="1"/>
                <w:color w:val="auto"/>
              </w:rPr>
            </w:pPr>
          </w:p>
        </w:tc>
      </w:tr>
      <w:tr>
        <w:trPr>
          <w:trHeight w:val="151"/>
        </w:trPr>
        <w:tc>
          <w:tcPr>
            <w:tcW w:w="5060" w:type="dxa"/>
            <w:vAlign w:val="bottom"/>
          </w:tcPr>
          <w:p>
            <w:pPr>
              <w:spacing w:after="0"/>
              <w:rPr>
                <w:sz w:val="20"/>
                <w:szCs w:val="20"/>
                <w:color w:val="auto"/>
              </w:rPr>
            </w:pPr>
            <w:r>
              <w:rPr>
                <w:rFonts w:ascii="Arial" w:cs="Arial" w:eastAsia="Arial" w:hAnsi="Arial"/>
                <w:sz w:val="13"/>
                <w:szCs w:val="13"/>
                <w:b w:val="1"/>
                <w:bCs w:val="1"/>
                <w:color w:val="auto"/>
              </w:rPr>
              <w:t>Cash Flow from Investing Activities:</w:t>
            </w:r>
          </w:p>
        </w:tc>
        <w:tc>
          <w:tcPr>
            <w:tcW w:w="13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Purchase of property and equipment, net (a)</w:t>
            </w:r>
          </w:p>
        </w:tc>
        <w:tc>
          <w:tcPr>
            <w:tcW w:w="200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(97,805)</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(145,400)</w:t>
            </w:r>
          </w:p>
        </w:tc>
        <w:tc>
          <w:tcPr>
            <w:tcW w:w="0" w:type="dxa"/>
            <w:vAlign w:val="bottom"/>
          </w:tcPr>
          <w:p>
            <w:pPr>
              <w:spacing w:after="0"/>
              <w:rPr>
                <w:sz w:val="1"/>
                <w:szCs w:val="1"/>
                <w:color w:val="auto"/>
              </w:rPr>
            </w:pPr>
          </w:p>
        </w:tc>
      </w:tr>
      <w:tr>
        <w:trPr>
          <w:trHeight w:val="152"/>
        </w:trPr>
        <w:tc>
          <w:tcPr>
            <w:tcW w:w="5060" w:type="dxa"/>
            <w:vAlign w:val="bottom"/>
          </w:tcPr>
          <w:p>
            <w:pPr>
              <w:spacing w:after="0"/>
              <w:rPr>
                <w:sz w:val="20"/>
                <w:szCs w:val="20"/>
                <w:color w:val="auto"/>
              </w:rPr>
            </w:pPr>
            <w:r>
              <w:rPr>
                <w:rFonts w:ascii="Arial" w:cs="Arial" w:eastAsia="Arial" w:hAnsi="Arial"/>
                <w:sz w:val="13"/>
                <w:szCs w:val="13"/>
                <w:color w:val="auto"/>
              </w:rPr>
              <w:t>Proceeds from sale of short-term interest-bearing investments</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15,553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20,043</w:t>
            </w:r>
          </w:p>
        </w:tc>
        <w:tc>
          <w:tcPr>
            <w:tcW w:w="0" w:type="dxa"/>
            <w:vAlign w:val="bottom"/>
          </w:tcPr>
          <w:p>
            <w:pPr>
              <w:spacing w:after="0"/>
              <w:rPr>
                <w:sz w:val="1"/>
                <w:szCs w:val="1"/>
                <w:color w:val="auto"/>
              </w:rPr>
            </w:pPr>
          </w:p>
        </w:tc>
      </w:tr>
      <w:tr>
        <w:trPr>
          <w:trHeight w:val="152"/>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Purchase of short-term interest-bearing investments</w:t>
            </w:r>
          </w:p>
        </w:tc>
        <w:tc>
          <w:tcPr>
            <w:tcW w:w="134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(34,275)</w:t>
            </w:r>
          </w:p>
        </w:tc>
        <w:tc>
          <w:tcPr>
            <w:tcW w:w="0" w:type="dxa"/>
            <w:vAlign w:val="bottom"/>
          </w:tcPr>
          <w:p>
            <w:pPr>
              <w:spacing w:after="0"/>
              <w:rPr>
                <w:sz w:val="1"/>
                <w:szCs w:val="1"/>
                <w:color w:val="auto"/>
              </w:rPr>
            </w:pPr>
          </w:p>
        </w:tc>
      </w:tr>
      <w:tr>
        <w:trPr>
          <w:trHeight w:val="152"/>
        </w:trPr>
        <w:tc>
          <w:tcPr>
            <w:tcW w:w="5060" w:type="dxa"/>
            <w:vAlign w:val="bottom"/>
          </w:tcPr>
          <w:p>
            <w:pPr>
              <w:spacing w:after="0"/>
              <w:rPr>
                <w:sz w:val="20"/>
                <w:szCs w:val="20"/>
                <w:color w:val="auto"/>
              </w:rPr>
            </w:pPr>
            <w:r>
              <w:rPr>
                <w:rFonts w:ascii="Arial" w:cs="Arial" w:eastAsia="Arial" w:hAnsi="Arial"/>
                <w:sz w:val="13"/>
                <w:szCs w:val="13"/>
                <w:color w:val="auto"/>
              </w:rPr>
              <w:t>Net cash paid for business acquisitions</w:t>
            </w:r>
          </w:p>
        </w:tc>
        <w:tc>
          <w:tcPr>
            <w:tcW w:w="2000" w:type="dxa"/>
            <w:vAlign w:val="bottom"/>
            <w:gridSpan w:val="4"/>
          </w:tcPr>
          <w:p>
            <w:pPr>
              <w:jc w:val="right"/>
              <w:ind w:right="100"/>
              <w:spacing w:after="0"/>
              <w:rPr>
                <w:sz w:val="20"/>
                <w:szCs w:val="20"/>
                <w:color w:val="auto"/>
              </w:rPr>
            </w:pPr>
            <w:r>
              <w:rPr>
                <w:rFonts w:ascii="Arial" w:cs="Arial" w:eastAsia="Arial" w:hAnsi="Arial"/>
                <w:sz w:val="13"/>
                <w:szCs w:val="13"/>
                <w:color w:val="auto"/>
              </w:rPr>
              <w:t>(84,425)</w:t>
            </w: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(24,430)</w:t>
            </w:r>
          </w:p>
        </w:tc>
        <w:tc>
          <w:tcPr>
            <w:tcW w:w="0" w:type="dxa"/>
            <w:vAlign w:val="bottom"/>
          </w:tcPr>
          <w:p>
            <w:pPr>
              <w:spacing w:after="0"/>
              <w:rPr>
                <w:sz w:val="1"/>
                <w:szCs w:val="1"/>
                <w:color w:val="auto"/>
              </w:rPr>
            </w:pPr>
          </w:p>
        </w:tc>
      </w:tr>
      <w:tr>
        <w:trPr>
          <w:trHeight w:val="152"/>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Net cash received from sale of a business</w:t>
            </w:r>
          </w:p>
        </w:tc>
        <w:tc>
          <w:tcPr>
            <w:tcW w:w="134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52"/>
        </w:trPr>
        <w:tc>
          <w:tcPr>
            <w:tcW w:w="5060" w:type="dxa"/>
            <w:vAlign w:val="bottom"/>
          </w:tcPr>
          <w:p>
            <w:pPr>
              <w:spacing w:after="0"/>
              <w:rPr>
                <w:sz w:val="20"/>
                <w:szCs w:val="20"/>
                <w:color w:val="auto"/>
              </w:rPr>
            </w:pPr>
            <w:r>
              <w:rPr>
                <w:rFonts w:ascii="Arial" w:cs="Arial" w:eastAsia="Arial" w:hAnsi="Arial"/>
                <w:sz w:val="13"/>
                <w:szCs w:val="13"/>
                <w:color w:val="auto"/>
              </w:rPr>
              <w:t>Other</w:t>
            </w:r>
          </w:p>
        </w:tc>
        <w:tc>
          <w:tcPr>
            <w:tcW w:w="2000" w:type="dxa"/>
            <w:vAlign w:val="bottom"/>
            <w:gridSpan w:val="4"/>
          </w:tcPr>
          <w:p>
            <w:pPr>
              <w:jc w:val="right"/>
              <w:ind w:right="100"/>
              <w:spacing w:after="0"/>
              <w:rPr>
                <w:sz w:val="20"/>
                <w:szCs w:val="20"/>
                <w:color w:val="auto"/>
              </w:rPr>
            </w:pPr>
            <w:r>
              <w:rPr>
                <w:rFonts w:ascii="Arial" w:cs="Arial" w:eastAsia="Arial" w:hAnsi="Arial"/>
                <w:sz w:val="13"/>
                <w:szCs w:val="13"/>
                <w:color w:val="auto"/>
              </w:rPr>
              <w:t>(2,438)</w:t>
            </w: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(5,030)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200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(169,115)</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(179,092)</w:t>
            </w:r>
          </w:p>
        </w:tc>
        <w:tc>
          <w:tcPr>
            <w:tcW w:w="0" w:type="dxa"/>
            <w:vAlign w:val="bottom"/>
          </w:tcPr>
          <w:p>
            <w:pPr>
              <w:spacing w:after="0"/>
              <w:rPr>
                <w:sz w:val="1"/>
                <w:szCs w:val="1"/>
                <w:color w:val="auto"/>
              </w:rPr>
            </w:pPr>
          </w:p>
        </w:tc>
      </w:tr>
      <w:tr>
        <w:trPr>
          <w:trHeight w:val="151"/>
        </w:trPr>
        <w:tc>
          <w:tcPr>
            <w:tcW w:w="5060" w:type="dxa"/>
            <w:vAlign w:val="bottom"/>
          </w:tcPr>
          <w:p>
            <w:pPr>
              <w:spacing w:after="0"/>
              <w:rPr>
                <w:sz w:val="20"/>
                <w:szCs w:val="20"/>
                <w:color w:val="auto"/>
              </w:rPr>
            </w:pPr>
            <w:r>
              <w:rPr>
                <w:rFonts w:ascii="Arial" w:cs="Arial" w:eastAsia="Arial" w:hAnsi="Arial"/>
                <w:sz w:val="13"/>
                <w:szCs w:val="13"/>
                <w:b w:val="1"/>
                <w:bCs w:val="1"/>
                <w:color w:val="auto"/>
              </w:rPr>
              <w:t>Cash Flow from Financing Activities:</w:t>
            </w:r>
          </w:p>
        </w:tc>
        <w:tc>
          <w:tcPr>
            <w:tcW w:w="13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Repurchase of shares</w:t>
            </w:r>
          </w:p>
        </w:tc>
        <w:tc>
          <w:tcPr>
            <w:tcW w:w="200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(334,499)</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(400,922)</w:t>
            </w:r>
          </w:p>
        </w:tc>
        <w:tc>
          <w:tcPr>
            <w:tcW w:w="0" w:type="dxa"/>
            <w:vAlign w:val="bottom"/>
          </w:tcPr>
          <w:p>
            <w:pPr>
              <w:spacing w:after="0"/>
              <w:rPr>
                <w:sz w:val="1"/>
                <w:szCs w:val="1"/>
                <w:color w:val="auto"/>
              </w:rPr>
            </w:pPr>
          </w:p>
        </w:tc>
      </w:tr>
      <w:tr>
        <w:trPr>
          <w:trHeight w:val="152"/>
        </w:trPr>
        <w:tc>
          <w:tcPr>
            <w:tcW w:w="5060" w:type="dxa"/>
            <w:vAlign w:val="bottom"/>
          </w:tcPr>
          <w:p>
            <w:pPr>
              <w:spacing w:after="0"/>
              <w:rPr>
                <w:sz w:val="20"/>
                <w:szCs w:val="20"/>
                <w:color w:val="auto"/>
              </w:rPr>
            </w:pPr>
            <w:r>
              <w:rPr>
                <w:rFonts w:ascii="Arial" w:cs="Arial" w:eastAsia="Arial" w:hAnsi="Arial"/>
                <w:sz w:val="13"/>
                <w:szCs w:val="13"/>
                <w:color w:val="auto"/>
              </w:rPr>
              <w:t>Proceeds from employee stock option exercises</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45,975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72,957</w:t>
            </w:r>
          </w:p>
        </w:tc>
        <w:tc>
          <w:tcPr>
            <w:tcW w:w="0" w:type="dxa"/>
            <w:vAlign w:val="bottom"/>
          </w:tcPr>
          <w:p>
            <w:pPr>
              <w:spacing w:after="0"/>
              <w:rPr>
                <w:sz w:val="1"/>
                <w:szCs w:val="1"/>
                <w:color w:val="auto"/>
              </w:rPr>
            </w:pPr>
          </w:p>
        </w:tc>
      </w:tr>
      <w:tr>
        <w:trPr>
          <w:trHeight w:val="152"/>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Payments of dividends</w:t>
            </w:r>
          </w:p>
        </w:tc>
        <w:tc>
          <w:tcPr>
            <w:tcW w:w="200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(147,679)</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(137,893)</w:t>
            </w:r>
          </w:p>
        </w:tc>
        <w:tc>
          <w:tcPr>
            <w:tcW w:w="0" w:type="dxa"/>
            <w:vAlign w:val="bottom"/>
          </w:tcPr>
          <w:p>
            <w:pPr>
              <w:spacing w:after="0"/>
              <w:rPr>
                <w:sz w:val="1"/>
                <w:szCs w:val="1"/>
                <w:color w:val="auto"/>
              </w:rPr>
            </w:pPr>
          </w:p>
        </w:tc>
      </w:tr>
      <w:tr>
        <w:trPr>
          <w:trHeight w:val="152"/>
        </w:trPr>
        <w:tc>
          <w:tcPr>
            <w:tcW w:w="5060" w:type="dxa"/>
            <w:vAlign w:val="bottom"/>
          </w:tcPr>
          <w:p>
            <w:pPr>
              <w:spacing w:after="0"/>
              <w:rPr>
                <w:sz w:val="20"/>
                <w:szCs w:val="20"/>
                <w:color w:val="auto"/>
              </w:rPr>
            </w:pPr>
            <w:r>
              <w:rPr>
                <w:rFonts w:ascii="Arial" w:cs="Arial" w:eastAsia="Arial" w:hAnsi="Arial"/>
                <w:sz w:val="13"/>
                <w:szCs w:val="13"/>
                <w:color w:val="auto"/>
              </w:rPr>
              <w:t>Distribution to noncontrolling interests</w:t>
            </w:r>
          </w:p>
        </w:tc>
        <w:tc>
          <w:tcPr>
            <w:tcW w:w="2000" w:type="dxa"/>
            <w:vAlign w:val="bottom"/>
            <w:gridSpan w:val="4"/>
          </w:tcPr>
          <w:p>
            <w:pPr>
              <w:jc w:val="right"/>
              <w:ind w:right="100"/>
              <w:spacing w:after="0"/>
              <w:rPr>
                <w:sz w:val="20"/>
                <w:szCs w:val="20"/>
                <w:color w:val="auto"/>
              </w:rPr>
            </w:pPr>
            <w:r>
              <w:rPr>
                <w:rFonts w:ascii="Arial" w:cs="Arial" w:eastAsia="Arial" w:hAnsi="Arial"/>
                <w:sz w:val="13"/>
                <w:szCs w:val="13"/>
                <w:color w:val="auto"/>
              </w:rPr>
              <w:t>(208)</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Payment of contingent consideration from a business acquisition</w:t>
            </w:r>
          </w:p>
        </w:tc>
        <w:tc>
          <w:tcPr>
            <w:tcW w:w="134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(453)</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(6,153)</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3"/>
                <w:szCs w:val="13"/>
                <w:color w:val="auto"/>
              </w:rPr>
              <w:t>Net cash used in financing activities</w:t>
            </w:r>
          </w:p>
        </w:tc>
        <w:tc>
          <w:tcPr>
            <w:tcW w:w="1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6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3"/>
                <w:szCs w:val="13"/>
                <w:color w:val="auto"/>
                <w:w w:val="96"/>
              </w:rPr>
              <w:t>(436,864)</w:t>
            </w: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(472,011)</w:t>
            </w:r>
          </w:p>
        </w:tc>
        <w:tc>
          <w:tcPr>
            <w:tcW w:w="0" w:type="dxa"/>
            <w:vAlign w:val="bottom"/>
          </w:tcPr>
          <w:p>
            <w:pPr>
              <w:spacing w:after="0"/>
              <w:rPr>
                <w:sz w:val="1"/>
                <w:szCs w:val="1"/>
                <w:color w:val="auto"/>
              </w:rPr>
            </w:pPr>
          </w:p>
        </w:tc>
      </w:tr>
      <w:tr>
        <w:trPr>
          <w:trHeight w:val="152"/>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Net decrease in cash and cash equivalents</w:t>
            </w:r>
          </w:p>
        </w:tc>
        <w:tc>
          <w:tcPr>
            <w:tcW w:w="200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(55,720)</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(111,303)</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573,377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709,064</w:t>
            </w:r>
          </w:p>
        </w:tc>
        <w:tc>
          <w:tcPr>
            <w:tcW w:w="0" w:type="dxa"/>
            <w:vAlign w:val="bottom"/>
          </w:tcPr>
          <w:p>
            <w:pPr>
              <w:spacing w:after="0"/>
              <w:rPr>
                <w:sz w:val="1"/>
                <w:szCs w:val="1"/>
                <w:color w:val="auto"/>
              </w:rPr>
            </w:pPr>
          </w:p>
        </w:tc>
      </w:tr>
      <w:tr>
        <w:trPr>
          <w:trHeight w:val="160"/>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13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$ 517,657</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$ 597,761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83" w:right="1440"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43180"/>
                    </a:xfrm>
                    <a:prstGeom prst="rect">
                      <a:avLst/>
                    </a:prstGeom>
                    <a:noFill/>
                  </pic:spPr>
                </pic:pic>
              </a:graphicData>
            </a:graphic>
          </wp:anchor>
        </w:drawing>
        <w:t>AMDOCS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Supplementary Information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millions)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43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7"/>
          </w:tcPr>
          <w:p>
            <w:pPr>
              <w:jc w:val="center"/>
              <w:ind w:right="49"/>
              <w:spacing w:after="0"/>
              <w:rPr>
                <w:sz w:val="20"/>
                <w:szCs w:val="20"/>
                <w:color w:val="auto"/>
              </w:rPr>
            </w:pPr>
            <w:r>
              <w:rPr>
                <w:rFonts w:ascii="Arial" w:cs="Arial" w:eastAsia="Arial" w:hAnsi="Arial"/>
                <w:sz w:val="10"/>
                <w:szCs w:val="10"/>
                <w:b w:val="1"/>
                <w:bCs w:val="1"/>
                <w:color w:val="auto"/>
                <w:w w:val="89"/>
              </w:rPr>
              <w:t>Three months ended</w:t>
            </w: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4380" w:type="dxa"/>
            <w:vAlign w:val="bottom"/>
          </w:tcPr>
          <w:p>
            <w:pPr>
              <w:spacing w:after="0"/>
              <w:rPr>
                <w:sz w:val="6"/>
                <w:szCs w:val="6"/>
                <w:color w:val="auto"/>
              </w:rPr>
            </w:pPr>
          </w:p>
        </w:tc>
        <w:tc>
          <w:tcPr>
            <w:tcW w:w="620" w:type="dxa"/>
            <w:vAlign w:val="bottom"/>
            <w:gridSpan w:val="2"/>
          </w:tcPr>
          <w:p>
            <w:pPr>
              <w:jc w:val="right"/>
              <w:ind w:right="220"/>
              <w:spacing w:after="0" w:line="79" w:lineRule="exact"/>
              <w:rPr>
                <w:sz w:val="20"/>
                <w:szCs w:val="20"/>
                <w:color w:val="auto"/>
              </w:rPr>
            </w:pPr>
            <w:r>
              <w:rPr>
                <w:rFonts w:ascii="Arial" w:cs="Arial" w:eastAsia="Arial" w:hAnsi="Arial"/>
                <w:sz w:val="9"/>
                <w:szCs w:val="9"/>
                <w:b w:val="1"/>
                <w:bCs w:val="1"/>
                <w:color w:val="auto"/>
              </w:rPr>
              <w:t>June 30,</w:t>
            </w:r>
          </w:p>
        </w:tc>
        <w:tc>
          <w:tcPr>
            <w:tcW w:w="60" w:type="dxa"/>
            <w:vAlign w:val="bottom"/>
          </w:tcPr>
          <w:p>
            <w:pPr>
              <w:spacing w:after="0"/>
              <w:rPr>
                <w:sz w:val="6"/>
                <w:szCs w:val="6"/>
                <w:color w:val="auto"/>
              </w:rPr>
            </w:pPr>
          </w:p>
        </w:tc>
        <w:tc>
          <w:tcPr>
            <w:tcW w:w="500" w:type="dxa"/>
            <w:vAlign w:val="bottom"/>
            <w:gridSpan w:val="4"/>
          </w:tcPr>
          <w:p>
            <w:pPr>
              <w:ind w:left="20"/>
              <w:spacing w:after="0" w:line="79"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6"/>
                <w:szCs w:val="6"/>
                <w:color w:val="auto"/>
              </w:rPr>
            </w:pPr>
          </w:p>
        </w:tc>
        <w:tc>
          <w:tcPr>
            <w:tcW w:w="720" w:type="dxa"/>
            <w:vAlign w:val="bottom"/>
            <w:gridSpan w:val="4"/>
          </w:tcPr>
          <w:p>
            <w:pPr>
              <w:ind w:left="40"/>
              <w:spacing w:after="0" w:line="79" w:lineRule="exact"/>
              <w:rPr>
                <w:sz w:val="20"/>
                <w:szCs w:val="20"/>
                <w:color w:val="auto"/>
              </w:rPr>
            </w:pPr>
            <w:r>
              <w:rPr>
                <w:rFonts w:ascii="Arial" w:cs="Arial" w:eastAsia="Arial" w:hAnsi="Arial"/>
                <w:sz w:val="9"/>
                <w:szCs w:val="9"/>
                <w:b w:val="1"/>
                <w:bCs w:val="1"/>
                <w:color w:val="auto"/>
              </w:rPr>
              <w:t>December 31,</w:t>
            </w:r>
          </w:p>
        </w:tc>
        <w:tc>
          <w:tcPr>
            <w:tcW w:w="880" w:type="dxa"/>
            <w:vAlign w:val="bottom"/>
            <w:gridSpan w:val="5"/>
          </w:tcPr>
          <w:p>
            <w:pPr>
              <w:ind w:left="80"/>
              <w:spacing w:after="0" w:line="79" w:lineRule="exact"/>
              <w:rPr>
                <w:sz w:val="20"/>
                <w:szCs w:val="20"/>
                <w:color w:val="auto"/>
              </w:rPr>
            </w:pPr>
            <w:r>
              <w:rPr>
                <w:rFonts w:ascii="Arial" w:cs="Arial" w:eastAsia="Arial" w:hAnsi="Arial"/>
                <w:sz w:val="9"/>
                <w:szCs w:val="9"/>
                <w:b w:val="1"/>
                <w:bCs w:val="1"/>
                <w:color w:val="auto"/>
              </w:rPr>
              <w:t>September 30,</w:t>
            </w:r>
          </w:p>
        </w:tc>
        <w:tc>
          <w:tcPr>
            <w:tcW w:w="440" w:type="dxa"/>
            <w:vAlign w:val="bottom"/>
            <w:gridSpan w:val="2"/>
          </w:tcPr>
          <w:p>
            <w:pPr>
              <w:jc w:val="right"/>
              <w:spacing w:after="0" w:line="79" w:lineRule="exact"/>
              <w:rPr>
                <w:sz w:val="20"/>
                <w:szCs w:val="20"/>
                <w:color w:val="auto"/>
              </w:rPr>
            </w:pPr>
            <w:r>
              <w:rPr>
                <w:rFonts w:ascii="Arial" w:cs="Arial" w:eastAsia="Arial" w:hAnsi="Arial"/>
                <w:sz w:val="9"/>
                <w:szCs w:val="9"/>
                <w:b w:val="1"/>
                <w:bCs w:val="1"/>
                <w:color w:val="auto"/>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4380" w:type="dxa"/>
            <w:vAlign w:val="bottom"/>
          </w:tcPr>
          <w:p>
            <w:pPr>
              <w:spacing w:after="0"/>
              <w:rPr>
                <w:sz w:val="10"/>
                <w:szCs w:val="10"/>
                <w:color w:val="auto"/>
              </w:rPr>
            </w:pPr>
          </w:p>
        </w:tc>
        <w:tc>
          <w:tcPr>
            <w:tcW w:w="44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rPr>
              <w:t>2023</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w w:val="98"/>
              </w:rPr>
              <w:t>2022</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0"/>
                <w:szCs w:val="10"/>
                <w:b w:val="1"/>
                <w:bCs w:val="1"/>
                <w:color w:val="auto"/>
              </w:rPr>
              <w:t>2022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3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North America</w:t>
            </w:r>
          </w:p>
        </w:tc>
        <w:tc>
          <w:tcPr>
            <w:tcW w:w="620" w:type="dxa"/>
            <w:vAlign w:val="bottom"/>
            <w:tcBorders>
              <w:left w:val="single" w:sz="8" w:color="CCEEFF"/>
            </w:tcBorders>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w w:val="89"/>
              </w:rPr>
              <w:t>$  830.9</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w w:val="78"/>
              </w:rPr>
              <w:t>$</w:t>
            </w:r>
          </w:p>
        </w:tc>
        <w:tc>
          <w:tcPr>
            <w:tcW w:w="42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829.0</w:t>
            </w:r>
          </w:p>
        </w:tc>
        <w:tc>
          <w:tcPr>
            <w:tcW w:w="240" w:type="dxa"/>
            <w:vAlign w:val="bottom"/>
            <w:gridSpan w:val="3"/>
            <w:shd w:val="clear" w:color="auto" w:fill="CCEEFF"/>
          </w:tcPr>
          <w:p>
            <w:pPr>
              <w:ind w:left="140"/>
              <w:spacing w:after="0" w:line="141"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812.7</w:t>
            </w:r>
          </w:p>
        </w:tc>
        <w:tc>
          <w:tcPr>
            <w:tcW w:w="24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794.4</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w w:val="89"/>
              </w:rPr>
              <w:t>$  788.0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380" w:type="dxa"/>
            <w:vAlign w:val="bottom"/>
          </w:tcPr>
          <w:p>
            <w:pPr>
              <w:spacing w:after="0"/>
              <w:rPr>
                <w:sz w:val="20"/>
                <w:szCs w:val="20"/>
                <w:color w:val="auto"/>
              </w:rPr>
            </w:pPr>
            <w:r>
              <w:rPr>
                <w:rFonts w:ascii="Arial" w:cs="Arial" w:eastAsia="Arial" w:hAnsi="Arial"/>
                <w:sz w:val="13"/>
                <w:szCs w:val="13"/>
                <w:color w:val="auto"/>
              </w:rPr>
              <w:t>Europe</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187.3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3"/>
                <w:szCs w:val="13"/>
                <w:color w:val="auto"/>
              </w:rPr>
              <w:t>171.7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168.7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146.4</w:t>
            </w: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146.1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Rest of the World</w:t>
            </w:r>
          </w:p>
        </w:tc>
        <w:tc>
          <w:tcPr>
            <w:tcW w:w="62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217.8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222.6</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204.3</w:t>
            </w:r>
          </w:p>
        </w:tc>
        <w:tc>
          <w:tcPr>
            <w:tcW w:w="1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225.7</w:t>
            </w: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226.2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3"/>
                <w:szCs w:val="13"/>
                <w:color w:val="auto"/>
              </w:rPr>
              <w:t>Total Revenue</w:t>
            </w:r>
          </w:p>
        </w:tc>
        <w:tc>
          <w:tcPr>
            <w:tcW w:w="4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380" w:type="dxa"/>
            <w:vAlign w:val="bottom"/>
            <w:vMerge w:val="continue"/>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u w:val="single" w:color="auto"/>
                <w:color w:val="auto"/>
                <w:w w:val="82"/>
              </w:rPr>
              <w:t>$</w:t>
            </w:r>
            <w:r>
              <w:rPr>
                <w:rFonts w:ascii="Arial" w:cs="Arial" w:eastAsia="Arial" w:hAnsi="Arial"/>
                <w:sz w:val="13"/>
                <w:szCs w:val="13"/>
                <w:color w:val="auto"/>
                <w:w w:val="82"/>
              </w:rPr>
              <w:t>1,236.0</w:t>
            </w:r>
          </w:p>
        </w:tc>
        <w:tc>
          <w:tcPr>
            <w:tcW w:w="560" w:type="dxa"/>
            <w:vAlign w:val="bottom"/>
            <w:gridSpan w:val="5"/>
          </w:tcPr>
          <w:p>
            <w:pPr>
              <w:jc w:val="right"/>
              <w:ind w:right="40"/>
              <w:spacing w:after="0"/>
              <w:rPr>
                <w:sz w:val="20"/>
                <w:szCs w:val="20"/>
                <w:color w:val="auto"/>
              </w:rPr>
            </w:pPr>
            <w:r>
              <w:rPr>
                <w:rFonts w:ascii="Arial" w:cs="Arial" w:eastAsia="Arial" w:hAnsi="Arial"/>
                <w:sz w:val="13"/>
                <w:szCs w:val="13"/>
                <w:u w:val="single" w:color="auto"/>
                <w:color w:val="auto"/>
                <w:w w:val="98"/>
              </w:rPr>
              <w:t>$</w:t>
            </w:r>
            <w:r>
              <w:rPr>
                <w:rFonts w:ascii="Arial" w:cs="Arial" w:eastAsia="Arial" w:hAnsi="Arial"/>
                <w:sz w:val="13"/>
                <w:szCs w:val="13"/>
                <w:color w:val="auto"/>
                <w:w w:val="98"/>
              </w:rPr>
              <w:t>1,223.3</w:t>
            </w:r>
          </w:p>
        </w:tc>
        <w:tc>
          <w:tcPr>
            <w:tcW w:w="24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1,185.7</w:t>
            </w: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1,166.5</w:t>
            </w: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u w:val="single" w:color="auto"/>
                <w:color w:val="auto"/>
                <w:w w:val="82"/>
              </w:rPr>
              <w:t>$</w:t>
            </w:r>
            <w:r>
              <w:rPr>
                <w:rFonts w:ascii="Arial" w:cs="Arial" w:eastAsia="Arial" w:hAnsi="Arial"/>
                <w:sz w:val="13"/>
                <w:szCs w:val="13"/>
                <w:color w:val="auto"/>
                <w:w w:val="82"/>
              </w:rPr>
              <w:t>1,160.3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4380" w:type="dxa"/>
            <w:vAlign w:val="bottom"/>
          </w:tcPr>
          <w:p>
            <w:pPr>
              <w:spacing w:after="0"/>
              <w:rPr>
                <w:sz w:val="2"/>
                <w:szCs w:val="2"/>
                <w:color w:val="auto"/>
              </w:rPr>
            </w:pPr>
          </w:p>
        </w:tc>
        <w:tc>
          <w:tcPr>
            <w:tcW w:w="440" w:type="dxa"/>
            <w:vAlign w:val="bottom"/>
            <w:tcBorders>
              <w:left w:val="single" w:sz="8" w:color="auto"/>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Borders>
              <w:right w:val="single" w:sz="8" w:color="auto"/>
            </w:tcBorders>
            <w:gridSpan w:val="2"/>
            <w:shd w:val="clear" w:color="auto" w:fill="000000"/>
          </w:tcPr>
          <w:p>
            <w:pPr>
              <w:spacing w:after="0"/>
              <w:rPr>
                <w:sz w:val="2"/>
                <w:szCs w:val="2"/>
                <w:color w:val="auto"/>
              </w:rPr>
            </w:pPr>
          </w:p>
        </w:tc>
        <w:tc>
          <w:tcPr>
            <w:tcW w:w="200" w:type="dxa"/>
            <w:vAlign w:val="bottom"/>
            <w:tcBorders>
              <w:right w:val="single" w:sz="8" w:color="auto"/>
            </w:tcBorders>
            <w:gridSpan w:val="2"/>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3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7"/>
          </w:tcPr>
          <w:p>
            <w:pPr>
              <w:jc w:val="center"/>
              <w:ind w:right="29"/>
              <w:spacing w:after="0"/>
              <w:rPr>
                <w:sz w:val="20"/>
                <w:szCs w:val="20"/>
                <w:color w:val="auto"/>
              </w:rPr>
            </w:pPr>
            <w:r>
              <w:rPr>
                <w:rFonts w:ascii="Arial" w:cs="Arial" w:eastAsia="Arial" w:hAnsi="Arial"/>
                <w:sz w:val="10"/>
                <w:szCs w:val="10"/>
                <w:b w:val="1"/>
                <w:bCs w:val="1"/>
                <w:color w:val="auto"/>
                <w:w w:val="91"/>
              </w:rPr>
              <w:t>Three months ended</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4380" w:type="dxa"/>
            <w:vAlign w:val="bottom"/>
          </w:tcPr>
          <w:p>
            <w:pPr>
              <w:spacing w:after="0"/>
              <w:rPr>
                <w:sz w:val="6"/>
                <w:szCs w:val="6"/>
                <w:color w:val="auto"/>
              </w:rPr>
            </w:pPr>
          </w:p>
        </w:tc>
        <w:tc>
          <w:tcPr>
            <w:tcW w:w="620" w:type="dxa"/>
            <w:vAlign w:val="bottom"/>
            <w:gridSpan w:val="2"/>
          </w:tcPr>
          <w:p>
            <w:pPr>
              <w:jc w:val="right"/>
              <w:ind w:right="240"/>
              <w:spacing w:after="0" w:line="79" w:lineRule="exact"/>
              <w:rPr>
                <w:sz w:val="20"/>
                <w:szCs w:val="20"/>
                <w:color w:val="auto"/>
              </w:rPr>
            </w:pPr>
            <w:r>
              <w:rPr>
                <w:rFonts w:ascii="Arial" w:cs="Arial" w:eastAsia="Arial" w:hAnsi="Arial"/>
                <w:sz w:val="9"/>
                <w:szCs w:val="9"/>
                <w:b w:val="1"/>
                <w:bCs w:val="1"/>
                <w:color w:val="auto"/>
                <w:w w:val="99"/>
              </w:rPr>
              <w:t>June 30,</w:t>
            </w:r>
          </w:p>
        </w:tc>
        <w:tc>
          <w:tcPr>
            <w:tcW w:w="560" w:type="dxa"/>
            <w:vAlign w:val="bottom"/>
            <w:gridSpan w:val="5"/>
          </w:tcPr>
          <w:p>
            <w:pPr>
              <w:spacing w:after="0" w:line="79"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6"/>
                <w:szCs w:val="6"/>
                <w:color w:val="auto"/>
              </w:rPr>
            </w:pPr>
          </w:p>
        </w:tc>
        <w:tc>
          <w:tcPr>
            <w:tcW w:w="720" w:type="dxa"/>
            <w:vAlign w:val="bottom"/>
            <w:gridSpan w:val="4"/>
          </w:tcPr>
          <w:p>
            <w:pPr>
              <w:jc w:val="right"/>
              <w:ind w:right="120"/>
              <w:spacing w:after="0" w:line="79" w:lineRule="exact"/>
              <w:rPr>
                <w:sz w:val="20"/>
                <w:szCs w:val="20"/>
                <w:color w:val="auto"/>
              </w:rPr>
            </w:pPr>
            <w:r>
              <w:rPr>
                <w:rFonts w:ascii="Arial" w:cs="Arial" w:eastAsia="Arial" w:hAnsi="Arial"/>
                <w:sz w:val="9"/>
                <w:szCs w:val="9"/>
                <w:b w:val="1"/>
                <w:bCs w:val="1"/>
                <w:color w:val="auto"/>
                <w:w w:val="99"/>
              </w:rPr>
              <w:t>December 31,</w:t>
            </w:r>
          </w:p>
        </w:tc>
        <w:tc>
          <w:tcPr>
            <w:tcW w:w="100" w:type="dxa"/>
            <w:vAlign w:val="bottom"/>
          </w:tcPr>
          <w:p>
            <w:pPr>
              <w:spacing w:after="0"/>
              <w:rPr>
                <w:sz w:val="6"/>
                <w:szCs w:val="6"/>
                <w:color w:val="auto"/>
              </w:rPr>
            </w:pPr>
          </w:p>
        </w:tc>
        <w:tc>
          <w:tcPr>
            <w:tcW w:w="780" w:type="dxa"/>
            <w:vAlign w:val="bottom"/>
            <w:gridSpan w:val="4"/>
          </w:tcPr>
          <w:p>
            <w:pPr>
              <w:spacing w:after="0" w:line="79" w:lineRule="exact"/>
              <w:rPr>
                <w:sz w:val="20"/>
                <w:szCs w:val="20"/>
                <w:color w:val="auto"/>
              </w:rPr>
            </w:pPr>
            <w:r>
              <w:rPr>
                <w:rFonts w:ascii="Arial" w:cs="Arial" w:eastAsia="Arial" w:hAnsi="Arial"/>
                <w:sz w:val="9"/>
                <w:szCs w:val="9"/>
                <w:b w:val="1"/>
                <w:bCs w:val="1"/>
                <w:color w:val="auto"/>
              </w:rPr>
              <w:t>September 30,</w:t>
            </w:r>
          </w:p>
        </w:tc>
        <w:tc>
          <w:tcPr>
            <w:tcW w:w="440" w:type="dxa"/>
            <w:vAlign w:val="bottom"/>
            <w:gridSpan w:val="2"/>
          </w:tcPr>
          <w:p>
            <w:pPr>
              <w:jc w:val="center"/>
              <w:ind w:left="23"/>
              <w:spacing w:after="0" w:line="79" w:lineRule="exact"/>
              <w:rPr>
                <w:sz w:val="20"/>
                <w:szCs w:val="20"/>
                <w:color w:val="auto"/>
              </w:rPr>
            </w:pPr>
            <w:r>
              <w:rPr>
                <w:rFonts w:ascii="Arial" w:cs="Arial" w:eastAsia="Arial" w:hAnsi="Arial"/>
                <w:sz w:val="9"/>
                <w:szCs w:val="9"/>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4380" w:type="dxa"/>
            <w:vAlign w:val="bottom"/>
          </w:tcPr>
          <w:p>
            <w:pPr>
              <w:spacing w:after="0"/>
              <w:rPr>
                <w:sz w:val="10"/>
                <w:szCs w:val="10"/>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2023</w:t>
            </w:r>
          </w:p>
        </w:tc>
        <w:tc>
          <w:tcPr>
            <w:tcW w:w="180" w:type="dxa"/>
            <w:vAlign w:val="bottom"/>
          </w:tcPr>
          <w:p>
            <w:pPr>
              <w:spacing w:after="0"/>
              <w:rPr>
                <w:sz w:val="10"/>
                <w:szCs w:val="10"/>
                <w:color w:val="auto"/>
              </w:rPr>
            </w:pPr>
          </w:p>
        </w:tc>
        <w:tc>
          <w:tcPr>
            <w:tcW w:w="440" w:type="dxa"/>
            <w:vAlign w:val="bottom"/>
            <w:tcBorders>
              <w:bottom w:val="single" w:sz="8" w:color="auto"/>
            </w:tcBorders>
            <w:gridSpan w:val="3"/>
          </w:tcPr>
          <w:p>
            <w:pPr>
              <w:ind w:left="120"/>
              <w:spacing w:after="0"/>
              <w:rPr>
                <w:sz w:val="20"/>
                <w:szCs w:val="20"/>
                <w:color w:val="auto"/>
              </w:rPr>
            </w:pPr>
            <w:r>
              <w:rPr>
                <w:rFonts w:ascii="Arial" w:cs="Arial" w:eastAsia="Arial" w:hAnsi="Arial"/>
                <w:sz w:val="10"/>
                <w:szCs w:val="10"/>
                <w:b w:val="1"/>
                <w:bCs w:val="1"/>
                <w:color w:val="auto"/>
              </w:rPr>
              <w:t>2023</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2022</w:t>
            </w:r>
          </w:p>
        </w:tc>
        <w:tc>
          <w:tcPr>
            <w:tcW w:w="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3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Managed Services Revenue</w:t>
            </w:r>
          </w:p>
        </w:tc>
        <w:tc>
          <w:tcPr>
            <w:tcW w:w="440" w:type="dxa"/>
            <w:vAlign w:val="bottom"/>
            <w:tcBorders>
              <w:left w:val="single" w:sz="8" w:color="CCEEFF"/>
              <w:right w:val="single" w:sz="8" w:color="CCEEFF"/>
            </w:tcBorders>
            <w:shd w:val="clear" w:color="auto" w:fill="CCEEFF"/>
          </w:tcPr>
          <w:p>
            <w:pPr>
              <w:jc w:val="center"/>
              <w:spacing w:after="0" w:line="141" w:lineRule="exact"/>
              <w:rPr>
                <w:sz w:val="20"/>
                <w:szCs w:val="20"/>
                <w:color w:val="auto"/>
              </w:rPr>
            </w:pPr>
            <w:r>
              <w:rPr>
                <w:rFonts w:ascii="Arial" w:cs="Arial" w:eastAsia="Arial" w:hAnsi="Arial"/>
                <w:sz w:val="13"/>
                <w:szCs w:val="13"/>
                <w:u w:val="single" w:color="auto"/>
                <w:color w:val="auto"/>
                <w:w w:val="90"/>
              </w:rPr>
              <w:t>$</w:t>
            </w:r>
            <w:r>
              <w:rPr>
                <w:rFonts w:ascii="Arial" w:cs="Arial" w:eastAsia="Arial" w:hAnsi="Arial"/>
                <w:sz w:val="13"/>
                <w:szCs w:val="13"/>
                <w:color w:val="auto"/>
                <w:w w:val="90"/>
              </w:rPr>
              <w:t>719.8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5"/>
              </w:rPr>
              <w:t>718.9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w w:val="82"/>
              </w:rPr>
              <w:t>$</w:t>
            </w:r>
          </w:p>
        </w:tc>
        <w:tc>
          <w:tcPr>
            <w:tcW w:w="480" w:type="dxa"/>
            <w:vAlign w:val="bottom"/>
            <w:tcBorders>
              <w:right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699.8</w:t>
            </w: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714.6</w:t>
            </w:r>
          </w:p>
        </w:tc>
        <w:tc>
          <w:tcPr>
            <w:tcW w:w="4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717.9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380" w:type="dxa"/>
            <w:vAlign w:val="bottom"/>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as of</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4380" w:type="dxa"/>
            <w:vAlign w:val="bottom"/>
          </w:tcPr>
          <w:p>
            <w:pPr>
              <w:spacing w:after="0"/>
              <w:rPr>
                <w:sz w:val="6"/>
                <w:szCs w:val="6"/>
                <w:color w:val="auto"/>
              </w:rPr>
            </w:pPr>
          </w:p>
        </w:tc>
        <w:tc>
          <w:tcPr>
            <w:tcW w:w="620" w:type="dxa"/>
            <w:vAlign w:val="bottom"/>
            <w:gridSpan w:val="2"/>
          </w:tcPr>
          <w:p>
            <w:pPr>
              <w:jc w:val="right"/>
              <w:ind w:right="240"/>
              <w:spacing w:after="0" w:line="79" w:lineRule="exact"/>
              <w:rPr>
                <w:sz w:val="20"/>
                <w:szCs w:val="20"/>
                <w:color w:val="auto"/>
              </w:rPr>
            </w:pPr>
            <w:r>
              <w:rPr>
                <w:rFonts w:ascii="Arial" w:cs="Arial" w:eastAsia="Arial" w:hAnsi="Arial"/>
                <w:sz w:val="9"/>
                <w:szCs w:val="9"/>
                <w:b w:val="1"/>
                <w:bCs w:val="1"/>
                <w:color w:val="auto"/>
                <w:w w:val="99"/>
              </w:rPr>
              <w:t>June 30,</w:t>
            </w:r>
          </w:p>
        </w:tc>
        <w:tc>
          <w:tcPr>
            <w:tcW w:w="560" w:type="dxa"/>
            <w:vAlign w:val="bottom"/>
            <w:gridSpan w:val="5"/>
          </w:tcPr>
          <w:p>
            <w:pPr>
              <w:spacing w:after="0" w:line="79"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6"/>
                <w:szCs w:val="6"/>
                <w:color w:val="auto"/>
              </w:rPr>
            </w:pPr>
          </w:p>
        </w:tc>
        <w:tc>
          <w:tcPr>
            <w:tcW w:w="720" w:type="dxa"/>
            <w:vAlign w:val="bottom"/>
            <w:gridSpan w:val="4"/>
          </w:tcPr>
          <w:p>
            <w:pPr>
              <w:jc w:val="right"/>
              <w:ind w:right="120"/>
              <w:spacing w:after="0" w:line="79" w:lineRule="exact"/>
              <w:rPr>
                <w:sz w:val="20"/>
                <w:szCs w:val="20"/>
                <w:color w:val="auto"/>
              </w:rPr>
            </w:pPr>
            <w:r>
              <w:rPr>
                <w:rFonts w:ascii="Arial" w:cs="Arial" w:eastAsia="Arial" w:hAnsi="Arial"/>
                <w:sz w:val="9"/>
                <w:szCs w:val="9"/>
                <w:b w:val="1"/>
                <w:bCs w:val="1"/>
                <w:color w:val="auto"/>
                <w:w w:val="99"/>
              </w:rPr>
              <w:t>December 31,</w:t>
            </w:r>
          </w:p>
        </w:tc>
        <w:tc>
          <w:tcPr>
            <w:tcW w:w="100" w:type="dxa"/>
            <w:vAlign w:val="bottom"/>
          </w:tcPr>
          <w:p>
            <w:pPr>
              <w:spacing w:after="0"/>
              <w:rPr>
                <w:sz w:val="6"/>
                <w:szCs w:val="6"/>
                <w:color w:val="auto"/>
              </w:rPr>
            </w:pPr>
          </w:p>
        </w:tc>
        <w:tc>
          <w:tcPr>
            <w:tcW w:w="780" w:type="dxa"/>
            <w:vAlign w:val="bottom"/>
            <w:gridSpan w:val="4"/>
          </w:tcPr>
          <w:p>
            <w:pPr>
              <w:spacing w:after="0" w:line="79" w:lineRule="exact"/>
              <w:rPr>
                <w:sz w:val="20"/>
                <w:szCs w:val="20"/>
                <w:color w:val="auto"/>
              </w:rPr>
            </w:pPr>
            <w:r>
              <w:rPr>
                <w:rFonts w:ascii="Arial" w:cs="Arial" w:eastAsia="Arial" w:hAnsi="Arial"/>
                <w:sz w:val="9"/>
                <w:szCs w:val="9"/>
                <w:b w:val="1"/>
                <w:bCs w:val="1"/>
                <w:color w:val="auto"/>
              </w:rPr>
              <w:t>September 30,</w:t>
            </w:r>
          </w:p>
        </w:tc>
        <w:tc>
          <w:tcPr>
            <w:tcW w:w="440" w:type="dxa"/>
            <w:vAlign w:val="bottom"/>
            <w:gridSpan w:val="2"/>
          </w:tcPr>
          <w:p>
            <w:pPr>
              <w:jc w:val="center"/>
              <w:ind w:left="23"/>
              <w:spacing w:after="0" w:line="79" w:lineRule="exact"/>
              <w:rPr>
                <w:sz w:val="20"/>
                <w:szCs w:val="20"/>
                <w:color w:val="auto"/>
              </w:rPr>
            </w:pPr>
            <w:r>
              <w:rPr>
                <w:rFonts w:ascii="Arial" w:cs="Arial" w:eastAsia="Arial" w:hAnsi="Arial"/>
                <w:sz w:val="9"/>
                <w:szCs w:val="9"/>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4380" w:type="dxa"/>
            <w:vAlign w:val="bottom"/>
          </w:tcPr>
          <w:p>
            <w:pPr>
              <w:spacing w:after="0"/>
              <w:rPr>
                <w:sz w:val="10"/>
                <w:szCs w:val="10"/>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2023</w:t>
            </w:r>
          </w:p>
        </w:tc>
        <w:tc>
          <w:tcPr>
            <w:tcW w:w="180" w:type="dxa"/>
            <w:vAlign w:val="bottom"/>
          </w:tcPr>
          <w:p>
            <w:pPr>
              <w:spacing w:after="0"/>
              <w:rPr>
                <w:sz w:val="10"/>
                <w:szCs w:val="10"/>
                <w:color w:val="auto"/>
              </w:rPr>
            </w:pPr>
          </w:p>
        </w:tc>
        <w:tc>
          <w:tcPr>
            <w:tcW w:w="440" w:type="dxa"/>
            <w:vAlign w:val="bottom"/>
            <w:tcBorders>
              <w:bottom w:val="single" w:sz="8" w:color="auto"/>
            </w:tcBorders>
            <w:gridSpan w:val="3"/>
          </w:tcPr>
          <w:p>
            <w:pPr>
              <w:ind w:left="120"/>
              <w:spacing w:after="0"/>
              <w:rPr>
                <w:sz w:val="20"/>
                <w:szCs w:val="20"/>
                <w:color w:val="auto"/>
              </w:rPr>
            </w:pPr>
            <w:r>
              <w:rPr>
                <w:rFonts w:ascii="Arial" w:cs="Arial" w:eastAsia="Arial" w:hAnsi="Arial"/>
                <w:sz w:val="10"/>
                <w:szCs w:val="10"/>
                <w:b w:val="1"/>
                <w:bCs w:val="1"/>
                <w:color w:val="auto"/>
              </w:rPr>
              <w:t>2023</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2022</w:t>
            </w:r>
          </w:p>
        </w:tc>
        <w:tc>
          <w:tcPr>
            <w:tcW w:w="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3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12-Month Backlog</w:t>
            </w:r>
          </w:p>
        </w:tc>
        <w:tc>
          <w:tcPr>
            <w:tcW w:w="440" w:type="dxa"/>
            <w:vAlign w:val="bottom"/>
            <w:tcBorders>
              <w:left w:val="single" w:sz="8" w:color="CCEEFF"/>
              <w:right w:val="single" w:sz="8" w:color="CCEEFF"/>
            </w:tcBorders>
            <w:shd w:val="clear" w:color="auto" w:fill="CCEEFF"/>
          </w:tcPr>
          <w:p>
            <w:pPr>
              <w:jc w:val="center"/>
              <w:spacing w:after="0" w:line="141" w:lineRule="exact"/>
              <w:rPr>
                <w:sz w:val="20"/>
                <w:szCs w:val="20"/>
                <w:color w:val="auto"/>
              </w:rPr>
            </w:pPr>
            <w:r>
              <w:rPr>
                <w:rFonts w:ascii="Arial" w:cs="Arial" w:eastAsia="Arial" w:hAnsi="Arial"/>
                <w:sz w:val="13"/>
                <w:szCs w:val="13"/>
                <w:u w:val="single" w:color="auto"/>
                <w:color w:val="auto"/>
                <w:w w:val="90"/>
              </w:rPr>
              <w:t>$</w:t>
            </w:r>
            <w:r>
              <w:rPr>
                <w:rFonts w:ascii="Arial" w:cs="Arial" w:eastAsia="Arial" w:hAnsi="Arial"/>
                <w:sz w:val="13"/>
                <w:szCs w:val="13"/>
                <w:color w:val="auto"/>
                <w:w w:val="90"/>
              </w:rPr>
              <w:t>4,140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5"/>
              </w:rPr>
              <w:t>4,110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w:t>
            </w:r>
          </w:p>
        </w:tc>
        <w:tc>
          <w:tcPr>
            <w:tcW w:w="480" w:type="dxa"/>
            <w:vAlign w:val="bottom"/>
            <w:tcBorders>
              <w:right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4,090</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3,970</w:t>
            </w:r>
          </w:p>
        </w:tc>
        <w:tc>
          <w:tcPr>
            <w:tcW w:w="4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3,950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380" w:type="dxa"/>
            <w:vAlign w:val="bottom"/>
            <w:tcBorders>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 # #</w:t>
      </w:r>
    </w:p>
    <w:p>
      <w:pPr>
        <w:sectPr>
          <w:pgSz w:w="11900" w:h="16838" w:orient="portrait"/>
          <w:cols w:equalWidth="0" w:num="1">
            <w:col w:w="9019"/>
          </w:cols>
          <w:pgMar w:left="1440" w:top="383" w:right="1440" w:bottom="1440"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185420</wp:posOffset>
            </wp:positionV>
            <wp:extent cx="7221220" cy="4062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2122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43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lvl>
    <w:lvl w:ilvl="1">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2023-08-03T05:20:34Z</dcterms:created>
  <dcterms:modified xsi:type="dcterms:W3CDTF">2023-08-03T05:20:34Z</dcterms:modified>
</cp:coreProperties>
</file>