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1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December 2012</w:t>
      </w:r>
    </w:p>
    <w:p>
      <w:pPr>
        <w:spacing w:after="0" w:line="171"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Suite 5, Tower Hill House Le Bordage</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St. Peter Port, Island of Guernsey, GY1 3QT</w:t>
      </w:r>
    </w:p>
    <w:p>
      <w:pPr>
        <w:spacing w:after="0" w:line="15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Amdocs, Inc.</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ind w:left="43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99" w:lineRule="exact"/>
        <w:rPr>
          <w:sz w:val="24"/>
          <w:szCs w:val="24"/>
          <w:color w:val="auto"/>
        </w:rPr>
      </w:pPr>
    </w:p>
    <w:p>
      <w:pPr>
        <w:ind w:left="490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314" w:right="39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3124835</wp:posOffset>
            </wp:positionH>
            <wp:positionV relativeFrom="page">
              <wp:posOffset>543560</wp:posOffset>
            </wp:positionV>
            <wp:extent cx="1320800"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20800" cy="257175"/>
                    </a:xfrm>
                    <a:prstGeom prst="rect">
                      <a:avLst/>
                    </a:prstGeom>
                    <a:noFill/>
                  </pic:spPr>
                </pic:pic>
              </a:graphicData>
            </a:graphic>
          </wp:anchor>
        </w:drawing>
        <w:t>NOTICE OF ANNUAL GENERAL MEETING OF SHAREHOLDERS</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TO BE HELD ON THURSDAY, JANUARY 31,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annual general meeting of shareholders of Amdocs Limited will be held at 9:00 a.m., local time, on Thursday, January 31, 2013, at the offices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WilmerHale, 7 World Trade Center, 250 Greenwich Street, New York, New York, 45th floor, for the following purposes:</w:t>
      </w:r>
    </w:p>
    <w:p>
      <w:pPr>
        <w:spacing w:after="0" w:line="84" w:lineRule="exact"/>
        <w:rPr>
          <w:sz w:val="20"/>
          <w:szCs w:val="20"/>
          <w:color w:val="auto"/>
        </w:rPr>
      </w:pPr>
    </w:p>
    <w:p>
      <w:pPr>
        <w:ind w:left="460" w:right="60" w:firstLine="443"/>
        <w:spacing w:after="0" w:line="332" w:lineRule="auto"/>
        <w:tabs>
          <w:tab w:leader="none" w:pos="1071"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approve the election of each of the following 11 individuals to serve as directors of Amdocs Limited until the next annual general meeting of shareholders or until his earlier resignation or removal or until his respective successor is elected and qualified (Proposal I);</w:t>
      </w:r>
    </w:p>
    <w:p>
      <w:pPr>
        <w:spacing w:after="0" w:line="8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Robert A. Minicucci</w:t>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Adrian Gardner</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John T. McLennan</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Simon Olswang</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Zohar Zisapel</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Julian A. Brodsky</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Eli Gelman</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James S. Kahan</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Richard T.C. LeFave</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Nehemia Lemelbaum</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Giora Yaron</w:t>
      </w:r>
    </w:p>
    <w:p>
      <w:pPr>
        <w:spacing w:after="0" w:line="165" w:lineRule="exact"/>
        <w:rPr>
          <w:sz w:val="20"/>
          <w:szCs w:val="20"/>
          <w:color w:val="auto"/>
        </w:rPr>
      </w:pPr>
    </w:p>
    <w:p>
      <w:pPr>
        <w:ind w:left="1080" w:hanging="177"/>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our Consolidated Financial Statements for the fiscal year ended September 30, 2012 (Proposal II); and</w:t>
      </w:r>
    </w:p>
    <w:p>
      <w:pPr>
        <w:spacing w:after="0" w:line="171" w:lineRule="exact"/>
        <w:rPr>
          <w:rFonts w:ascii="Arial" w:cs="Arial" w:eastAsia="Arial" w:hAnsi="Arial"/>
          <w:sz w:val="18"/>
          <w:szCs w:val="18"/>
          <w:color w:val="auto"/>
        </w:rPr>
      </w:pPr>
    </w:p>
    <w:p>
      <w:pPr>
        <w:ind w:left="460" w:right="180" w:firstLine="443"/>
        <w:spacing w:after="0" w:line="306" w:lineRule="auto"/>
        <w:tabs>
          <w:tab w:leader="none" w:pos="1071"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ratify and approve the appointment of Ernst &amp; Young LLP as our independent registered public accounting firm for the fiscal year ending September 30, 2013, and until the next annual general meeting, and authorize the Audit Committee of the Board of Directors to fix the remuneration of such independent registered public accounting firm in accordance with the nature and extent of its services (Proposal III).</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shareholders will also act on such other business as may properly come before the annual general meeting.</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Board of Directors has fixed the close of business on December 3, 2012 as the record date for the determination of our shareholders entitled to notice of, and to vote on the matters proposed at, the annual general meeting and any adjournments thereof.</w:t>
      </w:r>
    </w:p>
    <w:p>
      <w:pPr>
        <w:spacing w:after="0" w:line="2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LIZABETH</w:t>
      </w:r>
      <w:r>
        <w:rPr>
          <w:rFonts w:ascii="Arial" w:cs="Arial" w:eastAsia="Arial" w:hAnsi="Arial"/>
          <w:sz w:val="18"/>
          <w:szCs w:val="18"/>
          <w:color w:val="auto"/>
        </w:rPr>
        <w:t xml:space="preserve"> W. M</w:t>
      </w:r>
      <w:r>
        <w:rPr>
          <w:rFonts w:ascii="Arial" w:cs="Arial" w:eastAsia="Arial" w:hAnsi="Arial"/>
          <w:sz w:val="14"/>
          <w:szCs w:val="14"/>
          <w:color w:val="auto"/>
        </w:rPr>
        <w:t>C</w:t>
      </w:r>
      <w:r>
        <w:rPr>
          <w:rFonts w:ascii="Arial" w:cs="Arial" w:eastAsia="Arial" w:hAnsi="Arial"/>
          <w:sz w:val="18"/>
          <w:szCs w:val="18"/>
          <w:color w:val="auto"/>
        </w:rPr>
        <w:t>D</w:t>
      </w:r>
      <w:r>
        <w:rPr>
          <w:rFonts w:ascii="Arial" w:cs="Arial" w:eastAsia="Arial" w:hAnsi="Arial"/>
          <w:sz w:val="14"/>
          <w:szCs w:val="14"/>
          <w:color w:val="auto"/>
        </w:rPr>
        <w:t>ERMON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December 24, 2012</w:t>
      </w:r>
    </w:p>
    <w:p>
      <w:pPr>
        <w:sectPr>
          <w:pgSz w:w="11900" w:h="16838" w:orient="portrait"/>
          <w:cols w:equalWidth="0" w:num="1">
            <w:col w:w="11260"/>
          </w:cols>
          <w:pgMar w:left="240" w:top="1408" w:right="399" w:bottom="1440" w:gutter="0" w:footer="0" w:header="0"/>
        </w:sectPr>
      </w:pPr>
    </w:p>
    <w:bookmarkStart w:id="2" w:name="page3"/>
    <w:bookmarkEnd w:id="2"/>
    <w:p>
      <w:pPr>
        <w:jc w:val="center"/>
        <w:ind w:right="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228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1228090"/>
                    </a:xfrm>
                    <a:prstGeom prst="rect">
                      <a:avLst/>
                    </a:prstGeom>
                    <a:noFill/>
                  </pic:spPr>
                </pic:pic>
              </a:graphicData>
            </a:graphic>
          </wp:anchor>
        </w:drawing>
        <w:t>YOUR VOTE IS IMPORTANT</w:t>
      </w:r>
    </w:p>
    <w:p>
      <w:pPr>
        <w:spacing w:after="0" w:line="17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color w:val="auto"/>
        </w:rPr>
        <w:t>ALL SHAREHOLDERS OF AMDOCS LIMITED (WHETHER THEY EXPECT TO ATTEND THE ANNUAL GENERAL MEETING OR NOT) ARE REQUESTED TO COMPLETE, SIGN, DATE AND RETURN PROMPTLY THE PROXY CARD ENCLOSED WITH THIS NOTICE. IF YOU ARE THE RECORD HOLDER OF YOUR ORDINARY SHARES, YOU CAN ALSO AUTHORIZE THE VOTING OF YOUR SHARES OVER THE INTERNET OR BY TELEPHONE AS PROVIDED IN THE INSTRUCTIONS SET FORTH ON THE ENCLOSED PROXY CARD. YOU CAN CHANGE YOUR VOTE AND REVOKE YOUR PROXY AT ANY TIME BEFORE THE POLLS CLOSE AT THE ANNUAL GENERAL MEETING BY FOLLOWING THE PROCEDURES DESCRIBED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122555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6" w:lineRule="exact"/>
        <w:rPr>
          <w:sz w:val="20"/>
          <w:szCs w:val="20"/>
          <w:color w:val="auto"/>
        </w:rPr>
      </w:pPr>
    </w:p>
    <w:p>
      <w:pPr>
        <w:ind w:left="640" w:right="140" w:hanging="446"/>
        <w:spacing w:after="0" w:line="25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proxy card for the annual general meeting for the fiscal year ended September 30, 2013 is enclosed and our Annual Report on Form 20-F is available on our website at www.amdocs.com/proxy or by request. The proxy card shall be delivered to our Secretary, in care of our principal U.S. subsidiary, Amdocs, Inc., by delivery to our transfer agent, American Stock Transfer &amp; Trust Company, LLC, at 6201 15th Avenue, Brooklyn, New York 11219, as soon as possible.</w:t>
      </w:r>
    </w:p>
    <w:p>
      <w:pPr>
        <w:spacing w:after="0" w:line="62" w:lineRule="exact"/>
        <w:rPr>
          <w:rFonts w:ascii="Arial" w:cs="Arial" w:eastAsia="Arial" w:hAnsi="Arial"/>
          <w:sz w:val="18"/>
          <w:szCs w:val="18"/>
          <w:color w:val="auto"/>
        </w:rPr>
      </w:pPr>
    </w:p>
    <w:p>
      <w:pPr>
        <w:ind w:left="640" w:hanging="446"/>
        <w:spacing w:after="0" w:line="259"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Shareholders are entitled to appoint another person as proxy to exercise all or any rights to attend and to speak and vote at a meeting of the Company. A shareholder may appoint more than one proxy in relation to a meeting provided that each proxy is appointed to exercise the rights in respect of different shares held by such shareholder.</w:t>
      </w:r>
    </w:p>
    <w:p>
      <w:pPr>
        <w:spacing w:after="0" w:line="59" w:lineRule="exact"/>
        <w:rPr>
          <w:rFonts w:ascii="Arial" w:cs="Arial" w:eastAsia="Arial" w:hAnsi="Arial"/>
          <w:sz w:val="18"/>
          <w:szCs w:val="18"/>
          <w:color w:val="auto"/>
        </w:rPr>
      </w:pPr>
    </w:p>
    <w:p>
      <w:pPr>
        <w:ind w:left="640" w:hanging="446"/>
        <w:spacing w:after="0" w:line="294"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quorum for the annual general meeting shall be two shareholders or more holding a majority of the ordinary shares outstanding as of the record date. If within 30 minutes from the appointed time for the annual general meeting, a quorum is not present, it shall stand adjourned to any other time and any other place as determined by the Chairman of the annual general meeting. It shall not be necessary to notify any shareholder of any adjournment of less than 20 days if the time and place of the adjourned meeting are announced at the annual general meeting at which adjournment is taken, unless after the adjournment a new record date is fixed for the adjourned meeting.</w:t>
      </w:r>
    </w:p>
    <w:p>
      <w:pPr>
        <w:spacing w:after="0" w:line="34" w:lineRule="exact"/>
        <w:rPr>
          <w:rFonts w:ascii="Arial" w:cs="Arial" w:eastAsia="Arial" w:hAnsi="Arial"/>
          <w:sz w:val="16"/>
          <w:szCs w:val="16"/>
          <w:color w:val="auto"/>
        </w:rPr>
      </w:pPr>
    </w:p>
    <w:p>
      <w:pPr>
        <w:ind w:left="640" w:hanging="44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Every shareholder present in person or by proxy shall have one vote for each ordinary share held by him, her or it.</w:t>
      </w:r>
    </w:p>
    <w:p>
      <w:pPr>
        <w:spacing w:after="0" w:line="15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500" w:top="314" w:right="259" w:bottom="1440" w:gutter="0" w:footer="0" w:header="0"/>
        </w:sectPr>
      </w:pPr>
    </w:p>
    <w:bookmarkStart w:id="3" w:name="page4"/>
    <w:bookmarkEnd w:id="3"/>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9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PROXY STATEMENT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ANNUAL GENERAL MEETING OF SHAREHOLDERS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THURSDAY, JANUARY 31, 2013</w:t>
      </w:r>
    </w:p>
    <w:p>
      <w:pPr>
        <w:spacing w:after="0" w:line="16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References in this Proxy Statement to “Amdocs”, “we”, “our” and “us” refer to Amdocs Limited and its consolidated subsidiaries and their respective predecessors.</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This Proxy Statement and the accompanying proxy are being furnished to shareholders of Amdocs Limited, a company organized under the laws of Guernsey, in connection with the solicitation by its Board of Directors of proxies from holders of its outstanding ordinary shares, par value £0.01 per share, for use at the annual general meeting of shareholders to be held at 9:00 a.m., local time, on Thursday, January 31, 2013, at the offices of WilmerHale, 7 World Trade Center, 250 Greenwich Street, New York, New York, 45th floor, or at any adjournments thereof (the “General Meeting”).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Proxy Statement and the accompanying proxy are first being mailed or delivered to our shareholders on or about December 24, 2012.</w:t>
      </w:r>
    </w:p>
    <w:p>
      <w:pPr>
        <w:spacing w:after="0" w:line="19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At the General Meeting, the holders of our ordinary shares as of the close of business on December 3, 2012 (the “Record Date”) will be asked to take the following actions:</w:t>
      </w:r>
    </w:p>
    <w:p>
      <w:pPr>
        <w:spacing w:after="0" w:line="51" w:lineRule="exact"/>
        <w:rPr>
          <w:sz w:val="20"/>
          <w:szCs w:val="20"/>
          <w:color w:val="auto"/>
        </w:rPr>
      </w:pPr>
    </w:p>
    <w:p>
      <w:pPr>
        <w:ind w:left="460" w:right="440" w:firstLine="443"/>
        <w:spacing w:after="0" w:line="268" w:lineRule="auto"/>
        <w:tabs>
          <w:tab w:leader="none" w:pos="1074"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11 directors to serve until the next annual general meeting of shareholders or until their earlier resignation or removal or successors are elected and qualified (Proposal I);</w:t>
      </w:r>
    </w:p>
    <w:p>
      <w:pPr>
        <w:spacing w:after="0" w:line="50" w:lineRule="exact"/>
        <w:rPr>
          <w:rFonts w:ascii="Arial" w:cs="Arial" w:eastAsia="Arial" w:hAnsi="Arial"/>
          <w:sz w:val="18"/>
          <w:szCs w:val="18"/>
          <w:color w:val="auto"/>
        </w:rPr>
      </w:pPr>
    </w:p>
    <w:p>
      <w:pPr>
        <w:ind w:left="1080" w:hanging="177"/>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our Consolidated Financial Statements for the fiscal year ended September 30, 2012 (Proposal II); and</w:t>
      </w:r>
    </w:p>
    <w:p>
      <w:pPr>
        <w:spacing w:after="0" w:line="90" w:lineRule="exact"/>
        <w:rPr>
          <w:rFonts w:ascii="Arial" w:cs="Arial" w:eastAsia="Arial" w:hAnsi="Arial"/>
          <w:sz w:val="18"/>
          <w:szCs w:val="18"/>
          <w:color w:val="auto"/>
        </w:rPr>
      </w:pPr>
    </w:p>
    <w:p>
      <w:pPr>
        <w:ind w:left="460" w:right="320" w:firstLine="443"/>
        <w:spacing w:after="0" w:line="306" w:lineRule="auto"/>
        <w:tabs>
          <w:tab w:leader="none" w:pos="1074" w:val="left"/>
        </w:tabs>
        <w:numPr>
          <w:ilvl w:val="0"/>
          <w:numId w:val="4"/>
        </w:numPr>
        <w:rPr>
          <w:rFonts w:ascii="Arial" w:cs="Arial" w:eastAsia="Arial" w:hAnsi="Arial"/>
          <w:sz w:val="16"/>
          <w:szCs w:val="16"/>
          <w:color w:val="auto"/>
        </w:rPr>
      </w:pPr>
      <w:r>
        <w:rPr>
          <w:rFonts w:ascii="Arial" w:cs="Arial" w:eastAsia="Arial" w:hAnsi="Arial"/>
          <w:sz w:val="16"/>
          <w:szCs w:val="16"/>
          <w:color w:val="auto"/>
        </w:rPr>
        <w:t>Ratify and approve the appointment of Ernst &amp; Young LLP as our independent registered public accounting firm for the fiscal year ending September 30, 2013, and until the next annual general meeting, and authorize the Audit Committee of the Board of Directors to fix the remuneration of such independent registered public accounting firm in accordance with the nature and extent of its services (Proposal III).</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proxy confers discretionary authority with respect to any amendments or modifications of proposals that properly may be brought before the General Meeting. As of the date hereof, we are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proxyholders.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of the Record Date, Amdocs had outstanding 162,543,165 ordinary shares. Each ordinary share is entitled to one vote on all matters presented at the General Meeting. Only holders of record of ordinary shares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Two or more shareholders of record, together holding a majority of our outstanding ordinary shares present in person or represented by proxy, shall constitute a quorum for purposes of the General Meeting.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Approval of Proposals I, II and III requires the affirmative vote of a majority of our ordinary shares voted in person or by proxy at the General Meeting.</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enclosed proxy provides that each shareholder may specify that his, her or its ordinary shares be voted “for”, “against” or “abstain” from voting for each of the director nominees named in Proposal I and with respect to each of Proposals II and III. If proxies in the accompanying form are properly executed and returned,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4" w:name="page5"/>
    <w:bookmarkEnd w:id="4"/>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ordinary shares represented thereby will be voted in the manner specified therein. If not otherwise specified, in the reasonable discretion of the proxyholders, the ordinary shares represented by a proxy will be voted FOR each of the proposals.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Proxies will not be counted as voting in respect of any matter as to which abstention is indicated, but abstentions will be counted as ordinary shares that are present for purposes of determining whether a quorum is present at the General Meeting. Nominees who are members of the New York Stock Exchange, or the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(the “Broker Non-Votes”), we will not count those votes in favor of such matter. Broker Non-Votes will be counted as ordinary shares that are present for purposes of determining whether a quorum is present.</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Shareholders of record are entitled to appoint one or more proxies to attend and vote at the General Meeting in their stead. If a shareholder of record elects to appoint a proxy other than by using the enclosed proxy card (or by Internet or telephone as provided in the instructions set forth in the enclosed proxy card), the shareholder must deliver such proxy, together with a power of attorney or other authority, at or before the General Meeting on January 31, 2013. We strongly encourage our shareholders to use the enclosed proxy card or to authorize the voting of their shares over the Internet or by telephone as provided in the instructions set forth in the enclosed proxy card.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shareholder giving a proxy may revoke it at any time before it is exercised at the General Meeting by:</w:t>
      </w:r>
    </w:p>
    <w:p>
      <w:pPr>
        <w:spacing w:after="0" w:line="90" w:lineRule="exact"/>
        <w:rPr>
          <w:sz w:val="20"/>
          <w:szCs w:val="20"/>
          <w:color w:val="auto"/>
        </w:rPr>
      </w:pPr>
    </w:p>
    <w:p>
      <w:pPr>
        <w:ind w:left="900" w:right="60" w:hanging="446"/>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with our Secretary, in care of our principal U.S. subsidiary, Amdocs, Inc. (at the address that appears on the last page of this Proxy Statement), written notice of such revocation bearing a later date than the proxy or a subsequent proxy relating to the same ordinary shares, provided that such proxy or subsequent proxy shall be deposited at such address at least 48 hours before the scheduled General Meeting or adjournment thereof, as the case may be; or</w:t>
      </w:r>
    </w:p>
    <w:p>
      <w:pPr>
        <w:spacing w:after="0" w:line="62"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Attending the General Meeting and voting in person (although attendance at the General Meeting will not in and of itself constitute revocation of a proxy).</w:t>
      </w:r>
    </w:p>
    <w:p>
      <w:pPr>
        <w:spacing w:after="0" w:line="126" w:lineRule="exact"/>
        <w:rPr>
          <w:sz w:val="20"/>
          <w:szCs w:val="20"/>
          <w:color w:val="auto"/>
        </w:rPr>
      </w:pPr>
    </w:p>
    <w:p>
      <w:pPr>
        <w:jc w:val="center"/>
        <w:ind w:left="260" w:right="2340"/>
        <w:spacing w:after="0" w:line="26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 OF SHAREHOLDERS TO BE HELD ON JANUARY 31, 2013</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statement and the 2012 Annual Report to Shareholders are available for viewing, printing</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downloading at www.amdocs.com/proxy.</w:t>
      </w:r>
    </w:p>
    <w:p>
      <w:pPr>
        <w:spacing w:after="0" w:line="159" w:lineRule="exact"/>
        <w:rPr>
          <w:sz w:val="20"/>
          <w:szCs w:val="20"/>
          <w:color w:val="auto"/>
        </w:rPr>
      </w:pPr>
    </w:p>
    <w:p>
      <w:pPr>
        <w:jc w:val="center"/>
        <w:ind w:left="260" w:right="1760"/>
        <w:spacing w:after="0" w:line="301" w:lineRule="auto"/>
        <w:rPr>
          <w:sz w:val="20"/>
          <w:szCs w:val="20"/>
          <w:color w:val="auto"/>
        </w:rPr>
      </w:pPr>
      <w:r>
        <w:rPr>
          <w:rFonts w:ascii="Arial" w:cs="Arial" w:eastAsia="Arial" w:hAnsi="Arial"/>
          <w:sz w:val="16"/>
          <w:szCs w:val="16"/>
          <w:b w:val="1"/>
          <w:bCs w:val="1"/>
          <w:color w:val="auto"/>
        </w:rPr>
        <w:t>You may also request a copy of the materials relating to our annual general meeting, including this proxy statement and form of proxy for our annual general meeting and our Annual Report on Form 20-F for the fiscal year ended September 30, 2012 by contacting our investor relations department by telephone at (314) 212-8328 or by e-mail at dox_info@amdocs.com.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w:t>
      </w:r>
    </w:p>
    <w:p>
      <w:pPr>
        <w:spacing w:after="0" w:line="171"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Whether or not you attend the General Meeting, your vote is important. Accordingly, you are asked to sign and return the accompanying proxy regardless of the number of ordinary shares you own. If you are the record holder of your ordinary shares, you can also authorize the voting of your shares over the Internet or by telephone as provided in the instructions set forth on the enclosed proxy card. Ordinary shares can be voted at the General Meeting only if the holder is present or represented by proxy.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Board of Directors is comprised of 13 directors, and, currently 11 individuals are serving as directors, leaving two vacancies. As set forth below, the Board of Directors has nominated 11 individuals as nominees for election as directors at the General Meeting, all of whom are incumbent directors. Each director elected at the General Meeting will serve until the next annual general meeting of shareholders or until his earlier resignation or removal or a successor is elected and qualified.</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Ordinary shares represented by proxies returned duly executed will be voted, unless otherwise specified, in favor of the 11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Set forth below are the names and ages of the nominees for director, the principal occupations of each nominee currently and for at least the past five years, and the year in which he became a director of Amdocs.</w:t>
      </w:r>
    </w:p>
    <w:p>
      <w:pPr>
        <w:sectPr>
          <w:pgSz w:w="11900" w:h="16838" w:orient="portrait"/>
          <w:cols w:equalWidth="0" w:num="1">
            <w:col w:w="11420"/>
          </w:cols>
          <w:pgMar w:left="240" w:top="274" w:right="239" w:bottom="1440" w:gutter="0" w:footer="0" w:header="0"/>
        </w:sectPr>
      </w:pP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Robert A. Minicucci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Adrian Gardner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Age</w:t>
      </w:r>
    </w:p>
    <w:p>
      <w:pPr>
        <w:spacing w:after="0" w:line="6" w:lineRule="exact"/>
        <w:rPr>
          <w:sz w:val="20"/>
          <w:szCs w:val="20"/>
          <w:color w:val="auto"/>
        </w:rPr>
      </w:pPr>
    </w:p>
    <w:p>
      <w:pPr>
        <w:ind w:left="540" w:right="60" w:hanging="487"/>
        <w:spacing w:after="0" w:line="284"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Mr. Minicucci has been Chairman of the Board of Directors of Amdocs since October 2011 and a director since September 1997. He has been a general partner of Welsh, Carson, Anderson &amp; Stowe, or WCAS, an investment firm that specializes in the acquisition of companies in the information and business services and health care industries, since 1993. Until September 2003, investment partnerships affiliated with WCAS had been among our largest shareholders.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12 years with Lehman Brothers (and its predecessors) until his resignation as a Managing Director in 1991. Mr. Minicucci is also a director of two other publicly-held companies: Alliance Data Systems, Inc. and Retalix Ltd., and several private companies. Mr. Minicucci’s career in information technology investing, including as a director of more than twenty different public and private companies, and his experience as chief financial officer to a public company and treasurer of another public company, have provided him with strong business acumen and strategic and financial expertise.</w:t>
      </w:r>
    </w:p>
    <w:p>
      <w:pPr>
        <w:spacing w:after="0" w:line="73" w:lineRule="exact"/>
        <w:rPr>
          <w:sz w:val="20"/>
          <w:szCs w:val="20"/>
          <w:color w:val="auto"/>
        </w:rPr>
      </w:pPr>
    </w:p>
    <w:p>
      <w:pPr>
        <w:ind w:left="540" w:hanging="487"/>
        <w:spacing w:after="0" w:line="288"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Mr. Gardner has been a director of Amdocs since April 1998 and is Chairman of the Audit Committee. Since October 2011, Mr. Gardner has been Chief Financial Officer and a director of RSM Tenon Group PLC, a London-based accounting and advisory firm listed on the London Stock Exchange. From March 2011 to October 2011, Mr. Gardner was a private investor. Mr. Gardner was Chief Financial Officer of PA Consulting Group, a London-based business consulting firm from November 2007 to March 2011. From April until November 2007, Mr. Gardner was a private investor. Mr. Gardner was Chief Financial Officer of ProStrakan Group plc, a pharmaceuticals company based in the United Kingdom and listed on the London Stock Exchange, from 2002 until April 2007 and a director from April 2002 until June 2007. Prior to joining ProStrakan, he was a Managing Director of Lazard LLC, based in London, where he worked with technology and</w:t>
      </w:r>
    </w:p>
    <w:p>
      <w:pPr>
        <w:spacing w:after="0" w:line="106"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2220" w:space="720"/>
            <w:col w:w="8480"/>
          </w:cols>
          <w:pgMar w:left="240" w:top="274" w:right="239" w:bottom="1440" w:gutter="0" w:footer="0" w:header="0"/>
          <w:type w:val="continuous"/>
        </w:sectPr>
      </w:pPr>
    </w:p>
    <w:bookmarkStart w:id="6" w:name="page7"/>
    <w:bookmarkEnd w:id="6"/>
    <w:p>
      <w:pPr>
        <w:ind w:left="3240" w:right="4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telecommunications-related companies. Prior to joining Lazard in 1989, Mr. Gardner qualified as a chartered accountant with Price Waterhouse (now PricewaterhouseCoopers). Mr. Gardner is a member of the Institute of Chartered Accountants in England &amp; Wales. Mr. Gardner’s extensive experience as an accountant, technology investment banker and chief financial officer enables him to make valuable contributions to our strategic and financial affairs.</w:t>
      </w:r>
    </w:p>
    <w:p>
      <w:pPr>
        <w:sectPr>
          <w:pgSz w:w="11900" w:h="16838" w:orient="portrait"/>
          <w:cols w:equalWidth="0" w:num="1">
            <w:col w:w="11400"/>
          </w:cols>
          <w:pgMar w:left="240" w:top="280" w:right="259" w:bottom="1440" w:gutter="0" w:footer="0" w:header="0"/>
        </w:sectPr>
      </w:pP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auto"/>
        </w:rPr>
        <w:t>John T. McLennan</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hanging="359"/>
        <w:spacing w:after="0" w:line="286" w:lineRule="auto"/>
        <w:rPr>
          <w:sz w:val="20"/>
          <w:szCs w:val="20"/>
          <w:color w:val="auto"/>
        </w:rPr>
      </w:pPr>
      <w:r>
        <w:rPr>
          <w:rFonts w:ascii="Arial" w:cs="Arial" w:eastAsia="Arial" w:hAnsi="Arial"/>
          <w:sz w:val="16"/>
          <w:szCs w:val="16"/>
          <w:color w:val="auto"/>
        </w:rPr>
        <w:t>67</w:t>
      </w:r>
      <w:r>
        <w:rPr>
          <w:sz w:val="20"/>
          <w:szCs w:val="20"/>
          <w:color w:val="auto"/>
        </w:rPr>
        <w:t xml:space="preserve"> </w:t>
      </w:r>
      <w:r>
        <w:rPr>
          <w:rFonts w:ascii="Arial" w:cs="Arial" w:eastAsia="Arial" w:hAnsi="Arial"/>
          <w:sz w:val="16"/>
          <w:szCs w:val="16"/>
          <w:color w:val="auto"/>
        </w:rPr>
        <w:t>Mr. McLennan has been a director of Amdocs since November 1999 and is Chairman of the Management Resources and Compensation Committee. From May 2000 until June 2004, he served as Vice-Chair and Chief Executive Officer of Allstream (formerly AT&amp;T Canada). Mr. McLennan founded and was the President of Jenmark Consulting Inc. from 1997 until May 2000. From 1993 to 1997, Mr. McLennan served as the President and Chief Executive Officer of Bell Canada. Prior to that, he held various positions at several telecommunications companies, including BCE Mobile Communications and Cantel Inc. Mr. McLennan is also a director of Air Canada Jazz, a publicly-held regional airline company, Chairman of Emera Inc., a Canadian publicly-held energy services company, and director of Nova Scotia Power Inc., a wholly-owned subsidiary of Emera Inc. From 2005 to 2008, Mr. McLennan also served as a director of Medisys Inc., a healthcare management company. We believe Mr. McLennan’s qualifications to sit on our board of directors include his years of experience in the telecommunications industry, including as chief executive officer of a leading Canadian telecommunications provider, and his experience providing strategic advice to complex organizations across a variety of industries, including as a public company director.</w:t>
      </w:r>
    </w:p>
    <w:p>
      <w:pPr>
        <w:spacing w:after="0" w:line="67" w:lineRule="exact"/>
        <w:rPr>
          <w:sz w:val="20"/>
          <w:szCs w:val="20"/>
          <w:color w:val="auto"/>
        </w:rPr>
      </w:pPr>
    </w:p>
    <w:p>
      <w:pPr>
        <w:sectPr>
          <w:pgSz w:w="11900" w:h="16838" w:orient="portrait"/>
          <w:cols w:equalWidth="0" w:num="2">
            <w:col w:w="2520" w:space="720"/>
            <w:col w:w="816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Simon Olswang</w:t>
      </w:r>
    </w:p>
    <w:p>
      <w:pPr>
        <w:spacing w:after="0" w:line="20" w:lineRule="exact"/>
        <w:rPr>
          <w:sz w:val="20"/>
          <w:szCs w:val="20"/>
          <w:color w:val="auto"/>
        </w:rPr>
      </w:pPr>
      <w:r>
        <w:rPr>
          <w:sz w:val="20"/>
          <w:szCs w:val="20"/>
          <w:color w:val="auto"/>
        </w:rPr>
        <w:br w:type="column"/>
      </w:r>
    </w:p>
    <w:p>
      <w:pPr>
        <w:ind w:right="20" w:hanging="359"/>
        <w:spacing w:after="0" w:line="286" w:lineRule="auto"/>
        <w:rPr>
          <w:sz w:val="20"/>
          <w:szCs w:val="20"/>
          <w:color w:val="auto"/>
        </w:rPr>
      </w:pPr>
      <w:r>
        <w:rPr>
          <w:rFonts w:ascii="Arial" w:cs="Arial" w:eastAsia="Arial" w:hAnsi="Arial"/>
          <w:sz w:val="16"/>
          <w:szCs w:val="16"/>
          <w:color w:val="auto"/>
        </w:rPr>
        <w:t>69</w:t>
      </w:r>
      <w:r>
        <w:rPr>
          <w:sz w:val="20"/>
          <w:szCs w:val="20"/>
          <w:color w:val="auto"/>
        </w:rPr>
        <w:t xml:space="preserve"> </w:t>
      </w:r>
      <w:r>
        <w:rPr>
          <w:rFonts w:ascii="Arial" w:cs="Arial" w:eastAsia="Arial" w:hAnsi="Arial"/>
          <w:sz w:val="16"/>
          <w:szCs w:val="16"/>
          <w:color w:val="auto"/>
        </w:rPr>
        <w:t>Mr. Olswang has been a director of Amdocs since November 2004 and is Chairman of the Nominating and Corporate Governance Committee. In 2002, Mr. Olswang retired as Chairman of Olswang, a media and communications law firm in the United Kingdom that he founded in 1981. He is a member of the Advisory Board of Palamon Capital Partners LLP and of the board of directors of Amiad Filtration Systems Limited, an Israeli company listed on the London AIM market, which is active in the clean water industry. In May 2012, Mr. Olswang was appointed a Trustee of Tel Hai Academic College. Mr. Olswang was a member of the board of directors of The British Library until March 2008 and has served as a non-executive director of a number of companies and organizations, including Aegis Group plc, The Press Association and the British Film Institute. Mr. Olswang previously served as Trustee of Langdon College of Further (Special) Education in Salford, of which he is a co-founder. We believe Mr. Olswang’s qualifications to sit on our board of directors include his extensive experience providing strategic and legal advisory services to complex organizations, as well as startups, and his membership of the boards of directors of companies and other bodies active in the media and communications industry.</w:t>
      </w:r>
    </w:p>
    <w:p>
      <w:pPr>
        <w:spacing w:after="0" w:line="70" w:lineRule="exact"/>
        <w:rPr>
          <w:sz w:val="20"/>
          <w:szCs w:val="20"/>
          <w:color w:val="auto"/>
        </w:rPr>
      </w:pPr>
    </w:p>
    <w:p>
      <w:pPr>
        <w:sectPr>
          <w:pgSz w:w="11900" w:h="16838" w:orient="portrait"/>
          <w:cols w:equalWidth="0" w:num="2">
            <w:col w:w="2520" w:space="720"/>
            <w:col w:w="816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Zohar Zisapel</w:t>
      </w:r>
    </w:p>
    <w:p>
      <w:pPr>
        <w:spacing w:after="0" w:line="20" w:lineRule="exact"/>
        <w:rPr>
          <w:sz w:val="20"/>
          <w:szCs w:val="20"/>
          <w:color w:val="auto"/>
        </w:rPr>
      </w:pPr>
      <w:r>
        <w:rPr>
          <w:sz w:val="20"/>
          <w:szCs w:val="20"/>
          <w:color w:val="auto"/>
        </w:rPr>
        <w:br w:type="column"/>
      </w:r>
    </w:p>
    <w:p>
      <w:pPr>
        <w:ind w:right="60" w:hanging="359"/>
        <w:spacing w:after="0" w:line="298" w:lineRule="auto"/>
        <w:rPr>
          <w:sz w:val="20"/>
          <w:szCs w:val="20"/>
          <w:color w:val="auto"/>
        </w:rPr>
      </w:pPr>
      <w:r>
        <w:rPr>
          <w:rFonts w:ascii="Arial" w:cs="Arial" w:eastAsia="Arial" w:hAnsi="Arial"/>
          <w:sz w:val="16"/>
          <w:szCs w:val="16"/>
          <w:color w:val="auto"/>
        </w:rPr>
        <w:t>63</w:t>
      </w:r>
      <w:r>
        <w:rPr>
          <w:sz w:val="20"/>
          <w:szCs w:val="20"/>
          <w:color w:val="auto"/>
        </w:rPr>
        <w:t xml:space="preserve"> </w:t>
      </w:r>
      <w:r>
        <w:rPr>
          <w:rFonts w:ascii="Arial" w:cs="Arial" w:eastAsia="Arial" w:hAnsi="Arial"/>
          <w:sz w:val="16"/>
          <w:szCs w:val="16"/>
          <w:color w:val="auto"/>
        </w:rPr>
        <w:t>Mr. Zisapel has been a director of Amdocs since July 2008 and is the Chairman of the Technology and Innovation Committee. Mr. Zisapel co-founded and was chairman of RAD Data Communications Ltd. from 1982 until August 2012, a privately-held voice and data communications company and part of the RAD Group, a family of independent networking and telecommunications companies. Mr. Zisapel also serves as chairman of</w:t>
      </w:r>
    </w:p>
    <w:p>
      <w:pPr>
        <w:spacing w:after="0" w:line="99" w:lineRule="exact"/>
        <w:rPr>
          <w:sz w:val="20"/>
          <w:szCs w:val="20"/>
          <w:color w:val="auto"/>
        </w:rPr>
      </w:pPr>
    </w:p>
    <w:p>
      <w:pPr>
        <w:sectPr>
          <w:pgSz w:w="11900" w:h="16838" w:orient="portrait"/>
          <w:cols w:equalWidth="0" w:num="2">
            <w:col w:w="2520" w:space="720"/>
            <w:col w:w="8160"/>
          </w:cols>
          <w:pgMar w:left="240" w:top="280"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280" w:right="259" w:bottom="1440" w:gutter="0" w:footer="0" w:header="0"/>
          <w:type w:val="continuous"/>
        </w:sectPr>
      </w:pPr>
    </w:p>
    <w:bookmarkStart w:id="7" w:name="page8"/>
    <w:bookmarkEnd w:id="7"/>
    <w:p>
      <w:pPr>
        <w:ind w:left="32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Ceragon Networks Ltd. and RADCOM Ltd., each of which is a publicly-traded member of the RAD Group, as a director of Silicom Ltd., a public company, as well as on the boards of directors of several privately-held companies. Mr. Zisapel previously served as chairman of the Israel Association of Electronic Industries from 1998 until 2001. Mr. Zisapel’s experience as founder, chairman and director of several public and private high technology companies, and his leadership in several government organizations, demonstrate his leadership capability and provide him with valuable insights into the voice and data communications industries.</w:t>
      </w:r>
    </w:p>
    <w:p>
      <w:pPr>
        <w:sectPr>
          <w:pgSz w:w="11900" w:h="16838" w:orient="portrait"/>
          <w:cols w:equalWidth="0" w:num="1">
            <w:col w:w="11400"/>
          </w:cols>
          <w:pgMar w:left="240" w:top="280" w:right="259" w:bottom="1440" w:gutter="0" w:footer="0" w:header="0"/>
        </w:sectPr>
      </w:pP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Julian A. Brodsky</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80" w:hanging="359"/>
        <w:spacing w:after="0" w:line="290" w:lineRule="auto"/>
        <w:rPr>
          <w:sz w:val="20"/>
          <w:szCs w:val="20"/>
          <w:color w:val="auto"/>
        </w:rPr>
      </w:pPr>
      <w:r>
        <w:rPr>
          <w:rFonts w:ascii="Arial" w:cs="Arial" w:eastAsia="Arial" w:hAnsi="Arial"/>
          <w:sz w:val="16"/>
          <w:szCs w:val="16"/>
          <w:color w:val="auto"/>
        </w:rPr>
        <w:t>79</w:t>
      </w:r>
      <w:r>
        <w:rPr>
          <w:sz w:val="20"/>
          <w:szCs w:val="20"/>
          <w:color w:val="auto"/>
        </w:rPr>
        <w:t xml:space="preserve"> </w:t>
      </w:r>
      <w:r>
        <w:rPr>
          <w:rFonts w:ascii="Arial" w:cs="Arial" w:eastAsia="Arial" w:hAnsi="Arial"/>
          <w:sz w:val="16"/>
          <w:szCs w:val="16"/>
          <w:color w:val="auto"/>
        </w:rPr>
        <w:t>Mr. Brodsky has been a director of Amdocs since July 2003. Since 2011, Mr. Brodsky has served as a senior advisor to Comcast Corporation. Mr. Brodsky served as a director and as Vice Chairman of Comcast Corporation from 1989 to 2011. From 1969 to May 2004, Mr. Brodsky was Chairman of Comcast Interactive Capital, LP, a venture fund affiliated with Comcast. He is a director of RBB Fund, Inc. Mr. Brodsky brings to our board of directors deep and extensive knowledge of the cable industry gained through his longstanding executive leadership roles at Comcast, as well as financial expertise in capital markets, accounting and tax matters gained through his experience as Chief Financial Officer of Comcast and as a practicing CPA.</w:t>
      </w:r>
    </w:p>
    <w:p>
      <w:pPr>
        <w:spacing w:after="0" w:line="64" w:lineRule="exact"/>
        <w:rPr>
          <w:sz w:val="20"/>
          <w:szCs w:val="20"/>
          <w:color w:val="auto"/>
        </w:rPr>
      </w:pPr>
    </w:p>
    <w:p>
      <w:pPr>
        <w:sectPr>
          <w:pgSz w:w="11900" w:h="16838" w:orient="portrait"/>
          <w:cols w:equalWidth="0" w:num="2">
            <w:col w:w="2520" w:space="720"/>
            <w:col w:w="816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Eli Gelman</w:t>
      </w:r>
    </w:p>
    <w:p>
      <w:pPr>
        <w:spacing w:after="0" w:line="20" w:lineRule="exact"/>
        <w:rPr>
          <w:sz w:val="20"/>
          <w:szCs w:val="20"/>
          <w:color w:val="auto"/>
        </w:rPr>
      </w:pPr>
      <w:r>
        <w:rPr>
          <w:sz w:val="20"/>
          <w:szCs w:val="20"/>
          <w:color w:val="auto"/>
        </w:rPr>
        <w:br w:type="column"/>
      </w:r>
    </w:p>
    <w:p>
      <w:pPr>
        <w:ind w:right="40" w:hanging="359"/>
        <w:spacing w:after="0" w:line="285" w:lineRule="auto"/>
        <w:rPr>
          <w:sz w:val="20"/>
          <w:szCs w:val="20"/>
          <w:color w:val="auto"/>
        </w:rPr>
      </w:pPr>
      <w:r>
        <w:rPr>
          <w:rFonts w:ascii="Arial" w:cs="Arial" w:eastAsia="Arial" w:hAnsi="Arial"/>
          <w:sz w:val="16"/>
          <w:szCs w:val="16"/>
          <w:color w:val="auto"/>
        </w:rPr>
        <w:t>54</w:t>
      </w:r>
      <w:r>
        <w:rPr>
          <w:sz w:val="20"/>
          <w:szCs w:val="20"/>
          <w:color w:val="auto"/>
        </w:rPr>
        <w:t xml:space="preserve"> </w:t>
      </w:r>
      <w:r>
        <w:rPr>
          <w:rFonts w:ascii="Arial" w:cs="Arial" w:eastAsia="Arial" w:hAnsi="Arial"/>
          <w:sz w:val="16"/>
          <w:szCs w:val="16"/>
          <w:color w:val="auto"/>
        </w:rPr>
        <w:t>Mr. Gelman has been a director of Amdocs since 2002. On November 15, 2010, Mr. Gelman became the President and Chief Executive Officer of Amdocs Management Limited, our wholly-owned subsidiary. Since January 2010, Mr. Gelman has served as a director of Retalix, a publicly-held global software company, and from January 2010 to December 2010, he also served as the Chairman of Retalix. From April 2008 to December 2010, Mr. Gelman devoted his time to charitable matters focused on youth education. He served as Executive Vice President of Amdocs Management Limited from October 2002 until April 2008 and as our Chief Operating Officer from October 2006 until April 2008. Prior to October 2002, he was a Senior Vice President, where he headed our U.S. sales and marketing operations and helped spearhead our entry into the customer care and billing systems market. Before that, Mr. Gelman was an account manager for our major European and North American installations, and has led several major software development projects. Before joining Amdocs, Mr. Gelman was involved in the development of real-time software systems for communications networks. Mr. Gelman’s qualifications to serve on our board of directors include his more than two decades of service to Amdocs and its customers, including as our Chief Operating Officer. With more than 29 years of experience in the software industry, he possesses a vast institutional knowledge and strategic understanding of our organization and industry.</w:t>
      </w:r>
    </w:p>
    <w:p>
      <w:pPr>
        <w:spacing w:after="0" w:line="74" w:lineRule="exact"/>
        <w:rPr>
          <w:sz w:val="20"/>
          <w:szCs w:val="20"/>
          <w:color w:val="auto"/>
        </w:rPr>
      </w:pPr>
    </w:p>
    <w:p>
      <w:pPr>
        <w:sectPr>
          <w:pgSz w:w="11900" w:h="16838" w:orient="portrait"/>
          <w:cols w:equalWidth="0" w:num="2">
            <w:col w:w="2520" w:space="720"/>
            <w:col w:w="8160"/>
          </w:cols>
          <w:pgMar w:left="240" w:top="280" w:right="259" w:bottom="1440" w:gutter="0" w:footer="0" w:header="0"/>
          <w:type w:val="continuous"/>
        </w:sectPr>
      </w:pPr>
    </w:p>
    <w:p>
      <w:pPr>
        <w:spacing w:after="0"/>
        <w:rPr>
          <w:sz w:val="20"/>
          <w:szCs w:val="20"/>
          <w:color w:val="auto"/>
        </w:rPr>
      </w:pPr>
      <w:r>
        <w:rPr>
          <w:rFonts w:ascii="Arial" w:cs="Arial" w:eastAsia="Arial" w:hAnsi="Arial"/>
          <w:sz w:val="15"/>
          <w:szCs w:val="15"/>
          <w:color w:val="auto"/>
        </w:rPr>
        <w:t>James S. Kahan</w:t>
      </w:r>
    </w:p>
    <w:p>
      <w:pPr>
        <w:spacing w:after="0" w:line="20" w:lineRule="exact"/>
        <w:rPr>
          <w:sz w:val="20"/>
          <w:szCs w:val="20"/>
          <w:color w:val="auto"/>
        </w:rPr>
      </w:pPr>
      <w:r>
        <w:rPr>
          <w:sz w:val="20"/>
          <w:szCs w:val="20"/>
          <w:color w:val="auto"/>
        </w:rPr>
        <w:br w:type="column"/>
      </w:r>
    </w:p>
    <w:p>
      <w:pPr>
        <w:ind w:hanging="359"/>
        <w:spacing w:after="0" w:line="290" w:lineRule="auto"/>
        <w:rPr>
          <w:sz w:val="20"/>
          <w:szCs w:val="20"/>
          <w:color w:val="auto"/>
        </w:rPr>
      </w:pPr>
      <w:r>
        <w:rPr>
          <w:rFonts w:ascii="Arial" w:cs="Arial" w:eastAsia="Arial" w:hAnsi="Arial"/>
          <w:sz w:val="16"/>
          <w:szCs w:val="16"/>
          <w:color w:val="auto"/>
        </w:rPr>
        <w:t>65</w:t>
      </w:r>
      <w:r>
        <w:rPr>
          <w:sz w:val="20"/>
          <w:szCs w:val="20"/>
          <w:color w:val="auto"/>
        </w:rPr>
        <w:t xml:space="preserve"> </w:t>
      </w:r>
      <w:r>
        <w:rPr>
          <w:rFonts w:ascii="Arial" w:cs="Arial" w:eastAsia="Arial" w:hAnsi="Arial"/>
          <w:sz w:val="16"/>
          <w:szCs w:val="16"/>
          <w:color w:val="auto"/>
        </w:rPr>
        <w:t>Mr. Kahan has been a director of Amdocs since April 1998. From 1983 until his June 2007 retirement, he worked at SBC, which is now AT&amp;T, and served as a Senior Executive Vice President from 1992 until June 2007. AT&amp;T is our most significant customer. Prior to joining AT&amp;T, Mr. Kahan held various positions at several telecommunications companies, including Western Electric, Bell Laboratories, South Central Bell and AT&amp;T Corp. Mr. Kahan also serves on the board of directors of Live Nation Entertainment, Inc., the world’s largest live music and ticketing entity, and Frontier Communication Corporation, the largest U.S. provider of rural communication services. Mr. Kahan’s long service at SBC and AT&amp;T, as well as his management and</w:t>
      </w:r>
    </w:p>
    <w:p>
      <w:pPr>
        <w:spacing w:after="0" w:line="105" w:lineRule="exact"/>
        <w:rPr>
          <w:sz w:val="20"/>
          <w:szCs w:val="20"/>
          <w:color w:val="auto"/>
        </w:rPr>
      </w:pPr>
    </w:p>
    <w:p>
      <w:pPr>
        <w:sectPr>
          <w:pgSz w:w="11900" w:h="16838" w:orient="portrait"/>
          <w:cols w:equalWidth="0" w:num="2">
            <w:col w:w="2520" w:space="720"/>
            <w:col w:w="8160"/>
          </w:cols>
          <w:pgMar w:left="240" w:top="280"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00"/>
          </w:cols>
          <w:pgMar w:left="240" w:top="280" w:right="259" w:bottom="1440" w:gutter="0" w:footer="0" w:header="0"/>
          <w:type w:val="continuous"/>
        </w:sectPr>
      </w:pPr>
    </w:p>
    <w:bookmarkStart w:id="8" w:name="page9"/>
    <w:bookmarkEnd w:id="8"/>
    <w:p>
      <w:pPr>
        <w:ind w:left="324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experience at several public and private companies, have provided him with extensive knowledge of the telecommunications industry, particularly with respect to corporate development, mergers and acquisitions and business integration.</w:t>
      </w:r>
    </w:p>
    <w:p>
      <w:pPr>
        <w:sectPr>
          <w:pgSz w:w="11900" w:h="16838" w:orient="portrait"/>
          <w:cols w:equalWidth="0" w:num="1">
            <w:col w:w="11380"/>
          </w:cols>
          <w:pgMar w:left="240" w:top="280" w:right="27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Richard T.C. LeFave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20" w:hanging="359"/>
        <w:spacing w:after="0" w:line="253" w:lineRule="auto"/>
        <w:rPr>
          <w:sz w:val="20"/>
          <w:szCs w:val="20"/>
          <w:color w:val="auto"/>
        </w:rPr>
      </w:pPr>
      <w:r>
        <w:rPr>
          <w:rFonts w:ascii="Arial" w:cs="Arial" w:eastAsia="Arial" w:hAnsi="Arial"/>
          <w:sz w:val="18"/>
          <w:szCs w:val="18"/>
          <w:color w:val="auto"/>
        </w:rPr>
        <w:t>61</w:t>
      </w:r>
      <w:r>
        <w:rPr>
          <w:sz w:val="20"/>
          <w:szCs w:val="20"/>
          <w:color w:val="auto"/>
        </w:rPr>
        <w:t xml:space="preserve"> </w:t>
      </w:r>
      <w:r>
        <w:rPr>
          <w:rFonts w:ascii="Arial" w:cs="Arial" w:eastAsia="Arial" w:hAnsi="Arial"/>
          <w:sz w:val="18"/>
          <w:szCs w:val="18"/>
          <w:color w:val="auto"/>
        </w:rPr>
        <w:t>Mr. LeFave has been a director of Amdocs since November 2011. Since May 2008, Mr. LeFave has been a Principal at D&amp;L Partners, LLC, an information technology consulting firm. Mr. LeFave served as Chief Information Officer for Nextel Communications, a telecommunications company, from 1999 until its merger with Sprint Corporation in September 2005, after which he served as Chief Information Officer for Sprint Nextel Corporation until May 2008. From 1995 to 1999, Mr. LeFave served as Chief Information Officer for Southern New England Telephone Company, a provider of communications products and services. We believe Mr. LeFave’s qualifications to sit on our board include his extensive experience and leadership in the information technology and telecommunications industry.</w:t>
      </w:r>
    </w:p>
    <w:p>
      <w:pPr>
        <w:spacing w:after="0" w:line="91" w:lineRule="exact"/>
        <w:rPr>
          <w:sz w:val="20"/>
          <w:szCs w:val="20"/>
          <w:color w:val="auto"/>
        </w:rPr>
      </w:pPr>
    </w:p>
    <w:p>
      <w:pPr>
        <w:sectPr>
          <w:pgSz w:w="11900" w:h="16838" w:orient="portrait"/>
          <w:cols w:equalWidth="0" w:num="2">
            <w:col w:w="2520" w:space="720"/>
            <w:col w:w="8140"/>
          </w:cols>
          <w:pgMar w:left="240" w:top="280" w:right="279" w:bottom="1440" w:gutter="0" w:footer="0" w:header="0"/>
          <w:type w:val="continuous"/>
        </w:sectPr>
      </w:pPr>
    </w:p>
    <w:p>
      <w:pPr>
        <w:spacing w:after="0"/>
        <w:rPr>
          <w:sz w:val="20"/>
          <w:szCs w:val="20"/>
          <w:color w:val="auto"/>
        </w:rPr>
      </w:pPr>
      <w:r>
        <w:rPr>
          <w:rFonts w:ascii="Arial" w:cs="Arial" w:eastAsia="Arial" w:hAnsi="Arial"/>
          <w:sz w:val="15"/>
          <w:szCs w:val="15"/>
          <w:color w:val="auto"/>
        </w:rPr>
        <w:t>Nehemia Lemelbaum</w:t>
      </w:r>
    </w:p>
    <w:p>
      <w:pPr>
        <w:spacing w:after="0" w:line="20" w:lineRule="exact"/>
        <w:rPr>
          <w:sz w:val="20"/>
          <w:szCs w:val="20"/>
          <w:color w:val="auto"/>
        </w:rPr>
      </w:pPr>
      <w:r>
        <w:rPr>
          <w:sz w:val="20"/>
          <w:szCs w:val="20"/>
          <w:color w:val="auto"/>
        </w:rPr>
        <w:br w:type="column"/>
      </w:r>
    </w:p>
    <w:p>
      <w:pPr>
        <w:ind w:hanging="359"/>
        <w:spacing w:after="0" w:line="285" w:lineRule="auto"/>
        <w:rPr>
          <w:sz w:val="20"/>
          <w:szCs w:val="20"/>
          <w:color w:val="auto"/>
        </w:rPr>
      </w:pPr>
      <w:r>
        <w:rPr>
          <w:rFonts w:ascii="Arial" w:cs="Arial" w:eastAsia="Arial" w:hAnsi="Arial"/>
          <w:sz w:val="16"/>
          <w:szCs w:val="16"/>
          <w:color w:val="auto"/>
        </w:rPr>
        <w:t>70</w:t>
      </w:r>
      <w:r>
        <w:rPr>
          <w:sz w:val="20"/>
          <w:szCs w:val="20"/>
          <w:color w:val="auto"/>
        </w:rPr>
        <w:t xml:space="preserve"> </w:t>
      </w:r>
      <w:r>
        <w:rPr>
          <w:rFonts w:ascii="Arial" w:cs="Arial" w:eastAsia="Arial" w:hAnsi="Arial"/>
          <w:sz w:val="16"/>
          <w:szCs w:val="16"/>
          <w:color w:val="auto"/>
        </w:rPr>
        <w:t>Mr. Lemelbaum has been a director of Amdocs since December 2001 and was a Senior Vice President of Amdocs Management Limited from 1985 until January 2005. Since 2005, Mr. Lemelbaum has been a private investor and since November 2009, he has been a director of Retalix, a publicly-held global software company. Since December 2006, Mr. Lemelbaum has also been a director and the Chief Executive Officer of EHYN, a privately-held investment company. He joined Amdocs in 1985, with initial responsibility for U.S. operations. Mr. Lemelbaum led our development of graphic products for the Yellow Pages industry and later led our development of customer care and billing systems, as well as our penetration into that market. Prior to joining Amdocs, he served for nine years with Contahal Ltd., a leading Israeli software company, first as a senior consultant, and later as Chief Executive Officer. From 1967 to 1976, Mr. Lemelbaum was employed by the Ministry of Communications of Israel (the organization that predated Bezeq, the Israel Telecommunication Corp. Ltd.), with responsibility for computer technology in the area of business data processing. With more than two decades in our leadership ranks, including representing us with analysts and investors for five years during and after our initial public offering, Mr. Lemelbaum has extensive communication software industry experience, and deep institutional knowledge and understanding of our business and strategy.</w:t>
      </w:r>
    </w:p>
    <w:p>
      <w:pPr>
        <w:spacing w:after="0" w:line="74" w:lineRule="exact"/>
        <w:rPr>
          <w:sz w:val="20"/>
          <w:szCs w:val="20"/>
          <w:color w:val="auto"/>
        </w:rPr>
      </w:pPr>
    </w:p>
    <w:p>
      <w:pPr>
        <w:sectPr>
          <w:pgSz w:w="11900" w:h="16838" w:orient="portrait"/>
          <w:cols w:equalWidth="0" w:num="2">
            <w:col w:w="2520" w:space="720"/>
            <w:col w:w="8140"/>
          </w:cols>
          <w:pgMar w:left="240" w:top="280" w:right="279" w:bottom="1440" w:gutter="0" w:footer="0" w:header="0"/>
          <w:type w:val="continuous"/>
        </w:sectPr>
      </w:pPr>
    </w:p>
    <w:p>
      <w:pPr>
        <w:spacing w:after="0"/>
        <w:rPr>
          <w:sz w:val="20"/>
          <w:szCs w:val="20"/>
          <w:color w:val="auto"/>
        </w:rPr>
      </w:pPr>
      <w:r>
        <w:rPr>
          <w:rFonts w:ascii="Arial" w:cs="Arial" w:eastAsia="Arial" w:hAnsi="Arial"/>
          <w:sz w:val="16"/>
          <w:szCs w:val="16"/>
          <w:color w:val="auto"/>
        </w:rPr>
        <w:t>Giora Yaron</w:t>
      </w:r>
    </w:p>
    <w:p>
      <w:pPr>
        <w:spacing w:after="0" w:line="20" w:lineRule="exact"/>
        <w:rPr>
          <w:sz w:val="20"/>
          <w:szCs w:val="20"/>
          <w:color w:val="auto"/>
        </w:rPr>
      </w:pPr>
      <w:r>
        <w:rPr>
          <w:sz w:val="20"/>
          <w:szCs w:val="20"/>
          <w:color w:val="auto"/>
        </w:rPr>
        <w:br w:type="column"/>
      </w:r>
    </w:p>
    <w:p>
      <w:pPr>
        <w:ind w:hanging="359"/>
        <w:spacing w:after="0" w:line="308" w:lineRule="auto"/>
        <w:rPr>
          <w:sz w:val="20"/>
          <w:szCs w:val="20"/>
          <w:color w:val="auto"/>
        </w:rPr>
      </w:pPr>
      <w:r>
        <w:rPr>
          <w:rFonts w:ascii="Arial" w:cs="Arial" w:eastAsia="Arial" w:hAnsi="Arial"/>
          <w:sz w:val="15"/>
          <w:szCs w:val="15"/>
          <w:color w:val="auto"/>
        </w:rPr>
        <w:t>64</w:t>
      </w:r>
      <w:r>
        <w:rPr>
          <w:sz w:val="20"/>
          <w:szCs w:val="20"/>
          <w:color w:val="auto"/>
        </w:rPr>
        <w:t xml:space="preserve"> </w:t>
      </w:r>
      <w:r>
        <w:rPr>
          <w:rFonts w:ascii="Arial" w:cs="Arial" w:eastAsia="Arial" w:hAnsi="Arial"/>
          <w:sz w:val="15"/>
          <w:szCs w:val="15"/>
          <w:color w:val="auto"/>
        </w:rPr>
        <w:t>Dr. Yaron has been a director of Amdocs since July 2009. Dr. Yaron co-founded Itamar Medical Ltd., a publicly-traded medical technology company, and has been its co-chairman since 1997. Dr. Yaron provides consulting services to Itamar Medical and to various other technology companies. He co-founded P-cube, Pentacom, Qumranet, Exanet and Comsys, privately-held companies sold to multinational corporations. In 2009, Dr. Yaron also co-founded Qwilt, Inc., a privately-held video technology company and serves as one of its directors. Since 2010, Dr. Yaron has been the chairman of The Executive Council of Tel Aviv University, an institution of higher education and the chairman of Ramot (the Tel Aviv University’s technology transfer company). Dr. Yaron also has served on the advisory board of Rafael Advanced Defense Systems, Ltd., a developer of high-tech defense systems, since 2008 and on the advisory board of the Israeli Ministry of Defense since 2011. Dr. Yaron served from 1996 to 2006 as a member of the board of directors of Mercury Interactive, a publicly-traded IT optimization software</w:t>
      </w:r>
    </w:p>
    <w:p>
      <w:pPr>
        <w:spacing w:after="0" w:line="96" w:lineRule="exact"/>
        <w:rPr>
          <w:sz w:val="20"/>
          <w:szCs w:val="20"/>
          <w:color w:val="auto"/>
        </w:rPr>
      </w:pPr>
    </w:p>
    <w:p>
      <w:pPr>
        <w:sectPr>
          <w:pgSz w:w="11900" w:h="16838" w:orient="portrait"/>
          <w:cols w:equalWidth="0" w:num="2">
            <w:col w:w="2520" w:space="720"/>
            <w:col w:w="8140"/>
          </w:cols>
          <w:pgMar w:left="240" w:top="280" w:right="279" w:bottom="1440" w:gutter="0" w:footer="0" w:header="0"/>
          <w:type w:val="continuous"/>
        </w:sectPr>
      </w:pPr>
    </w:p>
    <w:p>
      <w:pPr>
        <w:jc w:val="center"/>
        <w:ind w:right="-5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80"/>
          </w:cols>
          <w:pgMar w:left="240" w:top="280" w:right="279" w:bottom="1440" w:gutter="0" w:footer="0" w:header="0"/>
          <w:type w:val="continuous"/>
        </w:sectPr>
      </w:pPr>
    </w:p>
    <w:bookmarkStart w:id="9" w:name="page10"/>
    <w:bookmarkEnd w:id="9"/>
    <w:p>
      <w:pPr>
        <w:ind w:left="3200"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acquired by Hewlett-Packard, including as chairman from 2004 to 2006. We believe that Dr. Yaron’s qualifications to sit on our board of directors include his experience as an entrepreneur and the various leadership positions he has held on the boards of directors of software and technology companies.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has formed five committees as described below. Members of each committee are appointed by the Board of Directors.</w:t>
      </w:r>
    </w:p>
    <w:p>
      <w:pPr>
        <w:spacing w:after="0" w:line="19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Audit Committee reviews, acts on and reports to the Board of Directors with respect to various auditing and accounting matters,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The current members of our Audit Committee are Messrs. Gardner (Chair), Brodsky, Lemelbaum and Olswang, all of whom are independent directors, as defined by the rules of the NYSE, and pursuant to the categorical director independence standards adopted by our Board of Directors. The Board of Directors has determined that Mr. Gardner is an “audit committee financial expert” as defined by rules promulgated by the SEC, and that each member of the Audit Committee is financially literate as required by the rules of the NYSE. The Audit Committee written charter is attached to this Proxy Statement as Appendix A and it is available on our website at </w:t>
      </w:r>
      <w:r>
        <w:rPr>
          <w:rFonts w:ascii="Arial" w:cs="Arial" w:eastAsia="Arial" w:hAnsi="Arial"/>
          <w:sz w:val="16"/>
          <w:szCs w:val="16"/>
          <w:i w:val="1"/>
          <w:iCs w:val="1"/>
          <w:color w:val="auto"/>
        </w:rPr>
        <w:t>www.amdocs.com.</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The Nominating and Corporate Governance Committee identifies individuals qualified to become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The current members of the Nominating and Corporate Governance Committee are Messrs. Olswang (Chair), Brodsky and Kahan, all of whom are independent directors, as required by the NYSE listing standards, and pursuant to the categorical director independence standards adopted by our Board of Directors. The Nominating and Corporate Governance Committee written charter is available on our website at </w:t>
      </w:r>
      <w:r>
        <w:rPr>
          <w:rFonts w:ascii="Arial" w:cs="Arial" w:eastAsia="Arial" w:hAnsi="Arial"/>
          <w:sz w:val="16"/>
          <w:szCs w:val="16"/>
          <w:i w:val="1"/>
          <w:iCs w:val="1"/>
          <w:color w:val="auto"/>
        </w:rPr>
        <w:t>www.amdocs.com.</w:t>
      </w:r>
      <w:r>
        <w:rPr>
          <w:rFonts w:ascii="Arial" w:cs="Arial" w:eastAsia="Arial" w:hAnsi="Arial"/>
          <w:sz w:val="16"/>
          <w:szCs w:val="16"/>
          <w:color w:val="auto"/>
        </w:rPr>
        <w:t xml:space="preserve"> The Nominating and Corporate Governance Committee has approved corporate governance guidelines that are also available on our website at </w:t>
      </w:r>
      <w:r>
        <w:rPr>
          <w:rFonts w:ascii="Arial" w:cs="Arial" w:eastAsia="Arial" w:hAnsi="Arial"/>
          <w:sz w:val="16"/>
          <w:szCs w:val="16"/>
          <w:i w:val="1"/>
          <w:iCs w:val="1"/>
          <w:color w:val="auto"/>
        </w:rPr>
        <w:t>www.amdocs.com.</w:t>
      </w:r>
      <w:r>
        <w:rPr>
          <w:rFonts w:ascii="Arial" w:cs="Arial" w:eastAsia="Arial" w:hAnsi="Arial"/>
          <w:sz w:val="16"/>
          <w:szCs w:val="16"/>
          <w:color w:val="auto"/>
        </w:rPr>
        <w:t xml:space="preserve"> The Nominating and Corporate Governance Committee has approved corporate governance guidelines that are also available on our website at </w:t>
      </w:r>
      <w:r>
        <w:rPr>
          <w:rFonts w:ascii="Arial" w:cs="Arial" w:eastAsia="Arial" w:hAnsi="Arial"/>
          <w:sz w:val="16"/>
          <w:szCs w:val="16"/>
          <w:i w:val="1"/>
          <w:iCs w:val="1"/>
          <w:color w:val="auto"/>
        </w:rPr>
        <w:t>www.amdocs.com</w:t>
      </w:r>
      <w:r>
        <w:rPr>
          <w:rFonts w:ascii="Arial" w:cs="Arial" w:eastAsia="Arial" w:hAnsi="Arial"/>
          <w:sz w:val="16"/>
          <w:szCs w:val="16"/>
          <w:color w:val="auto"/>
        </w:rPr>
        <w:t>. You may request a copy of the corporate governance guidelines, at no cost, by writing to us at the address listed below under the heading “Annual Report on Form 20-F.”</w:t>
      </w:r>
    </w:p>
    <w:p>
      <w:pPr>
        <w:spacing w:after="0" w:line="12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i w:val="1"/>
          <w:iCs w:val="1"/>
          <w:color w:val="auto"/>
        </w:rPr>
        <w:t xml:space="preserve">Management Resources and Compensation Committee. </w:t>
      </w:r>
      <w:r>
        <w:rPr>
          <w:rFonts w:ascii="Arial" w:cs="Arial" w:eastAsia="Arial" w:hAnsi="Arial"/>
          <w:sz w:val="16"/>
          <w:szCs w:val="16"/>
          <w:color w:val="auto"/>
        </w:rPr>
        <w:t>The Management Resources and Compensation Committee discharges the responsibilities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Board of Directors relating to the compensation of the Chief Executive Officer of Amdocs Management Limited, makes recommendations to our Board of Directors with respect to the compensation of our other executive officers and oversees management succession planning for the executive officers of the Company. The current members of our Management Resources and Compensation Committee are Messrs. McLennan (Chair), LeFave and Zisapel, all of whom are independent directors, as defined by the rules of the NYSE, and pursuant to the categorical director independence standards adopted by our Board of Directors. The Management Resources and Compensation Committee written charter is available on our website at </w:t>
      </w:r>
      <w:r>
        <w:rPr>
          <w:rFonts w:ascii="Arial" w:cs="Arial" w:eastAsia="Arial" w:hAnsi="Arial"/>
          <w:sz w:val="16"/>
          <w:szCs w:val="16"/>
          <w:i w:val="1"/>
          <w:iCs w:val="1"/>
          <w:color w:val="auto"/>
        </w:rPr>
        <w:t>www.amdocs.com.</w:t>
      </w:r>
    </w:p>
    <w:p>
      <w:pPr>
        <w:spacing w:after="0" w:line="120"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i w:val="1"/>
          <w:iCs w:val="1"/>
          <w:color w:val="auto"/>
        </w:rPr>
        <w:t xml:space="preserve">Technology and Innovation Committee. </w:t>
      </w:r>
      <w:r>
        <w:rPr>
          <w:rFonts w:ascii="Arial" w:cs="Arial" w:eastAsia="Arial" w:hAnsi="Arial"/>
          <w:sz w:val="16"/>
          <w:szCs w:val="16"/>
          <w:color w:val="auto"/>
        </w:rPr>
        <w:t>The Technology and Innovation Committee was established to assist the Board of Directors in reviewing our</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technological development, opportunities and innovation, in connection with our current and future business and markets. The current members of our Technology and Innovation Committee are Messrs. Zisapel (Chair), Lemelbaum and Dr. Yaron.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0" w:name="page11"/>
    <w:bookmarkEnd w:id="10"/>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independent directors receive no compensation from us, except in connection with their membership on the Board of Directors and its committees as described below regarding Non-Employee Directors under “— Compensation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During the past fiscal year, the Board of Directors held eight meetings. In addition, the Audit Committee held eight meetings, the Management Resources and Compensation Committee held four meetings, the Nominating and Corporate Governance Committee held five meetings and the Technology and Innovation Committee held four meetings in the 2012 fiscal year. During fiscal 2012, each of our directors attended at least 75% of the aggregate of the number of Board of Directors meetings held during the time he was serving as a director and meetings held by all committees on which he then served. During fiscal 2012, our directors who are not our employees, which we refer to as Non-Employee Directors, held two meetings without management present. Executive sessions of the Non-Employee Directors are generally held in conjunction with regularly scheduled meetings of the Board of Directors. At other times, such meetings may be held at the request of any Non-Employee Director. The presiding director of each such executive session is elected by the Non-Employee Directors who attend such executive session. Shareholders and other interested parties may communicate directly with the presiding directors or with the independent directors as a group as described below under the heading “Communicating with the Independent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Independent Directors</w:t>
      </w:r>
    </w:p>
    <w:p>
      <w:pPr>
        <w:spacing w:after="0" w:line="9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Board of Directors will give appropriate attention to written communications that are submitted by shareholders and other interested parties, and will respond if and as appropriate. The Chairman of the Board, with the assistance of our corporate secretary, is primarily responsible for monitoring communications from shareholders and other interested parties and for providing copies or summaries to the directors as he considers appropriate.</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Communications are forwarded to all directors if they relate to important substantive matters and include suggestions or comments that our Chairman and corporate secretary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4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Shareholders who wish to send communications on any topic to the Board of Directors or to our independent or presiding directors should address such communications c/o Corporate Secretary, Amdocs Inc., 1390 Timberlake Manor Parkway, Chesterfield, Missouri 63017.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Corporate Governance Differences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believe there are no significant ways that our corporate governance practices differ from those followed by U.S. domestic issuers under the NYSE listing standards.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 Standards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has adopted a formal set of categorical independence standards with respect to the determination of director independence.</w:t>
      </w:r>
    </w:p>
    <w:p>
      <w:pPr>
        <w:spacing w:after="0" w:line="194"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In accordance with these standards and the rules of the NYSE, our Board of Directors has determined that each of the following 10 of our current 11 directors has no material relationship with us and is therefore independent: Messrs. Minicucci, Gardner, McLennan, Olswang, Zisapel, Brodsky, Kahan, LeFave and Lemelbaum and Dr. Yaron.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full text of our categorical standards is attached to this Proxy Statement as Appendix B.</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Code of Ethics and Business Conduct</w:t>
      </w:r>
    </w:p>
    <w:p>
      <w:pPr>
        <w:spacing w:after="0" w:line="96"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Our Board of Directors has adopted a Code of Ethics and Business Conduct that sets forth legal and ethical standards of conduct for our directors and employees, including executive officers, our subsidiaries and other business entities controlled by us worldwide. The code is available on our website at www.amdocs.com and you may request a copy, at no cost, by writing to us at the address listed below under the heading “Annual Report on Form 20-F.” We intend to post on our website all disclosures that are required by law or NYSE rules concerning any amendments to, or waivers from, any provision of the code.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Oversight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management is responsible for assessing and managing risk, and periodically reviews areas of material risk within our organization in order to evaluate and enhance risk identification and mitigation strategies. Our Board of Directors oversees and reviews these risk management efforts as they relate to strategic and business risks. Our audit committee oversees and reviews these efforts as they relate to operational and financial risks, and it periodically reports and makes recommendations to our Board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structure our compensation to consist of both fixed and variable elements, including salary, equity, cash bonuses and insurance benefits. The fixed portions of compensation, such as salary, are designed to be market based and provide steady income regardless of our stock price performance. The variable portions of compensation, such as equity incentives and performance bonuses, are designed to reward the accomplishment of both short- and long-term corporate objectives. By basing a portion of our compensation on our long-term performance, we believe we reduce the risk that employees will focus on short-term goals to the detriment of our long-term stability. Further, our short-term incentive compensation is designed to reward short-term goals that we believe will enhance our long-term corporate success. Additionally, although we vary the elements of compensation that we use at different employee positions and rank, our compensation philosophy is applicable to all employees, including our executives. We believe this encourages consistent behavior across our organization, rather than establishing different approaches depending on an employee’s position or rank. We do not believe our compensation policies and practices encourage excessive or inappropriate risk taking.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their services as directors during fiscal 2012, our Non-Employee Directors received compensation in the form of cash and restricted shares. Each Non-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Employee Director received an annual cash payment of $60,000. Each member of our Audit Committee who is a Non-Employee Director and who is not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chairman of such committee received an annual cash payment of $12,500. Each member of our Management Resources and Compensation, Nominating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Corporate Governance and Technology and Innovation Committees who is a Non-Employee Director and who is not the chairman of such committees received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annual cash payment of $7,500. The Chairman of our Audit Committee received an annual cash payment of $25,000 and the Chairmen of our Management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Resources and Compensation, Nominating and Corporate Governance and Technology and Innovation Committees each received an annual cash payment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$15,000. Each Non-Employee Director received an annual grant of restricted shares at a total value of $150,000. The Chairman of the Board of Directors received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an additional annual amount equal to $150,000, of which $25,000 was paid in cash and $125,000 was awarded in the form of restricted shares. All restricted share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awards to our Non-Employee Directors were immediately vested with respect to 25%, with the remainder vesting annually in three equal installments. The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 share for the purpose of determining the value of the grants to our Non-Employee Directors was the NYSE closing price of our shares on the last trading day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preceding the grant date.</w:t>
      </w:r>
    </w:p>
    <w:p>
      <w:pPr>
        <w:spacing w:after="0" w:line="16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Commencing in fiscal 2013, we revised our compensation program. Each Non-Employee Director receives an annual cash payment of $60,000. Each member of our Audit who is a Non-Employee Director and who is not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2" w:name="page13"/>
    <w:bookmarkEnd w:id="12"/>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chairman of such committee receives an annual cash payment of $15,000. Each member of our Management Resources and Compensation, Nominating and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Corporate Governance and Technology and Innovation Committees, who is a Non-Employee Director and who is not the chairman of such committees, receives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annual cash payment of $10,000. The Chairman of our Audit Committee receives an annual cash payment of $30,000 and the Chairmen of our Management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Resources and Compensation, Nominating and Corporate Governance and Technology and Innovation Committees each receive an annual cash payment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$20,000. Each Non-Employee Director receives an annual grant of ordinary shares at a total value of $200,000. The Chairman of the Board of Directors receives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additional annual amount equal to $150,000 of which $25,000 is paid in cash and $125,000 is awarded in the form of ordinary shares. All ordinary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awards to our Non-Employee Directors are immediately 100% vested. The price per share for the purpose of determining the value of the grants to our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 Directors is the NYSE closing price of our shares on the last trading day preceding the grant date. We continue to reimburse all of our Non-Employee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Directors for their reasonable travel expenses incurred in connection with attending Board or committee meetings. Cash compensation paid to our Non-Employee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Directors is prorated for partial year service.</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During the 2012 fiscal year, we granted to 11 Non-Employee Directors an aggregate of 61,063 restricted shares at a weighted average price of $28.66 per share, with vesting over three year terms.</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It is proposed that each of the following 11 individuals be elected to serve as a director of Amdocs Limited until the next annual general meeting of shareholders or until his earlier resignation or removal or until his respective successor is elected and qualified:</w:t>
      </w:r>
    </w:p>
    <w:p>
      <w:pPr>
        <w:spacing w:after="0" w:line="21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Robert A. Minicucci</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Adrian Gardner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John T. McLennan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Simon Olswang</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Zohar Zisapel</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Julian A. Brodsky</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Eli Gelman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James S. Kahan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Richard T.C. LeFave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Nehemia Lemelbaum</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Giora Yaron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affirmative vote of holders of a majority of our ordinary shares represented in person or by proxy at the General Meeting is necessary for the election of each director nominee named above.</w:t>
      </w:r>
    </w:p>
    <w:p>
      <w:pPr>
        <w:spacing w:after="0" w:line="207"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THE SHAREHOLDERS VOTE “FOR” EACH OF THE DIRECTOR NOMINEES NAMED ABOVE.</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BENEFICIAL OWNERS AND MANAGEMENT</w:t>
      </w:r>
    </w:p>
    <w:p>
      <w:pPr>
        <w:spacing w:after="0" w:line="165" w:lineRule="exact"/>
        <w:rPr>
          <w:sz w:val="20"/>
          <w:szCs w:val="20"/>
          <w:color w:val="auto"/>
        </w:rPr>
      </w:pPr>
    </w:p>
    <w:p>
      <w:pPr>
        <w:ind w:right="220" w:firstLine="456"/>
        <w:spacing w:after="0" w:line="314" w:lineRule="auto"/>
        <w:rPr>
          <w:sz w:val="20"/>
          <w:szCs w:val="20"/>
          <w:color w:val="auto"/>
        </w:rPr>
      </w:pPr>
      <w:r>
        <w:rPr>
          <w:rFonts w:ascii="Arial" w:cs="Arial" w:eastAsia="Arial" w:hAnsi="Arial"/>
          <w:sz w:val="15"/>
          <w:szCs w:val="15"/>
          <w:color w:val="auto"/>
        </w:rPr>
        <w:t>The following table sets forth specified information with respect to the beneficial ownership of our ordinary shares as of December 3, 2012 of (i) any person known by us to be the beneficial owner of more than 5% of our ordinary shares, and (ii) all of our directors and executive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162,543,165 ordinary shares outstanding as of December 3, 2012. Information concerning shareholders other than our directors and executive officers is based on periodic public filings made by such shareholders and may not necessarily be accurate as of December 3, 2012.</w:t>
      </w:r>
    </w:p>
    <w:p>
      <w:pPr>
        <w:spacing w:after="0" w:line="12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5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5"/>
              </w:rPr>
              <w:t>Shares</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860" w:type="dxa"/>
            <w:vAlign w:val="bottom"/>
            <w:vMerge w:val="restart"/>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6860" w:type="dxa"/>
            <w:vAlign w:val="bottom"/>
            <w:vMerge w:val="continue"/>
          </w:tcPr>
          <w:p>
            <w:pPr>
              <w:spacing w:after="0"/>
              <w:rPr>
                <w:sz w:val="12"/>
                <w:szCs w:val="12"/>
                <w:color w:val="auto"/>
              </w:rPr>
            </w:pPr>
          </w:p>
        </w:tc>
        <w:tc>
          <w:tcPr>
            <w:tcW w:w="150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5"/>
              </w:rPr>
              <w:t>Owned</w:t>
            </w:r>
          </w:p>
        </w:tc>
        <w:tc>
          <w:tcPr>
            <w:tcW w:w="8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5"/>
              </w:rPr>
              <w:t>Ownership</w:t>
            </w:r>
          </w:p>
        </w:tc>
        <w:tc>
          <w:tcPr>
            <w:tcW w:w="0" w:type="dxa"/>
            <w:vAlign w:val="bottom"/>
          </w:tcPr>
          <w:p>
            <w:pPr>
              <w:spacing w:after="0"/>
              <w:rPr>
                <w:sz w:val="1"/>
                <w:szCs w:val="1"/>
                <w:color w:val="auto"/>
              </w:rPr>
            </w:pPr>
          </w:p>
        </w:tc>
      </w:tr>
      <w:tr>
        <w:trPr>
          <w:trHeight w:val="20"/>
        </w:trPr>
        <w:tc>
          <w:tcPr>
            <w:tcW w:w="7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 Rowe Price Associates, Inc. (1)</w:t>
            </w:r>
          </w:p>
        </w:tc>
        <w:tc>
          <w:tcPr>
            <w:tcW w:w="8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gridSpan w:val="2"/>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17,596,758</w:t>
            </w:r>
          </w:p>
        </w:tc>
        <w:tc>
          <w:tcPr>
            <w:tcW w:w="66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Manning &amp; Napier Advisors, Inc.(2)</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w w:val="90"/>
              </w:rPr>
              <w:t>16,730,588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Janus Capital Management LLC (3)</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13,421,044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FMR LLC (4)</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w w:val="90"/>
              </w:rPr>
              <w:t>10,726,903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Ameriprise Financial, Inc.(5)</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10,489,135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22"/>
        </w:trPr>
        <w:tc>
          <w:tcPr>
            <w:tcW w:w="724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(16 persons)(6)</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3,379,472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53"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a Schedule 13G/A filed by T. Rowe Price Associates, Inc., or T. Rowe Price, with the SEC on May 10, 2012, as of April 30, 2012, T. Rowe Price had sole voting power over 3,459,360 of our ordinary shares and sole dispositive power over 17,596,758 of our ordinary shares. The address of T. Rowe Price is 100 E. Pratt Street, Baltimore, Maryland 21202.</w:t>
      </w:r>
    </w:p>
    <w:p>
      <w:pPr>
        <w:ind w:left="4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a Schedule 13G/A filed by Manning &amp; Napier Advisors, Inc., or Manning &amp; Napier, with the SEC on January 27, 2012, as of December 31, 2011, Manning &amp; Napier had sole voting power over 14,809,642 of our ordinary shares and sole dispositive power over 16,730,588 of our ordinary shares. The address of Manning &amp; Napier is 290 Woodcliff Drive, Fairport, New York 14450.</w:t>
      </w:r>
    </w:p>
    <w:p>
      <w:pPr>
        <w:spacing w:after="0" w:line="1"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a Schedule 13G filed by Janus Capital Management LLC, or Janus, with the SEC on February 14, 2012, as of December 31, 2011, Janus has a direct 94.8% ownership stake in INTECH Investment Management, or INTECH, and a direct 77.8% ownership stake in Perkins Investment Management LLC, or Perkins. Due to this ownership structure, holdings for Janus, Perkins and INTECH are aggregated. Janus, Perkins and INTECH are registered investment advisers, each furnishing investment advice to various investment companies registered under Section 8 of the Investment Company Act of 1940 and to individual and institutional clients (collectively, the “Managed Portfolios”). As a result of its role as investment adviser or sub-adviser to the Managed Portfolios, Janus may be deemed to be the beneficial owner of 13,421,044 ordinary shares held by the Managed Portfolios. However, Janus does not have the right to receive any dividends from, or the proceeds from the sale of, the securities held in the Managed Portfolios and disclaims any ownership associated with such rights. The address of Janus Capital is 51 Detroit Street, Denver, Colorado 80206.</w:t>
      </w:r>
    </w:p>
    <w:p>
      <w:pPr>
        <w:spacing w:after="0" w:line="5" w:lineRule="exact"/>
        <w:rPr>
          <w:rFonts w:ascii="Arial" w:cs="Arial" w:eastAsia="Arial" w:hAnsi="Arial"/>
          <w:sz w:val="16"/>
          <w:szCs w:val="16"/>
          <w:color w:val="auto"/>
        </w:rPr>
      </w:pPr>
    </w:p>
    <w:p>
      <w:pPr>
        <w:ind w:left="460" w:right="40" w:hanging="452"/>
        <w:spacing w:after="0" w:line="288"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a Schedule 13G filed by FMR LLC with the SEC on February 14, 2012, as of December 31, 2011, FMR LLC had sole power to vote or direct the vote over 92,353 shares and sole power to dispose or direct the disposition of 10,726,903 shares. This includes 10,626,150 shares beneficially owned by Fidelity Management &amp; Research Company (“Fidelity”) in its capacity as an investment advisor; 106 shares beneficially owned by Strategic Advisers, Inc. (“SAI”) in its capacity as an investment advisor; 147 shares beneficially owned by Pyramis Global Advisors Trust Company (“PGATC”) as a result of its serving as an investment manager of institutional accounts owning such shares; and 100,500 shares over which FIL Limited (“FIL”) has sole dispositive power through its investment advisory and management services to a number of non-U.S. investment companies and institutional investors. Fidelity and SAI are wholly owned subsidiaries of FMR LLC. PGATC is an indirect wholly owned subsidiary of FMR LLC. Partnerships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4" w:name="page15"/>
    <w:bookmarkEnd w:id="14"/>
    <w:p>
      <w:pPr>
        <w:ind w:left="452"/>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controlled predominantly by members of the family of Edward C. Johnson 3d, Chairman of FMR LLC and FIL or trusts for their benefit, own shares of FIL voting stock. Edward C. Johnson 3d, and members of his family, directly or through trusts, own approximately 49% of the voting power of FMR LLC. The address of Fidelity, FMTC and SAI is 82 Devonshire Street, Boston, Massachusetts 02109. The address of PGATC is 900 Salem Street, Smithfield, Rhode Island 02917. The address of FIL is Pembroke Hall, 42 Crow Lane, Hamilton, Bermuda.</w:t>
      </w:r>
    </w:p>
    <w:p>
      <w:pPr>
        <w:spacing w:after="0" w:line="3" w:lineRule="exact"/>
        <w:rPr>
          <w:sz w:val="20"/>
          <w:szCs w:val="20"/>
          <w:color w:val="auto"/>
        </w:rPr>
      </w:pPr>
    </w:p>
    <w:p>
      <w:pPr>
        <w:ind w:left="452" w:right="120" w:hanging="452"/>
        <w:spacing w:after="0" w:line="281" w:lineRule="auto"/>
        <w:tabs>
          <w:tab w:leader="none" w:pos="452"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a Schedule 13G/A filed by Ameriprise Financial, Inc., or Ameriprise, and Columbia Management Investment Advisers, LLC, or Columbia, with the SEC on February 14, 2012, as of December 31, 2011, Ameriprise and Columbia had shared voting power over 2,917,468 of our ordinary shares and shared dispositive power over 10,489,135 of our ordinary shares. Ameriprise is the parent company of Columbia. Ameriprise and Columbia disclaim beneficial ownership of these shares. The address of Ameriprise and RiverSource is 145 Ameriprise Financial Center, Minneapolis, Minnesota 55474.</w:t>
      </w:r>
    </w:p>
    <w:p>
      <w:pPr>
        <w:spacing w:after="0" w:line="2" w:lineRule="exact"/>
        <w:rPr>
          <w:rFonts w:ascii="Arial" w:cs="Arial" w:eastAsia="Arial" w:hAnsi="Arial"/>
          <w:sz w:val="16"/>
          <w:szCs w:val="16"/>
          <w:color w:val="auto"/>
        </w:rPr>
      </w:pPr>
    </w:p>
    <w:p>
      <w:pPr>
        <w:ind w:left="452" w:right="380" w:hanging="452"/>
        <w:spacing w:after="0" w:line="261"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options held by such directors and executive officers that are exercisable within 60 days after December 3, 2012. As of such date, none of our directors, senior managers or key employees beneficially own 1% or more of our outstanding ordinary shares.</w:t>
      </w:r>
    </w:p>
    <w:p>
      <w:pPr>
        <w:spacing w:after="0" w:line="1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12"/>
          </w:cols>
          <w:pgMar w:left="248" w:top="280"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MATTERS</w:t>
      </w:r>
    </w:p>
    <w:p>
      <w:pPr>
        <w:spacing w:after="0" w:line="1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Our management is responsible for the preparation of our financial statements and for maintaining an adequate system of disclosure controls and procedures and internal control over financial reporting for that purpose. Our independent registered public accounting firm is responsible for conducting an independent audit of our annual financial statements in accordance with generally accepted accounting principles, as well as an independent audit of management’s assessment of our internal control over financial reporting, and issuing reports on the results of their audits. The Audit Committee is responsible for providing independent, objective oversight of these processes.</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Audit Committee has reviewed our audited financial statements for the fiscal year ended September 30, 2012 and has discussed these financial statements with our management and independent registered public accounting firm.</w:t>
      </w:r>
    </w:p>
    <w:p>
      <w:pPr>
        <w:spacing w:after="0" w:line="132"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The Audit Committee has also discussed with our independent registered public accounting firm the matters required to be discussed by Statement on Auditing Standards 61 (Communication with Audit Committees). SAS 61 (as codified in AU Section 380 of the Codification of Statements on Auditing Standards) requires our independent registered public accounting firm to discuss with our Audit Committee, among other things, the following:</w:t>
      </w:r>
    </w:p>
    <w:p>
      <w:pPr>
        <w:spacing w:after="0" w:line="2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methods to account for significant unusual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effect of significant accounting policies in controversial or emerging areas for which there is a lack of authoritative guidance or consensus;</w:t>
      </w:r>
    </w:p>
    <w:p>
      <w:pPr>
        <w:spacing w:after="0" w:line="113"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process used by management in formulating particularly sensitive accounting estimates and the basis for the auditors’ conclusions regarding the reasonableness of those estimates;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disagreements with management over the application of accounting principles, the basis for management’s accounting estimates and the disclosures in the financial statements.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independent registered public accounting firm also provided the Audit Committee with the written disclosures and the letter required by the Public Company Accounting Oversight Board (PCAOB) Ethics and Independence Rule 3526 (Rule 3526), Communication with Audit Committees Concerning Independence. PCAOB Rule 3562 requires auditors annually to disclose in writing all relationships that in the auditor’s professional opinion may reasonably be thought to bear on independence, confirm their perceived independence and engage in a discussion of independence. The Audit Committee has discussed with the independent registered public accounting firm its independence from us.</w:t>
      </w:r>
    </w:p>
    <w:p>
      <w:pPr>
        <w:spacing w:after="0" w:line="143"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our Board of Directors that the audited financial statements be included in our Annual Report on Form 20-F for the fiscal year ended September 30,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2012, our Audit Committee approved all of the services provided by Ernst &amp; Young.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6" w:name="page17"/>
    <w:bookmarkEnd w:id="16"/>
    <w:p>
      <w:pPr>
        <w:ind w:left="5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II</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APPROVAL OF OUR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SEPTEMBER 30, 2012</w:t>
      </w:r>
    </w:p>
    <w:p>
      <w:pPr>
        <w:spacing w:after="0" w:line="165"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Our Annual Report for the fiscal year ended September 30, 2012 is available on our website at http://www.amdocs.com/About/Pages/AnnualReport.aspx. Our Consolidated Financial Statements for the fiscal year ended September 30, 2012 are included in our Annual Report. At the General Meeting, we will review the Operating and Financial Review and Prospects section of our Annual Report and will answer appropriate questions related thereto.</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90" w:lineRule="exact"/>
        <w:rPr>
          <w:sz w:val="20"/>
          <w:szCs w:val="20"/>
          <w:color w:val="auto"/>
        </w:rPr>
      </w:pPr>
    </w:p>
    <w:p>
      <w:pPr>
        <w:ind w:left="460"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RESOLVED</w:t>
      </w:r>
      <w:r>
        <w:rPr>
          <w:rFonts w:ascii="Arial" w:cs="Arial" w:eastAsia="Arial" w:hAnsi="Arial"/>
          <w:sz w:val="18"/>
          <w:szCs w:val="18"/>
          <w:color w:val="auto"/>
        </w:rPr>
        <w:t>, that the Consolidated Financial Statements of Amdocs Limited for the fiscal year ended September 30, 2012 be, and the same hereby are, approved.”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affirmative vote of holders of a majority of the ordinary shares represented in person or by proxy at the General Meeting is necessary for the approval of the ordinary resolution to approve the Consolidated Financial Statements.</w:t>
      </w:r>
    </w:p>
    <w:p>
      <w:pPr>
        <w:spacing w:after="0" w:line="126"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THE SHAREHOLDERS VOTE “FOR” THE APPROVAL OF OUR CONSOLIDATED FINANCIAL STATEMENTS.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7" w:name="page18"/>
    <w:bookmarkEnd w:id="17"/>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III</w:t>
      </w:r>
    </w:p>
    <w:p>
      <w:pPr>
        <w:spacing w:after="0" w:line="9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RATIFICATION AND APPROVAL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6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Audit Committee of the Board of Directors has selected the firm of Ernst &amp; Young LLP to continue to serve as our independent registered public accounting firm for the fiscal year ending September 30, 2013 and until the next annual general meeting, and the Audit Committee recommends to the shareholders that they (i) ratify and approve such selection, and (ii) authorize the Audit Committee of the Board of Directors to fix the remuneration of such registered public accounting firm. Ernst &amp; Young LLP audited Amdocs’ books and accounts for the fiscal year ended September 30, 2012 and has served as our independent public accounting firm since 1996. One or more representatives of Ernst &amp; Young LLP are expected to be present at the General Meeting, will have an opportunity to make a statement if he or she so desires and will be available to respond to appropriate questions.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Accountant Fees and Other Matters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summarizes the fees of Ernst &amp; Young LLP, our independent registered public accounting firm, billed to us for each of the last two fiscal years for audit services and billed to us in each of the last two fiscal years for other services: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Fee Category</w:t>
            </w:r>
          </w:p>
        </w:tc>
        <w:tc>
          <w:tcPr>
            <w:tcW w:w="4580" w:type="dxa"/>
            <w:vAlign w:val="bottom"/>
          </w:tcPr>
          <w:p>
            <w:pPr>
              <w:spacing w:after="0"/>
              <w:rPr>
                <w:sz w:val="15"/>
                <w:szCs w:val="15"/>
                <w:color w:val="auto"/>
              </w:rPr>
            </w:pPr>
          </w:p>
        </w:tc>
        <w:tc>
          <w:tcPr>
            <w:tcW w:w="4660" w:type="dxa"/>
            <w:vAlign w:val="bottom"/>
            <w:gridSpan w:val="2"/>
          </w:tcPr>
          <w:p>
            <w:pPr>
              <w:jc w:val="center"/>
              <w:ind w:left="3759"/>
              <w:spacing w:after="0"/>
              <w:rPr>
                <w:sz w:val="20"/>
                <w:szCs w:val="20"/>
                <w:color w:val="auto"/>
              </w:rPr>
            </w:pPr>
            <w:r>
              <w:rPr>
                <w:rFonts w:ascii="Arial" w:cs="Arial" w:eastAsia="Arial" w:hAnsi="Arial"/>
                <w:sz w:val="14"/>
                <w:szCs w:val="14"/>
                <w:b w:val="1"/>
                <w:bCs w:val="1"/>
                <w:color w:val="auto"/>
                <w:w w:val="83"/>
              </w:rPr>
              <w:t>2012</w:t>
            </w:r>
          </w:p>
        </w:tc>
        <w:tc>
          <w:tcPr>
            <w:tcW w:w="220" w:type="dxa"/>
            <w:vAlign w:val="bottom"/>
          </w:tcPr>
          <w:p>
            <w:pPr>
              <w:spacing w:after="0"/>
              <w:rPr>
                <w:sz w:val="15"/>
                <w:szCs w:val="15"/>
                <w:color w:val="auto"/>
              </w:rPr>
            </w:pPr>
          </w:p>
        </w:tc>
        <w:tc>
          <w:tcPr>
            <w:tcW w:w="104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5"/>
                <w:szCs w:val="15"/>
                <w:color w:val="auto"/>
              </w:rPr>
            </w:pPr>
          </w:p>
        </w:tc>
      </w:tr>
      <w:tr>
        <w:trPr>
          <w:trHeight w:val="203"/>
        </w:trPr>
        <w:tc>
          <w:tcPr>
            <w:tcW w:w="5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 Fees(1)</w:t>
            </w:r>
          </w:p>
        </w:tc>
        <w:tc>
          <w:tcPr>
            <w:tcW w:w="38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$ 2,900,000</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$ 3,300,000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4880" w:type="dxa"/>
            <w:vAlign w:val="bottom"/>
            <w:gridSpan w:val="3"/>
          </w:tcPr>
          <w:p>
            <w:pPr>
              <w:jc w:val="center"/>
              <w:ind w:left="3539"/>
              <w:spacing w:after="0"/>
              <w:rPr>
                <w:sz w:val="20"/>
                <w:szCs w:val="20"/>
                <w:color w:val="auto"/>
              </w:rPr>
            </w:pPr>
            <w:r>
              <w:rPr>
                <w:rFonts w:ascii="Arial" w:cs="Arial" w:eastAsia="Arial" w:hAnsi="Arial"/>
                <w:sz w:val="18"/>
                <w:szCs w:val="18"/>
                <w:color w:val="auto"/>
                <w:w w:val="86"/>
              </w:rPr>
              <w:t>$ 1,200,000</w:t>
            </w:r>
          </w:p>
        </w:tc>
        <w:tc>
          <w:tcPr>
            <w:tcW w:w="1140" w:type="dxa"/>
            <w:vAlign w:val="bottom"/>
            <w:gridSpan w:val="3"/>
          </w:tcPr>
          <w:p>
            <w:pPr>
              <w:jc w:val="center"/>
              <w:ind w:left="19"/>
              <w:spacing w:after="0"/>
              <w:rPr>
                <w:sz w:val="20"/>
                <w:szCs w:val="20"/>
                <w:color w:val="auto"/>
              </w:rPr>
            </w:pPr>
            <w:r>
              <w:rPr>
                <w:rFonts w:ascii="Arial" w:cs="Arial" w:eastAsia="Arial" w:hAnsi="Arial"/>
                <w:sz w:val="18"/>
                <w:szCs w:val="18"/>
                <w:color w:val="auto"/>
                <w:w w:val="88"/>
              </w:rPr>
              <w:t>$ 1,200,000</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4880" w:type="dxa"/>
            <w:vAlign w:val="bottom"/>
            <w:gridSpan w:val="3"/>
            <w:shd w:val="clear" w:color="auto" w:fill="CCEEFF"/>
          </w:tcPr>
          <w:p>
            <w:pPr>
              <w:jc w:val="center"/>
              <w:ind w:left="3539"/>
              <w:spacing w:after="0"/>
              <w:rPr>
                <w:sz w:val="20"/>
                <w:szCs w:val="20"/>
                <w:color w:val="auto"/>
              </w:rPr>
            </w:pPr>
            <w:r>
              <w:rPr>
                <w:rFonts w:ascii="Arial" w:cs="Arial" w:eastAsia="Arial" w:hAnsi="Arial"/>
                <w:sz w:val="18"/>
                <w:szCs w:val="18"/>
                <w:color w:val="auto"/>
                <w:w w:val="86"/>
              </w:rPr>
              <w:t>$ 1,600,000</w:t>
            </w:r>
          </w:p>
        </w:tc>
        <w:tc>
          <w:tcPr>
            <w:tcW w:w="1140" w:type="dxa"/>
            <w:vAlign w:val="bottom"/>
            <w:gridSpan w:val="3"/>
            <w:shd w:val="clear" w:color="auto" w:fill="CCEEFF"/>
          </w:tcPr>
          <w:p>
            <w:pPr>
              <w:jc w:val="center"/>
              <w:ind w:left="19"/>
              <w:spacing w:after="0"/>
              <w:rPr>
                <w:sz w:val="20"/>
                <w:szCs w:val="20"/>
                <w:color w:val="auto"/>
              </w:rPr>
            </w:pPr>
            <w:r>
              <w:rPr>
                <w:rFonts w:ascii="Arial" w:cs="Arial" w:eastAsia="Arial" w:hAnsi="Arial"/>
                <w:sz w:val="18"/>
                <w:szCs w:val="18"/>
                <w:color w:val="auto"/>
                <w:w w:val="88"/>
              </w:rPr>
              <w:t>$ 1,800,000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2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Audit fees consist of fees associated with the annual audit and reviews of our quarterly financial results submitted on Form 6-K, consultations on various accounting issues and performance of local statutory audits.</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Audit-related services principally include SAS 70 report issuances and due diligence examinations.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fees consist of fees associated with tax compliance, tax advice and tax planning services.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90"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RESOLVED</w:t>
      </w:r>
      <w:r>
        <w:rPr>
          <w:rFonts w:ascii="Arial" w:cs="Arial" w:eastAsia="Arial" w:hAnsi="Arial"/>
          <w:sz w:val="18"/>
          <w:szCs w:val="18"/>
          <w:color w:val="auto"/>
        </w:rPr>
        <w:t>, that (i) the appointment of Ernst &amp; Young LLP as Amdocs Limited’s independent registered public accounting firm for the fiscal year ending September 30, 2013 and until Amdocs Limited’s next annual general meeting be, and it hereby is, ratified and approved, and (ii) the Audit Committee of the Board of Directors be, and it hereby is, authorized to fix the remuneration of such independent registered public accounting firm in accordance with the nature and extent of its services.”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affirmative vote of holders of a majority of the ordinary shares represented in person or by proxy at the General Meeting is necessary for the approval of the ordinary resolution to ratify and approve the appointment of Ernst &amp; Young LLP and the authorization of the Audit Committee of the Board of Directors to fix its remuneration.</w:t>
      </w:r>
    </w:p>
    <w:p>
      <w:pPr>
        <w:spacing w:after="0" w:line="134"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THE AUDIT COMMITTEE OF THE BOARD OF DIRECTORS AND THE BOARD OF DIRECTORS RECOMMEND THAT THE SHAREHOLDERS VOTE “FOR” THE RATIFICATION AND APPROVAL OF THE APPOINTMENT OF ERNST &amp; YOUNG LLP AS THE COMPANY’S INDEPENDENT REGISTERED PUBLIC ACCOUNTING FIRM AND THE AUTHORIZATION OF THE AUDIT COMMITTEE TO FIX THE REMUNERATION OF ERNST &amp; YOUNG LLP.</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Our management knows of no other business to be transacted at the General Meeting; but, if any other matters are properly presented to the General Meeting, the persons named in the enclosed form of proxy will vote upon such matters in accordance with their reasonable discretion.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20-F</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 xml:space="preserve">Once filed with the SEC, we will promptly provide without charge, at the written request of any shareholder, a copy of our Annual Report on Form 20-F, including our audited financial statements, financial statement schedules and exhibits, as filed with the SEC. Our Annual Report on Form 20-F will also be accessible to the general public via the Internet at the SEC’s website located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as well as on our website at www.amdocs.com. Requests for copies of our Annual Report on Form 20-F should be provided to our principal U.S. subsidiary at: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(314) 212-8358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dox_info@amdocs.com</w:t>
      </w:r>
    </w:p>
    <w:p>
      <w:pPr>
        <w:sectPr>
          <w:pgSz w:w="11900" w:h="16838" w:orient="portrait"/>
          <w:cols w:equalWidth="0" w:num="1">
            <w:col w:w="11400"/>
          </w:cols>
          <w:pgMar w:left="240" w:top="274" w:right="259" w:bottom="1440" w:gutter="0" w:footer="0" w:header="0"/>
        </w:sectPr>
      </w:pP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Ms. Elizabeth W. McDermon</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ectPr>
          <w:pgSz w:w="11900" w:h="16838" w:orient="portrait"/>
          <w:cols w:equalWidth="0" w:num="2">
            <w:col w:w="1180" w:space="520"/>
            <w:col w:w="9700"/>
          </w:cols>
          <w:pgMar w:left="240" w:top="274" w:right="25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cost of solicitation of proxies will be borne by Amdocs, including expenses in connection with preparing and mailing this Proxy Statement. In addition to solicitation of proxies by mail, our directors, officers and employees (who will receive no additional compensation therefor) have solicited the return of proxies by Internet and telephone and may solicit the return of proxies by facsimile or personal interview. In addition, we have retained American Stock Transfer &amp; Trust Company and Phoenix Advisory Partners to assist in the solicitation of proxies. We will also reimburse brokerage houses and other custodians, nominees and fiduciaries for their expenses in accordance with the regulations of the NYSE concerning the sending of proxies and proxy materials to the beneficial owners of our ordinary shares.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LIZABETH</w:t>
      </w:r>
      <w:r>
        <w:rPr>
          <w:rFonts w:ascii="Arial" w:cs="Arial" w:eastAsia="Arial" w:hAnsi="Arial"/>
          <w:sz w:val="18"/>
          <w:szCs w:val="18"/>
          <w:color w:val="auto"/>
        </w:rPr>
        <w:t xml:space="preserve"> W. M</w:t>
      </w:r>
      <w:r>
        <w:rPr>
          <w:rFonts w:ascii="Arial" w:cs="Arial" w:eastAsia="Arial" w:hAnsi="Arial"/>
          <w:sz w:val="14"/>
          <w:szCs w:val="14"/>
          <w:color w:val="auto"/>
        </w:rPr>
        <w:t>C</w:t>
      </w:r>
      <w:r>
        <w:rPr>
          <w:rFonts w:ascii="Arial" w:cs="Arial" w:eastAsia="Arial" w:hAnsi="Arial"/>
          <w:sz w:val="18"/>
          <w:szCs w:val="18"/>
          <w:color w:val="auto"/>
        </w:rPr>
        <w:t>D</w:t>
      </w:r>
      <w:r>
        <w:rPr>
          <w:rFonts w:ascii="Arial" w:cs="Arial" w:eastAsia="Arial" w:hAnsi="Arial"/>
          <w:sz w:val="14"/>
          <w:szCs w:val="14"/>
          <w:color w:val="auto"/>
        </w:rPr>
        <w:t>ERMON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December 24, 2012</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 PURPOSE</w:t>
      </w:r>
    </w:p>
    <w:p>
      <w:pPr>
        <w:spacing w:after="0" w:line="96" w:lineRule="exact"/>
        <w:rPr>
          <w:sz w:val="20"/>
          <w:szCs w:val="20"/>
          <w:color w:val="auto"/>
        </w:rPr>
      </w:pPr>
    </w:p>
    <w:p>
      <w:pPr>
        <w:ind w:left="460" w:right="220"/>
        <w:spacing w:after="0" w:line="298" w:lineRule="auto"/>
        <w:rPr>
          <w:sz w:val="20"/>
          <w:szCs w:val="20"/>
          <w:color w:val="auto"/>
        </w:rPr>
      </w:pPr>
      <w:r>
        <w:rPr>
          <w:rFonts w:ascii="Arial" w:cs="Arial" w:eastAsia="Arial" w:hAnsi="Arial"/>
          <w:sz w:val="16"/>
          <w:szCs w:val="16"/>
          <w:color w:val="auto"/>
        </w:rPr>
        <w:t>The Audit Committee of Amdocs Limited (the “Company”) is a standing committee of the Board of Directors. The primary objective of the Audit Committee is to assist the Board of Directors’ oversight of: the Company’s accounting practices; the integrity of the Company’s financial statements; the Company’s compliance with legal and regulatory requirements; the qualifications, independence, and performance of the Company’s registered public accounting firm (the “independent auditor”); the internal audit function, risk assessment and risk management.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 MEMBERSHIP, STRUCTURE, AND ADMINISTRATION</w:t>
      </w:r>
    </w:p>
    <w:p>
      <w:pPr>
        <w:spacing w:after="0" w:line="90" w:lineRule="exact"/>
        <w:rPr>
          <w:sz w:val="20"/>
          <w:szCs w:val="20"/>
          <w:color w:val="auto"/>
        </w:rPr>
      </w:pPr>
    </w:p>
    <w:p>
      <w:pPr>
        <w:ind w:left="460" w:right="180" w:hanging="452"/>
        <w:spacing w:after="0" w:line="293"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Size and Member Qualifications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 The Audit Committee shall consist of at least three members of the Board of Directors, all of whom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of management and the Company and shall satisfy the independence requirements as defined, by the applicable rules of the New York Stock Exchange (NYSE) and Rule 10A-3(b)(1) of the Securities Exchange Act of 1934. Each member of the Audit Committee shall be financially literate, as such qualification is interpreted by the Board of Directors in its business judgment, or must become financially literate within a reasonable period of time after his or her appointment to the Audit Committee. At least one member of the Audit Committee shall be an “audit committee financial expert” (as defined by applicable SEC rules) as determined by the business judgment of the Board of Directors.</w:t>
      </w:r>
    </w:p>
    <w:p>
      <w:pPr>
        <w:spacing w:after="0" w:line="29" w:lineRule="exact"/>
        <w:rPr>
          <w:rFonts w:ascii="Arial" w:cs="Arial" w:eastAsia="Arial" w:hAnsi="Arial"/>
          <w:sz w:val="16"/>
          <w:szCs w:val="16"/>
          <w:color w:val="auto"/>
        </w:rPr>
      </w:pPr>
    </w:p>
    <w:p>
      <w:pPr>
        <w:ind w:left="460" w:right="180" w:hanging="452"/>
        <w:spacing w:after="0" w:line="25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Board of Directors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 Members of the Audit Committee shall be appointed by the Board of Directors. The Audit Committee shall report</w:t>
      </w:r>
      <w:r>
        <w:rPr>
          <w:rFonts w:ascii="Arial" w:cs="Arial" w:eastAsia="Arial" w:hAnsi="Arial"/>
          <w:sz w:val="18"/>
          <w:szCs w:val="18"/>
          <w:b w:val="1"/>
          <w:bCs w:val="1"/>
          <w:color w:val="auto"/>
        </w:rPr>
        <w:t xml:space="preserve"> </w:t>
      </w:r>
      <w:r>
        <w:rPr>
          <w:rFonts w:ascii="Arial" w:cs="Arial" w:eastAsia="Arial" w:hAnsi="Arial"/>
          <w:sz w:val="18"/>
          <w:szCs w:val="18"/>
          <w:color w:val="auto"/>
        </w:rPr>
        <w:t>regularly to the Board of Directors. Unless otherwise determined by the Board of Directors, no member of the Audit Committee may serve on the audit committee of more than two other public companies. The Board of Directors may remove members of the Audit Committee from such committee with or without cause.</w:t>
      </w:r>
    </w:p>
    <w:p>
      <w:pPr>
        <w:spacing w:after="0" w:line="5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Chair</w:t>
      </w:r>
      <w:r>
        <w:rPr>
          <w:rFonts w:ascii="Arial" w:cs="Arial" w:eastAsia="Arial" w:hAnsi="Arial"/>
          <w:sz w:val="18"/>
          <w:szCs w:val="18"/>
          <w:b w:val="1"/>
          <w:bCs w:val="1"/>
          <w:color w:val="auto"/>
        </w:rPr>
        <w:t xml:space="preserve"> </w:t>
      </w:r>
      <w:r>
        <w:rPr>
          <w:rFonts w:ascii="Arial" w:cs="Arial" w:eastAsia="Arial" w:hAnsi="Arial"/>
          <w:sz w:val="18"/>
          <w:szCs w:val="18"/>
          <w:color w:val="auto"/>
        </w:rPr>
        <w:t>- Unless the Board of Directors elects a Chair of the Audit Committee, the Audit Committee shall elect one by majority vote.</w:t>
      </w:r>
    </w:p>
    <w:p>
      <w:pPr>
        <w:spacing w:after="0" w:line="90" w:lineRule="exact"/>
        <w:rPr>
          <w:rFonts w:ascii="Arial" w:cs="Arial" w:eastAsia="Arial" w:hAnsi="Arial"/>
          <w:sz w:val="18"/>
          <w:szCs w:val="18"/>
          <w:color w:val="auto"/>
        </w:rPr>
      </w:pPr>
    </w:p>
    <w:p>
      <w:pPr>
        <w:ind w:left="460" w:right="40" w:hanging="452"/>
        <w:spacing w:after="0" w:line="262"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 The compensation of the Audit Committee members shall be as determined by the Board of Directors. No member of the Audit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receive, directly or indirectly, any compensation from the Company other than director’s fees (in cash and/or company shares or options or in-kind consideration).</w:t>
      </w:r>
    </w:p>
    <w:p>
      <w:pPr>
        <w:spacing w:after="0" w:line="51" w:lineRule="exact"/>
        <w:rPr>
          <w:rFonts w:ascii="Arial" w:cs="Arial" w:eastAsia="Arial" w:hAnsi="Arial"/>
          <w:sz w:val="18"/>
          <w:szCs w:val="18"/>
          <w:color w:val="auto"/>
        </w:rPr>
      </w:pPr>
    </w:p>
    <w:p>
      <w:pPr>
        <w:ind w:left="460" w:right="340" w:hanging="452"/>
        <w:spacing w:after="0" w:line="30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 The Audit Committee shall meet on a schedule and in a manner the Audit Committee shall establish. The Audit Committee may also act by</w:t>
      </w:r>
      <w:r>
        <w:rPr>
          <w:rFonts w:ascii="Arial" w:cs="Arial" w:eastAsia="Arial" w:hAnsi="Arial"/>
          <w:sz w:val="16"/>
          <w:szCs w:val="16"/>
          <w:b w:val="1"/>
          <w:bCs w:val="1"/>
          <w:color w:val="auto"/>
        </w:rPr>
        <w:t xml:space="preserve"> </w:t>
      </w:r>
      <w:r>
        <w:rPr>
          <w:rFonts w:ascii="Arial" w:cs="Arial" w:eastAsia="Arial" w:hAnsi="Arial"/>
          <w:sz w:val="16"/>
          <w:szCs w:val="16"/>
          <w:color w:val="auto"/>
        </w:rPr>
        <w:t>unanimous written consent in lieu of a meeting. Periodically, the Audit Committee shall meet separately with: the independent auditor, members of the Company’s management, and the Company’s internal auditor. A special meeting may be called on not less than 24 hours notice, at any time by the Chairman. The Audit Committee shall keep such records of its meetings, as it shall deem appropriate.</w:t>
      </w:r>
    </w:p>
    <w:p>
      <w:pPr>
        <w:spacing w:after="0" w:line="22" w:lineRule="exact"/>
        <w:rPr>
          <w:rFonts w:ascii="Arial" w:cs="Arial" w:eastAsia="Arial" w:hAnsi="Arial"/>
          <w:sz w:val="16"/>
          <w:szCs w:val="16"/>
          <w:color w:val="auto"/>
        </w:rPr>
      </w:pPr>
    </w:p>
    <w:p>
      <w:pPr>
        <w:ind w:left="460" w:right="240" w:hanging="452"/>
        <w:spacing w:after="0" w:line="275"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Subcommittees</w:t>
      </w:r>
      <w:r>
        <w:rPr>
          <w:rFonts w:ascii="Arial" w:cs="Arial" w:eastAsia="Arial" w:hAnsi="Arial"/>
          <w:sz w:val="18"/>
          <w:szCs w:val="18"/>
          <w:b w:val="1"/>
          <w:bCs w:val="1"/>
          <w:color w:val="auto"/>
        </w:rPr>
        <w:t xml:space="preserve"> </w:t>
      </w:r>
      <w:r>
        <w:rPr>
          <w:rFonts w:ascii="Arial" w:cs="Arial" w:eastAsia="Arial" w:hAnsi="Arial"/>
          <w:sz w:val="18"/>
          <w:szCs w:val="18"/>
          <w:color w:val="auto"/>
        </w:rPr>
        <w:t>- The Audit Committee may form and delegate authority to one or more subcommittees as it deems appropriate from time to time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circumstances.</w:t>
      </w:r>
    </w:p>
    <w:p>
      <w:pPr>
        <w:spacing w:after="0" w:line="38" w:lineRule="exact"/>
        <w:rPr>
          <w:rFonts w:ascii="Arial" w:cs="Arial" w:eastAsia="Arial" w:hAnsi="Arial"/>
          <w:sz w:val="18"/>
          <w:szCs w:val="18"/>
          <w:color w:val="auto"/>
        </w:rPr>
      </w:pPr>
    </w:p>
    <w:p>
      <w:pPr>
        <w:ind w:left="460" w:right="480" w:hanging="452"/>
        <w:spacing w:after="0" w:line="287"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Authority</w:t>
      </w:r>
      <w:r>
        <w:rPr>
          <w:rFonts w:ascii="Arial" w:cs="Arial" w:eastAsia="Arial" w:hAnsi="Arial"/>
          <w:sz w:val="16"/>
          <w:szCs w:val="16"/>
          <w:b w:val="1"/>
          <w:bCs w:val="1"/>
          <w:color w:val="auto"/>
        </w:rPr>
        <w:t xml:space="preserve"> - </w:t>
      </w:r>
      <w:r>
        <w:rPr>
          <w:rFonts w:ascii="Arial" w:cs="Arial" w:eastAsia="Arial" w:hAnsi="Arial"/>
          <w:sz w:val="16"/>
          <w:szCs w:val="16"/>
          <w:color w:val="auto"/>
        </w:rPr>
        <w:t>The Audit Committee shall maintain unrestricted communication with the independent auditors, the Company’s internal audit function</w:t>
      </w:r>
      <w:r>
        <w:rPr>
          <w:rFonts w:ascii="Arial" w:cs="Arial" w:eastAsia="Arial" w:hAnsi="Arial"/>
          <w:sz w:val="16"/>
          <w:szCs w:val="16"/>
          <w:b w:val="1"/>
          <w:bCs w:val="1"/>
          <w:color w:val="auto"/>
        </w:rPr>
        <w:t xml:space="preserve"> </w:t>
      </w:r>
      <w:r>
        <w:rPr>
          <w:rFonts w:ascii="Arial" w:cs="Arial" w:eastAsia="Arial" w:hAnsi="Arial"/>
          <w:sz w:val="16"/>
          <w:szCs w:val="16"/>
          <w:color w:val="auto"/>
        </w:rPr>
        <w:t>personnel, counsel and financial management to assure that each understands and accepts its responsibilities for direct communication with the Audit Committee as appropriate. The Audit Committee shall have full access to the books and records of the</w:t>
      </w:r>
    </w:p>
    <w:p>
      <w:pPr>
        <w:ind w:left="460" w:right="720"/>
        <w:spacing w:after="0" w:line="323" w:lineRule="auto"/>
        <w:rPr>
          <w:rFonts w:ascii="Arial" w:cs="Arial" w:eastAsia="Arial" w:hAnsi="Arial"/>
          <w:sz w:val="16"/>
          <w:szCs w:val="16"/>
          <w:color w:val="auto"/>
        </w:rPr>
      </w:pPr>
      <w:r>
        <w:rPr>
          <w:rFonts w:ascii="Arial" w:cs="Arial" w:eastAsia="Arial" w:hAnsi="Arial"/>
          <w:sz w:val="16"/>
          <w:szCs w:val="16"/>
          <w:color w:val="auto"/>
        </w:rPr>
        <w:t>Company, as well as, full access to interview employees, if necessary. The Chairman of the Audit Committee shall have the authority to direct the Company’s internal audit function to carry out such special audit projects as, in the Chairman’s judgment, are warranted.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20" w:name="page21"/>
    <w:bookmarkEnd w:id="20"/>
    <w:p>
      <w:pPr>
        <w:ind w:left="460" w:right="200" w:hanging="452"/>
        <w:spacing w:after="0" w:line="378"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and Charter Evaluations</w:t>
      </w:r>
      <w:r>
        <w:rPr>
          <w:rFonts w:ascii="Arial" w:cs="Arial" w:eastAsia="Arial" w:hAnsi="Arial"/>
          <w:sz w:val="15"/>
          <w:szCs w:val="15"/>
          <w:b w:val="1"/>
          <w:bCs w:val="1"/>
          <w:color w:val="auto"/>
        </w:rPr>
        <w:t xml:space="preserve"> </w:t>
      </w:r>
      <w:r>
        <w:rPr>
          <w:rFonts w:ascii="Arial" w:cs="Arial" w:eastAsia="Arial" w:hAnsi="Arial"/>
          <w:sz w:val="15"/>
          <w:szCs w:val="15"/>
          <w:color w:val="auto"/>
        </w:rPr>
        <w:t>- The Audit Committee shall maintain this Audit Committee Charter and obtain the approval of the Board of</w:t>
      </w:r>
      <w:r>
        <w:rPr>
          <w:rFonts w:ascii="Arial" w:cs="Arial" w:eastAsia="Arial" w:hAnsi="Arial"/>
          <w:sz w:val="15"/>
          <w:szCs w:val="15"/>
          <w:b w:val="1"/>
          <w:bCs w:val="1"/>
          <w:color w:val="auto"/>
        </w:rPr>
        <w:t xml:space="preserve"> </w:t>
      </w:r>
      <w:r>
        <w:rPr>
          <w:rFonts w:ascii="Arial" w:cs="Arial" w:eastAsia="Arial" w:hAnsi="Arial"/>
          <w:sz w:val="15"/>
          <w:szCs w:val="15"/>
          <w:color w:val="auto"/>
        </w:rPr>
        <w:t>Directors for all revisions or changes to the Charter. The Audit Committee shall review and reassess the Charter as conditions dictate or at least annually.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 RESPONSIBILITIES AND DUTIES</w:t>
      </w:r>
    </w:p>
    <w:p>
      <w:pPr>
        <w:spacing w:after="0" w:line="90" w:lineRule="exact"/>
        <w:rPr>
          <w:sz w:val="20"/>
          <w:szCs w:val="20"/>
          <w:color w:val="auto"/>
        </w:rPr>
      </w:pPr>
    </w:p>
    <w:p>
      <w:pPr>
        <w:ind w:left="460" w:right="40" w:hanging="452"/>
        <w:spacing w:after="0" w:line="290" w:lineRule="auto"/>
        <w:tabs>
          <w:tab w:leader="none" w:pos="46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Genera</w:t>
      </w:r>
      <w:r>
        <w:rPr>
          <w:rFonts w:ascii="Arial" w:cs="Arial" w:eastAsia="Arial" w:hAnsi="Arial"/>
          <w:sz w:val="16"/>
          <w:szCs w:val="16"/>
          <w:b w:val="1"/>
          <w:bCs w:val="1"/>
          <w:color w:val="auto"/>
        </w:rPr>
        <w:t xml:space="preserve">l - </w:t>
      </w:r>
      <w:r>
        <w:rPr>
          <w:rFonts w:ascii="Arial" w:cs="Arial" w:eastAsia="Arial" w:hAnsi="Arial"/>
          <w:sz w:val="16"/>
          <w:szCs w:val="16"/>
          <w:color w:val="auto"/>
        </w:rPr>
        <w:t>The Audit Committee shall discharge its responsibilities and shall assess the information provided by the Company’s management, the internal</w:t>
      </w:r>
      <w:r>
        <w:rPr>
          <w:rFonts w:ascii="Arial" w:cs="Arial" w:eastAsia="Arial" w:hAnsi="Arial"/>
          <w:sz w:val="16"/>
          <w:szCs w:val="16"/>
          <w:b w:val="1"/>
          <w:bCs w:val="1"/>
          <w:color w:val="auto"/>
        </w:rPr>
        <w:t xml:space="preserve"> </w:t>
      </w:r>
      <w:r>
        <w:rPr>
          <w:rFonts w:ascii="Arial" w:cs="Arial" w:eastAsia="Arial" w:hAnsi="Arial"/>
          <w:sz w:val="16"/>
          <w:szCs w:val="16"/>
          <w:color w:val="auto"/>
        </w:rPr>
        <w:t>auditor and the independent auditors, in accordance with its business judgment. Management is responsible for the preparation, presentation, and integrity of the Company’s financial statements, for the appropriateness of the accounting principles and the reporting policies that are used by the Company and for establishing and maintaining adequate internal control over financial reporting. The independent auditors are responsible for auditing the Company’s financial statements and the Company’s internal control over financial reporting and for reviewing the Company’s unaudited interim financial statements. The authority and responsibilities set forth in this Charter do not reflect or create any duty or obligation of the Audit Committee to plan or conduct any audit, to determine or certify that the Company’s financial statements are complete, accurate, fairly presented, or in accordance with generally accepted accounting principles or applicable law, or to guarantee the independent auditor’s report.</w:t>
      </w:r>
    </w:p>
    <w:p>
      <w:pPr>
        <w:spacing w:after="0" w:line="31" w:lineRule="exact"/>
        <w:rPr>
          <w:rFonts w:ascii="Arial" w:cs="Arial" w:eastAsia="Arial" w:hAnsi="Arial"/>
          <w:sz w:val="16"/>
          <w:szCs w:val="16"/>
          <w:b w:val="1"/>
          <w:bCs w:val="1"/>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Oversight of Independent Auditors</w:t>
      </w:r>
    </w:p>
    <w:p>
      <w:pPr>
        <w:spacing w:after="0" w:line="96" w:lineRule="exact"/>
        <w:rPr>
          <w:rFonts w:ascii="Arial" w:cs="Arial" w:eastAsia="Arial" w:hAnsi="Arial"/>
          <w:sz w:val="18"/>
          <w:szCs w:val="18"/>
          <w:b w:val="1"/>
          <w:bCs w:val="1"/>
          <w:color w:val="auto"/>
        </w:rPr>
      </w:pPr>
    </w:p>
    <w:p>
      <w:pPr>
        <w:ind w:left="900" w:right="180" w:hanging="446"/>
        <w:spacing w:after="0" w:line="256"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Selection and Reporting</w:t>
      </w:r>
      <w:r>
        <w:rPr>
          <w:rFonts w:ascii="Arial" w:cs="Arial" w:eastAsia="Arial" w:hAnsi="Arial"/>
          <w:sz w:val="18"/>
          <w:szCs w:val="18"/>
          <w:color w:val="auto"/>
        </w:rPr>
        <w:t xml:space="preserve"> - The Audit Committee shall be directly responsible for appointing, evaluating and, when necessary, terminating the independent auditors. The Audit Committee is also directly responsible for oversight of the independent auditor’s work, including the resolution of disagreements between Company management and the independent auditors regarding financial reporting. The independent auditors shall report directly to the Audit Committee.</w:t>
      </w:r>
    </w:p>
    <w:p>
      <w:pPr>
        <w:spacing w:after="0" w:line="62" w:lineRule="exact"/>
        <w:rPr>
          <w:rFonts w:ascii="Arial" w:cs="Arial" w:eastAsia="Arial" w:hAnsi="Arial"/>
          <w:sz w:val="18"/>
          <w:szCs w:val="18"/>
          <w:color w:val="auto"/>
        </w:rPr>
      </w:pPr>
    </w:p>
    <w:p>
      <w:pPr>
        <w:jc w:val="both"/>
        <w:ind w:left="900" w:right="10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 The Audit Committee shall take direct responsibility for setting compensation of the independent auditors. The Audit Committee is empowered, without further action by the Board of Directors, to cause the Company to pay the compensation of the independent auditor established by the Audit Committee.</w:t>
      </w:r>
    </w:p>
    <w:p>
      <w:pPr>
        <w:spacing w:after="0" w:line="59" w:lineRule="exact"/>
        <w:rPr>
          <w:rFonts w:ascii="Arial" w:cs="Arial" w:eastAsia="Arial" w:hAnsi="Arial"/>
          <w:sz w:val="18"/>
          <w:szCs w:val="18"/>
          <w:color w:val="auto"/>
        </w:rPr>
      </w:pPr>
    </w:p>
    <w:p>
      <w:pPr>
        <w:ind w:left="900" w:right="200" w:hanging="446"/>
        <w:spacing w:after="0" w:line="294"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Independence</w:t>
      </w:r>
      <w:r>
        <w:rPr>
          <w:rFonts w:ascii="Arial" w:cs="Arial" w:eastAsia="Arial" w:hAnsi="Arial"/>
          <w:sz w:val="16"/>
          <w:szCs w:val="16"/>
          <w:color w:val="auto"/>
        </w:rPr>
        <w:t xml:space="preserve"> - On a periodic but no less frequently than annual basis, the Audit Committee shall obtain from the independent auditors a formal written statement delineating all their relationships with the Company or professional services that may impact their objectivity and independence, including those required to be disclosed by the PCAOB Ethics and Independence Rule 3526 (Rule 3526), Communication with Audit Committees Concerning Independence. In addition, the Audit Committee shall review with the independent auditors the nature and scope of any disclosed relationships or professional services and any appropriate actions necessary to ensure the continuing independence of the auditors.</w:t>
      </w:r>
    </w:p>
    <w:p>
      <w:pPr>
        <w:spacing w:after="0" w:line="34" w:lineRule="exact"/>
        <w:rPr>
          <w:rFonts w:ascii="Arial" w:cs="Arial" w:eastAsia="Arial" w:hAnsi="Arial"/>
          <w:sz w:val="16"/>
          <w:szCs w:val="16"/>
          <w:color w:val="auto"/>
        </w:rPr>
      </w:pPr>
    </w:p>
    <w:p>
      <w:pPr>
        <w:ind w:left="900" w:hanging="446"/>
        <w:spacing w:after="0"/>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Quality-Control Report</w:t>
      </w:r>
      <w:r>
        <w:rPr>
          <w:rFonts w:ascii="Arial" w:cs="Arial" w:eastAsia="Arial" w:hAnsi="Arial"/>
          <w:sz w:val="16"/>
          <w:szCs w:val="16"/>
          <w:color w:val="auto"/>
        </w:rPr>
        <w:t xml:space="preserve"> - At least annually, the Audit Committee shall obtain and review a report by the independent auditors describing:</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internal quality-control procedures at the independent auditor’s firm; and</w:t>
      </w:r>
    </w:p>
    <w:p>
      <w:pPr>
        <w:spacing w:after="0" w:line="90" w:lineRule="exact"/>
        <w:rPr>
          <w:rFonts w:ascii="Arial" w:cs="Arial" w:eastAsia="Arial" w:hAnsi="Arial"/>
          <w:sz w:val="18"/>
          <w:szCs w:val="18"/>
          <w:color w:val="auto"/>
        </w:rPr>
      </w:pPr>
    </w:p>
    <w:p>
      <w:pPr>
        <w:ind w:left="1480" w:hanging="446"/>
        <w:spacing w:after="0" w:line="306" w:lineRule="auto"/>
        <w:tabs>
          <w:tab w:leader="none" w:pos="1480" w:val="left"/>
        </w:tabs>
        <w:numPr>
          <w:ilvl w:val="2"/>
          <w:numId w:val="14"/>
        </w:numPr>
        <w:rPr>
          <w:rFonts w:ascii="Arial" w:cs="Arial" w:eastAsia="Arial" w:hAnsi="Arial"/>
          <w:sz w:val="16"/>
          <w:szCs w:val="16"/>
          <w:color w:val="auto"/>
        </w:rPr>
      </w:pPr>
      <w:r>
        <w:rPr>
          <w:rFonts w:ascii="Arial" w:cs="Arial" w:eastAsia="Arial" w:hAnsi="Arial"/>
          <w:sz w:val="16"/>
          <w:szCs w:val="16"/>
          <w:color w:val="auto"/>
        </w:rPr>
        <w:t>any material issues raised by the most recent internal quality-control review, or peer review, of the independent auditor’s firm, or by any inquiry or investigation by any governmental or professional authorities, within the preceding five years, relating to one or more independent audits carried out by the independent auditor’s firm, and any steps taken to deal with any such issues.</w:t>
      </w:r>
    </w:p>
    <w:p>
      <w:pPr>
        <w:spacing w:after="0" w:line="25" w:lineRule="exact"/>
        <w:rPr>
          <w:rFonts w:ascii="Arial" w:cs="Arial" w:eastAsia="Arial" w:hAnsi="Arial"/>
          <w:sz w:val="16"/>
          <w:szCs w:val="16"/>
          <w:color w:val="auto"/>
        </w:rPr>
      </w:pPr>
    </w:p>
    <w:p>
      <w:pPr>
        <w:ind w:left="900" w:right="400" w:hanging="446"/>
        <w:spacing w:after="0" w:line="298"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Pre-approval of Services</w:t>
      </w:r>
      <w:r>
        <w:rPr>
          <w:rFonts w:ascii="Arial" w:cs="Arial" w:eastAsia="Arial" w:hAnsi="Arial"/>
          <w:sz w:val="16"/>
          <w:szCs w:val="16"/>
          <w:color w:val="auto"/>
        </w:rPr>
        <w:t xml:space="preserve"> - The Audit Committee shall pre-approve all audit services to be provided to the Company, whether provided by the principal auditor or other firms, and all other services (review, attest and non-audit) to be provided to the Company by the independent auditor; provided, however, that de minimis non-audit services may instead be approved in accordance with applicable NYSE and SEC rules. The Audit Committee shall cause the Company to comply with any applicable disclosure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74" w:right="259" w:bottom="1440" w:gutter="0" w:footer="0" w:header="0"/>
        </w:sectPr>
      </w:pPr>
    </w:p>
    <w:bookmarkStart w:id="21" w:name="page22"/>
    <w:bookmarkEnd w:id="21"/>
    <w:p>
      <w:pPr>
        <w:ind w:left="920"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requirements regarding approval by the Audit Committee of any non-audit services to be performed by the independent auditor. Any decision of a subcommittee to pre-approve audit or non-audit services shall be presented to the full Audit Committee at its next scheduled meeting.</w:t>
      </w:r>
    </w:p>
    <w:p>
      <w:pPr>
        <w:spacing w:after="0" w:line="4" w:lineRule="exact"/>
        <w:rPr>
          <w:sz w:val="20"/>
          <w:szCs w:val="20"/>
          <w:color w:val="auto"/>
        </w:rPr>
      </w:pPr>
    </w:p>
    <w:p>
      <w:pPr>
        <w:jc w:val="both"/>
        <w:ind w:left="900" w:right="8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Review Scope of Services</w:t>
      </w:r>
      <w:r>
        <w:rPr>
          <w:rFonts w:ascii="Arial" w:cs="Arial" w:eastAsia="Arial" w:hAnsi="Arial"/>
          <w:sz w:val="18"/>
          <w:szCs w:val="18"/>
          <w:color w:val="auto"/>
        </w:rPr>
        <w:t xml:space="preserve"> - The Audit Committee shall meet with the independent auditors and financial management of the Company to review the scope of the proposed audit and quarterly reviews for the current year and the procedures to be utilized. This review should include an evaluation of the adequacy of the auditor’s staffing and compensation.</w:t>
      </w:r>
    </w:p>
    <w:p>
      <w:pPr>
        <w:spacing w:after="0" w:line="59"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Discussion of Independent Auditors’ Comments and Recommendations</w:t>
      </w:r>
      <w:r>
        <w:rPr>
          <w:rFonts w:ascii="Arial" w:cs="Arial" w:eastAsia="Arial" w:hAnsi="Arial"/>
          <w:sz w:val="18"/>
          <w:szCs w:val="18"/>
          <w:color w:val="auto"/>
        </w:rPr>
        <w:t xml:space="preserve"> - The Audit Committee shall meet with the independent auditors to review their comments and recommendations with respect to:</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internal accounting controls;</w:t>
      </w:r>
    </w:p>
    <w:p>
      <w:pPr>
        <w:spacing w:after="0" w:line="90" w:lineRule="exact"/>
        <w:rPr>
          <w:rFonts w:ascii="Arial" w:cs="Arial" w:eastAsia="Arial" w:hAnsi="Arial"/>
          <w:sz w:val="18"/>
          <w:szCs w:val="18"/>
          <w:color w:val="auto"/>
        </w:rPr>
      </w:pPr>
    </w:p>
    <w:p>
      <w:pPr>
        <w:ind w:left="1480" w:right="160" w:hanging="446"/>
        <w:spacing w:after="0" w:line="268"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audit difficulties, including restrictions on the scope of the independent auditors’ activities or access to requested information or significant disagreements with management;</w:t>
      </w:r>
    </w:p>
    <w:p>
      <w:pPr>
        <w:spacing w:after="0" w:line="50" w:lineRule="exact"/>
        <w:rPr>
          <w:rFonts w:ascii="Arial" w:cs="Arial" w:eastAsia="Arial" w:hAnsi="Arial"/>
          <w:sz w:val="18"/>
          <w:szCs w:val="18"/>
          <w:color w:val="auto"/>
        </w:rPr>
      </w:pPr>
    </w:p>
    <w:p>
      <w:pPr>
        <w:ind w:left="1480" w:right="160" w:hanging="446"/>
        <w:spacing w:after="0" w:line="332" w:lineRule="auto"/>
        <w:tabs>
          <w:tab w:leader="none" w:pos="14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analyses prepared by management and/or the independent auditor setting forth significant financial reporting issues and judgments made in connection with the preparation of the financial statements, including analyses of the effects of alternative GAAP methods;</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effect of regulatory and accounting initiatives, as well as off balance sheet structures;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other matters relating to the accounting procedures and records of the Company.</w:t>
      </w:r>
    </w:p>
    <w:p>
      <w:pPr>
        <w:spacing w:after="0" w:line="90"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The Audit Committee shall also review with the independent auditors the consideration given by management to such and any corrective action taken by management with respect thereto.</w:t>
      </w:r>
    </w:p>
    <w:p>
      <w:pPr>
        <w:spacing w:after="0" w:line="51" w:lineRule="exact"/>
        <w:rPr>
          <w:sz w:val="20"/>
          <w:szCs w:val="20"/>
          <w:color w:val="auto"/>
        </w:rPr>
      </w:pPr>
    </w:p>
    <w:p>
      <w:pPr>
        <w:ind w:left="460" w:right="60" w:hanging="452"/>
        <w:spacing w:after="0" w:line="306"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Interim Financial Information</w:t>
      </w:r>
      <w:r>
        <w:rPr>
          <w:rFonts w:ascii="Arial" w:cs="Arial" w:eastAsia="Arial" w:hAnsi="Arial"/>
          <w:sz w:val="16"/>
          <w:szCs w:val="16"/>
          <w:color w:val="auto"/>
        </w:rPr>
        <w:t xml:space="preserve"> - The Audit Committee shall direct the independent auditor to use its best efforts to perform all reviews of interim financial information prior to disclosure by the Company of such information and to discuss promptly with the Audit Committee and the CFO any matters identified in connection with the auditor’s review of interim financial information which are required to be discussed by applicable auditing standards.</w:t>
      </w:r>
    </w:p>
    <w:p>
      <w:pPr>
        <w:spacing w:after="0" w:line="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u w:val="single" w:color="auto"/>
          <w:color w:val="auto"/>
        </w:rPr>
        <w:t>Review of Financial Data and Disclosures</w:t>
      </w:r>
    </w:p>
    <w:p>
      <w:pPr>
        <w:spacing w:after="0" w:line="96" w:lineRule="exact"/>
        <w:rPr>
          <w:sz w:val="20"/>
          <w:szCs w:val="20"/>
          <w:color w:val="auto"/>
        </w:rPr>
      </w:pPr>
    </w:p>
    <w:p>
      <w:pPr>
        <w:ind w:left="900" w:right="100" w:hanging="446"/>
        <w:spacing w:after="0" w:line="25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Review of Quarterly Reviewed and Annual Audited Financial Data</w:t>
      </w:r>
      <w:r>
        <w:rPr>
          <w:rFonts w:ascii="Arial" w:cs="Arial" w:eastAsia="Arial" w:hAnsi="Arial"/>
          <w:sz w:val="18"/>
          <w:szCs w:val="18"/>
          <w:color w:val="auto"/>
        </w:rPr>
        <w:t xml:space="preserve"> - The Audit Committee shall meet to review and discuss the financial data in the quarterly financial statements and annual report, including the Company’s specific disclosures under “Operating and Financial Review and Prospects”; any accompanying opinions of the independent auditors; and matters required to be discussed by applicable auditing standards with financial management and the independent auditors and report thereon to the Board of Directors prior to the release, by public filing or other public disclosure, of earnings.</w:t>
      </w:r>
    </w:p>
    <w:p>
      <w:pPr>
        <w:spacing w:after="0" w:line="61"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Review of Auditor Reports</w:t>
      </w:r>
      <w:r>
        <w:rPr>
          <w:rFonts w:ascii="Arial" w:cs="Arial" w:eastAsia="Arial" w:hAnsi="Arial"/>
          <w:sz w:val="18"/>
          <w:szCs w:val="18"/>
          <w:color w:val="auto"/>
        </w:rPr>
        <w:t xml:space="preserve"> - The Audit Committee shall review and evaluate reports required to be made by the independent auditor pursuant to critical accounting policies and practices; alternative treatments of financial information within generally accepted accounting principles that have been discussed with Company management, ramifications of the use of such alternative disclosures and treatments, and the treatment preferred by the independent auditor; and other material written correspondence between Company management and the independent auditor, such as a management letter or schedule of unadjusted differences.</w:t>
      </w:r>
    </w:p>
    <w:p>
      <w:pPr>
        <w:spacing w:after="0" w:line="61"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Review of Earnings Release and Other Financial Information</w:t>
      </w:r>
      <w:r>
        <w:rPr>
          <w:rFonts w:ascii="Arial" w:cs="Arial" w:eastAsia="Arial" w:hAnsi="Arial"/>
          <w:sz w:val="18"/>
          <w:szCs w:val="18"/>
          <w:color w:val="auto"/>
        </w:rPr>
        <w:t xml:space="preserve"> - The Audit Committee shall discuss generally the type and presentation of information to be disclosed in the Company’s earnings press releases, as well as in financial information and earnings guidance provided to analysts, rating agencies and others.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80" w:right="239" w:bottom="1440" w:gutter="0" w:footer="0" w:header="0"/>
        </w:sectPr>
      </w:pPr>
    </w:p>
    <w:bookmarkStart w:id="22" w:name="page23"/>
    <w:bookmarkEnd w:id="22"/>
    <w:p>
      <w:pPr>
        <w:ind w:left="452" w:hanging="452"/>
        <w:spacing w:after="0"/>
        <w:tabs>
          <w:tab w:leader="none" w:pos="45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Review of Internal Reports and Processes</w:t>
      </w:r>
    </w:p>
    <w:p>
      <w:pPr>
        <w:spacing w:after="0" w:line="96" w:lineRule="exact"/>
        <w:rPr>
          <w:rFonts w:ascii="Arial" w:cs="Arial" w:eastAsia="Arial" w:hAnsi="Arial"/>
          <w:sz w:val="18"/>
          <w:szCs w:val="18"/>
          <w:b w:val="1"/>
          <w:bCs w:val="1"/>
          <w:color w:val="auto"/>
        </w:rPr>
      </w:pPr>
    </w:p>
    <w:p>
      <w:pPr>
        <w:ind w:left="892" w:right="160" w:hanging="446"/>
        <w:spacing w:after="0" w:line="306" w:lineRule="auto"/>
        <w:tabs>
          <w:tab w:leader="none" w:pos="892"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Review of Internal Audit Function</w:t>
      </w:r>
      <w:r>
        <w:rPr>
          <w:rFonts w:ascii="Arial" w:cs="Arial" w:eastAsia="Arial" w:hAnsi="Arial"/>
          <w:sz w:val="16"/>
          <w:szCs w:val="16"/>
          <w:color w:val="auto"/>
        </w:rPr>
        <w:t xml:space="preserve"> - The Audit Committee shall review and evaluate the activities and recommendations of the Company’s internal audit function and the responses of the Company to such recommendations, including the independence and authority of the function. The Audit Committee is responsible for reviewing the scope of the internal audit function, as well as, its staffing and compensation.</w:t>
      </w:r>
    </w:p>
    <w:p>
      <w:pPr>
        <w:spacing w:after="0" w:line="25" w:lineRule="exact"/>
        <w:rPr>
          <w:rFonts w:ascii="Arial" w:cs="Arial" w:eastAsia="Arial" w:hAnsi="Arial"/>
          <w:sz w:val="16"/>
          <w:szCs w:val="16"/>
          <w:color w:val="auto"/>
        </w:rPr>
      </w:pPr>
    </w:p>
    <w:p>
      <w:pPr>
        <w:ind w:left="892" w:right="80" w:hanging="446"/>
        <w:spacing w:after="0" w:line="256" w:lineRule="auto"/>
        <w:tabs>
          <w:tab w:leader="none" w:pos="892"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Oversight of Company’s Internal Control Processes</w:t>
      </w:r>
      <w:r>
        <w:rPr>
          <w:rFonts w:ascii="Arial" w:cs="Arial" w:eastAsia="Arial" w:hAnsi="Arial"/>
          <w:sz w:val="18"/>
          <w:szCs w:val="18"/>
          <w:color w:val="auto"/>
        </w:rPr>
        <w:t xml:space="preserve"> - The Audit Committee shall coordinate the Board of Director’s oversight of the Company’s significant internal control processes, including the process of preparing the interim and annual financial results; disclosure controls and procedures; internal audit function; and code of business conduct and ethics. The Audit Committee shall receive and review the reports of the CEO and CFO required by Rule 13a-14 of the Securities Exchange Act of 1934.</w:t>
      </w:r>
    </w:p>
    <w:p>
      <w:pPr>
        <w:spacing w:after="0" w:line="62" w:lineRule="exact"/>
        <w:rPr>
          <w:rFonts w:ascii="Arial" w:cs="Arial" w:eastAsia="Arial" w:hAnsi="Arial"/>
          <w:sz w:val="18"/>
          <w:szCs w:val="18"/>
          <w:color w:val="auto"/>
        </w:rPr>
      </w:pPr>
    </w:p>
    <w:p>
      <w:pPr>
        <w:ind w:left="892" w:right="680" w:hanging="446"/>
        <w:spacing w:after="0" w:line="268" w:lineRule="auto"/>
        <w:tabs>
          <w:tab w:leader="none" w:pos="892"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Succession Planning Process</w:t>
      </w:r>
      <w:r>
        <w:rPr>
          <w:rFonts w:ascii="Arial" w:cs="Arial" w:eastAsia="Arial" w:hAnsi="Arial"/>
          <w:sz w:val="18"/>
          <w:szCs w:val="18"/>
          <w:color w:val="auto"/>
        </w:rPr>
        <w:t xml:space="preserve"> - The Audit Committee shall review and evaluate the performance and the succession planning process for the Company’s finance and accounting personnel.</w:t>
      </w:r>
    </w:p>
    <w:p>
      <w:pPr>
        <w:spacing w:after="0" w:line="50" w:lineRule="exact"/>
        <w:rPr>
          <w:rFonts w:ascii="Arial" w:cs="Arial" w:eastAsia="Arial" w:hAnsi="Arial"/>
          <w:sz w:val="18"/>
          <w:szCs w:val="18"/>
          <w:color w:val="auto"/>
        </w:rPr>
      </w:pPr>
    </w:p>
    <w:p>
      <w:pPr>
        <w:ind w:left="892" w:right="160" w:hanging="446"/>
        <w:spacing w:after="0" w:line="298" w:lineRule="auto"/>
        <w:tabs>
          <w:tab w:leader="none" w:pos="892"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Procedure for Complaints</w:t>
      </w:r>
      <w:r>
        <w:rPr>
          <w:rFonts w:ascii="Arial" w:cs="Arial" w:eastAsia="Arial" w:hAnsi="Arial"/>
          <w:sz w:val="16"/>
          <w:szCs w:val="16"/>
          <w:color w:val="auto"/>
        </w:rPr>
        <w:t xml:space="preserve"> - The Audit Committee shall establish procedures to provide for (i) receiving, tracking, retaining and treating complaints received by the Company regarding employee reports of conflicts in interest; unethical or illegal activities; or accounting, accounting controls, auditing matters and (ii) the confidential, anonymous submission by employees of the Company of concerns regarding such matters. The Audit Committee shall establish procedures for the reporting of such matters, when significant, to the Board of Directors.</w:t>
      </w:r>
    </w:p>
    <w:p>
      <w:pPr>
        <w:spacing w:after="0" w:line="31" w:lineRule="exact"/>
        <w:rPr>
          <w:rFonts w:ascii="Arial" w:cs="Arial" w:eastAsia="Arial" w:hAnsi="Arial"/>
          <w:sz w:val="16"/>
          <w:szCs w:val="16"/>
          <w:color w:val="auto"/>
        </w:rPr>
      </w:pPr>
    </w:p>
    <w:p>
      <w:pPr>
        <w:ind w:left="892" w:right="240" w:hanging="446"/>
        <w:spacing w:after="0" w:line="268" w:lineRule="auto"/>
        <w:tabs>
          <w:tab w:leader="none" w:pos="892"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Discussion with Company Counsel</w:t>
      </w:r>
      <w:r>
        <w:rPr>
          <w:rFonts w:ascii="Arial" w:cs="Arial" w:eastAsia="Arial" w:hAnsi="Arial"/>
          <w:sz w:val="18"/>
          <w:szCs w:val="18"/>
          <w:color w:val="auto"/>
        </w:rPr>
        <w:t xml:space="preserve"> - The Audit Committee shall periodically review legal, environmental, code of ethics, and related matters with the Company’s counsel.</w:t>
      </w:r>
    </w:p>
    <w:p>
      <w:pPr>
        <w:spacing w:after="0" w:line="5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Hiring Policies</w:t>
      </w:r>
      <w:r>
        <w:rPr>
          <w:rFonts w:ascii="Arial" w:cs="Arial" w:eastAsia="Arial" w:hAnsi="Arial"/>
          <w:sz w:val="18"/>
          <w:szCs w:val="18"/>
          <w:color w:val="auto"/>
        </w:rPr>
        <w:t xml:space="preserve"> - The Audit Committee shall establish policies regarding the hiring of employees or former employees of the Company’s independent auditors.</w:t>
      </w:r>
    </w:p>
    <w:p>
      <w:pPr>
        <w:spacing w:after="0" w:line="50" w:lineRule="exact"/>
        <w:rPr>
          <w:rFonts w:ascii="Arial" w:cs="Arial" w:eastAsia="Arial" w:hAnsi="Arial"/>
          <w:sz w:val="18"/>
          <w:szCs w:val="18"/>
          <w:color w:val="auto"/>
        </w:rPr>
      </w:pPr>
    </w:p>
    <w:p>
      <w:pPr>
        <w:ind w:left="892" w:right="100" w:hanging="446"/>
        <w:spacing w:after="0" w:line="294" w:lineRule="auto"/>
        <w:tabs>
          <w:tab w:leader="none" w:pos="892"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Enterprise Risk Management</w:t>
      </w:r>
      <w:r>
        <w:rPr>
          <w:rFonts w:ascii="Arial" w:cs="Arial" w:eastAsia="Arial" w:hAnsi="Arial"/>
          <w:sz w:val="16"/>
          <w:szCs w:val="16"/>
          <w:color w:val="auto"/>
        </w:rPr>
        <w:t xml:space="preserve"> - The Audit Committee shall review and discuss the Company’s policies and processes with respect to risk assessment and risk management, including guidelines and policies to govern the process by which the Company’s exposure to risk is handled. The Audit Committee should also discuss the Company’s major financial operational and compliance risk exposures and ensure the Company prudently conducts the risk management process with respect to such exposures. The Audit Committee shall report to the Board of Directors concerning the results of the risk assessment and risk management process.</w:t>
      </w:r>
    </w:p>
    <w:p>
      <w:pPr>
        <w:spacing w:after="0" w:line="34" w:lineRule="exact"/>
        <w:rPr>
          <w:rFonts w:ascii="Arial" w:cs="Arial" w:eastAsia="Arial" w:hAnsi="Arial"/>
          <w:sz w:val="16"/>
          <w:szCs w:val="16"/>
          <w:color w:val="auto"/>
        </w:rPr>
      </w:pPr>
    </w:p>
    <w:p>
      <w:pPr>
        <w:ind w:left="892" w:right="180" w:hanging="446"/>
        <w:spacing w:after="0" w:line="306" w:lineRule="auto"/>
        <w:tabs>
          <w:tab w:leader="none" w:pos="892"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Related Party Transactions</w:t>
      </w:r>
      <w:r>
        <w:rPr>
          <w:rFonts w:ascii="Arial" w:cs="Arial" w:eastAsia="Arial" w:hAnsi="Arial"/>
          <w:sz w:val="16"/>
          <w:szCs w:val="16"/>
          <w:color w:val="auto"/>
        </w:rPr>
        <w:t xml:space="preserve"> - The Audit Committee shall review and approve the Company’s policies and procedures for reviewing and approving related party transactions (i.e., transactions within the scope of Item 7.B. of Form 20-F), and, to the extent no other policy or procedure applies to a particular proposed related party transaction, the Audit Committee shall have the authority to review and approve such transaction.</w:t>
      </w:r>
    </w:p>
    <w:p>
      <w:pPr>
        <w:spacing w:after="0" w:line="19" w:lineRule="exact"/>
        <w:rPr>
          <w:rFonts w:ascii="Arial" w:cs="Arial" w:eastAsia="Arial" w:hAnsi="Arial"/>
          <w:sz w:val="16"/>
          <w:szCs w:val="16"/>
          <w:color w:val="auto"/>
        </w:rPr>
      </w:pPr>
    </w:p>
    <w:p>
      <w:pPr>
        <w:ind w:left="452" w:hanging="452"/>
        <w:spacing w:after="0"/>
        <w:tabs>
          <w:tab w:leader="none" w:pos="45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p>
    <w:p>
      <w:pPr>
        <w:spacing w:after="0" w:line="96" w:lineRule="exact"/>
        <w:rPr>
          <w:rFonts w:ascii="Arial" w:cs="Arial" w:eastAsia="Arial" w:hAnsi="Arial"/>
          <w:sz w:val="18"/>
          <w:szCs w:val="18"/>
          <w:b w:val="1"/>
          <w:bCs w:val="1"/>
          <w:color w:val="auto"/>
        </w:rPr>
      </w:pPr>
    </w:p>
    <w:p>
      <w:pPr>
        <w:ind w:left="892" w:right="340" w:hanging="446"/>
        <w:spacing w:after="0" w:line="332" w:lineRule="auto"/>
        <w:tabs>
          <w:tab w:leader="none" w:pos="892"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Audit Committee Independence</w:t>
      </w:r>
      <w:r>
        <w:rPr>
          <w:rFonts w:ascii="Arial" w:cs="Arial" w:eastAsia="Arial" w:hAnsi="Arial"/>
          <w:sz w:val="16"/>
          <w:szCs w:val="16"/>
          <w:color w:val="auto"/>
        </w:rPr>
        <w:t xml:space="preserve"> - The Audit Committee shall make inquiry of each member of the Audit Committee to confirm compliance with independence requirements as defined by Section 301 of the Sarbanes-Oxley Act of 2002 to the extent applicable to the Company.</w:t>
      </w:r>
    </w:p>
    <w:p>
      <w:pPr>
        <w:spacing w:after="0" w:line="4" w:lineRule="exact"/>
        <w:rPr>
          <w:rFonts w:ascii="Arial" w:cs="Arial" w:eastAsia="Arial" w:hAnsi="Arial"/>
          <w:sz w:val="16"/>
          <w:szCs w:val="16"/>
          <w:color w:val="auto"/>
        </w:rPr>
      </w:pPr>
    </w:p>
    <w:p>
      <w:pPr>
        <w:ind w:left="892" w:right="420" w:hanging="446"/>
        <w:spacing w:after="0" w:line="332" w:lineRule="auto"/>
        <w:tabs>
          <w:tab w:leader="none" w:pos="892"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Outside Consultants</w:t>
      </w:r>
      <w:r>
        <w:rPr>
          <w:rFonts w:ascii="Arial" w:cs="Arial" w:eastAsia="Arial" w:hAnsi="Arial"/>
          <w:sz w:val="16"/>
          <w:szCs w:val="16"/>
          <w:color w:val="auto"/>
        </w:rPr>
        <w:t xml:space="preserve"> - The Audit Committee shall retain independent counsel or consultants if necessary to carry out responsibilities. The Audit Committee is empowered, without further action by the Board of Directors, to cause the Company to pay the compensation of such advisors.</w:t>
      </w:r>
    </w:p>
    <w:p>
      <w:pPr>
        <w:spacing w:after="0" w:line="4" w:lineRule="exact"/>
        <w:rPr>
          <w:rFonts w:ascii="Arial" w:cs="Arial" w:eastAsia="Arial" w:hAnsi="Arial"/>
          <w:sz w:val="16"/>
          <w:szCs w:val="16"/>
          <w:color w:val="auto"/>
        </w:rPr>
      </w:pPr>
    </w:p>
    <w:p>
      <w:pPr>
        <w:ind w:left="892" w:right="200" w:hanging="446"/>
        <w:spacing w:after="0" w:line="332" w:lineRule="auto"/>
        <w:tabs>
          <w:tab w:leader="none" w:pos="892"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Administrative Expenses</w:t>
      </w:r>
      <w:r>
        <w:rPr>
          <w:rFonts w:ascii="Arial" w:cs="Arial" w:eastAsia="Arial" w:hAnsi="Arial"/>
          <w:sz w:val="16"/>
          <w:szCs w:val="16"/>
          <w:color w:val="auto"/>
        </w:rPr>
        <w:t xml:space="preserve"> - The Audit Committee is empowered, without further action by the Board of Directors, to cause the Company to pay the ordinary administrative expenses of the Audit Committee that are necessary or appropriate to carry out its duties.</w:t>
      </w:r>
    </w:p>
    <w:p>
      <w:pPr>
        <w:spacing w:after="0" w:line="7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92"/>
          </w:cols>
          <w:pgMar w:left="248" w:top="274" w:right="259" w:bottom="1440" w:gutter="0" w:footer="0" w:header="0"/>
        </w:sectPr>
      </w:pPr>
    </w:p>
    <w:bookmarkStart w:id="23" w:name="page24"/>
    <w:bookmarkEnd w:id="23"/>
    <w:p>
      <w:pPr>
        <w:ind w:left="892" w:right="20" w:hanging="446"/>
        <w:spacing w:after="0" w:line="259" w:lineRule="auto"/>
        <w:tabs>
          <w:tab w:leader="none" w:pos="89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to Board of Directors</w:t>
      </w:r>
      <w:r>
        <w:rPr>
          <w:rFonts w:ascii="Arial" w:cs="Arial" w:eastAsia="Arial" w:hAnsi="Arial"/>
          <w:sz w:val="18"/>
          <w:szCs w:val="18"/>
          <w:color w:val="auto"/>
        </w:rPr>
        <w:t xml:space="preserve"> - The Audit Committee shall report, no less frequently than annually or more frequently as circumstances require, to the Board of Directors concerning the Audit Committee’s actions since the previous report and the Audit Committee’s agenda for the ensuing year, which report shall contain recommendations as appropriate.</w:t>
      </w:r>
    </w:p>
    <w:p>
      <w:pPr>
        <w:spacing w:after="0" w:line="59"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Audit Committee Report</w:t>
      </w:r>
      <w:r>
        <w:rPr>
          <w:rFonts w:ascii="Arial" w:cs="Arial" w:eastAsia="Arial" w:hAnsi="Arial"/>
          <w:sz w:val="18"/>
          <w:szCs w:val="18"/>
          <w:color w:val="auto"/>
        </w:rPr>
        <w:t xml:space="preserve"> - The Audit Committee shall prepare an annual committee report as necessary or appropriate under the rules and regulations of the SEC.</w:t>
      </w:r>
    </w:p>
    <w:p>
      <w:pPr>
        <w:spacing w:after="0" w:line="50" w:lineRule="exact"/>
        <w:rPr>
          <w:rFonts w:ascii="Arial" w:cs="Arial" w:eastAsia="Arial" w:hAnsi="Arial"/>
          <w:sz w:val="18"/>
          <w:szCs w:val="18"/>
          <w:color w:val="auto"/>
        </w:rPr>
      </w:pPr>
    </w:p>
    <w:p>
      <w:pPr>
        <w:ind w:left="892" w:right="160" w:hanging="446"/>
        <w:spacing w:after="0" w:line="306" w:lineRule="auto"/>
        <w:tabs>
          <w:tab w:leader="none" w:pos="892"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Written Affirmation to the NYSE</w:t>
      </w:r>
      <w:r>
        <w:rPr>
          <w:rFonts w:ascii="Arial" w:cs="Arial" w:eastAsia="Arial" w:hAnsi="Arial"/>
          <w:sz w:val="16"/>
          <w:szCs w:val="16"/>
          <w:color w:val="auto"/>
        </w:rPr>
        <w:t xml:space="preserve"> - On an annual basis, no later than one month after the Annual Meeting of Stockholders, and after each change in the composition of the Audit Committee, the Audit Committee shall direct the Company to prepare and provide to the NYSE such written confirmations regarding the membership and operation of the Audit Committee as the NYSE rules require.</w:t>
      </w:r>
    </w:p>
    <w:p>
      <w:pPr>
        <w:spacing w:after="0" w:line="25" w:lineRule="exact"/>
        <w:rPr>
          <w:rFonts w:ascii="Arial" w:cs="Arial" w:eastAsia="Arial" w:hAnsi="Arial"/>
          <w:sz w:val="16"/>
          <w:szCs w:val="16"/>
          <w:color w:val="auto"/>
        </w:rPr>
      </w:pPr>
    </w:p>
    <w:p>
      <w:pPr>
        <w:ind w:left="892" w:hanging="446"/>
        <w:spacing w:after="0"/>
        <w:tabs>
          <w:tab w:leader="none" w:pos="89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Annual Self-Evaluation</w:t>
      </w:r>
      <w:r>
        <w:rPr>
          <w:rFonts w:ascii="Arial" w:cs="Arial" w:eastAsia="Arial" w:hAnsi="Arial"/>
          <w:sz w:val="18"/>
          <w:szCs w:val="18"/>
          <w:color w:val="auto"/>
        </w:rPr>
        <w:t xml:space="preserve"> - At least annually, the Audit Committee shall evaluate its own performance.</w:t>
      </w:r>
    </w:p>
    <w:p>
      <w:pPr>
        <w:spacing w:after="0" w:line="84" w:lineRule="exact"/>
        <w:rPr>
          <w:rFonts w:ascii="Arial" w:cs="Arial" w:eastAsia="Arial" w:hAnsi="Arial"/>
          <w:sz w:val="18"/>
          <w:szCs w:val="18"/>
          <w:color w:val="auto"/>
        </w:rPr>
      </w:pPr>
    </w:p>
    <w:p>
      <w:pPr>
        <w:ind w:left="452" w:hanging="452"/>
        <w:spacing w:after="0"/>
        <w:tabs>
          <w:tab w:leader="none" w:pos="45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Responsibilities</w:t>
      </w:r>
    </w:p>
    <w:p>
      <w:pPr>
        <w:spacing w:after="0" w:line="96" w:lineRule="exact"/>
        <w:rPr>
          <w:rFonts w:ascii="Arial" w:cs="Arial" w:eastAsia="Arial" w:hAnsi="Arial"/>
          <w:sz w:val="18"/>
          <w:szCs w:val="18"/>
          <w:b w:val="1"/>
          <w:bCs w:val="1"/>
          <w:color w:val="auto"/>
        </w:rPr>
      </w:pPr>
    </w:p>
    <w:p>
      <w:pPr>
        <w:ind w:left="892" w:right="240" w:hanging="446"/>
        <w:spacing w:after="0" w:line="259" w:lineRule="auto"/>
        <w:tabs>
          <w:tab w:leader="none" w:pos="892"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Review of Other Outside Reports</w:t>
      </w:r>
      <w:r>
        <w:rPr>
          <w:rFonts w:ascii="Arial" w:cs="Arial" w:eastAsia="Arial" w:hAnsi="Arial"/>
          <w:sz w:val="18"/>
          <w:szCs w:val="18"/>
          <w:color w:val="auto"/>
        </w:rPr>
        <w:t xml:space="preserve"> - The Audit Committee shall review reports received from regulators and other legal and regulatory matters that have been brought to the attention of the Audit Committee and that may have a material effect on the financial statements or related company compliance policies.</w:t>
      </w:r>
    </w:p>
    <w:p>
      <w:pPr>
        <w:spacing w:after="0" w:line="59" w:lineRule="exact"/>
        <w:rPr>
          <w:rFonts w:ascii="Arial" w:cs="Arial" w:eastAsia="Arial" w:hAnsi="Arial"/>
          <w:sz w:val="18"/>
          <w:szCs w:val="18"/>
          <w:color w:val="auto"/>
        </w:rPr>
      </w:pPr>
    </w:p>
    <w:p>
      <w:pPr>
        <w:ind w:left="892" w:right="340" w:hanging="446"/>
        <w:spacing w:after="0" w:line="332" w:lineRule="auto"/>
        <w:tabs>
          <w:tab w:leader="none" w:pos="892"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Other investigations</w:t>
      </w:r>
      <w:r>
        <w:rPr>
          <w:rFonts w:ascii="Arial" w:cs="Arial" w:eastAsia="Arial" w:hAnsi="Arial"/>
          <w:sz w:val="16"/>
          <w:szCs w:val="16"/>
          <w:color w:val="auto"/>
        </w:rPr>
        <w:t xml:space="preserve"> - The Audit Committee shall conduct or authorize investigations into any matter brought to the Audit Committee’s attention within the scope of its duties, including anything as may be referred to the Audit Committee by the Board of Directors.</w:t>
      </w:r>
    </w:p>
    <w:p>
      <w:pPr>
        <w:spacing w:after="0" w:line="4" w:lineRule="exact"/>
        <w:rPr>
          <w:rFonts w:ascii="Arial" w:cs="Arial" w:eastAsia="Arial" w:hAnsi="Arial"/>
          <w:sz w:val="16"/>
          <w:szCs w:val="16"/>
          <w:color w:val="auto"/>
        </w:rPr>
      </w:pPr>
    </w:p>
    <w:p>
      <w:pPr>
        <w:ind w:left="892" w:right="260" w:hanging="446"/>
        <w:spacing w:after="0" w:line="268" w:lineRule="auto"/>
        <w:tabs>
          <w:tab w:leader="none" w:pos="892"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Other Matters</w:t>
      </w:r>
      <w:r>
        <w:rPr>
          <w:rFonts w:ascii="Arial" w:cs="Arial" w:eastAsia="Arial" w:hAnsi="Arial"/>
          <w:sz w:val="18"/>
          <w:szCs w:val="18"/>
          <w:color w:val="auto"/>
        </w:rPr>
        <w:t xml:space="preserve"> - The Audit Committee shall consider such other matters in relation to the financial affairs of the Company as the Audit Committee may, in its discretion, determine to be advisable.</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Additional Powers</w:t>
      </w:r>
      <w:r>
        <w:rPr>
          <w:rFonts w:ascii="Arial" w:cs="Arial" w:eastAsia="Arial" w:hAnsi="Arial"/>
          <w:sz w:val="16"/>
          <w:szCs w:val="16"/>
          <w:color w:val="auto"/>
        </w:rPr>
        <w:t xml:space="preserve"> - The Audit Committee shall have such other duties as may be delegated from time to time by the Board of Directors.</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92"/>
          </w:cols>
          <w:pgMar w:left="248" w:top="280" w:right="2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CATEGORICAL STANDARDS</w:t>
      </w:r>
    </w:p>
    <w:p>
      <w:pPr>
        <w:spacing w:after="0" w:line="17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to applying the requirements under the NYSE rules, the Board has adopted guidelines to assist it in determining whether a director has a “material relationship” with the Company. Under these guidelines, a director will be considered to have a material relationship with the Company if during the last three years prior to the independency determination date:</w:t>
      </w:r>
    </w:p>
    <w:p>
      <w:pPr>
        <w:spacing w:after="0" w:line="59" w:lineRule="exact"/>
        <w:rPr>
          <w:sz w:val="20"/>
          <w:szCs w:val="20"/>
          <w:color w:val="auto"/>
        </w:rPr>
      </w:pPr>
    </w:p>
    <w:p>
      <w:pPr>
        <w:ind w:left="900" w:hanging="446"/>
        <w:spacing w:after="0" w:line="306"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i w:val="1"/>
          <w:iCs w:val="1"/>
          <w:u w:val="single" w:color="auto"/>
          <w:color w:val="auto"/>
        </w:rPr>
        <w:t>Charitable Contributions</w:t>
      </w:r>
      <w:r>
        <w:rPr>
          <w:rFonts w:ascii="Arial" w:cs="Arial" w:eastAsia="Arial" w:hAnsi="Arial"/>
          <w:sz w:val="16"/>
          <w:szCs w:val="16"/>
          <w:i w:val="1"/>
          <w:iCs w:val="1"/>
          <w:color w:val="auto"/>
        </w:rPr>
        <w:t xml:space="preserve">. </w:t>
      </w:r>
      <w:r>
        <w:rPr>
          <w:rFonts w:ascii="Arial" w:cs="Arial" w:eastAsia="Arial" w:hAnsi="Arial"/>
          <w:sz w:val="16"/>
          <w:szCs w:val="16"/>
          <w:color w:val="auto"/>
        </w:rPr>
        <w:t>The director, or an immediate family member of the director, has served as an executive officer of a charitable 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that receives payments from the Company in an amount which, in any single fiscal year since the determination date, exceeds the greater of $1,000,000, or 2% of such charitable organization consolidated gross revenues as reported in its last completed fiscal year.</w:t>
      </w:r>
    </w:p>
    <w:p>
      <w:pPr>
        <w:spacing w:after="0" w:line="25" w:lineRule="exact"/>
        <w:rPr>
          <w:rFonts w:ascii="Arial" w:cs="Arial" w:eastAsia="Arial" w:hAnsi="Arial"/>
          <w:sz w:val="16"/>
          <w:szCs w:val="16"/>
          <w:color w:val="auto"/>
        </w:rPr>
      </w:pPr>
    </w:p>
    <w:p>
      <w:pPr>
        <w:ind w:left="900" w:right="40" w:hanging="446"/>
        <w:spacing w:after="0" w:line="256"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i w:val="1"/>
          <w:iCs w:val="1"/>
          <w:u w:val="single" w:color="auto"/>
          <w:color w:val="auto"/>
        </w:rPr>
        <w:t>Indebtedness</w:t>
      </w:r>
      <w:r>
        <w:rPr>
          <w:rFonts w:ascii="Arial" w:cs="Arial" w:eastAsia="Arial" w:hAnsi="Arial"/>
          <w:sz w:val="18"/>
          <w:szCs w:val="18"/>
          <w:i w:val="1"/>
          <w:iCs w:val="1"/>
          <w:color w:val="auto"/>
        </w:rPr>
        <w:t xml:space="preserve">. </w:t>
      </w:r>
      <w:r>
        <w:rPr>
          <w:rFonts w:ascii="Arial" w:cs="Arial" w:eastAsia="Arial" w:hAnsi="Arial"/>
          <w:sz w:val="18"/>
          <w:szCs w:val="18"/>
          <w:color w:val="auto"/>
        </w:rPr>
        <w:t>The director or an immediate family member of the director has served, as an executive officer of another company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 to the Company, or to which the Company was indebted, at the time the director was serving as an executive officer, where the total amount of either company’s indebtedness to the other in any single fiscal year since the determination date exceeds five percent (5%) of such company’s consolidated gross revenues as reported in its last completed fiscal year.</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For purposes of the above standards: (i)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includes Amdocs Limited and any parent or subsidiary that would be required under U.S. generally accepted accounting principles to prepare financial statements on a consolidated basis; and (ii) </w:t>
      </w:r>
      <w:r>
        <w:rPr>
          <w:rFonts w:ascii="Arial" w:cs="Arial" w:eastAsia="Arial" w:hAnsi="Arial"/>
          <w:sz w:val="18"/>
          <w:szCs w:val="18"/>
          <w:b w:val="1"/>
          <w:bCs w:val="1"/>
          <w:i w:val="1"/>
          <w:iCs w:val="1"/>
          <w:color w:val="auto"/>
        </w:rPr>
        <w:t>“Immediate Family Member”</w:t>
      </w:r>
      <w:r>
        <w:rPr>
          <w:rFonts w:ascii="Arial" w:cs="Arial" w:eastAsia="Arial" w:hAnsi="Arial"/>
          <w:sz w:val="18"/>
          <w:szCs w:val="18"/>
          <w:color w:val="auto"/>
        </w:rPr>
        <w:t xml:space="preserve"> includes a person’s spouse, parents, children, siblings, mothers and fathers-in-law, sons and daughters-in-law, brothers and sisters-in-law, and anyone (other than domestic employees) who shares such person’s home, other than individuals who are no longer immediate family members as a result of legal separation or divorce, or those who have died or become incapacitated.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2"/>
          <w:szCs w:val="12"/>
          <w:color w:val="FFFFFF"/>
        </w:rPr>
        <w:t>ANNUAL GENERAL MEETING OF SHAREHOLDERS OF AMDOCS LIMITED January 31, 2013 NOTICE OF INTERNET AVAILABILITY OF PROXY MATERIAL: The Notice of Meeting, Proxy</w:t>
      </w:r>
    </w:p>
    <w:p>
      <w:pPr>
        <w:ind w:right="20"/>
        <w:spacing w:after="0" w:line="181" w:lineRule="auto"/>
        <w:rPr>
          <w:sz w:val="20"/>
          <w:szCs w:val="20"/>
          <w:color w:val="auto"/>
        </w:rPr>
      </w:pPr>
      <w:r>
        <w:rPr>
          <w:rFonts w:ascii="Arial" w:cs="Arial" w:eastAsia="Arial" w:hAnsi="Arial"/>
          <w:sz w:val="7"/>
          <w:szCs w:val="7"/>
          <w:color w:val="FFFFFF"/>
        </w:rPr>
        <w:t>envelopeStatement,provided.ProxyCard00033333333333330000areavailableatwww.amdocs.com/proxy0013113AMDOCS'PleaseBOARDsign,OFdateDIRECTORSandmailyourRECOMMENDSproxycardintheAenvelopeVOTE"FOR"providedTHEas ELECTIONsoonaspossible.OFEACHPlease OFdetachTHEalongDIRECTORperforatedNOMINEESlineandmailANDintheA VOTE "FOR" PROPOSALS 2 AND . PLEASE SIGN, DATE AND RobertETURN PROMPTLY IN THE ENCLOSED ENVELOPE. PLEASE MARK YOUR VOTE IN BLUE OR BLACK INK AS SHOWN HERE x</w:t>
      </w:r>
    </w:p>
    <w:p>
      <w:pPr>
        <w:spacing w:after="0" w:line="181" w:lineRule="auto"/>
        <w:rPr>
          <w:sz w:val="20"/>
          <w:szCs w:val="20"/>
          <w:color w:val="auto"/>
        </w:rPr>
      </w:pPr>
      <w:r>
        <w:rPr>
          <w:rFonts w:ascii="Arial" w:cs="Arial" w:eastAsia="Arial" w:hAnsi="Arial"/>
          <w:sz w:val="7"/>
          <w:szCs w:val="7"/>
          <w:color w:val="FFFFFF"/>
        </w:rPr>
        <w:t>LeFaveAGAINSTNehemiaABSTAINLemelbaum1. GioraELECTIONYaron 2.OFAPPROVALDIRECTORS:OF CONSOLIDA.MinicucciTEDFINANCIALAdrianGardnerSTAJohnTEMENTS.McLennanFORFISCALSimonOlswangYEAR2012.Zohar3.ZisapelRATIFICATIONJulianA.BrodskyANDAPPROVALEliGelman OFJamesERNST.Kahan&amp;YOUNGRichardLLPT.C. AND AUTHORIZATION OF AUDIT COMMITTEE OF BOARD T FIX REMUNERATION. o change the address on your account, please check the boxSignaturerightand indicate your new address in the</w:t>
      </w:r>
    </w:p>
    <w:p>
      <w:pPr>
        <w:ind w:right="100"/>
        <w:spacing w:after="0" w:line="283" w:lineRule="auto"/>
        <w:rPr>
          <w:sz w:val="20"/>
          <w:szCs w:val="20"/>
          <w:color w:val="auto"/>
        </w:rPr>
      </w:pPr>
      <w:r>
        <w:rPr>
          <w:rFonts w:ascii="Arial" w:cs="Arial" w:eastAsia="Arial" w:hAnsi="Arial"/>
          <w:sz w:val="8"/>
          <w:szCs w:val="8"/>
          <w:color w:val="FFFFFF"/>
        </w:rPr>
        <w:t>exactlyaddress asspaceyourabove.corporation,namePleasenamesnoteappearthatchangesonthis Proxy.tothe registeredWhensharesname(s)areheldon thejointly,accounteachmayholdernotshouldbesubmittedsign.Whenviathissigningmethod.aspartnership,executorSignatureadministrator,ofShareholderattorney,Date: trustee orofguardian,ShareholderpleaseDate:giveNote:fulltitlePleasesuch.sign If the signer is a please sign full corporate name by duly authorized officer, giving full title as such. If signer is a please sign in partnership name by authorized person.</w:t>
      </w:r>
    </w:p>
    <w:p>
      <w:pPr>
        <w:sectPr>
          <w:pgSz w:w="11900" w:h="16838" w:orient="portrait"/>
          <w:cols w:equalWidth="0" w:num="1">
            <w:col w:w="11420"/>
          </w:cols>
          <w:pgMar w:left="240" w:top="1440" w:right="2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195" w:lineRule="auto"/>
        <w:rPr>
          <w:sz w:val="20"/>
          <w:szCs w:val="20"/>
          <w:color w:val="auto"/>
        </w:rPr>
      </w:pPr>
      <w:r>
        <w:rPr>
          <w:rFonts w:ascii="Arial" w:cs="Arial" w:eastAsia="Arial" w:hAnsi="Arial"/>
          <w:sz w:val="9"/>
          <w:szCs w:val="9"/>
          <w:color w:val="FFFFFF"/>
        </w:rPr>
        <w:t>AMDOCS LIMITED THIS PROXY IS SOLICITED ON BEHALF OF THE BOARD OF DIRECTORS The undersigned hereby appoints Robert A. Minicucci and Michael Bricker as Proxies, each with the power to appoint his substitute, and hereby authorizes them to represent and vote, as designated on the reverse side, all Ordinary Shares of Amdocs Limited (the "Company") held of record by the undersigned on December 3, 2012, at the annual General Meeting of shareholders to be held on January 31, 2013 or any adjournment thereof. (CONTINUED AND TO BE SIGNED ON THE REVERSE SIDE) 14475</w:t>
      </w:r>
    </w:p>
    <w:p>
      <w:pPr>
        <w:sectPr>
          <w:pgSz w:w="11900" w:h="16838" w:orient="portrait"/>
          <w:cols w:equalWidth="0" w:num="1">
            <w:col w:w="11400"/>
          </w:cols>
          <w:pgMar w:left="240" w:top="1440" w:right="25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3"/>
          </w:tcPr>
          <w:p>
            <w:pPr>
              <w:spacing w:after="0"/>
              <w:rPr>
                <w:sz w:val="20"/>
                <w:szCs w:val="20"/>
                <w:color w:val="auto"/>
              </w:rPr>
            </w:pPr>
            <w:r>
              <w:rPr>
                <w:rFonts w:ascii="Arial" w:cs="Arial" w:eastAsia="Arial" w:hAnsi="Arial"/>
                <w:sz w:val="14"/>
                <w:szCs w:val="14"/>
                <w:color w:val="FFFFFF"/>
                <w:w w:val="94"/>
              </w:rPr>
              <w:t>ANNUAL GENERAL MEETING OF SHAREHOLDERS OF AMDOCS LIMITED January 31, 2013 PROXY VOTING INSTRUCTIONS INTERNET—Access “www.voteproxy.com” and follow the on-</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screen inst uctions. Have your proxy card available when you access the web page. TELEPHONE—Call toll-free 1-800-PROXIES (1-800-776-9437) in the United States or 1-718-921-8500 from foreign</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countries from any touch-tone t  ephone and follow the instructions. Have your proxy card available when you call. Vote online/phone until 11:59 PM EST the day before the meeting. MAIL—Sign, date and</w:t>
            </w:r>
          </w:p>
        </w:tc>
      </w:tr>
      <w:tr>
        <w:trPr>
          <w:trHeight w:val="41"/>
        </w:trPr>
        <w:tc>
          <w:tcPr>
            <w:tcW w:w="6860" w:type="dxa"/>
            <w:vAlign w:val="bottom"/>
            <w:gridSpan w:val="2"/>
          </w:tcPr>
          <w:p>
            <w:pPr>
              <w:spacing w:after="0"/>
              <w:rPr>
                <w:sz w:val="20"/>
                <w:szCs w:val="20"/>
                <w:color w:val="auto"/>
              </w:rPr>
            </w:pPr>
            <w:r>
              <w:rPr>
                <w:rFonts w:ascii="Arial" w:cs="Arial" w:eastAsia="Arial" w:hAnsi="Arial"/>
                <w:sz w:val="3"/>
                <w:szCs w:val="3"/>
                <w:color w:val="FFFFFF"/>
              </w:rPr>
              <w:t>mail your proxy card in the envelope provided as soon as possible. IN PERSON—You may vote your shares in person by</w:t>
            </w:r>
          </w:p>
        </w:tc>
        <w:tc>
          <w:tcPr>
            <w:tcW w:w="4540" w:type="dxa"/>
            <w:vAlign w:val="bottom"/>
          </w:tcPr>
          <w:p>
            <w:pPr>
              <w:ind w:left="280"/>
              <w:spacing w:after="0"/>
              <w:rPr>
                <w:sz w:val="20"/>
                <w:szCs w:val="20"/>
                <w:color w:val="auto"/>
              </w:rPr>
            </w:pPr>
            <w:r>
              <w:rPr>
                <w:rFonts w:ascii="Arial" w:cs="Arial" w:eastAsia="Arial" w:hAnsi="Arial"/>
                <w:sz w:val="3"/>
                <w:szCs w:val="3"/>
                <w:color w:val="FFFFFF"/>
              </w:rPr>
              <w:t>the Annual Meeting. COMPANY NUMBER ACCOUNT NUMBER NOTICE</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OF INTERNET AVAILABILITY OF PROXY MATERIAL: The Notice of Meeting, Proxy Statement, Proxy Card are availableattendingwww.amdocs.com/proxy Please detach along perforated line and mail in the</w:t>
            </w:r>
          </w:p>
        </w:tc>
      </w:tr>
      <w:tr>
        <w:trPr>
          <w:trHeight w:val="41"/>
        </w:trPr>
        <w:tc>
          <w:tcPr>
            <w:tcW w:w="4080" w:type="dxa"/>
            <w:vAlign w:val="bottom"/>
          </w:tcPr>
          <w:p>
            <w:pPr>
              <w:spacing w:after="0"/>
              <w:rPr>
                <w:sz w:val="20"/>
                <w:szCs w:val="20"/>
                <w:color w:val="auto"/>
              </w:rPr>
            </w:pPr>
            <w:r>
              <w:rPr>
                <w:rFonts w:ascii="Arial" w:cs="Arial" w:eastAsia="Arial" w:hAnsi="Arial"/>
                <w:sz w:val="3"/>
                <w:szCs w:val="3"/>
                <w:color w:val="FFFFFF"/>
              </w:rPr>
              <w:t>envelope provided IF you are not voting via telephone or the Internet.</w:t>
            </w:r>
          </w:p>
        </w:tc>
        <w:tc>
          <w:tcPr>
            <w:tcW w:w="7320" w:type="dxa"/>
            <w:vAlign w:val="bottom"/>
            <w:gridSpan w:val="2"/>
          </w:tcPr>
          <w:p>
            <w:pPr>
              <w:ind w:left="1120"/>
              <w:spacing w:after="0"/>
              <w:rPr>
                <w:sz w:val="20"/>
                <w:szCs w:val="20"/>
                <w:color w:val="auto"/>
              </w:rPr>
            </w:pPr>
            <w:r>
              <w:rPr>
                <w:rFonts w:ascii="Arial" w:cs="Arial" w:eastAsia="Arial" w:hAnsi="Arial"/>
                <w:sz w:val="3"/>
                <w:szCs w:val="3"/>
                <w:color w:val="FFFFFF"/>
              </w:rPr>
              <w:t>0 013113 AMDOCS' BOARD OF DIRECTORS RECOMMENDS A VOTE "FOR" THE ELECTION OF EACH</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OF THE DIRECTOR NOMINEES AND A VOTE "FOR" PROPOSALS000333333333333300002AND.PLEASESIGN, DATE AND RETURN PROMPTLY IN THE ENCLOSED ENVELOPE. PLEASE MARK YOUR VOTE IN</w:t>
            </w:r>
          </w:p>
        </w:tc>
      </w:tr>
      <w:tr>
        <w:trPr>
          <w:trHeight w:val="41"/>
        </w:trPr>
        <w:tc>
          <w:tcPr>
            <w:tcW w:w="11400" w:type="dxa"/>
            <w:vAlign w:val="bottom"/>
            <w:gridSpan w:val="3"/>
          </w:tcPr>
          <w:p>
            <w:pPr>
              <w:ind w:left="100"/>
              <w:spacing w:after="0"/>
              <w:rPr>
                <w:sz w:val="20"/>
                <w:szCs w:val="20"/>
                <w:color w:val="auto"/>
              </w:rPr>
            </w:pPr>
            <w:r>
              <w:rPr>
                <w:rFonts w:ascii="Arial" w:cs="Arial" w:eastAsia="Arial" w:hAnsi="Arial"/>
                <w:sz w:val="3"/>
                <w:szCs w:val="3"/>
                <w:color w:val="FFFFFF"/>
              </w:rPr>
              <w:t>LUE OR BLACK INK AS SHOWN HERE x FOR AGAINST ABSTAIN 1. ELECTION OF DIRECTORS: Robert  . Minicucci Adrian Gardner John  . McLennan Simon Olswang Zohar Zisapel Julian A.</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Brodsky Eli Gelman James S. Kahan Richard  .C. LeFave Nehemia Lemelbaum Giora Yaron 2. APPROVAL OF CONSOLIDATED FINANCIAL ST TEMENTS FOR FISCAL YEAR 2012. 3.</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RATIFICATION AND APPROVAL OF ERNST &amp; YOUNG LLP AND AUTHORIZATION OF AUDIT COMMITTEE OF BOARD TO FIX REMUNERATION. To change the address on your account, please</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check the box at right and indicate your new address in the address space above. Please note that changes to the registered name(s) on the account may not be submitted via this method. Signature of Shareholder</w:t>
            </w:r>
          </w:p>
        </w:tc>
      </w:tr>
      <w:tr>
        <w:trPr>
          <w:trHeight w:val="0"/>
        </w:trPr>
        <w:tc>
          <w:tcPr>
            <w:tcW w:w="4080" w:type="dxa"/>
            <w:vAlign w:val="bottom"/>
          </w:tcPr>
          <w:p>
            <w:pPr>
              <w:spacing w:after="0" w:line="80" w:lineRule="exact"/>
              <w:rPr>
                <w:sz w:val="20"/>
                <w:szCs w:val="20"/>
                <w:color w:val="auto"/>
              </w:rPr>
            </w:pPr>
            <w:r>
              <w:rPr>
                <w:rFonts w:ascii="Arial" w:cs="Arial" w:eastAsia="Arial" w:hAnsi="Arial"/>
                <w:sz w:val="9"/>
                <w:szCs w:val="9"/>
                <w:color w:val="FFFFFF"/>
              </w:rPr>
              <w:t>Date: Signature of Shareholder Date: Note: Please sign exactly as your</w:t>
            </w:r>
          </w:p>
        </w:tc>
        <w:tc>
          <w:tcPr>
            <w:tcW w:w="7320" w:type="dxa"/>
            <w:vAlign w:val="bottom"/>
            <w:gridSpan w:val="2"/>
          </w:tcPr>
          <w:p>
            <w:pPr>
              <w:ind w:left="260"/>
              <w:spacing w:after="0" w:line="80" w:lineRule="exact"/>
              <w:rPr>
                <w:sz w:val="20"/>
                <w:szCs w:val="20"/>
                <w:color w:val="auto"/>
              </w:rPr>
            </w:pPr>
            <w:r>
              <w:rPr>
                <w:rFonts w:ascii="Arial" w:cs="Arial" w:eastAsia="Arial" w:hAnsi="Arial"/>
                <w:sz w:val="9"/>
                <w:szCs w:val="9"/>
                <w:color w:val="FFFFFF"/>
              </w:rPr>
              <w:t>names appear on this Proxy. When shares are held jointly, each holder should sign. When signing as executor administrator,</w:t>
            </w:r>
          </w:p>
        </w:tc>
      </w:tr>
    </w:tbl>
    <w:p>
      <w:pPr>
        <w:ind w:right="40"/>
        <w:spacing w:after="0"/>
        <w:rPr>
          <w:sz w:val="20"/>
          <w:szCs w:val="20"/>
          <w:color w:val="auto"/>
        </w:rPr>
      </w:pPr>
      <w:r>
        <w:rPr>
          <w:rFonts w:ascii="Arial" w:cs="Arial" w:eastAsia="Arial" w:hAnsi="Arial"/>
          <w:sz w:val="10"/>
          <w:szCs w:val="10"/>
          <w:color w:val="FFFFFF"/>
        </w:rPr>
        <w:t>attorney, trustee or guardian, please give full title as such. If the signer isnamecorporation, please sign full corporate name by duly authorized officer, giving full title as such. If signer is a partnership, please sign in partnership name by authorized person.</w:t>
      </w:r>
    </w:p>
    <w:p>
      <w:pPr>
        <w:sectPr>
          <w:pgSz w:w="11900" w:h="16838" w:orient="portrait"/>
          <w:cols w:equalWidth="0" w:num="1">
            <w:col w:w="11400"/>
          </w:cols>
          <w:pgMar w:left="240" w:top="1440" w:right="259" w:bottom="1440" w:gutter="0" w:footer="0" w:header="0"/>
        </w:sectPr>
      </w:pPr>
    </w:p>
    <w:bookmarkStart w:id="28" w:name="page29"/>
    <w:bookmarkEnd w:id="28"/>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Eleni Smila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Eleni Smila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Signatory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24, 2012</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sectPr>
      <w:pgSz w:w="11900" w:h="16838" w:orient="portrait"/>
      <w:cols w:equalWidth="0" w:num="1">
        <w:col w:w="10500"/>
      </w:cols>
      <w:pgMar w:left="240" w:top="274"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2"/>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60"/>
    </w:lvl>
  </w:abstractNum>
  <w:abstractNum w:abstractNumId="6">
    <w:nsid w:val="DED7263"/>
    <w:multiLevelType w:val="hybridMultilevel"/>
    <w:lvl w:ilvl="0">
      <w:lvlJc w:val="left"/>
      <w:lvlText w:val="%1"/>
      <w:numFmt w:val="decimal"/>
      <w:start w:val="50"/>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5"/>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8"/>
    </w:lvl>
  </w:abstractNum>
  <w:abstractNum w:abstractNumId="13">
    <w:nsid w:val="519B500D"/>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4">
    <w:nsid w:val="431BD7B7"/>
    <w:multiLevelType w:val="hybridMultilevel"/>
    <w:lvl w:ilvl="0">
      <w:lvlJc w:val="left"/>
      <w:lvlText w:val="%1."/>
      <w:numFmt w:val="lowerLetter"/>
      <w:start w:val="6"/>
    </w:lvl>
    <w:lvl w:ilvl="1">
      <w:lvlJc w:val="left"/>
      <w:lvlText w:val="•"/>
      <w:numFmt w:val="bullet"/>
      <w:start w:val="1"/>
    </w:lvl>
  </w:abstractNum>
  <w:abstractNum w:abstractNumId="15">
    <w:nsid w:val="3F2DBA31"/>
    <w:multiLevelType w:val="hybridMultilevel"/>
    <w:lvl w:ilvl="0">
      <w:lvlJc w:val="left"/>
      <w:lvlText w:val="%1."/>
      <w:numFmt w:val="lowerLetter"/>
      <w:start w:val="8"/>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4"/>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4"/>
    </w:lvl>
  </w:abstractNum>
  <w:abstractNum w:abstractNumId="19">
    <w:nsid w:val="436C6125"/>
    <w:multiLevelType w:val="hybridMultilevel"/>
    <w:lvl w:ilvl="0">
      <w:lvlJc w:val="left"/>
      <w:lvlText w:val="%1."/>
      <w:numFmt w:val="decimal"/>
      <w:start w:val="6"/>
    </w:lvl>
    <w:lvl w:ilvl="1">
      <w:lvlJc w:val="left"/>
      <w:lvlText w:val="%2."/>
      <w:numFmt w:val="lowerLetter"/>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2019-12-09T13:09:06Z</dcterms:created>
  <dcterms:modified xsi:type="dcterms:W3CDTF">2019-12-09T13:09:06Z</dcterms:modified>
</cp:coreProperties>
</file>