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color w:val="auto"/>
              </w:rPr>
              <w:t>March 28, 2014</w:t>
            </w:r>
          </w:p>
        </w:tc>
        <w:tc>
          <w:tcPr>
            <w:tcW w:w="5240" w:type="dxa"/>
            <w:vAlign w:val="bottom"/>
          </w:tcPr>
          <w:p>
            <w:pPr>
              <w:jc w:val="right"/>
              <w:spacing w:after="0"/>
              <w:rPr>
                <w:sz w:val="20"/>
                <w:szCs w:val="20"/>
                <w:color w:val="auto"/>
              </w:rPr>
            </w:pPr>
            <w:r>
              <w:rPr>
                <w:rFonts w:ascii="Arial" w:cs="Arial" w:eastAsia="Arial" w:hAnsi="Arial"/>
                <w:sz w:val="18"/>
                <w:szCs w:val="18"/>
                <w:b w:val="1"/>
                <w:bCs w:val="1"/>
                <w:color w:val="auto"/>
              </w:rPr>
              <w:t>Jason L. Kropp</w:t>
            </w:r>
          </w:p>
        </w:tc>
      </w:tr>
      <w:tr>
        <w:trPr>
          <w:trHeight w:val="418"/>
        </w:trPr>
        <w:tc>
          <w:tcPr>
            <w:tcW w:w="6180" w:type="dxa"/>
            <w:vAlign w:val="bottom"/>
          </w:tcPr>
          <w:p>
            <w:pPr>
              <w:spacing w:after="0"/>
              <w:rPr>
                <w:sz w:val="20"/>
                <w:szCs w:val="20"/>
                <w:color w:val="auto"/>
              </w:rPr>
            </w:pPr>
            <w:r>
              <w:rPr>
                <w:rFonts w:ascii="Arial" w:cs="Arial" w:eastAsia="Arial" w:hAnsi="Arial"/>
                <w:sz w:val="18"/>
                <w:szCs w:val="18"/>
                <w:color w:val="auto"/>
              </w:rPr>
              <w:t>VIA EDGAR SUBMISSION</w:t>
            </w:r>
          </w:p>
        </w:tc>
        <w:tc>
          <w:tcPr>
            <w:tcW w:w="5240" w:type="dxa"/>
            <w:vAlign w:val="bottom"/>
          </w:tcPr>
          <w:p>
            <w:pPr>
              <w:jc w:val="right"/>
              <w:spacing w:after="0"/>
              <w:rPr>
                <w:sz w:val="20"/>
                <w:szCs w:val="20"/>
                <w:color w:val="auto"/>
              </w:rPr>
            </w:pPr>
            <w:r>
              <w:rPr>
                <w:rFonts w:ascii="Arial" w:cs="Arial" w:eastAsia="Arial" w:hAnsi="Arial"/>
                <w:sz w:val="18"/>
                <w:szCs w:val="18"/>
                <w:color w:val="auto"/>
              </w:rPr>
              <w:t>+1 617 526 6421 (t)</w:t>
            </w:r>
          </w:p>
        </w:tc>
      </w:tr>
      <w:tr>
        <w:trPr>
          <w:trHeight w:val="216"/>
        </w:trPr>
        <w:tc>
          <w:tcPr>
            <w:tcW w:w="618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Arial" w:cs="Arial" w:eastAsia="Arial" w:hAnsi="Arial"/>
                <w:sz w:val="18"/>
                <w:szCs w:val="18"/>
                <w:color w:val="auto"/>
              </w:rPr>
              <w:t>+1 617 526 5000 (f)</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U.S. Securities and Exchange Commission</w:t>
            </w:r>
          </w:p>
        </w:tc>
        <w:tc>
          <w:tcPr>
            <w:tcW w:w="5240" w:type="dxa"/>
            <w:vAlign w:val="bottom"/>
          </w:tcPr>
          <w:p>
            <w:pPr>
              <w:jc w:val="right"/>
              <w:spacing w:after="0"/>
              <w:rPr>
                <w:sz w:val="20"/>
                <w:szCs w:val="20"/>
                <w:color w:val="auto"/>
              </w:rPr>
            </w:pPr>
            <w:r>
              <w:rPr>
                <w:rFonts w:ascii="Arial" w:cs="Arial" w:eastAsia="Arial" w:hAnsi="Arial"/>
                <w:sz w:val="18"/>
                <w:szCs w:val="18"/>
                <w:color w:val="auto"/>
              </w:rPr>
              <w:t>jason.kropp@wilmerhale.com</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52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100 F. Street, N.E.</w:t>
            </w:r>
          </w:p>
        </w:tc>
        <w:tc>
          <w:tcPr>
            <w:tcW w:w="52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Washington, DC 20549</w:t>
            </w:r>
          </w:p>
        </w:tc>
        <w:tc>
          <w:tcPr>
            <w:tcW w:w="524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Attention: Geoffrey D. Kruczek</w:t>
            </w:r>
          </w:p>
        </w:tc>
        <w:tc>
          <w:tcPr>
            <w:tcW w:w="5240" w:type="dxa"/>
            <w:vAlign w:val="bottom"/>
          </w:tcPr>
          <w:p>
            <w:pPr>
              <w:spacing w:after="0"/>
              <w:rPr>
                <w:sz w:val="20"/>
                <w:szCs w:val="20"/>
                <w:color w:val="auto"/>
              </w:rPr>
            </w:pP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Amdocs Limited, SC TO-I</w:t>
            </w:r>
          </w:p>
        </w:tc>
        <w:tc>
          <w:tcPr>
            <w:tcW w:w="5240" w:type="dxa"/>
            <w:vAlign w:val="bottom"/>
          </w:tcPr>
          <w:p>
            <w:pPr>
              <w:spacing w:after="0"/>
              <w:rPr>
                <w:sz w:val="24"/>
                <w:szCs w:val="24"/>
                <w:color w:val="auto"/>
              </w:rPr>
            </w:pP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Ladies and Gentlemen:</w:t>
            </w:r>
          </w:p>
        </w:tc>
        <w:tc>
          <w:tcPr>
            <w:tcW w:w="5240" w:type="dxa"/>
            <w:vAlign w:val="bottom"/>
          </w:tcPr>
          <w:p>
            <w:pPr>
              <w:spacing w:after="0"/>
              <w:rPr>
                <w:sz w:val="24"/>
                <w:szCs w:val="24"/>
                <w:color w:val="auto"/>
              </w:rPr>
            </w:pP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6297930</wp:posOffset>
            </wp:positionH>
            <wp:positionV relativeFrom="page">
              <wp:posOffset>448945</wp:posOffset>
            </wp:positionV>
            <wp:extent cx="1106170" cy="146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ind w:right="420"/>
        <w:spacing w:after="0" w:line="277" w:lineRule="auto"/>
        <w:rPr>
          <w:sz w:val="20"/>
          <w:szCs w:val="20"/>
          <w:color w:val="auto"/>
        </w:rPr>
      </w:pPr>
      <w:r>
        <w:rPr>
          <w:rFonts w:ascii="Arial" w:cs="Arial" w:eastAsia="Arial" w:hAnsi="Arial"/>
          <w:sz w:val="18"/>
          <w:szCs w:val="18"/>
          <w:color w:val="auto"/>
        </w:rPr>
        <w:t>On behalf of our client Amdocs Limited (“Amdocs” or the “Company”), submitted herewith for filing is Amendment No. 1 (“Amendment No. 1”) to the Schedule TO filed March 14, 2014 (“Schedule TO”).</w:t>
      </w:r>
    </w:p>
    <w:p>
      <w:pPr>
        <w:spacing w:after="0" w:line="170" w:lineRule="exact"/>
        <w:rPr>
          <w:sz w:val="24"/>
          <w:szCs w:val="24"/>
          <w:color w:val="auto"/>
        </w:rPr>
      </w:pPr>
    </w:p>
    <w:p>
      <w:pPr>
        <w:ind w:right="100"/>
        <w:spacing w:after="0" w:line="257" w:lineRule="auto"/>
        <w:rPr>
          <w:sz w:val="20"/>
          <w:szCs w:val="20"/>
          <w:color w:val="auto"/>
        </w:rPr>
      </w:pPr>
      <w:r>
        <w:rPr>
          <w:rFonts w:ascii="Arial" w:cs="Arial" w:eastAsia="Arial" w:hAnsi="Arial"/>
          <w:sz w:val="18"/>
          <w:szCs w:val="18"/>
          <w:color w:val="auto"/>
        </w:rPr>
        <w:t>Amendment No. 1 is being filed in response to comments contained in an email dated March 24, 2014 from Geoffrey D. Kruczek of the Staff (the “Staff”) of the Securities and Exchange Commission (the “Commission”) to Robert A. Schwed of this firm. The responses set forth below are based upon information provided to us by representatives of the Company. For convenient reference, we have included below each of the Staff’s comments set forth in the comment letter. Where appropriate, the Company has responded to the Staff’s comments by making changes to the disclosure in the Schedule TO as set forth in Amendment No. 1.</w:t>
      </w:r>
    </w:p>
    <w:p>
      <w:pPr>
        <w:spacing w:after="0" w:line="337" w:lineRule="exact"/>
        <w:rPr>
          <w:sz w:val="24"/>
          <w:szCs w:val="24"/>
          <w:color w:val="auto"/>
        </w:rPr>
      </w:pPr>
    </w:p>
    <w:p>
      <w:pPr>
        <w:ind w:left="460" w:right="2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initial paragraph to the Summary Term Sheet states that the disclosure is not complete. It should be revised to state, for example, that it may not contain all information important to all note holders.</w:t>
      </w:r>
    </w:p>
    <w:p>
      <w:pPr>
        <w:spacing w:after="0" w:line="72" w:lineRule="exact"/>
        <w:rPr>
          <w:sz w:val="24"/>
          <w:szCs w:val="24"/>
          <w:color w:val="auto"/>
        </w:rPr>
      </w:pPr>
    </w:p>
    <w:p>
      <w:pPr>
        <w:ind w:left="920"/>
        <w:spacing w:after="0"/>
        <w:tabs>
          <w:tab w:leader="none" w:pos="2060" w:val="left"/>
        </w:tabs>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Company has revised page 2 of the Offer to Purchase in response to this comment.</w:t>
      </w:r>
    </w:p>
    <w:p>
      <w:pPr>
        <w:spacing w:after="0" w:line="378" w:lineRule="exact"/>
        <w:rPr>
          <w:sz w:val="24"/>
          <w:szCs w:val="24"/>
          <w:color w:val="auto"/>
        </w:rPr>
      </w:pPr>
    </w:p>
    <w:p>
      <w:pPr>
        <w:ind w:left="460" w:right="10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disclosure under the caption “Determination of Validity” on page 12 should be revised to state that holders can challenge the issuer’s conclusions in a court of competent jurisdiction.</w:t>
      </w:r>
    </w:p>
    <w:p>
      <w:pPr>
        <w:spacing w:after="0" w:line="72" w:lineRule="exact"/>
        <w:rPr>
          <w:sz w:val="24"/>
          <w:szCs w:val="24"/>
          <w:color w:val="auto"/>
        </w:rPr>
      </w:pPr>
    </w:p>
    <w:p>
      <w:pPr>
        <w:ind w:left="2080" w:right="280" w:hanging="1160"/>
        <w:spacing w:after="0" w:line="277" w:lineRule="auto"/>
        <w:tabs>
          <w:tab w:leader="none" w:pos="2060" w:val="left"/>
        </w:tabs>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supplemented the first paragraph under the sub-heading “Determination of Validity” on page 12 of the Offer to Purchase in response to this comment.</w:t>
      </w:r>
    </w:p>
    <w:p>
      <w:pPr>
        <w:spacing w:after="0" w:line="323"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disclosure in the second paragraph on page 18 under “Miscellaneous” should be revised to be consistent with Rule 13e-4(f)(9).</w:t>
      </w:r>
    </w:p>
    <w:p>
      <w:pPr>
        <w:spacing w:after="0" w:line="12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rFonts w:ascii="Arial" w:cs="Arial" w:eastAsia="Arial" w:hAnsi="Arial"/>
          <w:sz w:val="16"/>
          <w:szCs w:val="16"/>
          <w:color w:val="auto"/>
        </w:rPr>
        <w:t>The Company has modified the second paragraph on page 18 of the Offer to Purchase in response to this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172085</wp:posOffset>
            </wp:positionV>
            <wp:extent cx="600329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3290" cy="25717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disclosure in Item 6 of Schedule TO seems to be missing a response to Item 1006(c)(10) of Regulation M-A.</w:t>
      </w:r>
    </w:p>
    <w:p>
      <w:pPr>
        <w:spacing w:after="0" w:line="12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rFonts w:ascii="Arial" w:cs="Arial" w:eastAsia="Arial" w:hAnsi="Arial"/>
          <w:sz w:val="16"/>
          <w:szCs w:val="16"/>
          <w:color w:val="auto"/>
        </w:rPr>
        <w:t>The Company has revised Item 6 of Schedule TO in response to this comment.</w:t>
      </w:r>
    </w:p>
    <w:p>
      <w:pPr>
        <w:spacing w:after="0" w:line="37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back-end withdrawal date seemed to be off (May 12 vs. May 8).</w:t>
      </w:r>
    </w:p>
    <w:p>
      <w:pPr>
        <w:spacing w:after="0" w:line="127"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Company has modified the withdrawal date in response to this comment.</w:t>
      </w:r>
    </w:p>
    <w:p>
      <w:pPr>
        <w:spacing w:after="0" w:line="37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reference to the PSLRA safe harbor in Exhibit 99(a)(5)(i) should be deleted.</w:t>
      </w:r>
    </w:p>
    <w:p>
      <w:pPr>
        <w:spacing w:after="0" w:line="127" w:lineRule="exact"/>
        <w:rPr>
          <w:sz w:val="20"/>
          <w:szCs w:val="20"/>
          <w:color w:val="auto"/>
        </w:rPr>
      </w:pPr>
    </w:p>
    <w:p>
      <w:pPr>
        <w:jc w:val="both"/>
        <w:ind w:left="2080" w:right="80" w:hanging="1160"/>
        <w:spacing w:after="0" w:line="312" w:lineRule="auto"/>
        <w:tabs>
          <w:tab w:leader="none" w:pos="2060" w:val="left"/>
        </w:tabs>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On behalf of Amdocs, we understand that the Private Securities Litigation Reform Act of 1995 and its safe harbor provision are not applicable to this tender offer and confirm that in all future statements made by Amdocs in connection with this tender offer, Amdocs shall exclude references to the Private Securities Litigation Reform Act of 1995 or its safe harbor provision.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do not hesitate to contact the undersigned (617-526-6421) or Robert A. Schwed (212-937-7276) of this firm with any questions regarding this response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Jason L. Kropp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L. Kropp</w:t>
      </w:r>
    </w:p>
    <w:sectPr>
      <w:pgSz w:w="11900" w:h="16838" w:orient="portrait"/>
      <w:cols w:equalWidth="0" w:num="1">
        <w:col w:w="11400"/>
      </w:cols>
      <w:pgMar w:left="240" w:top="71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2019-12-06T19:49:23Z</dcterms:created>
  <dcterms:modified xsi:type="dcterms:W3CDTF">2019-12-06T19:49:23Z</dcterms:modified>
</cp:coreProperties>
</file>