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July 2009</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54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On July 22, 2009, Amdocs Limited (“Amdocs”) issued a press release announcing financial results for the quarter ended June 30, 2009.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July 22, 2009.</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$690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revenue of $690 million, within the $670-$690 million guidance range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Third quarter non-GAAP operating income of $124 million; non-GAAP operating margin of 18.0%; GAAP operating income of $93 million</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Third quarter diluted non-GAAP EPS of $0.53, excluding acquisition-related costs and equity-based compensation expense, net of related tax effects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$0.42 for the third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$96 million for the third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12-month backlog of $2.37 billion at the end of the third quarter</w:t>
      </w:r>
    </w:p>
    <w:p>
      <w:pPr>
        <w:spacing w:after="0" w:line="130" w:lineRule="exact"/>
        <w:rPr>
          <w:rFonts w:ascii="Arial" w:cs="Arial" w:eastAsia="Arial" w:hAnsi="Arial"/>
          <w:sz w:val="18"/>
          <w:szCs w:val="18"/>
          <w:b w:val="1"/>
          <w:bCs w:val="1"/>
          <w:color w:val="auto"/>
        </w:rPr>
      </w:pPr>
    </w:p>
    <w:p>
      <w:pPr>
        <w:jc w:val="both"/>
        <w:ind w:left="660" w:right="16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fiscal 2009 guidance: Expected revenue of approximately $670-$690 million and diluted non-GAAP EPS of $0.47-$0.51, excluding acquisition-related costs and approximately $0.04-$0.05 per share of equity-based compensation expense, net of related tax effects. Diluted GAAP EPS is expected to be approximately $0.34-$0.39</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 Louis, MO — July 22, 2009 </w:t>
      </w:r>
      <w:r>
        <w:rPr>
          <w:rFonts w:ascii="Arial" w:cs="Arial" w:eastAsia="Arial" w:hAnsi="Arial"/>
          <w:sz w:val="17"/>
          <w:szCs w:val="17"/>
          <w:color w:val="auto"/>
        </w:rPr>
        <w:t>— Amdocs Limited (NYSE: DOX) today reported that for its fiscal third quarter ended June 30, 2009, revenue was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$690.3 million, a decrease of 15.9% from last year’s third quarter and down 2.9% sequentially. Net income on a non-GAAP basis was $108.6 million, or</w:t>
      </w:r>
    </w:p>
    <w:p>
      <w:pPr>
        <w:spacing w:after="0" w:line="21"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$0.53 per diluted share, compared to non-GAAP net income of $132.5 million, or $0.61 per diluted share, in the third quarter of fiscal 2008. Non-GAAP net income excludes amortization of purchased intangible assets and equity-based compensation expenses of $23.0 million, net of related tax effects, in the third quarter of fiscal 2009 and excludes such amortization, in-process research and development write-off and equity-based compensation expenses of</w:t>
      </w:r>
    </w:p>
    <w:p>
      <w:pPr>
        <w:spacing w:after="0" w:line="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$31.8 million, net of related tax effects, in the third quarter of fiscal 2008. The Company’s GAAP net income for the third quarter of fiscal 2009 was $85.5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or $0.42 per diluted share, compared to GAAP net income of $100.7 million, or $0.46 per diluted share, in the prior year’s third quarter.</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pleased with our results for the third fiscal quarter, particularly in light of the on-going strain in the global economy. Favorable foreign currency movements increased third quarter revenue and EPS relative to our expectations for the quarter. Even without currency benefits, our results were at or above the mid-point of our guidance ranges. Additionally, backlog remained stable and we continued to meet our profit and cash flow objectives, all of which are encouraging,” said Dov Baharav, chief executive officer of Amdocs Management Limited.</w:t>
      </w:r>
    </w:p>
    <w:p>
      <w:pPr>
        <w:spacing w:after="0" w:line="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Baharav continued, “Demand conditions, however, remain weak, particularly for large transformational projects, as our customers manage their budgets tightly. As a result, we anticipate that our revenue may continue to trend down sequentially, albeit at a moderating pace, until we see demand improve. This view is reflected in our fourth fiscal quarter guidance, and we believe this trend could persist into early fiscal 2010.”</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Baharav concluded, “While the pace of new deal activity is still slow, we signed important deals in the third quarter. We saw relative strength in our cable, managed services and Interactive domains, highlighted by several key wins.”</w:t>
      </w:r>
    </w:p>
    <w:p>
      <w:pPr>
        <w:spacing w:after="0" w:line="62" w:lineRule="exact"/>
        <w:rPr>
          <w:sz w:val="20"/>
          <w:szCs w:val="20"/>
          <w:color w:val="auto"/>
        </w:rPr>
      </w:pPr>
    </w:p>
    <w:p>
      <w:pPr>
        <w:ind w:left="660" w:right="4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For J:COM, Japan’s largest multiple system and channel operator, Amdocs is fully modernizing the customer’s billing system and replacing a competitor’s CRM system, all based on the CES 7.5 product platform.</w:t>
      </w:r>
    </w:p>
    <w:p>
      <w:pPr>
        <w:spacing w:after="0" w:line="75" w:lineRule="exact"/>
        <w:rPr>
          <w:rFonts w:ascii="Arial" w:cs="Arial" w:eastAsia="Arial" w:hAnsi="Arial"/>
          <w:sz w:val="18"/>
          <w:szCs w:val="18"/>
          <w:b w:val="1"/>
          <w:bCs w:val="1"/>
          <w:color w:val="auto"/>
        </w:rPr>
      </w:pPr>
    </w:p>
    <w:p>
      <w:pPr>
        <w:ind w:left="660" w:hanging="436"/>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Amdocs signed a six-year managed services contract with Elisa, a Finnish service provider, to consolidate eight billing systems across Elisa’s wireless, wireline, Internet and cable TV lines of business onto the Amdocs Billing platform, as well as, deploy Amdocs Enterprise Product Catalog 7.5 to centralize information from five different existing catalogs. The new contract builds on an existing relationship with the customer, where Amdocs billing, ordering and CRM systems were previously deployed to support Elisa’s wireless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ind w:left="660" w:hanging="436"/>
        <w:spacing w:after="0" w:line="279"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Within Interactive, Amdocs signed several contracts during the third quarter, including two within the emerging markets. In Latin America, Amdocs signed a key contract with a large service provider to support its wireless portal development, digital commerce and personalization across all of its affiliates. Importantly, the deal included products based on both the QPass and ChangingWorlds technologies, demonstrating early synergies within our Interactive portfolio. Amdocs also signed two additional ChangingWorlds contracts, both in the Asia-Pacific region.</w:t>
      </w:r>
    </w:p>
    <w:p>
      <w:pPr>
        <w:spacing w:after="0" w:line="6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Free cash flow was $96 million for the quarter, comprised of cash flow from operations of $114 million less approximately $18 million in net capital expenditures and other.</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$2.37 billion at the end of the third quarter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Amdocs expects that revenue for the fourth quarter of fiscal 2009 will be approximately $670-$690 million. Amdocs expects diluted earnings per share on a non-GAAP basis for the fourth quarter to be $0.47-$0.51, excluding acquisition-related costs and approximately $0.04-$0.05 per share of equity-based compensation expense, net of related tax effects. Amdocs estimates GAAP diluted earnings per share for the fourth quarter will be $0.34-$0.39.</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Amdocs will host a conference call on July 22, 2009 at 5 p.m. Eastern Time to discuss the Company’s third quarter results. The call will be carried live on the Internet via the Amdocs website, www.amdocs.com.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5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10" w:name="page11"/>
    <w:bookmarkEnd w:id="10"/>
    <w:p>
      <w:pPr>
        <w:ind w:right="60"/>
        <w:spacing w:after="0" w:line="257" w:lineRule="auto"/>
        <w:rPr>
          <w:sz w:val="20"/>
          <w:szCs w:val="20"/>
          <w:color w:val="auto"/>
        </w:rPr>
      </w:pPr>
      <w:r>
        <w:rPr>
          <w:rFonts w:ascii="Arial" w:cs="Arial" w:eastAsia="Arial" w:hAnsi="Arial"/>
          <w:sz w:val="18"/>
          <w:szCs w:val="18"/>
          <w:color w:val="auto"/>
        </w:rPr>
        <w:t>intangible assets, in-process research and development write-off,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5"/>
          <w:szCs w:val="15"/>
          <w:color w:val="auto"/>
        </w:rPr>
        <w:t>TM</w:t>
      </w:r>
      <w:r>
        <w:rPr>
          <w:rFonts w:ascii="Arial" w:cs="Arial" w:eastAsia="Arial" w:hAnsi="Arial"/>
          <w:sz w:val="18"/>
          <w:szCs w:val="18"/>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$3.16 billion in fiscal 2008, Amdocs has approximately 17,000 employees and serves customers in more than 50 countries around the world. For more information, visit Amdocs at www.amdocs.com.</w:t>
      </w:r>
    </w:p>
    <w:p>
      <w:pPr>
        <w:spacing w:after="0" w:line="8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t>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2008 filed on December 8, 2008 and in our quarterly 6-K furnished on February 9, 2009 and May 12, 2009.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License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26,075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35,244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107,879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664,190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785,044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2,047,309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2,243,249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690,265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820,288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2,155,188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2,336,819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441,777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528,437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1,381,825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51,134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56,137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160,113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104,632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21,839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63,594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Restructuring charges and in-process research and development (1)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597,019</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714,337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1,884,714</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2,032,686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105,951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270,474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304,133</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Interest income (expense) and other, net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2,514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112,110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269,460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327,930</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10,212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29,035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100,672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296,195</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202,750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206,329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202,624</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203,515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219,120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charges and in-process research and development for the nine months ended June 30, 2009 includes restructuring charges of $15,140, and in-process research and development of $5,640.</w:t>
      </w:r>
    </w:p>
    <w:p>
      <w:pPr>
        <w:spacing w:after="0" w:line="21" w:lineRule="exact"/>
        <w:rPr>
          <w:rFonts w:ascii="Arial" w:cs="Arial" w:eastAsia="Arial" w:hAnsi="Arial"/>
          <w:sz w:val="18"/>
          <w:szCs w:val="18"/>
          <w:color w:val="auto"/>
        </w:rPr>
      </w:pPr>
    </w:p>
    <w:p>
      <w:pPr>
        <w:jc w:val="both"/>
        <w:ind w:left="460" w:right="180" w:hanging="452"/>
        <w:spacing w:after="0" w:line="31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reflect the impact of assumed conversion of the convertible notes, $0 and $1,486, representing interest expense and amortization of issuance costs, were added back to net income for the three and nine months ended June 30, 2009, respectively, and $985 and $2,955 were added back to net income for the three and nine months ended June 30, 2008, respectively,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right"/>
              <w:ind w:right="8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6"/>
              </w:rPr>
              <w:t>690,265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820,288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7"/>
              </w:rPr>
              <w:t>2,155,188</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2,336,819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w w:val="86"/>
              </w:rPr>
              <w:t>124,482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w w:val="89"/>
              </w:rPr>
              <w:t>146,608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388,179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415,925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6"/>
              </w:rPr>
              <w:t>108,555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132,463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329,680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382,400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Non-GAAP diluted earnings per share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0.53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0.61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6"/>
              </w:rPr>
              <w:t>203,515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9"/>
              </w:rPr>
              <w:t>219,120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208,514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220,315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180" w:hanging="452"/>
        <w:spacing w:after="0" w:line="31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the impact of assumed conversion of the convertible notes, $0 and $1,486, representing interest expense and amortization of issuance costs, were added back to net income for the three and nine months ended June 30, 2009, respectively, and $985 and $2,955 were added back to net income for the three and nine months ended June 30, 2008, respectively,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3920"/>
        <w:spacing w:after="0"/>
        <w:rPr>
          <w:sz w:val="20"/>
          <w:szCs w:val="20"/>
          <w:color w:val="auto"/>
        </w:rPr>
      </w:pPr>
      <w:r>
        <w:rPr>
          <w:rFonts w:ascii="Arial" w:cs="Arial" w:eastAsia="Arial" w:hAnsi="Arial"/>
          <w:sz w:val="14"/>
          <w:szCs w:val="14"/>
          <w:b w:val="1"/>
          <w:bCs w:val="1"/>
          <w:color w:val="auto"/>
        </w:rPr>
        <w:t>Three months ended</w:t>
      </w:r>
    </w:p>
    <w:p>
      <w:pPr>
        <w:jc w:val="center"/>
        <w:ind w:left="3920"/>
        <w:spacing w:after="0" w:line="236" w:lineRule="auto"/>
        <w:rPr>
          <w:sz w:val="20"/>
          <w:szCs w:val="20"/>
          <w:color w:val="auto"/>
        </w:rPr>
      </w:pPr>
      <w:r>
        <w:rPr>
          <w:rFonts w:ascii="Arial" w:cs="Arial" w:eastAsia="Arial" w:hAnsi="Arial"/>
          <w:sz w:val="14"/>
          <w:szCs w:val="14"/>
          <w:b w:val="1"/>
          <w:bCs w:val="1"/>
          <w:color w:val="auto"/>
        </w:rPr>
        <w:t>June 30,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Reconciliation items</w:t>
            </w:r>
          </w:p>
        </w:tc>
        <w:tc>
          <w:tcPr>
            <w:tcW w:w="4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 of</w:t>
            </w:r>
          </w:p>
        </w:tc>
        <w:tc>
          <w:tcPr>
            <w:tcW w:w="1840" w:type="dxa"/>
            <w:vAlign w:val="bottom"/>
            <w:gridSpan w:val="2"/>
          </w:tcPr>
          <w:p>
            <w:pPr>
              <w:jc w:val="center"/>
              <w:ind w:left="143"/>
              <w:spacing w:after="0" w:line="119" w:lineRule="exact"/>
              <w:rPr>
                <w:sz w:val="20"/>
                <w:szCs w:val="20"/>
                <w:color w:val="auto"/>
              </w:rPr>
            </w:pPr>
            <w:r>
              <w:rPr>
                <w:rFonts w:ascii="Arial" w:cs="Arial" w:eastAsia="Arial" w:hAnsi="Arial"/>
                <w:sz w:val="13"/>
                <w:szCs w:val="13"/>
                <w:b w:val="1"/>
                <w:bCs w:val="1"/>
                <w:color w:val="auto"/>
              </w:rPr>
              <w:t>Equity based</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GAAP</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purchased</w:t>
            </w:r>
          </w:p>
        </w:tc>
        <w:tc>
          <w:tcPr>
            <w:tcW w:w="1840" w:type="dxa"/>
            <w:vAlign w:val="bottom"/>
            <w:gridSpan w:val="2"/>
          </w:tcPr>
          <w:p>
            <w:pPr>
              <w:jc w:val="center"/>
              <w:ind w:left="14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Tax effect</w:t>
            </w:r>
          </w:p>
        </w:tc>
        <w:tc>
          <w:tcPr>
            <w:tcW w:w="15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intangible assets</w:t>
            </w:r>
          </w:p>
        </w:tc>
        <w:tc>
          <w:tcPr>
            <w:tcW w:w="1840" w:type="dxa"/>
            <w:vAlign w:val="bottom"/>
            <w:tcBorders>
              <w:bottom w:val="single" w:sz="8" w:color="auto"/>
            </w:tcBorders>
            <w:gridSpan w:val="2"/>
          </w:tcPr>
          <w:p>
            <w:pPr>
              <w:jc w:val="center"/>
              <w:ind w:left="123"/>
              <w:spacing w:after="0"/>
              <w:rPr>
                <w:sz w:val="20"/>
                <w:szCs w:val="20"/>
                <w:color w:val="auto"/>
              </w:rPr>
            </w:pPr>
            <w:r>
              <w:rPr>
                <w:rFonts w:ascii="Arial" w:cs="Arial" w:eastAsia="Arial" w:hAnsi="Arial"/>
                <w:sz w:val="14"/>
                <w:szCs w:val="14"/>
                <w:b w:val="1"/>
                <w:bCs w:val="1"/>
                <w:color w:val="auto"/>
                <w:w w:val="85"/>
              </w:rPr>
              <w:t>expense</w:t>
            </w:r>
          </w:p>
        </w:tc>
        <w:tc>
          <w:tcPr>
            <w:tcW w:w="120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537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86"/>
              </w:rPr>
              <w:t>441,777</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(6,115)</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435,662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Arial" w:cs="Arial" w:eastAsia="Arial" w:hAnsi="Arial"/>
                <w:sz w:val="18"/>
                <w:szCs w:val="18"/>
                <w:color w:val="auto"/>
              </w:rPr>
              <w:t>51,134</w:t>
            </w:r>
          </w:p>
        </w:tc>
        <w:tc>
          <w:tcPr>
            <w:tcW w:w="4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w w:val="87"/>
              </w:rPr>
              <w:t>(1,238)</w:t>
            </w:r>
          </w:p>
        </w:tc>
        <w:tc>
          <w:tcPr>
            <w:tcW w:w="4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81,732</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(2,044)</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21,839</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2"/>
              </w:rPr>
              <w:t>(21,839)</w:t>
            </w: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86"/>
              </w:rPr>
              <w:t>597,019</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2"/>
              </w:rPr>
              <w:t>(21,839)</w:t>
            </w:r>
          </w:p>
        </w:tc>
        <w:tc>
          <w:tcPr>
            <w:tcW w:w="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(9,397)</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565,783</w:t>
            </w: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93,246</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21,839</w:t>
            </w: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7"/>
              </w:rPr>
              <w:t>9,397</w:t>
            </w: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124,482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rPr>
              <w:t>10,212</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8,229</w:t>
            </w:r>
          </w:p>
        </w:tc>
        <w:tc>
          <w:tcPr>
            <w:tcW w:w="6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439"/>
        </w:trPr>
        <w:tc>
          <w:tcPr>
            <w:tcW w:w="3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85,548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21,839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7"/>
              </w:rPr>
              <w:t>9,397</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(8,229)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108,555</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left="2740"/>
        <w:spacing w:after="0"/>
        <w:rPr>
          <w:sz w:val="20"/>
          <w:szCs w:val="20"/>
          <w:color w:val="auto"/>
        </w:rPr>
      </w:pPr>
      <w:r>
        <w:rPr>
          <w:rFonts w:ascii="Arial" w:cs="Arial" w:eastAsia="Arial" w:hAnsi="Arial"/>
          <w:sz w:val="14"/>
          <w:szCs w:val="14"/>
          <w:b w:val="1"/>
          <w:bCs w:val="1"/>
          <w:color w:val="auto"/>
        </w:rPr>
        <w:t>Three months ended</w:t>
      </w:r>
    </w:p>
    <w:p>
      <w:pPr>
        <w:jc w:val="center"/>
        <w:ind w:left="2740"/>
        <w:spacing w:after="0" w:line="236" w:lineRule="auto"/>
        <w:rPr>
          <w:sz w:val="20"/>
          <w:szCs w:val="20"/>
          <w:color w:val="auto"/>
        </w:rPr>
      </w:pPr>
      <w:r>
        <w:rPr>
          <w:rFonts w:ascii="Arial" w:cs="Arial" w:eastAsia="Arial" w:hAnsi="Arial"/>
          <w:sz w:val="14"/>
          <w:szCs w:val="14"/>
          <w:b w:val="1"/>
          <w:bCs w:val="1"/>
          <w:color w:val="auto"/>
        </w:rPr>
        <w:t>June 30,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0" w:type="dxa"/>
            <w:vAlign w:val="bottom"/>
            <w:gridSpan w:val="2"/>
          </w:tcPr>
          <w:p>
            <w:pPr>
              <w:jc w:val="center"/>
              <w:ind w:right="90"/>
              <w:spacing w:after="0" w:line="119" w:lineRule="exact"/>
              <w:rPr>
                <w:sz w:val="20"/>
                <w:szCs w:val="20"/>
                <w:color w:val="auto"/>
              </w:rPr>
            </w:pPr>
            <w:r>
              <w:rPr>
                <w:rFonts w:ascii="Arial" w:cs="Arial" w:eastAsia="Arial" w:hAnsi="Arial"/>
                <w:sz w:val="13"/>
                <w:szCs w:val="13"/>
                <w:b w:val="1"/>
                <w:bCs w:val="1"/>
                <w:color w:val="auto"/>
              </w:rPr>
              <w:t>Amortization of</w:t>
            </w:r>
          </w:p>
        </w:tc>
        <w:tc>
          <w:tcPr>
            <w:tcW w:w="1520" w:type="dxa"/>
            <w:vAlign w:val="bottom"/>
            <w:gridSpan w:val="2"/>
          </w:tcPr>
          <w:p>
            <w:pPr>
              <w:ind w:left="440"/>
              <w:spacing w:after="0" w:line="119" w:lineRule="exact"/>
              <w:rPr>
                <w:sz w:val="20"/>
                <w:szCs w:val="20"/>
                <w:color w:val="auto"/>
              </w:rPr>
            </w:pPr>
            <w:r>
              <w:rPr>
                <w:rFonts w:ascii="Arial" w:cs="Arial" w:eastAsia="Arial" w:hAnsi="Arial"/>
                <w:sz w:val="13"/>
                <w:szCs w:val="13"/>
                <w:b w:val="1"/>
                <w:bCs w:val="1"/>
                <w:color w:val="auto"/>
              </w:rPr>
              <w:t>In-process</w:t>
            </w:r>
          </w:p>
        </w:tc>
        <w:tc>
          <w:tcPr>
            <w:tcW w:w="1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Equity based</w:t>
            </w: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GAAP</w:t>
            </w:r>
          </w:p>
        </w:tc>
        <w:tc>
          <w:tcPr>
            <w:tcW w:w="160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purchased</w:t>
            </w:r>
          </w:p>
        </w:tc>
        <w:tc>
          <w:tcPr>
            <w:tcW w:w="152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research and</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Tax effect</w:t>
            </w:r>
          </w:p>
        </w:tc>
        <w:tc>
          <w:tcPr>
            <w:tcW w:w="14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87"/>
              </w:rPr>
              <w:t>intangible assets</w:t>
            </w:r>
          </w:p>
        </w:tc>
        <w:tc>
          <w:tcPr>
            <w:tcW w:w="15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development</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5"/>
              </w:rPr>
              <w:t>expense</w:t>
            </w:r>
          </w:p>
        </w:tc>
        <w:tc>
          <w:tcPr>
            <w:tcW w:w="1160" w:type="dxa"/>
            <w:vAlign w:val="bottom"/>
            <w:tcBorders>
              <w:bottom w:val="single" w:sz="8" w:color="auto"/>
            </w:tcBorders>
            <w:gridSpan w:val="2"/>
            <w:vMerge w:val="continue"/>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555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9"/>
              </w:rPr>
              <w:t>528,437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(5,998)</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6"/>
              </w:rPr>
              <w:t>522,439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56,137</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(1,104)</w:t>
            </w:r>
          </w:p>
        </w:tc>
        <w:tc>
          <w:tcPr>
            <w:tcW w:w="4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55,033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89"/>
              </w:rPr>
              <w:t>104,632</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(8,979)</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95,653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40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0"/>
                <w:szCs w:val="20"/>
                <w:color w:val="auto"/>
              </w:rPr>
            </w:pP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22,796</w:t>
            </w:r>
          </w:p>
        </w:tc>
        <w:tc>
          <w:tcPr>
            <w:tcW w:w="44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w w:val="89"/>
              </w:rPr>
              <w:t>(22,796)</w:t>
            </w:r>
          </w:p>
        </w:tc>
        <w:tc>
          <w:tcPr>
            <w:tcW w:w="520" w:type="dxa"/>
            <w:vAlign w:val="bottom"/>
          </w:tcPr>
          <w:p>
            <w:pPr>
              <w:spacing w:after="0"/>
              <w:rPr>
                <w:sz w:val="20"/>
                <w:szCs w:val="20"/>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 in-</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process research and</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1,780</w:t>
            </w:r>
          </w:p>
        </w:tc>
        <w:tc>
          <w:tcPr>
            <w:tcW w:w="4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1"/>
              </w:rPr>
              <w:t>(1,780)</w:t>
            </w:r>
          </w:p>
        </w:tc>
        <w:tc>
          <w:tcPr>
            <w:tcW w:w="5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89"/>
              </w:rPr>
              <w:t>714,337</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(22,796)</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1"/>
              </w:rPr>
              <w:t>(1,780)</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89"/>
              </w:rPr>
              <w:t>(16,081)</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673,680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89"/>
              </w:rPr>
              <w:t>105,951</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8"/>
              </w:rPr>
              <w:t>22,796</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1,780</w:t>
            </w: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16,081</w:t>
            </w: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6"/>
              </w:rPr>
              <w:t>146,608</w:t>
            </w:r>
          </w:p>
        </w:tc>
        <w:tc>
          <w:tcPr>
            <w:tcW w:w="0" w:type="dxa"/>
            <w:vAlign w:val="bottom"/>
          </w:tcPr>
          <w:p>
            <w:pPr>
              <w:spacing w:after="0"/>
              <w:rPr>
                <w:sz w:val="1"/>
                <w:szCs w:val="1"/>
                <w:color w:val="auto"/>
              </w:rPr>
            </w:pPr>
          </w:p>
        </w:tc>
      </w:tr>
      <w:tr>
        <w:trPr>
          <w:trHeight w:val="439"/>
        </w:trPr>
        <w:tc>
          <w:tcPr>
            <w:tcW w:w="2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11,438</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8,866</w:t>
            </w: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20,304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89"/>
              </w:rPr>
              <w:t>100,672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8"/>
              </w:rPr>
              <w:t>22,796</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1,780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98"/>
              </w:rPr>
              <w:t>16,081</w:t>
            </w: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(8,866)</w:t>
            </w:r>
          </w:p>
        </w:tc>
        <w:tc>
          <w:tcPr>
            <w:tcW w:w="6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6"/>
              </w:rPr>
              <w:t>132,463</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Nine months ended</w:t>
      </w:r>
    </w:p>
    <w:p>
      <w:pPr>
        <w:jc w:val="center"/>
        <w:ind w:left="2620"/>
        <w:spacing w:after="0" w:line="236" w:lineRule="auto"/>
        <w:rPr>
          <w:sz w:val="20"/>
          <w:szCs w:val="20"/>
          <w:color w:val="auto"/>
        </w:rPr>
      </w:pPr>
      <w:r>
        <w:rPr>
          <w:rFonts w:ascii="Arial" w:cs="Arial" w:eastAsia="Arial" w:hAnsi="Arial"/>
          <w:sz w:val="14"/>
          <w:szCs w:val="14"/>
          <w:b w:val="1"/>
          <w:bCs w:val="1"/>
          <w:color w:val="auto"/>
        </w:rPr>
        <w:t>June 30,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2"/>
          </w:tcPr>
          <w:p>
            <w:pPr>
              <w:jc w:val="center"/>
              <w:ind w:left="53"/>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0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20" w:type="dxa"/>
            <w:vAlign w:val="bottom"/>
            <w:gridSpan w:val="2"/>
          </w:tcPr>
          <w:p>
            <w:pPr>
              <w:jc w:val="center"/>
              <w:ind w:right="193"/>
              <w:spacing w:after="0" w:line="119" w:lineRule="exact"/>
              <w:rPr>
                <w:sz w:val="20"/>
                <w:szCs w:val="20"/>
                <w:color w:val="auto"/>
              </w:rPr>
            </w:pPr>
            <w:r>
              <w:rPr>
                <w:rFonts w:ascii="Arial" w:cs="Arial" w:eastAsia="Arial" w:hAnsi="Arial"/>
                <w:sz w:val="13"/>
                <w:szCs w:val="13"/>
                <w:b w:val="1"/>
                <w:bCs w:val="1"/>
                <w:color w:val="auto"/>
              </w:rPr>
              <w:t>Restructuring</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Amortization of</w:t>
            </w:r>
          </w:p>
        </w:tc>
        <w:tc>
          <w:tcPr>
            <w:tcW w:w="182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280" w:type="dxa"/>
            <w:vAlign w:val="bottom"/>
            <w:gridSpan w:val="2"/>
            <w:vMerge w:val="restart"/>
          </w:tcPr>
          <w:p>
            <w:pPr>
              <w:jc w:val="center"/>
              <w:ind w:right="111"/>
              <w:spacing w:after="0"/>
              <w:rPr>
                <w:sz w:val="20"/>
                <w:szCs w:val="20"/>
                <w:color w:val="auto"/>
              </w:rPr>
            </w:pPr>
            <w:r>
              <w:rPr>
                <w:rFonts w:ascii="Arial" w:cs="Arial" w:eastAsia="Arial" w:hAnsi="Arial"/>
                <w:sz w:val="14"/>
                <w:szCs w:val="14"/>
                <w:b w:val="1"/>
                <w:bCs w:val="1"/>
                <w:color w:val="auto"/>
                <w:w w:val="91"/>
              </w:rPr>
              <w:t>Equity based</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2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7"/>
              </w:rPr>
              <w:t>in-process</w:t>
            </w: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GAAP</w:t>
            </w:r>
          </w:p>
        </w:tc>
        <w:tc>
          <w:tcPr>
            <w:tcW w:w="158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purchased</w:t>
            </w:r>
          </w:p>
        </w:tc>
        <w:tc>
          <w:tcPr>
            <w:tcW w:w="1820" w:type="dxa"/>
            <w:vAlign w:val="bottom"/>
            <w:gridSpan w:val="2"/>
          </w:tcPr>
          <w:p>
            <w:pPr>
              <w:jc w:val="center"/>
              <w:ind w:right="173"/>
              <w:spacing w:after="0" w:line="149" w:lineRule="exact"/>
              <w:rPr>
                <w:sz w:val="20"/>
                <w:szCs w:val="20"/>
                <w:color w:val="auto"/>
              </w:rPr>
            </w:pPr>
            <w:r>
              <w:rPr>
                <w:rFonts w:ascii="Arial" w:cs="Arial" w:eastAsia="Arial" w:hAnsi="Arial"/>
                <w:sz w:val="14"/>
                <w:szCs w:val="14"/>
                <w:b w:val="1"/>
                <w:bCs w:val="1"/>
                <w:color w:val="auto"/>
                <w:w w:val="91"/>
              </w:rPr>
              <w:t>research and</w:t>
            </w:r>
          </w:p>
        </w:tc>
        <w:tc>
          <w:tcPr>
            <w:tcW w:w="1280" w:type="dxa"/>
            <w:vAlign w:val="bottom"/>
            <w:gridSpan w:val="2"/>
          </w:tcPr>
          <w:p>
            <w:pPr>
              <w:jc w:val="center"/>
              <w:ind w:right="111"/>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Tax effect</w:t>
            </w:r>
          </w:p>
        </w:tc>
        <w:tc>
          <w:tcPr>
            <w:tcW w:w="520" w:type="dxa"/>
            <w:vAlign w:val="bottom"/>
          </w:tcPr>
          <w:p>
            <w:pPr>
              <w:spacing w:after="0"/>
              <w:rPr>
                <w:sz w:val="12"/>
                <w:szCs w:val="12"/>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89"/>
              </w:rPr>
              <w:t>intangible assets</w:t>
            </w:r>
          </w:p>
        </w:tc>
        <w:tc>
          <w:tcPr>
            <w:tcW w:w="1820" w:type="dxa"/>
            <w:vAlign w:val="bottom"/>
            <w:tcBorders>
              <w:bottom w:val="single" w:sz="8" w:color="auto"/>
            </w:tcBorders>
            <w:gridSpan w:val="2"/>
          </w:tcPr>
          <w:p>
            <w:pPr>
              <w:jc w:val="center"/>
              <w:ind w:right="193"/>
              <w:spacing w:after="0"/>
              <w:rPr>
                <w:sz w:val="20"/>
                <w:szCs w:val="20"/>
                <w:color w:val="auto"/>
              </w:rPr>
            </w:pPr>
            <w:r>
              <w:rPr>
                <w:rFonts w:ascii="Arial" w:cs="Arial" w:eastAsia="Arial" w:hAnsi="Arial"/>
                <w:sz w:val="14"/>
                <w:szCs w:val="14"/>
                <w:b w:val="1"/>
                <w:bCs w:val="1"/>
                <w:color w:val="auto"/>
                <w:w w:val="90"/>
              </w:rPr>
              <w:t>development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b w:val="1"/>
                <w:bCs w:val="1"/>
                <w:color w:val="auto"/>
                <w:w w:val="85"/>
              </w:rPr>
              <w:t>expense</w:t>
            </w:r>
          </w:p>
        </w:tc>
        <w:tc>
          <w:tcPr>
            <w:tcW w:w="1200" w:type="dxa"/>
            <w:vAlign w:val="bottom"/>
            <w:tcBorders>
              <w:bottom w:val="single" w:sz="8" w:color="auto"/>
            </w:tcBorders>
            <w:gridSpan w:val="3"/>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2,097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4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1,381,825</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(16,776)</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9"/>
              </w:rPr>
              <w:t>1,365,049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160,113</w:t>
            </w:r>
          </w:p>
        </w:tc>
        <w:tc>
          <w:tcPr>
            <w:tcW w:w="4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(3,277)</w:t>
            </w:r>
          </w:p>
        </w:tc>
        <w:tc>
          <w:tcPr>
            <w:tcW w:w="4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156,836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256,305</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9"/>
              </w:rPr>
              <w:t>(13,278)</w:t>
            </w: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243,027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40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0"/>
                <w:szCs w:val="20"/>
                <w:color w:val="auto"/>
              </w:rPr>
            </w:pPr>
          </w:p>
        </w:tc>
        <w:tc>
          <w:tcPr>
            <w:tcW w:w="1240" w:type="dxa"/>
            <w:vAlign w:val="bottom"/>
          </w:tcPr>
          <w:p>
            <w:pPr>
              <w:jc w:val="right"/>
              <w:ind w:right="432"/>
              <w:spacing w:after="0"/>
              <w:rPr>
                <w:sz w:val="20"/>
                <w:szCs w:val="20"/>
                <w:color w:val="auto"/>
              </w:rPr>
            </w:pPr>
            <w:r>
              <w:rPr>
                <w:rFonts w:ascii="Arial" w:cs="Arial" w:eastAsia="Arial" w:hAnsi="Arial"/>
                <w:sz w:val="18"/>
                <w:szCs w:val="18"/>
                <w:color w:val="auto"/>
              </w:rPr>
              <w:t>63,594</w:t>
            </w:r>
          </w:p>
        </w:tc>
        <w:tc>
          <w:tcPr>
            <w:tcW w:w="4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w w:val="89"/>
              </w:rPr>
              <w:t>(63,594)</w:t>
            </w:r>
          </w:p>
        </w:tc>
        <w:tc>
          <w:tcPr>
            <w:tcW w:w="500" w:type="dxa"/>
            <w:vAlign w:val="bottom"/>
          </w:tcPr>
          <w:p>
            <w:pPr>
              <w:spacing w:after="0"/>
              <w:rPr>
                <w:sz w:val="20"/>
                <w:szCs w:val="20"/>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20,780</w:t>
            </w:r>
          </w:p>
        </w:tc>
        <w:tc>
          <w:tcPr>
            <w:tcW w:w="4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89"/>
              </w:rPr>
              <w:t>(20,780)</w:t>
            </w: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color w:val="auto"/>
              </w:rPr>
              <w:t>1,884,714</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(63,594)</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89"/>
              </w:rPr>
              <w:t>(20,780)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(33,331)</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89"/>
              </w:rPr>
              <w:t>1,767,009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270,474</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8"/>
              </w:rPr>
              <w:t>63,594</w:t>
            </w:r>
          </w:p>
        </w:tc>
        <w:tc>
          <w:tcPr>
            <w:tcW w:w="5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8"/>
              </w:rPr>
              <w:t>20,780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98"/>
              </w:rPr>
              <w:t>33,331</w:t>
            </w: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388,179</w:t>
            </w:r>
          </w:p>
        </w:tc>
        <w:tc>
          <w:tcPr>
            <w:tcW w:w="0" w:type="dxa"/>
            <w:vAlign w:val="bottom"/>
          </w:tcPr>
          <w:p>
            <w:pPr>
              <w:spacing w:after="0"/>
              <w:rPr>
                <w:sz w:val="1"/>
                <w:szCs w:val="1"/>
                <w:color w:val="auto"/>
              </w:rPr>
            </w:pPr>
          </w:p>
        </w:tc>
      </w:tr>
      <w:tr>
        <w:trPr>
          <w:trHeight w:val="439"/>
        </w:trPr>
        <w:tc>
          <w:tcPr>
            <w:tcW w:w="2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29,035</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28,450</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57,485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240,425</w:t>
            </w:r>
          </w:p>
        </w:tc>
        <w:tc>
          <w:tcPr>
            <w:tcW w:w="1580" w:type="dxa"/>
            <w:vAlign w:val="bottom"/>
            <w:tcBorders>
              <w:bottom w:val="single" w:sz="8" w:color="auto"/>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$ 63,594</w:t>
            </w:r>
          </w:p>
        </w:tc>
        <w:tc>
          <w:tcPr>
            <w:tcW w:w="1820" w:type="dxa"/>
            <w:vAlign w:val="bottom"/>
            <w:tcBorders>
              <w:bottom w:val="single" w:sz="8" w:color="auto"/>
            </w:tcBorders>
            <w:gridSpan w:val="2"/>
            <w:shd w:val="clear" w:color="auto" w:fill="CCEEFF"/>
          </w:tcPr>
          <w:p>
            <w:pPr>
              <w:jc w:val="right"/>
              <w:ind w:right="673"/>
              <w:spacing w:after="0"/>
              <w:rPr>
                <w:sz w:val="20"/>
                <w:szCs w:val="20"/>
                <w:color w:val="auto"/>
              </w:rPr>
            </w:pPr>
            <w:r>
              <w:rPr>
                <w:rFonts w:ascii="Arial" w:cs="Arial" w:eastAsia="Arial" w:hAnsi="Arial"/>
                <w:sz w:val="18"/>
                <w:szCs w:val="18"/>
                <w:color w:val="auto"/>
              </w:rPr>
              <w:t>$ 20,780</w:t>
            </w:r>
          </w:p>
        </w:tc>
        <w:tc>
          <w:tcPr>
            <w:tcW w:w="1280" w:type="dxa"/>
            <w:vAlign w:val="bottom"/>
            <w:tcBorders>
              <w:bottom w:val="single" w:sz="8" w:color="auto"/>
            </w:tcBorders>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$ 33,331</w:t>
            </w:r>
          </w:p>
        </w:tc>
        <w:tc>
          <w:tcPr>
            <w:tcW w:w="11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$(28,450)</w:t>
            </w: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329,680</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90"/>
              </w:rPr>
              <w:t>Nine months ended</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left="313"/>
              <w:spacing w:after="0"/>
              <w:rPr>
                <w:sz w:val="20"/>
                <w:szCs w:val="20"/>
                <w:color w:val="auto"/>
              </w:rPr>
            </w:pPr>
            <w:r>
              <w:rPr>
                <w:rFonts w:ascii="Arial" w:cs="Arial" w:eastAsia="Arial" w:hAnsi="Arial"/>
                <w:sz w:val="14"/>
                <w:szCs w:val="14"/>
                <w:b w:val="1"/>
                <w:bCs w:val="1"/>
                <w:color w:val="auto"/>
                <w:w w:val="92"/>
              </w:rPr>
              <w:t>June 30, 2008</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left="33"/>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0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80" w:type="dxa"/>
            <w:vAlign w:val="bottom"/>
            <w:gridSpan w:val="2"/>
          </w:tcPr>
          <w:p>
            <w:pPr>
              <w:jc w:val="center"/>
              <w:ind w:right="30"/>
              <w:spacing w:after="0" w:line="119" w:lineRule="exact"/>
              <w:rPr>
                <w:sz w:val="20"/>
                <w:szCs w:val="20"/>
                <w:color w:val="auto"/>
              </w:rPr>
            </w:pPr>
            <w:r>
              <w:rPr>
                <w:rFonts w:ascii="Arial" w:cs="Arial" w:eastAsia="Arial" w:hAnsi="Arial"/>
                <w:sz w:val="13"/>
                <w:szCs w:val="13"/>
                <w:b w:val="1"/>
                <w:bCs w:val="1"/>
                <w:color w:val="auto"/>
              </w:rPr>
              <w:t>Amortization of</w:t>
            </w:r>
          </w:p>
        </w:tc>
        <w:tc>
          <w:tcPr>
            <w:tcW w:w="1820" w:type="dxa"/>
            <w:vAlign w:val="bottom"/>
            <w:gridSpan w:val="2"/>
          </w:tcPr>
          <w:p>
            <w:pPr>
              <w:ind w:left="420"/>
              <w:spacing w:after="0" w:line="119" w:lineRule="exact"/>
              <w:rPr>
                <w:sz w:val="20"/>
                <w:szCs w:val="20"/>
                <w:color w:val="auto"/>
              </w:rPr>
            </w:pPr>
            <w:r>
              <w:rPr>
                <w:rFonts w:ascii="Arial" w:cs="Arial" w:eastAsia="Arial" w:hAnsi="Arial"/>
                <w:sz w:val="13"/>
                <w:szCs w:val="13"/>
                <w:b w:val="1"/>
                <w:bCs w:val="1"/>
                <w:color w:val="auto"/>
              </w:rPr>
              <w:t>In-process</w:t>
            </w:r>
          </w:p>
        </w:tc>
        <w:tc>
          <w:tcPr>
            <w:tcW w:w="1280" w:type="dxa"/>
            <w:vAlign w:val="bottom"/>
            <w:gridSpan w:val="2"/>
          </w:tcPr>
          <w:p>
            <w:pPr>
              <w:jc w:val="center"/>
              <w:ind w:right="251"/>
              <w:spacing w:after="0" w:line="119" w:lineRule="exact"/>
              <w:rPr>
                <w:sz w:val="20"/>
                <w:szCs w:val="20"/>
                <w:color w:val="auto"/>
              </w:rPr>
            </w:pPr>
            <w:r>
              <w:rPr>
                <w:rFonts w:ascii="Arial" w:cs="Arial" w:eastAsia="Arial" w:hAnsi="Arial"/>
                <w:sz w:val="13"/>
                <w:szCs w:val="13"/>
                <w:b w:val="1"/>
                <w:bCs w:val="1"/>
                <w:color w:val="auto"/>
              </w:rPr>
              <w:t>Equity based</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GAAP</w:t>
            </w:r>
          </w:p>
        </w:tc>
        <w:tc>
          <w:tcPr>
            <w:tcW w:w="158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purchased</w:t>
            </w:r>
          </w:p>
        </w:tc>
        <w:tc>
          <w:tcPr>
            <w:tcW w:w="1820" w:type="dxa"/>
            <w:vAlign w:val="bottom"/>
            <w:gridSpan w:val="2"/>
          </w:tcPr>
          <w:p>
            <w:pPr>
              <w:jc w:val="right"/>
              <w:ind w:right="593"/>
              <w:spacing w:after="0" w:line="149" w:lineRule="exact"/>
              <w:rPr>
                <w:sz w:val="20"/>
                <w:szCs w:val="20"/>
                <w:color w:val="auto"/>
              </w:rPr>
            </w:pPr>
            <w:r>
              <w:rPr>
                <w:rFonts w:ascii="Arial" w:cs="Arial" w:eastAsia="Arial" w:hAnsi="Arial"/>
                <w:sz w:val="14"/>
                <w:szCs w:val="14"/>
                <w:b w:val="1"/>
                <w:bCs w:val="1"/>
                <w:color w:val="auto"/>
              </w:rPr>
              <w:t>research and</w:t>
            </w:r>
          </w:p>
        </w:tc>
        <w:tc>
          <w:tcPr>
            <w:tcW w:w="1280" w:type="dxa"/>
            <w:vAlign w:val="bottom"/>
            <w:gridSpan w:val="2"/>
          </w:tcPr>
          <w:p>
            <w:pPr>
              <w:jc w:val="center"/>
              <w:ind w:right="251"/>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Tax effect</w:t>
            </w:r>
          </w:p>
        </w:tc>
        <w:tc>
          <w:tcPr>
            <w:tcW w:w="1460" w:type="dxa"/>
            <w:vAlign w:val="bottom"/>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7"/>
              </w:rPr>
              <w:t>intangible assets</w:t>
            </w:r>
          </w:p>
        </w:tc>
        <w:tc>
          <w:tcPr>
            <w:tcW w:w="1820" w:type="dxa"/>
            <w:vAlign w:val="bottom"/>
            <w:tcBorders>
              <w:bottom w:val="single" w:sz="8" w:color="auto"/>
            </w:tcBorders>
            <w:gridSpan w:val="2"/>
          </w:tcPr>
          <w:p>
            <w:pPr>
              <w:jc w:val="right"/>
              <w:ind w:right="593"/>
              <w:spacing w:after="0"/>
              <w:rPr>
                <w:sz w:val="20"/>
                <w:szCs w:val="20"/>
                <w:color w:val="auto"/>
              </w:rPr>
            </w:pPr>
            <w:r>
              <w:rPr>
                <w:rFonts w:ascii="Arial" w:cs="Arial" w:eastAsia="Arial" w:hAnsi="Arial"/>
                <w:sz w:val="14"/>
                <w:szCs w:val="14"/>
                <w:b w:val="1"/>
                <w:bCs w:val="1"/>
                <w:color w:val="auto"/>
              </w:rPr>
              <w:t>development</w:t>
            </w:r>
          </w:p>
        </w:tc>
        <w:tc>
          <w:tcPr>
            <w:tcW w:w="1280" w:type="dxa"/>
            <w:vAlign w:val="bottom"/>
            <w:tcBorders>
              <w:bottom w:val="single" w:sz="8" w:color="auto"/>
            </w:tcBorders>
            <w:gridSpan w:val="2"/>
          </w:tcPr>
          <w:p>
            <w:pPr>
              <w:jc w:val="center"/>
              <w:ind w:right="271"/>
              <w:spacing w:after="0"/>
              <w:rPr>
                <w:sz w:val="20"/>
                <w:szCs w:val="20"/>
                <w:color w:val="auto"/>
              </w:rPr>
            </w:pPr>
            <w:r>
              <w:rPr>
                <w:rFonts w:ascii="Arial" w:cs="Arial" w:eastAsia="Arial" w:hAnsi="Arial"/>
                <w:sz w:val="14"/>
                <w:szCs w:val="14"/>
                <w:b w:val="1"/>
                <w:bCs w:val="1"/>
                <w:color w:val="auto"/>
                <w:w w:val="85"/>
              </w:rPr>
              <w:t>expense</w:t>
            </w:r>
          </w:p>
        </w:tc>
        <w:tc>
          <w:tcPr>
            <w:tcW w:w="1200" w:type="dxa"/>
            <w:vAlign w:val="bottom"/>
            <w:tcBorders>
              <w:bottom w:val="single" w:sz="8" w:color="auto"/>
            </w:tcBorders>
            <w:gridSpan w:val="3"/>
            <w:vMerge w:val="continue"/>
          </w:tcPr>
          <w:p>
            <w:pPr>
              <w:spacing w:after="0"/>
              <w:rPr>
                <w:sz w:val="14"/>
                <w:szCs w:val="14"/>
                <w:color w:val="auto"/>
              </w:rPr>
            </w:pPr>
          </w:p>
        </w:tc>
        <w:tc>
          <w:tcPr>
            <w:tcW w:w="14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2,267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9"/>
              </w:rPr>
              <w:t>1,493,134</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(17,711)</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9"/>
              </w:rPr>
              <w:t>1,475,423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168,240</w:t>
            </w:r>
          </w:p>
        </w:tc>
        <w:tc>
          <w:tcPr>
            <w:tcW w:w="4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2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color w:val="auto"/>
                <w:w w:val="94"/>
              </w:rPr>
              <w:t>(3,626)</w:t>
            </w:r>
          </w:p>
        </w:tc>
        <w:tc>
          <w:tcPr>
            <w:tcW w:w="4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164,614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300,963</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(22,373)</w:t>
            </w: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278,590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40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66,302</w:t>
            </w:r>
          </w:p>
        </w:tc>
        <w:tc>
          <w:tcPr>
            <w:tcW w:w="4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w w:val="89"/>
              </w:rPr>
              <w:t>(66,302)</w:t>
            </w:r>
          </w:p>
        </w:tc>
        <w:tc>
          <w:tcPr>
            <w:tcW w:w="500" w:type="dxa"/>
            <w:vAlign w:val="bottom"/>
          </w:tcPr>
          <w:p>
            <w:pPr>
              <w:spacing w:after="0"/>
              <w:rPr>
                <w:sz w:val="20"/>
                <w:szCs w:val="20"/>
                <w:color w:val="auto"/>
              </w:rPr>
            </w:pPr>
          </w:p>
        </w:tc>
        <w:tc>
          <w:tcPr>
            <w:tcW w:w="132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1,780</w:t>
            </w:r>
          </w:p>
        </w:tc>
        <w:tc>
          <w:tcPr>
            <w:tcW w:w="4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1"/>
              </w:rPr>
              <w:t>(1,780)</w:t>
            </w: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89"/>
              </w:rPr>
              <w:t>2,032,686</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(66,302)</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1"/>
              </w:rPr>
              <w:t>(1,780)</w:t>
            </w:r>
          </w:p>
        </w:tc>
        <w:tc>
          <w:tcPr>
            <w:tcW w:w="128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8"/>
                <w:szCs w:val="18"/>
                <w:color w:val="auto"/>
              </w:rPr>
              <w:t>(43,710)</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89"/>
              </w:rPr>
              <w:t>1,920,894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304,133</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8"/>
              </w:rPr>
              <w:t>66,302</w:t>
            </w:r>
          </w:p>
        </w:tc>
        <w:tc>
          <w:tcPr>
            <w:tcW w:w="5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rPr>
              <w:t>1,780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87"/>
              </w:rPr>
              <w:t>43,710</w:t>
            </w: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415,925</w:t>
            </w:r>
          </w:p>
        </w:tc>
        <w:tc>
          <w:tcPr>
            <w:tcW w:w="0" w:type="dxa"/>
            <w:vAlign w:val="bottom"/>
          </w:tcPr>
          <w:p>
            <w:pPr>
              <w:spacing w:after="0"/>
              <w:rPr>
                <w:sz w:val="1"/>
                <w:szCs w:val="1"/>
                <w:color w:val="auto"/>
              </w:rPr>
            </w:pPr>
          </w:p>
        </w:tc>
      </w:tr>
      <w:tr>
        <w:trPr>
          <w:trHeight w:val="439"/>
        </w:trPr>
        <w:tc>
          <w:tcPr>
            <w:tcW w:w="2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31,735</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25,587</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296,195</w:t>
            </w:r>
          </w:p>
        </w:tc>
        <w:tc>
          <w:tcPr>
            <w:tcW w:w="1580" w:type="dxa"/>
            <w:vAlign w:val="bottom"/>
            <w:tcBorders>
              <w:bottom w:val="single" w:sz="8" w:color="auto"/>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$ 66,302</w:t>
            </w:r>
          </w:p>
        </w:tc>
        <w:tc>
          <w:tcPr>
            <w:tcW w:w="1820" w:type="dxa"/>
            <w:vAlign w:val="bottom"/>
            <w:tcBorders>
              <w:bottom w:val="single" w:sz="8" w:color="auto"/>
            </w:tcBorders>
            <w:gridSpan w:val="2"/>
            <w:shd w:val="clear" w:color="auto" w:fill="CCEEFF"/>
          </w:tcPr>
          <w:p>
            <w:pPr>
              <w:jc w:val="right"/>
              <w:ind w:right="753"/>
              <w:spacing w:after="0"/>
              <w:rPr>
                <w:sz w:val="20"/>
                <w:szCs w:val="20"/>
                <w:color w:val="auto"/>
              </w:rPr>
            </w:pPr>
            <w:r>
              <w:rPr>
                <w:rFonts w:ascii="Arial" w:cs="Arial" w:eastAsia="Arial" w:hAnsi="Arial"/>
                <w:sz w:val="18"/>
                <w:szCs w:val="18"/>
                <w:color w:val="auto"/>
              </w:rPr>
              <w:t>$ 1,780</w:t>
            </w:r>
          </w:p>
        </w:tc>
        <w:tc>
          <w:tcPr>
            <w:tcW w:w="1280" w:type="dxa"/>
            <w:vAlign w:val="bottom"/>
            <w:tcBorders>
              <w:bottom w:val="single" w:sz="8" w:color="auto"/>
            </w:tcBorders>
            <w:gridSpan w:val="2"/>
            <w:shd w:val="clear" w:color="auto" w:fill="CCEEFF"/>
          </w:tcPr>
          <w:p>
            <w:pPr>
              <w:jc w:val="right"/>
              <w:ind w:right="431"/>
              <w:spacing w:after="0"/>
              <w:rPr>
                <w:sz w:val="20"/>
                <w:szCs w:val="20"/>
                <w:color w:val="auto"/>
              </w:rPr>
            </w:pPr>
            <w:r>
              <w:rPr>
                <w:rFonts w:ascii="Arial" w:cs="Arial" w:eastAsia="Arial" w:hAnsi="Arial"/>
                <w:sz w:val="18"/>
                <w:szCs w:val="18"/>
                <w:color w:val="auto"/>
              </w:rPr>
              <w:t>$ 43,710</w:t>
            </w:r>
          </w:p>
        </w:tc>
        <w:tc>
          <w:tcPr>
            <w:tcW w:w="11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$(25,587)</w:t>
            </w: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382,400</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1,280,289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1,244,378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Accounts receivable, net, including unbilled of $44,439 and $48,264 respectively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507,507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1,989,926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2,005,587</w:t>
            </w: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279,247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1,790,572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1,796,922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4,498,849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4,579,063</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Accounts payable and accruals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429,533</w:t>
            </w:r>
          </w:p>
        </w:tc>
        <w:tc>
          <w:tcPr>
            <w:tcW w:w="100" w:type="dxa"/>
            <w:vAlign w:val="bottom"/>
          </w:tcPr>
          <w:p>
            <w:pPr>
              <w:spacing w:after="0"/>
              <w:rPr>
                <w:sz w:val="18"/>
                <w:szCs w:val="18"/>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600,285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Short-term portion of financing arrangements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Deferred revenue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185,097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0.50% Convertible notes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Long-term loan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and other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Shareholders’ equity</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3,074,669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2,805,191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4,498,849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4,579,063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$ 240,425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$ 296,195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147,869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5,640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Loss (gain) on sale of equipment</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67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33,331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13,097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5,821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63,843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6,875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2,263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(139,466)</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8,815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(12,638)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 and other</w:t>
            </w:r>
          </w:p>
        </w:tc>
        <w:tc>
          <w:tcPr>
            <w:tcW w:w="1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(38,268)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26,590</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335,479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305,538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equipment and leasehold improvements</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429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(65,474)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601,844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575,602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(676,472)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cash paid for acquisition</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(61,890)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(56,970)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(201,563)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(95,257)</w:t>
            </w:r>
          </w:p>
        </w:tc>
        <w:tc>
          <w:tcPr>
            <w:tcW w:w="0" w:type="dxa"/>
            <w:vAlign w:val="bottom"/>
          </w:tcPr>
          <w:p>
            <w:pPr>
              <w:spacing w:after="0"/>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long-term financing arrangements</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450,000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under long-term financing arrangements</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convertible notes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(330,780)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convertible notes</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(116,015)</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(20,014)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under capital lease and short-term financing arrangements</w:t>
            </w:r>
          </w:p>
        </w:tc>
        <w:tc>
          <w:tcPr>
            <w:tcW w:w="3040" w:type="dxa"/>
            <w:vAlign w:val="bottom"/>
            <w:gridSpan w:val="3"/>
          </w:tcPr>
          <w:p>
            <w:pPr>
              <w:jc w:val="right"/>
              <w:ind w:right="300"/>
              <w:spacing w:after="0"/>
              <w:rPr>
                <w:sz w:val="20"/>
                <w:szCs w:val="20"/>
                <w:color w:val="auto"/>
              </w:rPr>
            </w:pPr>
            <w:r>
              <w:rPr>
                <w:rFonts w:ascii="Arial" w:cs="Arial" w:eastAsia="Arial" w:hAnsi="Arial"/>
                <w:sz w:val="18"/>
                <w:szCs w:val="18"/>
                <w:color w:val="auto"/>
              </w:rPr>
              <w:t>(3,632)</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 under short-term financing arrangements</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2,026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(167,865)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(138,549)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(33,949)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40" w:type="dxa"/>
            <w:vAlign w:val="bottom"/>
            <w:gridSpan w:val="3"/>
          </w:tcPr>
          <w:p>
            <w:pPr>
              <w:jc w:val="right"/>
              <w:ind w:right="360"/>
              <w:spacing w:after="0"/>
              <w:rPr>
                <w:sz w:val="20"/>
                <w:szCs w:val="20"/>
                <w:color w:val="auto"/>
              </w:rPr>
            </w:pPr>
            <w:r>
              <w:rPr>
                <w:rFonts w:ascii="Arial" w:cs="Arial" w:eastAsia="Arial" w:hAnsi="Arial"/>
                <w:sz w:val="18"/>
                <w:szCs w:val="18"/>
                <w:color w:val="auto"/>
              </w:rPr>
              <w:t>718,850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615,501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$ 684,901</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$ 687,233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2009</w:t>
            </w:r>
          </w:p>
        </w:tc>
        <w:tc>
          <w:tcPr>
            <w:tcW w:w="14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March 31, 2009</w:t>
            </w:r>
          </w:p>
        </w:tc>
        <w:tc>
          <w:tcPr>
            <w:tcW w:w="1920" w:type="dxa"/>
            <w:vAlign w:val="bottom"/>
            <w:gridSpan w:val="4"/>
          </w:tcPr>
          <w:p>
            <w:pPr>
              <w:ind w:left="460"/>
              <w:spacing w:after="0" w:line="119" w:lineRule="exact"/>
              <w:rPr>
                <w:sz w:val="20"/>
                <w:szCs w:val="20"/>
                <w:color w:val="auto"/>
              </w:rPr>
            </w:pPr>
            <w:r>
              <w:rPr>
                <w:rFonts w:ascii="Arial" w:cs="Arial" w:eastAsia="Arial" w:hAnsi="Arial"/>
                <w:sz w:val="13"/>
                <w:szCs w:val="13"/>
                <w:b w:val="1"/>
                <w:bCs w:val="1"/>
                <w:color w:val="auto"/>
              </w:rPr>
              <w:t>December 31,</w:t>
            </w:r>
          </w:p>
        </w:tc>
        <w:tc>
          <w:tcPr>
            <w:tcW w:w="15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539.8</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561.6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558.7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84.4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r>
              <w:rPr>
                <w:rFonts w:ascii="Arial" w:cs="Arial" w:eastAsia="Arial" w:hAnsi="Arial"/>
                <w:sz w:val="18"/>
                <w:szCs w:val="18"/>
                <w:u w:val="single" w:color="auto"/>
                <w:color w:val="auto"/>
              </w:rPr>
              <w:t>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4"/>
              </w:rPr>
              <w:t>825.3</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2009</w:t>
            </w:r>
          </w:p>
        </w:tc>
        <w:tc>
          <w:tcPr>
            <w:tcW w:w="14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March 31, 2009</w:t>
            </w:r>
          </w:p>
        </w:tc>
        <w:tc>
          <w:tcPr>
            <w:tcW w:w="1920" w:type="dxa"/>
            <w:vAlign w:val="bottom"/>
            <w:gridSpan w:val="4"/>
          </w:tcPr>
          <w:p>
            <w:pPr>
              <w:ind w:left="460"/>
              <w:spacing w:after="0" w:line="119" w:lineRule="exact"/>
              <w:rPr>
                <w:sz w:val="20"/>
                <w:szCs w:val="20"/>
                <w:color w:val="auto"/>
              </w:rPr>
            </w:pPr>
            <w:r>
              <w:rPr>
                <w:rFonts w:ascii="Arial" w:cs="Arial" w:eastAsia="Arial" w:hAnsi="Arial"/>
                <w:sz w:val="13"/>
                <w:szCs w:val="13"/>
                <w:b w:val="1"/>
                <w:bCs w:val="1"/>
                <w:color w:val="auto"/>
              </w:rPr>
              <w:t>December 31,</w:t>
            </w:r>
          </w:p>
        </w:tc>
        <w:tc>
          <w:tcPr>
            <w:tcW w:w="15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Experience Systems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756.5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Directory</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96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2009</w:t>
            </w:r>
          </w:p>
        </w:tc>
        <w:tc>
          <w:tcPr>
            <w:tcW w:w="14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March 31, 2009</w:t>
            </w:r>
          </w:p>
        </w:tc>
        <w:tc>
          <w:tcPr>
            <w:tcW w:w="1920" w:type="dxa"/>
            <w:vAlign w:val="bottom"/>
            <w:gridSpan w:val="4"/>
          </w:tcPr>
          <w:p>
            <w:pPr>
              <w:ind w:left="460"/>
              <w:spacing w:after="0" w:line="119" w:lineRule="exact"/>
              <w:rPr>
                <w:sz w:val="20"/>
                <w:szCs w:val="20"/>
                <w:color w:val="auto"/>
              </w:rPr>
            </w:pPr>
            <w:r>
              <w:rPr>
                <w:rFonts w:ascii="Arial" w:cs="Arial" w:eastAsia="Arial" w:hAnsi="Arial"/>
                <w:sz w:val="13"/>
                <w:szCs w:val="13"/>
                <w:b w:val="1"/>
                <w:bCs w:val="1"/>
                <w:color w:val="auto"/>
              </w:rPr>
              <w:t>December 31,</w:t>
            </w:r>
          </w:p>
        </w:tc>
        <w:tc>
          <w:tcPr>
            <w:tcW w:w="15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1140" w:type="dxa"/>
            <w:vAlign w:val="bottom"/>
            <w:gridSpan w:val="4"/>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6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4"/>
              </w:rPr>
              <w:t>2,420</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2019-12-10T17:07:01Z</dcterms:created>
  <dcterms:modified xsi:type="dcterms:W3CDTF">2019-12-10T17:07:01Z</dcterms:modified>
</cp:coreProperties>
</file>