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Amdocs Limited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G02602103</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Event Which Requires Filing of this Statement: 12/31/2008</w:t>
      </w:r>
    </w:p>
    <w:p>
      <w:pPr>
        <w:spacing w:after="0" w:line="200" w:lineRule="exact"/>
        <w:rPr>
          <w:sz w:val="24"/>
          <w:szCs w:val="24"/>
          <w:color w:val="auto"/>
        </w:rPr>
      </w:pPr>
    </w:p>
    <w:p>
      <w:pPr>
        <w:spacing w:after="0" w:line="22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389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person's initial filing on this form with respect to the subject class</w:t>
      </w:r>
    </w:p>
    <w:p>
      <w:pPr>
        <w:spacing w:after="0" w:line="5"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w:t>
      </w:r>
    </w:p>
    <w:p>
      <w:pPr>
        <w:spacing w:after="0" w:line="6"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Exchange Act of 1934 ("Act") or otherwise subject to the liabilities of</w:t>
      </w:r>
    </w:p>
    <w:p>
      <w:pPr>
        <w:spacing w:after="0" w:line="6" w:lineRule="exact"/>
        <w:rPr>
          <w:sz w:val="24"/>
          <w:szCs w:val="24"/>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that section of the Act but shall be subject to all other provisions of</w:t>
      </w:r>
    </w:p>
    <w:p>
      <w:pPr>
        <w:spacing w:after="0"/>
        <w:rPr>
          <w:sz w:val="20"/>
          <w:szCs w:val="20"/>
          <w:color w:val="auto"/>
        </w:rPr>
      </w:pPr>
      <w:r>
        <w:rPr>
          <w:rFonts w:ascii="Courier New" w:cs="Courier New" w:eastAsia="Courier New" w:hAnsi="Courier New"/>
          <w:sz w:val="18"/>
          <w:szCs w:val="18"/>
          <w:color w:val="auto"/>
        </w:rPr>
        <w:t>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G02602103</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Capital Management LLC</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#75-3019302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960" w:right="7479" w:hanging="531"/>
        <w:spacing w:after="0" w:line="290"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8,639,512**</w:t>
      </w:r>
    </w:p>
    <w:p>
      <w:pPr>
        <w:spacing w:after="0" w:line="169" w:lineRule="exact"/>
        <w:rPr>
          <w:rFonts w:ascii="Courier New" w:cs="Courier New" w:eastAsia="Courier New" w:hAnsi="Courier New"/>
          <w:sz w:val="16"/>
          <w:szCs w:val="16"/>
          <w:color w:val="auto"/>
        </w:rPr>
      </w:pPr>
    </w:p>
    <w:p>
      <w:pPr>
        <w:ind w:left="960" w:right="725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8" w:lineRule="exact"/>
        <w:rPr>
          <w:rFonts w:ascii="Courier New" w:cs="Courier New" w:eastAsia="Courier New" w:hAnsi="Courier New"/>
          <w:sz w:val="18"/>
          <w:szCs w:val="18"/>
          <w:color w:val="auto"/>
        </w:rPr>
      </w:pPr>
    </w:p>
    <w:p>
      <w:pPr>
        <w:ind w:left="960" w:right="693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8,639,512**</w:t>
      </w:r>
    </w:p>
    <w:p>
      <w:pPr>
        <w:sectPr>
          <w:pgSz w:w="11900" w:h="16838" w:orient="portrait"/>
          <w:cols w:equalWidth="0" w:num="1">
            <w:col w:w="10219"/>
          </w:cols>
          <w:pgMar w:left="240" w:top="244" w:right="1440" w:bottom="0" w:gutter="0" w:footer="0" w:header="0"/>
        </w:sectPr>
      </w:pPr>
    </w:p>
    <w:bookmarkStart w:id="1" w:name="page2"/>
    <w:bookmarkEnd w:id="1"/>
    <w:p>
      <w:pPr>
        <w:ind w:left="960" w:right="6739" w:hanging="531"/>
        <w:spacing w:after="0" w:line="235" w:lineRule="auto"/>
        <w:tabs>
          <w:tab w:leader="none" w:pos="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8,639,512**</w:t>
      </w:r>
    </w:p>
    <w:p>
      <w:pPr>
        <w:spacing w:after="0" w:line="207" w:lineRule="exact"/>
        <w:rPr>
          <w:rFonts w:ascii="Courier New" w:cs="Courier New" w:eastAsia="Courier New" w:hAnsi="Courier New"/>
          <w:sz w:val="18"/>
          <w:szCs w:val="18"/>
          <w:color w:val="auto"/>
        </w:rPr>
      </w:pPr>
    </w:p>
    <w:p>
      <w:pPr>
        <w:ind w:right="3679" w:firstLine="429"/>
        <w:spacing w:after="0" w:line="235" w:lineRule="auto"/>
        <w:tabs>
          <w:tab w:leader="none" w:pos="948"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rFonts w:ascii="Courier New" w:cs="Courier New" w:eastAsia="Courier New" w:hAnsi="Courier New"/>
          <w:sz w:val="18"/>
          <w:szCs w:val="18"/>
          <w:color w:val="auto"/>
        </w:rPr>
      </w:pPr>
    </w:p>
    <w:p>
      <w:pPr>
        <w:ind w:left="420" w:right="461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4.2%**</w:t>
      </w:r>
    </w:p>
    <w:p>
      <w:pPr>
        <w:spacing w:after="0" w:line="208" w:lineRule="exact"/>
        <w:rPr>
          <w:rFonts w:ascii="Courier New" w:cs="Courier New" w:eastAsia="Courier New" w:hAnsi="Courier New"/>
          <w:sz w:val="18"/>
          <w:szCs w:val="18"/>
          <w:color w:val="auto"/>
        </w:rPr>
      </w:pPr>
    </w:p>
    <w:p>
      <w:pPr>
        <w:ind w:left="420" w:right="725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3"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Amdocs Limited ("Amdocs")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1390 Timberlake Manor Parkway</w:t>
      </w:r>
    </w:p>
    <w:p>
      <w:pPr>
        <w:ind w:left="960"/>
        <w:spacing w:after="0"/>
        <w:tabs>
          <w:tab w:leader="none" w:pos="2840" w:val="left"/>
        </w:tabs>
        <w:rPr>
          <w:sz w:val="20"/>
          <w:szCs w:val="20"/>
          <w:color w:val="auto"/>
        </w:rPr>
      </w:pPr>
      <w:r>
        <w:rPr>
          <w:rFonts w:ascii="Courier New" w:cs="Courier New" w:eastAsia="Courier New" w:hAnsi="Courier New"/>
          <w:sz w:val="18"/>
          <w:szCs w:val="18"/>
          <w:color w:val="auto"/>
        </w:rPr>
        <w:t>Chesterfield, MO</w:t>
      </w:r>
      <w:r>
        <w:rPr>
          <w:sz w:val="20"/>
          <w:szCs w:val="20"/>
          <w:color w:val="auto"/>
        </w:rPr>
        <w:tab/>
      </w:r>
      <w:r>
        <w:rPr>
          <w:rFonts w:ascii="Courier New" w:cs="Courier New" w:eastAsia="Courier New" w:hAnsi="Courier New"/>
          <w:sz w:val="16"/>
          <w:szCs w:val="16"/>
          <w:color w:val="auto"/>
        </w:rPr>
        <w:t>63017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right="3259" w:firstLine="421"/>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w:t>
      </w:r>
    </w:p>
    <w:p>
      <w:pPr>
        <w:ind w:left="1480"/>
        <w:spacing w:after="0"/>
        <w:rPr>
          <w:sz w:val="20"/>
          <w:szCs w:val="20"/>
          <w:color w:val="auto"/>
        </w:rPr>
      </w:pPr>
      <w:r>
        <w:rPr>
          <w:rFonts w:ascii="Courier New" w:cs="Courier New" w:eastAsia="Courier New" w:hAnsi="Courier New"/>
          <w:sz w:val="18"/>
          <w:szCs w:val="18"/>
          <w:color w:val="auto"/>
        </w:rPr>
        <w:t>Filing:</w:t>
      </w:r>
    </w:p>
    <w:p>
      <w:pPr>
        <w:spacing w:after="0" w:line="207" w:lineRule="exact"/>
        <w:rPr>
          <w:sz w:val="20"/>
          <w:szCs w:val="20"/>
          <w:color w:val="auto"/>
        </w:rPr>
      </w:pPr>
    </w:p>
    <w:p>
      <w:pPr>
        <w:ind w:left="1480" w:right="3899" w:hanging="524"/>
        <w:spacing w:after="0" w:line="235"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Management LLC ("Janus Capital") 151 Detroit Street</w:t>
      </w:r>
    </w:p>
    <w:p>
      <w:pPr>
        <w:spacing w:after="0" w:line="5" w:lineRule="exact"/>
        <w:rPr>
          <w:rFonts w:ascii="Courier New" w:cs="Courier New" w:eastAsia="Courier New" w:hAnsi="Courier New"/>
          <w:sz w:val="18"/>
          <w:szCs w:val="18"/>
          <w:color w:val="auto"/>
        </w:rPr>
      </w:pPr>
    </w:p>
    <w:p>
      <w:pPr>
        <w:ind w:left="1480" w:right="6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 Citizenship: Delaware</w:t>
      </w:r>
    </w:p>
    <w:p>
      <w:pPr>
        <w:spacing w:after="0" w:line="203"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G02602103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This statement is filed pursuant to Rule 13d-1 (b) or 13d-2(b) and the person</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filing, Janus Capital, is an investment adviser in accordance with Section 240.13d-1(b)(ii)(E) as well as a parent holding company/control person in accordance with Section 240.13d-1(b)(ii)(G). See Item 4 for additional information.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information in items 1 and 5 through 11 on the cover page(s)</w:t>
      </w:r>
    </w:p>
    <w:p>
      <w:pPr>
        <w:spacing w:after="0" w:line="238" w:lineRule="auto"/>
        <w:rPr>
          <w:sz w:val="20"/>
          <w:szCs w:val="20"/>
          <w:color w:val="auto"/>
        </w:rPr>
      </w:pPr>
      <w:r>
        <w:rPr>
          <w:rFonts w:ascii="Courier New" w:cs="Courier New" w:eastAsia="Courier New" w:hAnsi="Courier New"/>
          <w:sz w:val="18"/>
          <w:szCs w:val="18"/>
          <w:color w:val="auto"/>
        </w:rPr>
        <w:t>on Schedule 13G</w:t>
      </w:r>
    </w:p>
    <w:p>
      <w:pPr>
        <w:spacing w:after="0"/>
        <w:rPr>
          <w:sz w:val="20"/>
          <w:szCs w:val="20"/>
          <w:color w:val="auto"/>
        </w:rPr>
      </w:pPr>
      <w:r>
        <w:rPr>
          <w:rFonts w:ascii="Courier New" w:cs="Courier New" w:eastAsia="Courier New" w:hAnsi="Courier New"/>
          <w:sz w:val="18"/>
          <w:szCs w:val="18"/>
          <w:color w:val="auto"/>
        </w:rPr>
        <w:t>is hereby incorporated by reference.</w:t>
      </w:r>
    </w:p>
    <w:p>
      <w:pPr>
        <w:spacing w:after="0" w:line="206"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6"/>
          <w:szCs w:val="16"/>
          <w:color w:val="auto"/>
        </w:rPr>
        <w:t>Janus Capital has a direct 89.9% ownership stake in INTECH Investment Management ("INTECH") and a direct 78.4% ownership stake in Perkins Investment Management LLC("Perkins"). Due to the above ownership structure, holdings for Janus Capital, Perkins and INTECH are aggregated for purposes of this filing. Janus Capital, Perkins and INTECH are registered investment advisers, each furnishing investment advice to various investment companies registered under Section 8 of the Investment Company Act of 1940 and to individual and institutional clients (collectively referred to herein as "Managed Portfolios").</w:t>
      </w:r>
    </w:p>
    <w:p>
      <w:pPr>
        <w:spacing w:after="0" w:line="38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8,639,512</w:t>
      </w:r>
    </w:p>
    <w:p>
      <w:pPr>
        <w:spacing w:after="0" w:line="6"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6"/>
          <w:szCs w:val="16"/>
          <w:color w:val="auto"/>
        </w:rPr>
        <w:t>shares or 4.2% of the shares outstanding of Amdocs Common Stock held by such Managed Portfolios. However, Janus Capital does not have the right to receive any dividends from, or the proceeds from the sale of, the securities held in the Managed Portfolios and</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disclaims any ownership associated with such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dividends from, and the proceeds from the sale of, the securities held in their respective accounts.</w:t>
      </w:r>
    </w:p>
    <w:p>
      <w:pPr>
        <w:spacing w:after="0" w:line="208"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This statement is being filed to report the fact that the reporting persons have</w:t>
      </w:r>
    </w:p>
    <w:p>
      <w:pPr>
        <w:spacing w:after="0" w:line="6"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ceased to be the beneficial owners of more than five percent of the class of securities.</w:t>
      </w:r>
    </w:p>
    <w:p>
      <w:pPr>
        <w:spacing w:after="0" w:line="208"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These shares were acquired in the ordinary course of business, and not with the purpose of changing or influencing control of the Issuer.</w:t>
      </w: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w:t>
      </w:r>
    </w:p>
    <w:p>
      <w:pPr>
        <w:spacing w:after="0" w:line="5" w:lineRule="exact"/>
        <w:rPr>
          <w:sz w:val="20"/>
          <w:szCs w:val="20"/>
          <w:color w:val="auto"/>
        </w:rPr>
      </w:pPr>
    </w:p>
    <w:p>
      <w:pPr>
        <w:jc w:val="both"/>
        <w:ind w:right="3579"/>
        <w:spacing w:after="0" w:line="236" w:lineRule="auto"/>
        <w:rPr>
          <w:sz w:val="20"/>
          <w:szCs w:val="20"/>
          <w:color w:val="auto"/>
        </w:rPr>
      </w:pPr>
      <w:r>
        <w:rPr>
          <w:rFonts w:ascii="Courier New" w:cs="Courier New" w:eastAsia="Courier New" w:hAnsi="Courier New"/>
          <w:sz w:val="18"/>
          <w:szCs w:val="18"/>
          <w:color w:val="auto"/>
        </w:rPr>
        <w:t>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MANAGEMENT LLC</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18"/>
          <w:szCs w:val="18"/>
          <w:color w:val="auto"/>
        </w:rPr>
        <w:t>/s/</w:t>
        <w:tab/>
        <w:t>David R. Kowalski</w:t>
      </w:r>
    </w:p>
    <w:p>
      <w:pPr>
        <w:spacing w:after="0" w:line="238" w:lineRule="auto"/>
        <w:rPr>
          <w:sz w:val="20"/>
          <w:szCs w:val="20"/>
          <w:color w:val="auto"/>
        </w:rPr>
      </w:pPr>
      <w:r>
        <w:rPr>
          <w:rFonts w:ascii="Courier New" w:cs="Courier New" w:eastAsia="Courier New" w:hAnsi="Courier New"/>
          <w:sz w:val="18"/>
          <w:szCs w:val="18"/>
          <w:color w:val="auto"/>
        </w:rPr>
        <w:t>David R. Kowalski,</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Senior Vice President and CCO</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2/17/2009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sectPr>
      <w:pgSz w:w="11900" w:h="16838" w:orient="portrait"/>
      <w:cols w:equalWidth="0" w:num="3">
        <w:col w:w="220" w:space="0"/>
        <w:col w:w="4340" w:space="720"/>
        <w:col w:w="493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lvl w:ilvl="1">
      <w:lvlJc w:val="left"/>
      <w:lvlText w:val="%2."/>
      <w:numFmt w:val="lowerLetter"/>
      <w:start w:val="1"/>
    </w:lvl>
  </w:abstractNum>
  <w:abstractNum w:abstractNumId="4">
    <w:nsid w:val="79E2A9E3"/>
    <w:multiLevelType w:val="hybridMultilevel"/>
    <w:lvl w:ilvl="0">
      <w:lvlJc w:val="left"/>
      <w:lvlText w:val="%1."/>
      <w:numFmt w:val="decimal"/>
      <w:start w:val="3"/>
    </w:lvl>
    <w:lvl w:ilvl="1">
      <w:lvlJc w:val="left"/>
      <w:lvlText w:val="%2"/>
      <w:numFmt w:val="lowerLetter"/>
      <w:start w:val="1"/>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1"/>
      <w:numFmt w:val="decimal"/>
      <w:start w:val="1"/>
    </w:lvl>
    <w:lvl w:ilvl="1">
      <w:lvlJc w:val="left"/>
      <w:lvlText w:val="%2."/>
      <w:numFmt w:val="decimal"/>
      <w:start w:val="8"/>
    </w:lvl>
  </w:abstractNum>
  <w:abstractNum w:abstractNumId="7">
    <w:nsid w:val="5BD062C2"/>
    <w:multiLevelType w:val="hybridMultilevel"/>
    <w:lvl w:ilvl="0">
      <w:lvlJc w:val="left"/>
      <w:lvlText w:val="%1."/>
      <w:numFmt w:val="decimal"/>
      <w:start w:val="11"/>
    </w:lvl>
    <w:lvl w:ilvl="1">
      <w:lvlJc w:val="left"/>
      <w:lvlText w:val="%2"/>
      <w:numFmt w:val="decimal"/>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2019-12-10T17:21:18Z</dcterms:created>
  <dcterms:modified xsi:type="dcterms:W3CDTF">2019-12-10T17:21:18Z</dcterms:modified>
</cp:coreProperties>
</file>