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August 2019</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440" w:top="368" w:right="87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7, 2019, Amdocs Limited (“Amdocs”) issued a press release announcing financial results for the quarter ended June 30, 2019. A copy of the press release is furnished as Exhibit 99.1 to this Report of Foreign Private Issuer on Form 6-K.</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40"/>
          </w:cols>
          <w:pgMar w:left="440" w:top="274" w:right="51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ectPr>
          <w:pgSz w:w="11900" w:h="16838" w:orient="portrait"/>
          <w:cols w:equalWidth="0" w:num="1">
            <w:col w:w="10280"/>
          </w:cols>
          <w:pgMar w:left="440" w:top="270" w:right="117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80"/>
        <w:spacing w:after="0"/>
        <w:tabs>
          <w:tab w:leader="none" w:pos="12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August 7, 2019.</w:t>
      </w:r>
    </w:p>
    <w:p>
      <w:pPr>
        <w:sectPr>
          <w:pgSz w:w="11900" w:h="16838" w:orient="portrait"/>
          <w:cols w:equalWidth="0" w:num="1">
            <w:col w:w="10019"/>
          </w:cols>
          <w:pgMar w:left="4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172085</wp:posOffset>
            </wp:positionV>
            <wp:extent cx="2040890"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8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i w:val="1"/>
          <w:iCs w:val="1"/>
          <w:color w:val="auto"/>
        </w:rPr>
        <w:t>Amdocs Limited Reports Third Quarter Fiscal 2019 Results Record Quarterly Revenue of $1.02 Billion Raises Fiscal 2019 GAAP Diluted EPS Growth Outlook to 37.0%-41.0% YoY Raises Fiscal 2019 Non-GAAP Diluted EPS Growth Outlook to 6.2%-7.8% YoY Acquires TTS Wireless to Further Expand 5G Capabilities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2019 Highlights</w:t>
      </w:r>
    </w:p>
    <w:p>
      <w:pPr>
        <w:spacing w:after="0" w:line="135" w:lineRule="exact"/>
        <w:rPr>
          <w:sz w:val="20"/>
          <w:szCs w:val="20"/>
          <w:color w:val="auto"/>
        </w:rPr>
      </w:pPr>
    </w:p>
    <w:p>
      <w:pPr>
        <w:ind w:left="980" w:hanging="54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$1,025 million, at the midpoint of the $1,005-$1,045 million guidance range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diluted EPS of $0.96, above the $0.82-$0.90 guidance range including the benefit of a lower GAAP effective tax rate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Non-GAAP diluted EPS of $1.19, above the $1.08-$1.14 guidance range including the benefit of a lower non-GAAP effective tax rate</w:t>
      </w:r>
    </w:p>
    <w:p>
      <w:pPr>
        <w:spacing w:after="0" w:line="142" w:lineRule="exact"/>
        <w:rPr>
          <w:rFonts w:ascii="Arial" w:cs="Arial" w:eastAsia="Arial" w:hAnsi="Arial"/>
          <w:sz w:val="17"/>
          <w:szCs w:val="17"/>
          <w:color w:val="auto"/>
        </w:rPr>
      </w:pPr>
    </w:p>
    <w:p>
      <w:pPr>
        <w:ind w:left="980" w:hanging="54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$142 million; GAAP operating margin of 13.9%</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$177 million; non-GAAP operating margin of 17.3%</w:t>
      </w:r>
    </w:p>
    <w:p>
      <w:pPr>
        <w:spacing w:after="0" w:line="130" w:lineRule="exact"/>
        <w:rPr>
          <w:rFonts w:ascii="Arial" w:cs="Arial" w:eastAsia="Arial" w:hAnsi="Arial"/>
          <w:sz w:val="18"/>
          <w:szCs w:val="18"/>
          <w:color w:val="auto"/>
        </w:rPr>
      </w:pPr>
    </w:p>
    <w:p>
      <w:pPr>
        <w:ind w:left="980" w:right="780" w:hanging="54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free cash flow of $129 million, comprised of cash flow from operations of $165 million, less $36 million in net capital expenditures and other; normalized free cash flow of $143 million (1)</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$3.40 billion, up $10 million sequentially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of $0.285 per share to be paid on October 25, 2019</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 LOUIS – August 7, 2019 </w:t>
      </w:r>
      <w:r>
        <w:rPr>
          <w:rFonts w:ascii="Arial" w:cs="Arial" w:eastAsia="Arial" w:hAnsi="Arial"/>
          <w:sz w:val="17"/>
          <w:szCs w:val="17"/>
          <w:color w:val="auto"/>
        </w:rPr>
        <w:t>– Amdocs Limited (NASDAQ: DOX) today reported operating results for the three months ended June 30, 2019.</w:t>
      </w:r>
    </w:p>
    <w:p>
      <w:pPr>
        <w:spacing w:after="0" w:line="146"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refer to the Selected Financial Metrics tables below</w:t>
      </w:r>
    </w:p>
    <w:p>
      <w:pPr>
        <w:sectPr>
          <w:pgSz w:w="11900" w:h="16838" w:orient="portrait"/>
          <w:cols w:equalWidth="0" w:num="1">
            <w:col w:w="11020"/>
          </w:cols>
          <w:pgMar w:left="440" w:top="121" w:right="4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pleased to report solid Q3 results which included record revenue, stable profitability, healthy free cash flow and our best-ever quarter in managed services. Among the Q3 regional highlights, we announced today that Amdocs is enabling the operation of Comcast’s Xfinity Mobile service under a multi-year managed services agreement, and have been chosen by Charter to support the growth of its Spectrum Mobile business. Over in Europe, we signed an additional multi-year managed services agreement with Sky Italia to support its move into fixed broadband and won a new deal to provide our Amdocs NFV solution for SES, a leading global satellite provider. Meanwhile in Rest of World, we extended our managed service arrangement with Vodafone Idea in India for several more years and signed a significant managed transformation agreement with XL Axiata in Indonesia to automate and digitize their operations,” said Shuky Sheffer, president and chief executive -officer of Amdocs Management Limited.</w:t>
      </w:r>
    </w:p>
    <w:p>
      <w:pPr>
        <w:spacing w:after="0" w:line="16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Sheffer continued, “Highlighting our commitment to be the leading independent provider of network services for 5G and the new generation of open cloud networks, we are today excited to announce the acquisition of TTS Wireless. With its field-proven 5G network planning and optimization experience, we believe TTS Wireless will immediately expand our customer footprint at leading American operators. Additionally, we believe TTS Wireless’ highly-skilled network engineering team will enhance Amdocs’ Open 5G portfolio, helping us to execute on our strategy of providing an end-to-end 5G solution that can accelerate and simplify the deployment and monetization of open and smart 5G networks for our customers.</w:t>
      </w:r>
    </w:p>
    <w:p>
      <w:pPr>
        <w:spacing w:after="0" w:line="1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Sheffer concluded, “We are pleased with our operational and financial execution for the fiscal year to date, and we enter our fourth quarter with strong sales momentum as we continue to bring the innovative solutions that our customers need to modernize, automate and digitize their business. Taking everything into consideration, we are on-track to meet our full year targets for constant currency revenue growth and normalized free cash flow. Moreover, we now expect to deliver diluted non-GAAP earnings per share growth in the range of 6.2% to 7.8% for the full fiscal year 2019, the midpoint of which represents an increase of approximately 50 basis points over our previous guidance.”</w:t>
      </w:r>
    </w:p>
    <w:p>
      <w:pPr>
        <w:sectPr>
          <w:pgSz w:w="11900" w:h="16838" w:orient="portrait"/>
          <w:cols w:equalWidth="0" w:num="1">
            <w:col w:w="10960"/>
          </w:cols>
          <w:pgMar w:left="440" w:top="27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 for the third fiscal quarter ended June 30, 2019 was $1,025 million, up $5 million sequentially from the second fiscal quarter of 2019 and up 2.2% as reported and 3.4% in constant currency as compared to last year’s third fiscal quarter. Revenue for the third fiscal quarter of 2019 includes a negative impact from foreign currency movements of approximately $3 million relative to the second quarter of fiscal 2019. Revenue was slightly above the midpoint of Amdocs’ guidance, adjusting for the negative impact of approximately $1 million of foreign currency movements relative to guidance.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GAAP net income for the third quarter of fiscal 2019 was $131.4 million, or $0.96 per diluted share, compared to GAAP net income of $91.5 million, or $0.64 per diluted share, in the prior fiscal year’s third quarter. Net income on a non-GAAP basis was $163.1 million, or $1.19 per diluted share, compared to non-GAAP net income of $147.5 million, or $1.03 per diluted share, in the third quarter of fiscal 2018. Non-GAAP net income excludes amortization of purchased intangible assets and other acquisition-related costs, changes in certain acquisitions related liabilities measured at fair value, equity-based compensation expenses, other, net of related tax effects, in the third quarter of fiscal 2019. For further details of reconciliation of selected financial metrics from GAAP to Non-GAAP, please refer to the tables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980" w:right="280" w:hanging="54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August 7, 2019, the Board approved the Company’s next quarterly cash dividend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$0.285 per share and set September 30, 2019 as the record date for determining the shareholders entitled to receive the dividend, which will be payable on October 25, 2019.</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$89 million of ordinary shares during the third quarter of fiscal 2019.</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Twelve-month Backlog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$3.40 billion at the end of the third quarter of fiscal 2019, up $10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2019 Outlook</w:t>
      </w:r>
    </w:p>
    <w:p>
      <w:pPr>
        <w:spacing w:after="0" w:line="135" w:lineRule="exact"/>
        <w:rPr>
          <w:sz w:val="20"/>
          <w:szCs w:val="20"/>
          <w:color w:val="auto"/>
        </w:rPr>
      </w:pPr>
    </w:p>
    <w:p>
      <w:pPr>
        <w:ind w:left="980" w:right="20" w:hanging="54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approximately $1,015-$1,055 million, assuming approximately $2 million sequential positive impact from foreign currency fluctuations as compared to the third quarter of fiscal 2019, and a partial quarter revenue contribution from the acquisition of TTS Wireless which closed earlier this week</w:t>
      </w:r>
    </w:p>
    <w:p>
      <w:pPr>
        <w:spacing w:after="0" w:line="86" w:lineRule="exact"/>
        <w:rPr>
          <w:rFonts w:ascii="Arial" w:cs="Arial" w:eastAsia="Arial" w:hAnsi="Arial"/>
          <w:sz w:val="18"/>
          <w:szCs w:val="18"/>
          <w:color w:val="auto"/>
        </w:rPr>
      </w:pPr>
    </w:p>
    <w:p>
      <w:pPr>
        <w:ind w:left="980" w:right="20" w:hanging="54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diluted EPS of approximately $0.81-$0.89. The impact of the acquisition of TTS Wireless on GAAP diluted EPS will not be known until after Amdocs completes the purchase price allocation</w:t>
      </w:r>
    </w:p>
    <w:p>
      <w:pPr>
        <w:spacing w:after="0" w:line="75" w:lineRule="exact"/>
        <w:rPr>
          <w:rFonts w:ascii="Arial" w:cs="Arial" w:eastAsia="Arial" w:hAnsi="Arial"/>
          <w:sz w:val="18"/>
          <w:szCs w:val="18"/>
          <w:color w:val="auto"/>
        </w:rPr>
      </w:pPr>
    </w:p>
    <w:p>
      <w:pPr>
        <w:ind w:left="980" w:right="40" w:hanging="54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diluted EPS of approximately $1.04-$1.10, excluding amortization of purchased intangible assets and other acquisition-related costs, changes in certain acquisitions related liabilities measured at fair value, and approximately $0.05-$0.07 per share of equity-based compensation expense, net of related tax effects. The impact of the acquisition of TTS Wireless on Amdocs’ non-GAAP diluted earnings per share is expected to be neutral in the fourth quarter of fiscal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2019 Outlook</w:t>
      </w:r>
    </w:p>
    <w:p>
      <w:pPr>
        <w:spacing w:after="0" w:line="135" w:lineRule="exact"/>
        <w:rPr>
          <w:sz w:val="20"/>
          <w:szCs w:val="20"/>
          <w:color w:val="auto"/>
        </w:rPr>
      </w:pPr>
    </w:p>
    <w:p>
      <w:pPr>
        <w:ind w:left="980" w:hanging="54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revenue growth of 2.4%-3.4% year-over-year as reported compared with 1.8%-3.8% year-over-year previously</w:t>
      </w:r>
    </w:p>
    <w:p>
      <w:pPr>
        <w:spacing w:after="0" w:line="130" w:lineRule="exact"/>
        <w:rPr>
          <w:rFonts w:ascii="Arial" w:cs="Arial" w:eastAsia="Arial" w:hAnsi="Arial"/>
          <w:sz w:val="18"/>
          <w:szCs w:val="18"/>
          <w:color w:val="auto"/>
        </w:rPr>
      </w:pPr>
    </w:p>
    <w:p>
      <w:pPr>
        <w:ind w:left="980" w:right="2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revenue growth of 3.6%-4.6% year-over-year on a constant currency basis, the midpoint of which is slightly higher compared with 3.0%-5.0% year-over-year previously</w:t>
      </w:r>
    </w:p>
    <w:p>
      <w:pPr>
        <w:spacing w:after="0" w:line="75" w:lineRule="exact"/>
        <w:rPr>
          <w:rFonts w:ascii="Arial" w:cs="Arial" w:eastAsia="Arial" w:hAnsi="Arial"/>
          <w:sz w:val="18"/>
          <w:szCs w:val="18"/>
          <w:color w:val="auto"/>
        </w:rPr>
      </w:pPr>
    </w:p>
    <w:p>
      <w:pPr>
        <w:ind w:left="980" w:right="22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year fiscal 2019 revenue guidance incorporates an expected negative impact from foreign currency fluctuations of about 1.2% year-over-year, consistent with our previous expectation</w:t>
      </w:r>
    </w:p>
    <w:p>
      <w:pPr>
        <w:spacing w:after="0" w:line="75" w:lineRule="exact"/>
        <w:rPr>
          <w:rFonts w:ascii="Arial" w:cs="Arial" w:eastAsia="Arial" w:hAnsi="Arial"/>
          <w:sz w:val="18"/>
          <w:szCs w:val="18"/>
          <w:color w:val="auto"/>
        </w:rPr>
      </w:pPr>
    </w:p>
    <w:p>
      <w:pPr>
        <w:ind w:left="980" w:right="300" w:hanging="54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GAAP diluted earnings per share growth of roughly 37.0%-41.0% year-over-year compared with 33.0%-41.0% year-over-year previously. The impact of the acquisition of TTS Wireless on GAAP diluted EPS will not be known until after Amdocs completes the purchase price allocation</w:t>
      </w:r>
    </w:p>
    <w:p>
      <w:pPr>
        <w:sectPr>
          <w:pgSz w:w="11900" w:h="16838" w:orient="portrait"/>
          <w:cols w:equalWidth="0" w:num="1">
            <w:col w:w="11020"/>
          </w:cols>
          <w:pgMar w:left="440" w:top="270" w:right="439" w:bottom="1440" w:gutter="0" w:footer="0" w:header="0"/>
        </w:sectPr>
      </w:pPr>
    </w:p>
    <w:bookmarkStart w:id="8" w:name="page9"/>
    <w:bookmarkEnd w:id="8"/>
    <w:p>
      <w:pPr>
        <w:ind w:left="980" w:hanging="544"/>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Expects non-GAAP diluted earnings per share growth of roughly 6.2%-7.8% year-over-year compared with 4.5%-8.5% year-over-year previously, excluding amortization of purchased intangible assets and other acquisition-related costs, changes in certain acquisitions related liabilities measured at fair value, approximately $0.24-$0.26 per share of equity-based compensation expense and other, net of related tax effects. The impact of the acquisition of TTS Wireless on Amdocs’ non-GAAP diluted earnings per share is expected to be neutral in fiscal year 2019, and neutral in the first full year after closing thereafter</w:t>
      </w:r>
    </w:p>
    <w:p>
      <w:pPr>
        <w:spacing w:after="0" w:line="77" w:lineRule="exact"/>
        <w:rPr>
          <w:rFonts w:ascii="Arial" w:cs="Arial" w:eastAsia="Arial" w:hAnsi="Arial"/>
          <w:sz w:val="17"/>
          <w:szCs w:val="17"/>
          <w:color w:val="auto"/>
        </w:rPr>
      </w:pPr>
    </w:p>
    <w:p>
      <w:pPr>
        <w:ind w:left="980" w:right="240" w:hanging="54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Reiterates free cash flow guidance of approximately $500 million, comprised of cash flow from operations, less net capital expenditures and other, and normalized free cash flow of approximately $600 million</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fourth fiscal quarter 2019 and full year fiscal 2019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T-Mobile’s proposed merger with Sprint, or from other current and potential customer consolidation activity.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Board Member</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 xml:space="preserve">Amdocs is pleased to announce the appointment of John A. MacDonald to the company’s board of directors, effective August 5, 2019, and subject to re-election at Amdocs’ next annual general meeting on Friday, January 31, 2020. For more information, please visit the Investor Relations section of Amdocs’ website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Amdocs will host a conference call on August 7, 2019 at 5:00 p.m. Eastern Time to discuss the Company’s third quarter of fiscal 2019 results. To participate, please dial +1 (844) 513-7152, or +1 (508) 637-5600 outside the United States, approximately 15 minutes before the call and enter passcode 5692979. The call will also be carried live on the Internet via the Amdocs website, www.amdocs.com.</w:t>
      </w:r>
    </w:p>
    <w:p>
      <w:pPr>
        <w:sectPr>
          <w:pgSz w:w="11900" w:h="16838" w:orient="portrait"/>
          <w:cols w:equalWidth="0" w:num="1">
            <w:col w:w="11020"/>
          </w:cols>
          <w:pgMar w:left="4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release includes non-GAAP diluted earnings per share and other non-GAAP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non-GAAP measures exclude the following items:</w:t>
      </w:r>
    </w:p>
    <w:p>
      <w:pPr>
        <w:spacing w:after="0" w:line="77" w:lineRule="exact"/>
        <w:rPr>
          <w:sz w:val="20"/>
          <w:szCs w:val="20"/>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non-recurring and unusual charges;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Free cash flow equals cash generated by operating activities less net capital expenditures and other, and normalized free cash flow is adjusted to exclude net capital expenditures related to the new campus development, payments for previously expensed restructuring charges, payments for legal dispute settlement,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0980"/>
          </w:cols>
          <w:pgMar w:left="440" w:top="270" w:right="479" w:bottom="1440" w:gutter="0" w:footer="0" w:header="0"/>
        </w:sectPr>
      </w:pPr>
    </w:p>
    <w:bookmarkStart w:id="10" w:name="page11"/>
    <w:bookmarkEnd w:id="1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6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1900" w:h="16838" w:orient="portrait"/>
          <w:cols w:equalWidth="0" w:num="1">
            <w:col w:w="10960"/>
          </w:cols>
          <w:pgMar w:left="440" w:top="274"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Supporting Resources</w:t>
      </w:r>
    </w:p>
    <w:p>
      <w:pPr>
        <w:spacing w:after="0" w:line="135"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Amdocs is a leading software and services provider to communications and media companies of all sizes, accelerating the industry’s dynamic and continuous digital transformation. With a rich set of innovative solutions, long-term business relationships with 350 communications and media providers, and technology and distribution ties to 600 content creators, Amdocs delivers business improvements to drive growth. Amdocs and its 25,000 employees serve customers in over 85 countries. Listed on the NASDAQ Global Select Market, Amdocs had revenue of $4.0 billion in fiscal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w:t>
      </w:r>
    </w:p>
    <w:p>
      <w:pPr>
        <w:sectPr>
          <w:pgSz w:w="11900" w:h="16838" w:orient="portrait"/>
          <w:cols w:equalWidth="0" w:num="1">
            <w:col w:w="11020"/>
          </w:cols>
          <w:pgMar w:left="440" w:top="270" w:right="4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specifically disclaims any obligation to do so. These and other risks are discussed at greater length in Amdocs’ filings with the Securities and Exchange Commission, including in our Annual Report on Form 20-F for the fiscal year ended September 30, 2018 filed on December 10, 2018 and our Form 6-K furnished for the first quarter of fiscal 2019 on February 19, 2019 and for the second quarter of fiscal 2019 on May 28,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000"/>
          </w:cols>
          <w:pgMar w:left="440" w:top="274" w:right="4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1,002,198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3,056,416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2,972,249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1,986,043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1,940,353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203,827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73,543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882,384</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896,680</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2,630,824</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2,612,761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86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8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63,870</w:t>
            </w: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136,541</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141,972</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138,126</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143,196</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138,769</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0.285</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0.250</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0.820</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9"/>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$1,024,704</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$1,002,198</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$3,056,416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$2,972,249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177,289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173,590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529,900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514,414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163,126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147,547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137,082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143,196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7680" w:type="dxa"/>
            <w:vAlign w:val="bottom"/>
            <w:gridSpan w:val="5"/>
          </w:tcPr>
          <w:p>
            <w:pPr>
              <w:jc w:val="right"/>
              <w:ind w:right="204"/>
              <w:spacing w:after="0"/>
              <w:rPr>
                <w:sz w:val="20"/>
                <w:szCs w:val="20"/>
                <w:color w:val="auto"/>
              </w:rPr>
            </w:pPr>
            <w:r>
              <w:rPr>
                <w:rFonts w:ascii="Arial" w:cs="Arial" w:eastAsia="Arial" w:hAnsi="Arial"/>
                <w:sz w:val="18"/>
                <w:szCs w:val="18"/>
                <w:b w:val="1"/>
                <w:bCs w:val="1"/>
                <w:color w:val="auto"/>
              </w:rPr>
              <w:t>Free Cash Flows and Normalized Free Cash Flow</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9"/>
              </w:rPr>
              <w:t>(In thousands)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Borders>
              <w:top w:val="single" w:sz="8" w:color="auto"/>
            </w:tcBorders>
            <w:gridSpan w:val="2"/>
          </w:tcPr>
          <w:p>
            <w:pPr>
              <w:jc w:val="center"/>
              <w:ind w:left="104"/>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$164,473</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$163,571</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$442,752</w:t>
            </w:r>
          </w:p>
        </w:tc>
        <w:tc>
          <w:tcPr>
            <w:tcW w:w="1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441,900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Purchases of property and equipment, net (*)</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(35,833)</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(35,127)</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(93,761)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(197,253)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8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128,640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128,231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348,991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244,324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Payments for legal dispute settlement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3,455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14,394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capital expenditures related to the new campus development (*)</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3,410</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980" w:type="dxa"/>
            <w:vAlign w:val="bottom"/>
            <w:gridSpan w:val="2"/>
          </w:tcPr>
          <w:p>
            <w:pPr>
              <w:spacing w:after="0"/>
              <w:rPr>
                <w:sz w:val="20"/>
                <w:szCs w:val="20"/>
                <w:color w:val="auto"/>
              </w:rPr>
            </w:pPr>
            <w:r>
              <w:rPr>
                <w:rFonts w:ascii="Arial" w:cs="Arial" w:eastAsia="Arial" w:hAnsi="Arial"/>
                <w:sz w:val="18"/>
                <w:szCs w:val="18"/>
                <w:color w:val="auto"/>
              </w:rPr>
              <w:t>Payments of acquisition related liabilities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7,667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Normalized Free Cash Flow</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143,172</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129,211</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423,846</w:t>
            </w:r>
          </w:p>
        </w:tc>
        <w:tc>
          <w:tcPr>
            <w:tcW w:w="1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339,335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right="60" w:hanging="215"/>
        <w:spacing w:after="0" w:line="286" w:lineRule="auto"/>
        <w:rPr>
          <w:sz w:val="20"/>
          <w:szCs w:val="20"/>
          <w:color w:val="auto"/>
        </w:rPr>
      </w:pPr>
      <w:r>
        <w:rPr>
          <w:rFonts w:ascii="Arial" w:cs="Arial" w:eastAsia="Arial" w:hAnsi="Arial"/>
          <w:sz w:val="17"/>
          <w:szCs w:val="17"/>
          <w:color w:val="auto"/>
        </w:rPr>
        <w:t>(*)The amounts under “Purchase of property and equipment, net”, and the amounts under “Net capital expenditures related to the new campus development” include proceeds of $9,676 relating to the refund of betterment levy for the nine months ended 30 June 2019 and proceeds from sale of property and equipment of $11 and $74, $57 and $113, for the three and nine months ended 30 June 2019 and 2018, respectively.</w:t>
      </w:r>
    </w:p>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gridSpan w:val="7"/>
          </w:tcPr>
          <w:p>
            <w:pPr>
              <w:jc w:val="center"/>
              <w:ind w:right="30"/>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June 30, 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Reconciliation items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Changes in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certain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acquisition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20" w:type="dxa"/>
            <w:vAlign w:val="bottom"/>
          </w:tcPr>
          <w:p>
            <w:pPr>
              <w:spacing w:after="0"/>
              <w:rPr>
                <w:sz w:val="12"/>
                <w:szCs w:val="12"/>
                <w:color w:val="auto"/>
              </w:rPr>
            </w:pPr>
          </w:p>
        </w:tc>
        <w:tc>
          <w:tcPr>
            <w:tcW w:w="98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3"/>
              </w:rPr>
              <w:t>Equity-based</w:t>
            </w: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liabilities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measured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GAAP</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at fair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85"/>
              </w:rPr>
              <w:t>expense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effect</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664,862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(5,080)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(2,076)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$ 657,706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125,088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(3,147)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 intangible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882,384</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847,415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142,320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131,448</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$ 163,126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7"/>
          </w:tcPr>
          <w:p>
            <w:pPr>
              <w:jc w:val="center"/>
              <w:ind w:right="30"/>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June 30,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Reconciliation items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Changes in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certain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20" w:type="dxa"/>
            <w:vAlign w:val="bottom"/>
          </w:tcPr>
          <w:p>
            <w:pPr>
              <w:spacing w:after="0"/>
              <w:rPr>
                <w:sz w:val="12"/>
                <w:szCs w:val="12"/>
                <w:color w:val="auto"/>
              </w:rPr>
            </w:pPr>
          </w:p>
        </w:tc>
        <w:tc>
          <w:tcPr>
            <w:tcW w:w="98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3"/>
              </w:rPr>
              <w:t>Equity-based</w:t>
            </w: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liabilities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measured</w:t>
            </w:r>
          </w:p>
        </w:tc>
        <w:tc>
          <w:tcPr>
            <w:tcW w:w="10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GAAP</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at fair</w:t>
            </w:r>
          </w:p>
        </w:tc>
        <w:tc>
          <w:tcPr>
            <w:tcW w:w="10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85"/>
              </w:rPr>
              <w:t>expense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charges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effect</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650,569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(5,074)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$ 644,923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116,396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(4,369)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 intangible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26,929</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896,680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105,518</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6"/>
              </w:rPr>
              <w:t>572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91,530</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6"/>
              </w:rPr>
              <w:t>572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(12,055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$ 147,547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20" w:type="dxa"/>
            <w:vAlign w:val="bottom"/>
          </w:tcPr>
          <w:p>
            <w:pPr>
              <w:spacing w:after="0"/>
              <w:rPr>
                <w:sz w:val="10"/>
                <w:szCs w:val="10"/>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Equity-based</w:t>
            </w:r>
          </w:p>
        </w:tc>
        <w:tc>
          <w:tcPr>
            <w:tcW w:w="200" w:type="dxa"/>
            <w:vAlign w:val="bottom"/>
          </w:tcPr>
          <w:p>
            <w:pPr>
              <w:spacing w:after="0"/>
              <w:rPr>
                <w:sz w:val="10"/>
                <w:szCs w:val="10"/>
                <w:color w:val="auto"/>
              </w:rPr>
            </w:pPr>
          </w:p>
        </w:tc>
        <w:tc>
          <w:tcPr>
            <w:tcW w:w="136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Changes in certain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5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acquisitions related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GAAP</w:t>
            </w:r>
          </w:p>
        </w:tc>
        <w:tc>
          <w:tcPr>
            <w:tcW w:w="140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intangible assets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5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liabilities measured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at 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effect</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1,986,043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(15,261)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$1,970,583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w w:val="97"/>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367,411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intangible assets 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2,630,824</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2,526,516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6"/>
              </w:rPr>
              <w:t>199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6"/>
              </w:rPr>
              <w:t>199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(15,800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Nine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20" w:type="dxa"/>
            <w:vAlign w:val="bottom"/>
          </w:tcPr>
          <w:p>
            <w:pPr>
              <w:spacing w:after="0"/>
              <w:rPr>
                <w:sz w:val="10"/>
                <w:szCs w:val="10"/>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Equity-based</w:t>
            </w:r>
          </w:p>
        </w:tc>
        <w:tc>
          <w:tcPr>
            <w:tcW w:w="200" w:type="dxa"/>
            <w:vAlign w:val="bottom"/>
          </w:tcPr>
          <w:p>
            <w:pPr>
              <w:spacing w:after="0"/>
              <w:rPr>
                <w:sz w:val="10"/>
                <w:szCs w:val="10"/>
                <w:color w:val="auto"/>
              </w:rPr>
            </w:pPr>
          </w:p>
        </w:tc>
        <w:tc>
          <w:tcPr>
            <w:tcW w:w="136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Changes in certain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5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acquisitions related</w:t>
            </w:r>
          </w:p>
        </w:tc>
        <w:tc>
          <w:tcPr>
            <w:tcW w:w="11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GAAP</w:t>
            </w:r>
          </w:p>
        </w:tc>
        <w:tc>
          <w:tcPr>
            <w:tcW w:w="140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intangible assets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5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liabilities measured</w:t>
            </w:r>
          </w:p>
        </w:tc>
        <w:tc>
          <w:tcPr>
            <w:tcW w:w="11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at 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charges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effect</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1,940,353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(14,502)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(9,033)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$1,916,818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355,263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(17,414)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purchased intangible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2,612,761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2,457,835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359,488</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310,130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(25,693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June 30,</w:t>
            </w:r>
          </w:p>
        </w:tc>
        <w:tc>
          <w:tcPr>
            <w:tcW w:w="11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Accounts receivable, net, including unbilled of $206,285 and $263,997, respectively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952,891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971,502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235,644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1,646,242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1,720,717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2,648,395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2,710,144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447,264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5,234,619</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5,347,815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1,067,065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1,162,543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9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115,963</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1,183,028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523,906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560,816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3,485,332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3,448,879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9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42,353</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3,527,685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3,492,042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5,234,619</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5,347,815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Nine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$ 357,419</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$ 310,130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155,258</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157,421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30,566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(9,455)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4,655</w:t>
            </w: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(79,232)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(36,192)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Income taxes payable, net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(4,605)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(2,291)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Purchases of property and equipment, net (*)</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(93,761)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(197,253)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51,473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(8,782)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(49,954)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(325,354)</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(308,036)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25,706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(108,886)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 by noncontrolling interests, net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(4,776)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(7,470)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(403,793)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(305,596)</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(189,050)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418,783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$ 407,788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$ 460,561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7" w:lineRule="exact"/>
        <w:rPr>
          <w:sz w:val="20"/>
          <w:szCs w:val="20"/>
          <w:color w:val="auto"/>
        </w:rPr>
      </w:pPr>
    </w:p>
    <w:p>
      <w:pPr>
        <w:ind w:left="220" w:right="100" w:hanging="215"/>
        <w:spacing w:after="0" w:line="264" w:lineRule="auto"/>
        <w:rPr>
          <w:sz w:val="20"/>
          <w:szCs w:val="20"/>
          <w:color w:val="auto"/>
        </w:rPr>
      </w:pPr>
      <w:r>
        <w:rPr>
          <w:rFonts w:ascii="Arial" w:cs="Arial" w:eastAsia="Arial" w:hAnsi="Arial"/>
          <w:sz w:val="18"/>
          <w:szCs w:val="18"/>
          <w:color w:val="auto"/>
        </w:rPr>
        <w:t>(*)The amounts under “Purchase of property and equipment, net”, include proceeds of $9,676 relating to the refund of betterment levy for the nine months ended June 30, 2019 and proceeds from sale of property and equipment of $74 and $113, for the nine months ended June 30, 2019 and 2018, respectively.</w:t>
      </w:r>
    </w:p>
    <w:p>
      <w:pPr>
        <w:sectPr>
          <w:pgSz w:w="11900" w:h="16838" w:orient="portrait"/>
          <w:cols w:equalWidth="0" w:num="1">
            <w:col w:w="11040"/>
          </w:cols>
          <w:pgMar w:left="440" w:top="270" w:right="4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72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8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0" w:type="dxa"/>
            <w:vAlign w:val="bottom"/>
            <w:gridSpan w:val="5"/>
          </w:tcPr>
          <w:p>
            <w:pPr>
              <w:ind w:left="260"/>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8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643.9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644.8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Europe</w:t>
            </w:r>
          </w:p>
        </w:tc>
        <w:tc>
          <w:tcPr>
            <w:tcW w:w="2800" w:type="dxa"/>
            <w:vAlign w:val="bottom"/>
            <w:gridSpan w:val="4"/>
          </w:tcPr>
          <w:p>
            <w:pPr>
              <w:jc w:val="right"/>
              <w:ind w:right="20"/>
              <w:spacing w:after="0"/>
              <w:rPr>
                <w:sz w:val="20"/>
                <w:szCs w:val="20"/>
                <w:color w:val="auto"/>
              </w:rPr>
            </w:pPr>
            <w:r>
              <w:rPr>
                <w:rFonts w:ascii="Arial" w:cs="Arial" w:eastAsia="Arial" w:hAnsi="Arial"/>
                <w:sz w:val="18"/>
                <w:szCs w:val="18"/>
                <w:color w:val="auto"/>
              </w:rPr>
              <w:t>145.5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150.6</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60" w:type="dxa"/>
            <w:vAlign w:val="bottom"/>
            <w:shd w:val="clear" w:color="auto" w:fill="CCEEFF"/>
          </w:tcPr>
          <w:p>
            <w:pPr>
              <w:spacing w:after="0"/>
              <w:rPr>
                <w:sz w:val="18"/>
                <w:szCs w:val="18"/>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1,024.7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1,019.7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1,002.2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6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5"/>
          </w:tcPr>
          <w:p>
            <w:pPr>
              <w:jc w:val="right"/>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1100" w:type="dxa"/>
            <w:vAlign w:val="bottom"/>
            <w:gridSpan w:val="4"/>
          </w:tcPr>
          <w:p>
            <w:pPr>
              <w:jc w:val="center"/>
              <w:ind w:left="15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0"/>
                <w:szCs w:val="10"/>
                <w:color w:val="auto"/>
              </w:rPr>
            </w:pPr>
          </w:p>
        </w:tc>
        <w:tc>
          <w:tcPr>
            <w:tcW w:w="9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20" w:type="dxa"/>
            <w:vAlign w:val="bottom"/>
          </w:tcPr>
          <w:p>
            <w:pPr>
              <w:spacing w:after="0"/>
              <w:rPr>
                <w:sz w:val="10"/>
                <w:szCs w:val="10"/>
                <w:color w:val="auto"/>
              </w:rPr>
            </w:pPr>
          </w:p>
        </w:tc>
        <w:tc>
          <w:tcPr>
            <w:tcW w:w="640" w:type="dxa"/>
            <w:vAlign w:val="bottom"/>
            <w:gridSpan w:val="2"/>
          </w:tcPr>
          <w:p>
            <w:pPr>
              <w:jc w:val="center"/>
              <w:ind w:left="24"/>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gridSpan w:val="3"/>
          </w:tcPr>
          <w:p>
            <w:pPr>
              <w:jc w:val="center"/>
              <w:ind w:left="2041"/>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860" w:type="dxa"/>
            <w:vAlign w:val="bottom"/>
            <w:gridSpan w:val="3"/>
          </w:tcPr>
          <w:p>
            <w:pPr>
              <w:jc w:val="center"/>
              <w:ind w:left="241"/>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2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578.1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559.5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515.0</w:t>
            </w:r>
          </w:p>
        </w:tc>
        <w:tc>
          <w:tcPr>
            <w:tcW w:w="60" w:type="dxa"/>
            <w:vAlign w:val="bottom"/>
            <w:tcBorders>
              <w:top w:val="single" w:sz="8" w:color="CCEEFF"/>
            </w:tcBorders>
            <w:shd w:val="clear" w:color="auto" w:fill="CCEEFF"/>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6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5"/>
          </w:tcPr>
          <w:p>
            <w:pPr>
              <w:jc w:val="right"/>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1100" w:type="dxa"/>
            <w:vAlign w:val="bottom"/>
            <w:gridSpan w:val="4"/>
          </w:tcPr>
          <w:p>
            <w:pPr>
              <w:jc w:val="center"/>
              <w:ind w:left="15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0"/>
                <w:szCs w:val="10"/>
                <w:color w:val="auto"/>
              </w:rPr>
            </w:pPr>
          </w:p>
        </w:tc>
        <w:tc>
          <w:tcPr>
            <w:tcW w:w="9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20" w:type="dxa"/>
            <w:vAlign w:val="bottom"/>
          </w:tcPr>
          <w:p>
            <w:pPr>
              <w:spacing w:after="0"/>
              <w:rPr>
                <w:sz w:val="10"/>
                <w:szCs w:val="10"/>
                <w:color w:val="auto"/>
              </w:rPr>
            </w:pPr>
          </w:p>
        </w:tc>
        <w:tc>
          <w:tcPr>
            <w:tcW w:w="640" w:type="dxa"/>
            <w:vAlign w:val="bottom"/>
            <w:gridSpan w:val="2"/>
          </w:tcPr>
          <w:p>
            <w:pPr>
              <w:jc w:val="center"/>
              <w:ind w:left="24"/>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gridSpan w:val="3"/>
          </w:tcPr>
          <w:p>
            <w:pPr>
              <w:jc w:val="center"/>
              <w:ind w:left="2041"/>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860" w:type="dxa"/>
            <w:vAlign w:val="bottom"/>
            <w:gridSpan w:val="3"/>
          </w:tcPr>
          <w:p>
            <w:pPr>
              <w:jc w:val="center"/>
              <w:ind w:left="241"/>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2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3,390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3,330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 #</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2019-12-20T23:57:53Z</dcterms:created>
  <dcterms:modified xsi:type="dcterms:W3CDTF">2019-12-20T23:57:53Z</dcterms:modified>
</cp:coreProperties>
</file>