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month of August 2022</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169545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Hirzel House, Smith Street,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 Peter Port, Island of Guernsey, GY1 2NG</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Amdocs, Inc.</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625 Maryville Centre Drive, Suite 200, Saint Louis, Missouri 63141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0" w:lineRule="exact"/>
        <w:rPr>
          <w:sz w:val="24"/>
          <w:szCs w:val="24"/>
          <w:color w:val="auto"/>
        </w:rPr>
      </w:pPr>
    </w:p>
    <w:p>
      <w:pPr>
        <w:ind w:left="3500"/>
        <w:spacing w:after="0" w:line="138" w:lineRule="exact"/>
        <w:tabs>
          <w:tab w:leader="none" w:pos="47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17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1"/>
          <w:szCs w:val="11"/>
          <w:color w:val="auto"/>
        </w:rPr>
        <w:t>Indicate by check mark whether the registrant by furnishing the information contained in this form is also thereby furnishing the information to the</w:t>
      </w:r>
    </w:p>
    <w:p>
      <w:pPr>
        <w:spacing w:after="0" w:line="28"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Commission pursuant to Rule 12g3-2(b) under the Securities Exchange Act of 1934:</w:t>
      </w:r>
    </w:p>
    <w:p>
      <w:pPr>
        <w:spacing w:after="0" w:line="119" w:lineRule="exact"/>
        <w:rPr>
          <w:sz w:val="24"/>
          <w:szCs w:val="24"/>
          <w:color w:val="auto"/>
        </w:rPr>
      </w:pPr>
    </w:p>
    <w:p>
      <w:pPr>
        <w:jc w:val="center"/>
        <w:spacing w:after="0" w:line="138" w:lineRule="exact"/>
        <w:tabs>
          <w:tab w:leader="none" w:pos="34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7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113665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142240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right="8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August 3, 2022, Amdocs Limited (“Amdocs”) issued a press release announcing financial results for the quarter ended June 30, 2022. A copy of the press release and the accompanying presentation are furnished as Exhibits 99.1 and 99.2 to this Report of Foreign Private Issuer on Form 6-K.</w:t>
      </w:r>
    </w:p>
    <w:p>
      <w:pPr>
        <w:spacing w:after="0" w:line="111"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2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AMDOCS LIMITED</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10795</wp:posOffset>
            </wp:positionV>
            <wp:extent cx="1708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Matthew E. Smith</w:t>
      </w:r>
    </w:p>
    <w:p>
      <w:pPr>
        <w:spacing w:after="0" w:line="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Secretary and Authorized Signatory</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August 3, 2022</w:t>
      </w:r>
    </w:p>
    <w:p>
      <w:pPr>
        <w:sectPr>
          <w:pgSz w:w="11900" w:h="16838" w:orient="portrait"/>
          <w:cols w:equalWidth="0" w:num="1">
            <w:col w:w="9019"/>
          </w:cols>
          <w:pgMar w:left="1440" w:top="224" w:right="1440" w:bottom="1440" w:gutter="0" w:footer="0" w:header="0"/>
        </w:sectPr>
      </w:pPr>
    </w:p>
    <w:bookmarkStart w:id="3" w:name="page4"/>
    <w:bookmarkEnd w:id="3"/>
    <w:tbl>
      <w:tblPr>
        <w:tblLayout w:type="fixed"/>
        <w:tblInd w:w="84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72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EXHIBIT INDEX</w:t>
            </w:r>
          </w:p>
        </w:tc>
        <w:tc>
          <w:tcPr>
            <w:tcW w:w="0" w:type="dxa"/>
            <w:vAlign w:val="bottom"/>
          </w:tcPr>
          <w:p>
            <w:pPr>
              <w:spacing w:after="0"/>
              <w:rPr>
                <w:sz w:val="1"/>
                <w:szCs w:val="1"/>
                <w:color w:val="auto"/>
              </w:rPr>
            </w:pPr>
          </w:p>
        </w:tc>
      </w:tr>
      <w:tr>
        <w:trPr>
          <w:trHeight w:val="247"/>
        </w:trPr>
        <w:tc>
          <w:tcPr>
            <w:tcW w:w="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DESCRIPTION</w:t>
            </w:r>
          </w:p>
        </w:tc>
        <w:tc>
          <w:tcPr>
            <w:tcW w:w="0" w:type="dxa"/>
            <w:vAlign w:val="bottom"/>
          </w:tcPr>
          <w:p>
            <w:pPr>
              <w:spacing w:after="0"/>
              <w:rPr>
                <w:sz w:val="1"/>
                <w:szCs w:val="1"/>
                <w:color w:val="auto"/>
              </w:rPr>
            </w:pPr>
          </w:p>
        </w:tc>
      </w:tr>
      <w:tr>
        <w:trPr>
          <w:trHeight w:val="113"/>
        </w:trPr>
        <w:tc>
          <w:tcPr>
            <w:tcW w:w="80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NO.</w:t>
            </w:r>
          </w:p>
        </w:tc>
        <w:tc>
          <w:tcPr>
            <w:tcW w:w="6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420" w:type="dxa"/>
            <w:vAlign w:val="bottom"/>
          </w:tcPr>
          <w:p>
            <w:pPr>
              <w:spacing w:after="0"/>
              <w:rPr>
                <w:sz w:val="14"/>
                <w:szCs w:val="14"/>
                <w:color w:val="auto"/>
              </w:rPr>
            </w:pPr>
          </w:p>
        </w:tc>
        <w:tc>
          <w:tcPr>
            <w:tcW w:w="6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Amdocs Limited Press Release dated August 3, 2022.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420" w:type="dxa"/>
            <w:vAlign w:val="bottom"/>
          </w:tcPr>
          <w:p>
            <w:pPr>
              <w:spacing w:after="0"/>
              <w:rPr>
                <w:sz w:val="17"/>
                <w:szCs w:val="17"/>
                <w:color w:val="auto"/>
              </w:rPr>
            </w:pPr>
          </w:p>
        </w:tc>
        <w:tc>
          <w:tcPr>
            <w:tcW w:w="18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Fiscal Q3 2022 Earnings Presentation</w:t>
            </w:r>
          </w:p>
        </w:tc>
        <w:tc>
          <w:tcPr>
            <w:tcW w:w="76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4" w:name="page5"/>
    <w:bookmarkEnd w:id="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167640</wp:posOffset>
            </wp:positionV>
            <wp:extent cx="4149090" cy="88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49090" cy="88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Amdochs Limited Reports Third Quarter Fiscal 2022 Results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Record Quarterly Revenue of $1.16 Billion, up 8.8% YoY as Reported and up 10.8% YoY in Constant Currency</w:t>
      </w:r>
      <w:r>
        <w:rPr>
          <w:rFonts w:ascii="Times New Roman" w:cs="Times New Roman" w:eastAsia="Times New Roman" w:hAnsi="Times New Roman"/>
          <w:sz w:val="17"/>
          <w:szCs w:val="17"/>
          <w:i w:val="1"/>
          <w:iCs w:val="1"/>
          <w:color w:val="auto"/>
          <w:vertAlign w:val="superscript"/>
        </w:rPr>
        <w:t>(3)</w:t>
      </w:r>
    </w:p>
    <w:p>
      <w:pPr>
        <w:jc w:val="center"/>
        <w:spacing w:after="0"/>
        <w:rPr>
          <w:sz w:val="20"/>
          <w:szCs w:val="20"/>
          <w:color w:val="auto"/>
        </w:rPr>
      </w:pPr>
      <w:r>
        <w:rPr>
          <w:rFonts w:ascii="Times New Roman" w:cs="Times New Roman" w:eastAsia="Times New Roman" w:hAnsi="Times New Roman"/>
          <w:sz w:val="12"/>
          <w:szCs w:val="12"/>
          <w:i w:val="1"/>
          <w:iCs w:val="1"/>
          <w:color w:val="auto"/>
        </w:rPr>
        <w:t>Strong Sales Momentum &amp; Record 12-Month Backlog of $3.95 Billion, up 10% YoY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Fiscal 2022 Revenue Growth Outlook Consistent with Midpoint of 6.2%-7.2% YoY Guidance Range, as Reported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xml:space="preserve">On-Track for Fiscal 2022 Revenue Growth of Roughly </w:t>
      </w:r>
      <w:r>
        <w:rPr>
          <w:rFonts w:ascii="Times New Roman" w:cs="Times New Roman" w:eastAsia="Times New Roman" w:hAnsi="Times New Roman"/>
          <w:sz w:val="12"/>
          <w:szCs w:val="12"/>
          <w:b w:val="1"/>
          <w:bCs w:val="1"/>
          <w:i w:val="1"/>
          <w:iCs w:val="1"/>
          <w:color w:val="auto"/>
        </w:rPr>
        <w:t>10%</w:t>
      </w:r>
      <w:r>
        <w:rPr>
          <w:rFonts w:ascii="Times New Roman" w:cs="Times New Roman" w:eastAsia="Times New Roman" w:hAnsi="Times New Roman"/>
          <w:sz w:val="12"/>
          <w:szCs w:val="12"/>
          <w:i w:val="1"/>
          <w:iCs w:val="1"/>
          <w:color w:val="auto"/>
        </w:rPr>
        <w:t xml:space="preserve"> YoY in Constant Currency</w:t>
      </w:r>
      <w:r>
        <w:rPr>
          <w:rFonts w:ascii="Times New Roman" w:cs="Times New Roman" w:eastAsia="Times New Roman" w:hAnsi="Times New Roman"/>
          <w:sz w:val="17"/>
          <w:szCs w:val="17"/>
          <w:i w:val="1"/>
          <w:iCs w:val="1"/>
          <w:color w:val="auto"/>
          <w:vertAlign w:val="superscript"/>
        </w:rPr>
        <w:t>(2)(3)</w:t>
      </w:r>
    </w:p>
    <w:p>
      <w:pPr>
        <w:spacing w:after="0" w:line="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Third Quarter Fiscal 2022 Highlights</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(All comparisons are against the prior year)</w:t>
      </w:r>
    </w:p>
    <w:p>
      <w:pPr>
        <w:spacing w:after="0" w:line="89" w:lineRule="exact"/>
        <w:rPr>
          <w:sz w:val="20"/>
          <w:szCs w:val="20"/>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Tracking in line with the midpoint of fiscal 2022 adjusted GAAP diluted EPS growth</w:t>
      </w: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2"/>
          <w:szCs w:val="12"/>
          <w:color w:val="auto"/>
        </w:rPr>
        <w:t xml:space="preserve"> outlook of 11.0%-13.5%</w:t>
      </w:r>
    </w:p>
    <w:p>
      <w:pPr>
        <w:spacing w:after="0" w:line="41" w:lineRule="exact"/>
        <w:rPr>
          <w:rFonts w:ascii="Times New Roman" w:cs="Times New Roman" w:eastAsia="Times New Roman" w:hAnsi="Times New Roman"/>
          <w:sz w:val="12"/>
          <w:szCs w:val="12"/>
          <w:color w:val="auto"/>
        </w:rPr>
      </w:pPr>
    </w:p>
    <w:p>
      <w:pPr>
        <w:ind w:left="1480" w:right="1179" w:hanging="288"/>
        <w:spacing w:after="0" w:line="206" w:lineRule="auto"/>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On-track for fiscal 2022 pro forma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non-GAAP diluted EPS growth of roughly 12%, consistent with midpoint of guidance range of 11.2%-12.5%</w:t>
      </w:r>
    </w:p>
    <w:p>
      <w:pPr>
        <w:spacing w:after="0" w:line="31"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revenue of $1,160 million, up 8.8% as reported and up 10.8% in constant currency</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revenue was at the midpoint of</w:t>
      </w:r>
    </w:p>
    <w:p>
      <w:pPr>
        <w:ind w:left="1480" w:right="959"/>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$1,140-$1,180 million guidance range, despite unfavorable foreign currency movements of roughly $7 million compared to our guidance assumptions</w:t>
      </w:r>
    </w:p>
    <w:p>
      <w:pPr>
        <w:spacing w:after="0" w:line="60"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revenue of $788 million in North America, up 14.9%</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managed services revenue of $718 million, equivalent to approximately 62% of total revenue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diluted EPS of $1.04, toward the high end of $0.97-$1.05 guidance range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diluted EPS of $1.27, above the midpoint of $1.23-$1.29 guidance range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operating income of $169 million; GAAP operating margin of 14.6%</w:t>
      </w:r>
    </w:p>
    <w:p>
      <w:pPr>
        <w:spacing w:after="0" w:line="16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refer to the Selected Financial Metrics tables below (figures may not sum because of rounding).</w:t>
      </w:r>
    </w:p>
    <w:p>
      <w:pPr>
        <w:spacing w:after="0" w:line="1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growth rate excludes the financial impact of OpenMarket (which was divested on December 31, 2020) from fiscal year 2021</w:t>
      </w:r>
    </w:p>
    <w:p>
      <w:pPr>
        <w:spacing w:after="0" w:line="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on a constant currency basis assumes exchange rates in the current period were unchanged from the prior period</w:t>
      </w:r>
    </w:p>
    <w:p>
      <w:pPr>
        <w:spacing w:after="0" w:line="6" w:lineRule="exact"/>
        <w:rPr>
          <w:rFonts w:ascii="Times New Roman" w:cs="Times New Roman" w:eastAsia="Times New Roman" w:hAnsi="Times New Roman"/>
          <w:sz w:val="12"/>
          <w:szCs w:val="12"/>
          <w:color w:val="auto"/>
        </w:rPr>
      </w:pPr>
    </w:p>
    <w:p>
      <w:pPr>
        <w:ind w:left="1120" w:right="1079" w:hanging="288"/>
        <w:spacing w:after="0" w:line="260" w:lineRule="auto"/>
        <w:tabs>
          <w:tab w:leader="none" w:pos="1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GAAP excludes the gain from the sale of OpenMarket, which was divested on December 31, 2020, from the current and comparable fiscal years; fiscal 2022 GAAP diluted EPS growth outlook is (18.0)%-(16.5)% on a non-adjusted basis</w:t>
      </w:r>
    </w:p>
    <w:p>
      <w:pPr>
        <w:sectPr>
          <w:pgSz w:w="11900" w:h="16838" w:orient="portrait"/>
          <w:cols w:equalWidth="0" w:num="1">
            <w:col w:w="9019"/>
          </w:cols>
          <w:pgMar w:left="1440" w:top="125" w:right="1440" w:bottom="1440" w:gutter="0" w:footer="0" w:header="0"/>
        </w:sectPr>
      </w:pPr>
    </w:p>
    <w:bookmarkStart w:id="5" w:name="page6"/>
    <w:bookmarkEnd w:id="5"/>
    <w:p>
      <w:pPr>
        <w:ind w:left="1480" w:right="103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Non-GAAP operating income of $204 million; non-GAAP operating margin of 17.6%, unchanged sequentially and as compared to last year’s third fiscal quarter while accelerating R&amp;D investments</w:t>
      </w:r>
    </w:p>
    <w:p>
      <w:pPr>
        <w:spacing w:after="0" w:line="48" w:lineRule="exact"/>
        <w:rPr>
          <w:rFonts w:ascii="Times New Roman" w:cs="Times New Roman" w:eastAsia="Times New Roman" w:hAnsi="Times New Roman"/>
          <w:sz w:val="12"/>
          <w:szCs w:val="12"/>
          <w:color w:val="auto"/>
        </w:rPr>
      </w:pPr>
    </w:p>
    <w:p>
      <w:pPr>
        <w:ind w:left="1480" w:right="979" w:hanging="288"/>
        <w:spacing w:after="0" w:line="274"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of $126 million, comprised of cash flow from operations of $167 million, less $41 million in net capital expenditures and other</w:t>
      </w:r>
      <w:r>
        <w:rPr>
          <w:rFonts w:ascii="Times New Roman" w:cs="Times New Roman" w:eastAsia="Times New Roman" w:hAnsi="Times New Roman"/>
          <w:sz w:val="17"/>
          <w:szCs w:val="17"/>
          <w:color w:val="auto"/>
          <w:vertAlign w:val="superscript"/>
        </w:rPr>
        <w:t>(1)</w:t>
      </w:r>
    </w:p>
    <w:p>
      <w:pPr>
        <w:ind w:left="1480" w:hanging="288"/>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Normalized free cash flow of $144 million</w:t>
      </w:r>
      <w:r>
        <w:rPr>
          <w:rFonts w:ascii="Times New Roman" w:cs="Times New Roman" w:eastAsia="Times New Roman" w:hAnsi="Times New Roman"/>
          <w:sz w:val="17"/>
          <w:szCs w:val="17"/>
          <w:color w:val="auto"/>
          <w:vertAlign w:val="superscript"/>
        </w:rPr>
        <w:t>(1)</w:t>
      </w:r>
    </w:p>
    <w:p>
      <w:pPr>
        <w:spacing w:after="0" w:line="29"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Repurchased $100 million of ordinary shares during the third fiscal quarter</w:t>
      </w:r>
    </w:p>
    <w:p>
      <w:pPr>
        <w:spacing w:after="0" w:line="75" w:lineRule="exact"/>
        <w:rPr>
          <w:rFonts w:ascii="Times New Roman" w:cs="Times New Roman" w:eastAsia="Times New Roman" w:hAnsi="Times New Roman"/>
          <w:sz w:val="12"/>
          <w:szCs w:val="12"/>
          <w:color w:val="auto"/>
        </w:rPr>
      </w:pPr>
    </w:p>
    <w:p>
      <w:pPr>
        <w:ind w:left="1480" w:right="91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twelve-month backlog of $3.95 billion, up approximately $60 million sequentially and up 10% compared to last year’s third fiscal quarter</w:t>
      </w:r>
    </w:p>
    <w:p>
      <w:pPr>
        <w:spacing w:after="0" w:line="107" w:lineRule="exact"/>
        <w:rPr>
          <w:sz w:val="20"/>
          <w:szCs w:val="20"/>
          <w:color w:val="auto"/>
        </w:rPr>
      </w:pPr>
    </w:p>
    <w:p>
      <w:pPr>
        <w:ind w:left="840" w:right="85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JERSEY CITY, NJ – August 3, 2022 </w:t>
      </w:r>
      <w:r>
        <w:rPr>
          <w:rFonts w:ascii="Times New Roman" w:cs="Times New Roman" w:eastAsia="Times New Roman" w:hAnsi="Times New Roman"/>
          <w:sz w:val="12"/>
          <w:szCs w:val="12"/>
          <w:color w:val="auto"/>
        </w:rPr>
        <w:t>– Amdocs Limited (NASDAQ: DOX), a leading provider of software and services to communications and media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companies, today reported operating results for the three months ended June 30, 2022.</w:t>
      </w:r>
    </w:p>
    <w:p>
      <w:pPr>
        <w:spacing w:after="0" w:line="107" w:lineRule="exact"/>
        <w:rPr>
          <w:sz w:val="20"/>
          <w:szCs w:val="20"/>
          <w:color w:val="auto"/>
        </w:rPr>
      </w:pPr>
    </w:p>
    <w:p>
      <w:pPr>
        <w:ind w:left="840" w:right="879"/>
        <w:spacing w:after="0" w:line="238" w:lineRule="auto"/>
        <w:rPr>
          <w:sz w:val="20"/>
          <w:szCs w:val="20"/>
          <w:color w:val="auto"/>
        </w:rPr>
      </w:pPr>
      <w:r>
        <w:rPr>
          <w:rFonts w:ascii="Times New Roman" w:cs="Times New Roman" w:eastAsia="Times New Roman" w:hAnsi="Times New Roman"/>
          <w:sz w:val="12"/>
          <w:szCs w:val="12"/>
          <w:color w:val="auto"/>
        </w:rPr>
        <w:t>“Our solid third quarter operating performance reflects strong demand for Amdocs’ products and services across our core strategic growth pillars of 5G monetization, cloud adoption, digital modernization, and network automation. Record revenue of $1.16 billion was up 8.8%, or 10.8% from a year ago after adjusting for foreign currency</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headwinds. In addition to strong execution, our sales momentum was again robust this quarter. Among the notable wins, we secured a multi-year deal to accelerate Vodafone Germany’s digital transformation, and we ended Q3 with record 12-month backlog of $3.95 billion, up 10% from a year ago. To expand our SaaS-based cloud network and service assurance offering, we also announced the planned acquisition of MYCOM OSI, a strategic growth move that builds on our other recent successful acquisitions in the network and cloud space,” said Shuky Sheffer, president and chief executive officer of Amdocs Management Limited.</w:t>
      </w:r>
    </w:p>
    <w:p>
      <w:pPr>
        <w:spacing w:after="0" w:line="137" w:lineRule="exact"/>
        <w:rPr>
          <w:sz w:val="20"/>
          <w:szCs w:val="20"/>
          <w:color w:val="auto"/>
        </w:rPr>
      </w:pPr>
    </w:p>
    <w:p>
      <w:pPr>
        <w:ind w:left="840" w:right="979"/>
        <w:spacing w:after="0" w:line="260" w:lineRule="auto"/>
        <w:rPr>
          <w:sz w:val="20"/>
          <w:szCs w:val="20"/>
          <w:color w:val="auto"/>
        </w:rPr>
      </w:pPr>
      <w:r>
        <w:rPr>
          <w:rFonts w:ascii="Times New Roman" w:cs="Times New Roman" w:eastAsia="Times New Roman" w:hAnsi="Times New Roman"/>
          <w:sz w:val="12"/>
          <w:szCs w:val="12"/>
          <w:color w:val="auto"/>
        </w:rPr>
        <w:t>“We have delivered consistent profitability as we balanced accelerated R&amp;D investments, foreign currency headwinds and a competitive labor market with disciplined project deployment and continued focus on operational excellence. Additionally, we delivered another record quarter in managed services, for which customer renewal rates have historically averaged nearly 100% over time. A prime example is a recent five-year managed services extension with AT&amp;T’s Cricket Wireless, where we have expanded our</w:t>
      </w:r>
    </w:p>
    <w:p>
      <w:pPr>
        <w:sectPr>
          <w:pgSz w:w="11900" w:h="16838" w:orient="portrait"/>
          <w:cols w:equalWidth="0" w:num="1">
            <w:col w:w="9019"/>
          </w:cols>
          <w:pgMar w:left="1440" w:top="228" w:right="1440" w:bottom="1440" w:gutter="0" w:footer="0" w:header="0"/>
        </w:sectPr>
      </w:pPr>
    </w:p>
    <w:bookmarkStart w:id="6" w:name="page7"/>
    <w:bookmarkEnd w:id="6"/>
    <w:p>
      <w:pPr>
        <w:ind w:left="840" w:right="8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relationship to leverage our latest cloud-native technologies, including incident management and next-generation digital catalog”, said Tamar Rapaport-Dagim, chief financial officer &amp; chief operating officer of Amdocs Management Limited.</w:t>
      </w:r>
    </w:p>
    <w:p>
      <w:pPr>
        <w:spacing w:after="0" w:line="111" w:lineRule="exact"/>
        <w:rPr>
          <w:sz w:val="20"/>
          <w:szCs w:val="20"/>
          <w:color w:val="auto"/>
        </w:rPr>
      </w:pPr>
    </w:p>
    <w:p>
      <w:pPr>
        <w:ind w:left="840" w:right="919"/>
        <w:spacing w:after="0" w:line="237" w:lineRule="auto"/>
        <w:rPr>
          <w:sz w:val="20"/>
          <w:szCs w:val="20"/>
          <w:color w:val="auto"/>
        </w:rPr>
      </w:pPr>
      <w:r>
        <w:rPr>
          <w:rFonts w:ascii="Times New Roman" w:cs="Times New Roman" w:eastAsia="Times New Roman" w:hAnsi="Times New Roman"/>
          <w:sz w:val="12"/>
          <w:szCs w:val="12"/>
          <w:color w:val="auto"/>
        </w:rPr>
        <w:t>Sheffer concluded, “While we are closely monitoring the uncertain global macroeconomic environment, we are confident in our unique business model that includes mission critical products and services, highly recurring revenue streams and long-term customer engagements. More than ever, we believe Amdocs is positioned as a highly relevant and trusted partner to our customers, who require market-leading innovation to enable revenue growth, cost reduction and efficiency improvement in the 5G and cloud era. We remain on-track to deliver accelerated revenue growth of roughly 10% on a pro forma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constant currency</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basis for the full year fiscal 2022, our visibility to which is supported by our record 12-month backlog and the rich pipeline of opportunity ahead.”</w:t>
      </w:r>
    </w:p>
    <w:p>
      <w:pPr>
        <w:spacing w:after="0" w:line="1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(All comparisons are against the prior year period)</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7"/>
              </w:rPr>
              <w:t>In Millions</w:t>
            </w:r>
          </w:p>
        </w:tc>
        <w:tc>
          <w:tcPr>
            <w:tcW w:w="0" w:type="dxa"/>
            <w:vAlign w:val="bottom"/>
          </w:tcPr>
          <w:p>
            <w:pPr>
              <w:spacing w:after="0"/>
              <w:rPr>
                <w:sz w:val="1"/>
                <w:szCs w:val="1"/>
                <w:color w:val="auto"/>
              </w:rPr>
            </w:pPr>
          </w:p>
        </w:tc>
      </w:tr>
      <w:tr>
        <w:trPr>
          <w:trHeight w:val="88"/>
        </w:trPr>
        <w:tc>
          <w:tcPr>
            <w:tcW w:w="4160" w:type="dxa"/>
            <w:vAlign w:val="bottom"/>
          </w:tcPr>
          <w:p>
            <w:pPr>
              <w:spacing w:after="0"/>
              <w:rPr>
                <w:sz w:val="7"/>
                <w:szCs w:val="7"/>
                <w:color w:val="auto"/>
              </w:rPr>
            </w:pPr>
          </w:p>
        </w:tc>
        <w:tc>
          <w:tcPr>
            <w:tcW w:w="1380" w:type="dxa"/>
            <w:vAlign w:val="bottom"/>
            <w:tcBorders>
              <w:top w:val="single" w:sz="8" w:color="auto"/>
              <w:bottom w:val="single" w:sz="8" w:color="auto"/>
            </w:tcBorders>
            <w:gridSpan w:val="4"/>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1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3"/>
          </w:tcPr>
          <w:p>
            <w:pPr>
              <w:jc w:val="center"/>
              <w:ind w:right="290"/>
              <w:spacing w:after="0" w:line="88" w:lineRule="exact"/>
              <w:rPr>
                <w:sz w:val="20"/>
                <w:szCs w:val="20"/>
                <w:color w:val="auto"/>
              </w:rPr>
            </w:pPr>
            <w:r>
              <w:rPr>
                <w:rFonts w:ascii="Times New Roman" w:cs="Times New Roman" w:eastAsia="Times New Roman" w:hAnsi="Times New Roman"/>
                <w:sz w:val="10"/>
                <w:szCs w:val="10"/>
                <w:b w:val="1"/>
                <w:bCs w:val="1"/>
                <w:color w:val="auto"/>
                <w:w w:val="96"/>
              </w:rPr>
              <w:t>June 30, 2022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160" w:type="dxa"/>
            <w:vAlign w:val="bottom"/>
          </w:tcPr>
          <w:p>
            <w:pPr>
              <w:spacing w:after="0"/>
              <w:rPr>
                <w:sz w:val="6"/>
                <w:szCs w:val="6"/>
                <w:color w:val="auto"/>
              </w:rPr>
            </w:pPr>
          </w:p>
        </w:tc>
        <w:tc>
          <w:tcPr>
            <w:tcW w:w="4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Actual</w:t>
            </w:r>
          </w:p>
        </w:tc>
        <w:tc>
          <w:tcPr>
            <w:tcW w:w="220" w:type="dxa"/>
            <w:vAlign w:val="bottom"/>
          </w:tcPr>
          <w:p>
            <w:pPr>
              <w:spacing w:after="0"/>
              <w:rPr>
                <w:sz w:val="6"/>
                <w:szCs w:val="6"/>
                <w:color w:val="auto"/>
              </w:rPr>
            </w:pPr>
          </w:p>
        </w:tc>
        <w:tc>
          <w:tcPr>
            <w:tcW w:w="7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Previous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16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Guidance</w:t>
            </w:r>
          </w:p>
        </w:tc>
        <w:tc>
          <w:tcPr>
            <w:tcW w:w="0" w:type="dxa"/>
            <w:vAlign w:val="bottom"/>
          </w:tcPr>
          <w:p>
            <w:pPr>
              <w:spacing w:after="0"/>
              <w:rPr>
                <w:sz w:val="1"/>
                <w:szCs w:val="1"/>
                <w:color w:val="auto"/>
              </w:rPr>
            </w:pPr>
          </w:p>
        </w:tc>
      </w:tr>
      <w:tr>
        <w:trPr>
          <w:trHeight w:val="133"/>
        </w:trPr>
        <w:tc>
          <w:tcPr>
            <w:tcW w:w="4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$1,160</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$1,140-$1,180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Revenue growth, as reported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Revenue growth, constant currency</w:t>
            </w:r>
            <w:r>
              <w:rPr>
                <w:rFonts w:ascii="Times New Roman" w:cs="Times New Roman" w:eastAsia="Times New Roman" w:hAnsi="Times New Roman"/>
                <w:sz w:val="16"/>
                <w:szCs w:val="16"/>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80" w:right="8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for the third fiscal quarter of 2022 was at the midpoint of Amdocs’ guidance, despite unfavorable foreign currency movements of roughly $7 million compared to our guidance assumptions and relative to the second quarter of fiscal 2022</w:t>
      </w:r>
    </w:p>
    <w:p>
      <w:pPr>
        <w:sectPr>
          <w:pgSz w:w="11900" w:h="16838" w:orient="portrait"/>
          <w:cols w:equalWidth="0" w:num="1">
            <w:col w:w="9019"/>
          </w:cols>
          <w:pgMar w:left="1440" w:top="228" w:right="1440" w:bottom="1440" w:gutter="0" w:footer="0" w:header="0"/>
        </w:sectPr>
      </w:pPr>
    </w:p>
    <w:bookmarkStart w:id="7" w:name="page8"/>
    <w:bookmarkEnd w:id="7"/>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Net Income and Earnings Per Share</w:t>
      </w:r>
    </w:p>
    <w:p>
      <w:pPr>
        <w:spacing w:after="0" w:line="162"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0"/>
          <w:szCs w:val="10"/>
          <w:b w:val="1"/>
          <w:bCs w:val="1"/>
          <w:color w:val="auto"/>
        </w:rPr>
        <w:t>In thousands, except per</w:t>
      </w:r>
    </w:p>
    <w:p>
      <w:pPr>
        <w:jc w:val="center"/>
        <w:ind w:left="4380"/>
        <w:spacing w:after="0" w:line="206" w:lineRule="auto"/>
        <w:rPr>
          <w:sz w:val="20"/>
          <w:szCs w:val="20"/>
          <w:color w:val="auto"/>
        </w:rPr>
      </w:pPr>
      <w:r>
        <w:rPr>
          <w:rFonts w:ascii="Times New Roman" w:cs="Times New Roman" w:eastAsia="Times New Roman" w:hAnsi="Times New Roman"/>
          <w:sz w:val="10"/>
          <w:szCs w:val="10"/>
          <w:b w:val="1"/>
          <w:bCs w:val="1"/>
          <w:color w:val="auto"/>
        </w:rPr>
        <w:t>share data</w:t>
      </w:r>
    </w:p>
    <w:p>
      <w:pPr>
        <w:jc w:val="center"/>
        <w:ind w:left="4380"/>
        <w:spacing w:after="0" w:line="207" w:lineRule="auto"/>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4380"/>
        <w:spacing w:after="0" w:line="216"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1720" w:type="dxa"/>
        <w:tblCellMar>
          <w:top w:w="0" w:type="dxa"/>
          <w:left w:w="0" w:type="dxa"/>
          <w:bottom w:w="0" w:type="dxa"/>
          <w:right w:w="0" w:type="dxa"/>
        </w:tblCellMar>
      </w:tblPr>
      <w:tr>
        <w:trPr>
          <w:trHeight w:val="88"/>
        </w:trPr>
        <w:tc>
          <w:tcPr>
            <w:tcW w:w="44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GAAP Measures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7"/>
              </w:rPr>
              <w:t>128,466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146,150</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Measures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156,520</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173,283</w:t>
            </w:r>
          </w:p>
        </w:tc>
      </w:tr>
      <w:tr>
        <w:trPr>
          <w:trHeight w:val="155"/>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1.35</w:t>
            </w:r>
          </w:p>
        </w:tc>
      </w:tr>
    </w:tbl>
    <w:p>
      <w:pPr>
        <w:spacing w:after="0" w:line="59" w:lineRule="exact"/>
        <w:rPr>
          <w:sz w:val="20"/>
          <w:szCs w:val="20"/>
          <w:color w:val="auto"/>
        </w:rPr>
      </w:pPr>
    </w:p>
    <w:p>
      <w:pPr>
        <w:ind w:left="1480" w:right="1059" w:hanging="288"/>
        <w:spacing w:after="0" w:line="265"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further details of the reconciliation of selected financial metrics from GAAP to Non-GAAP, please refer to the tables below.</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Capital Allocation: Returning Cash to Shareholders</w:t>
      </w:r>
    </w:p>
    <w:p>
      <w:pPr>
        <w:spacing w:after="0" w:line="87" w:lineRule="exact"/>
        <w:rPr>
          <w:sz w:val="20"/>
          <w:szCs w:val="20"/>
          <w:color w:val="auto"/>
        </w:rPr>
      </w:pPr>
    </w:p>
    <w:p>
      <w:pPr>
        <w:ind w:left="1480" w:right="1059" w:hanging="288"/>
        <w:spacing w:after="0" w:line="268"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Quarterly Cash Dividend Program: </w:t>
      </w:r>
      <w:r>
        <w:rPr>
          <w:rFonts w:ascii="Times New Roman" w:cs="Times New Roman" w:eastAsia="Times New Roman" w:hAnsi="Times New Roman"/>
          <w:sz w:val="12"/>
          <w:szCs w:val="12"/>
          <w:color w:val="auto"/>
        </w:rPr>
        <w:t>On August 3, 2022, the Board approved the Company’s next quarterly cash dividend payment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$0.395 per share and set September 30, 2022 as the record date for determining the shareholders entitled to receive the dividend, which will be payable on October 28, 2022</w:t>
      </w:r>
    </w:p>
    <w:p>
      <w:pPr>
        <w:spacing w:after="0" w:line="50"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Share Repurchase Activity: </w:t>
      </w:r>
      <w:r>
        <w:rPr>
          <w:rFonts w:ascii="Times New Roman" w:cs="Times New Roman" w:eastAsia="Times New Roman" w:hAnsi="Times New Roman"/>
          <w:sz w:val="12"/>
          <w:szCs w:val="12"/>
          <w:color w:val="auto"/>
        </w:rPr>
        <w:t>Repurchased $100 million of ordinary shares during the third quarter of fiscal 2022</w:t>
      </w: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Twelve-month Backlog</w:t>
      </w:r>
    </w:p>
    <w:p>
      <w:pPr>
        <w:spacing w:after="0" w:line="82" w:lineRule="exact"/>
        <w:rPr>
          <w:sz w:val="20"/>
          <w:szCs w:val="20"/>
          <w:color w:val="auto"/>
        </w:rPr>
      </w:pPr>
    </w:p>
    <w:p>
      <w:pPr>
        <w:jc w:val="both"/>
        <w:ind w:left="840" w:right="999"/>
        <w:spacing w:after="0" w:line="265" w:lineRule="auto"/>
        <w:rPr>
          <w:sz w:val="20"/>
          <w:szCs w:val="20"/>
          <w:color w:val="auto"/>
        </w:rPr>
      </w:pPr>
      <w:r>
        <w:rPr>
          <w:rFonts w:ascii="Times New Roman" w:cs="Times New Roman" w:eastAsia="Times New Roman" w:hAnsi="Times New Roman"/>
          <w:sz w:val="12"/>
          <w:szCs w:val="12"/>
          <w:color w:val="auto"/>
        </w:rPr>
        <w:t>Twelve-month backlog was a record $3.95 billion at the end of the third quarter of fiscal 2022, up approximately 10% as compared to last year’s third fiscal quarter. Twelve-month backlog includes anticipated revenue related to contracts, estimated revenue from managed services contracts, letters of intent, maintenance and estimated on-going support activities.</w:t>
      </w:r>
    </w:p>
    <w:p>
      <w:pPr>
        <w:sectPr>
          <w:pgSz w:w="11900" w:h="16838" w:orient="portrait"/>
          <w:cols w:equalWidth="0" w:num="1">
            <w:col w:w="9019"/>
          </w:cols>
          <w:pgMar w:left="1440" w:top="224" w:right="1440" w:bottom="1440" w:gutter="0" w:footer="0" w:header="0"/>
        </w:sectPr>
      </w:pPr>
    </w:p>
    <w:bookmarkStart w:id="8" w:name="page9"/>
    <w:bookmarkEnd w:id="8"/>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Fourth Quarter Fiscal 2022 Outlook</w:t>
      </w:r>
    </w:p>
    <w:p>
      <w:pPr>
        <w:spacing w:after="0" w:line="150"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In millions, except</w:t>
            </w:r>
          </w:p>
        </w:tc>
      </w:tr>
      <w:tr>
        <w:trPr>
          <w:trHeight w:val="99"/>
        </w:trPr>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3"/>
              </w:rPr>
              <w:t>per share data</w:t>
            </w:r>
          </w:p>
        </w:tc>
      </w:tr>
      <w:tr>
        <w:trPr>
          <w:trHeight w:val="115"/>
        </w:trPr>
        <w:tc>
          <w:tcPr>
            <w:tcW w:w="4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Q4 2022</w:t>
            </w:r>
          </w:p>
        </w:tc>
      </w:tr>
      <w:tr>
        <w:trPr>
          <w:trHeight w:val="133"/>
        </w:trPr>
        <w:tc>
          <w:tcPr>
            <w:tcW w:w="41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7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$ 1,145-$1,185</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GAAP diluted EPS</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0.98-$1.06</w:t>
            </w: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diluted EPS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1.26-$1.32</w:t>
            </w:r>
          </w:p>
        </w:tc>
      </w:tr>
    </w:tbl>
    <w:p>
      <w:pPr>
        <w:spacing w:after="0" w:line="70" w:lineRule="exact"/>
        <w:rPr>
          <w:sz w:val="20"/>
          <w:szCs w:val="20"/>
          <w:color w:val="auto"/>
        </w:rPr>
      </w:pPr>
    </w:p>
    <w:p>
      <w:pPr>
        <w:ind w:left="1780" w:right="1439" w:hanging="219"/>
        <w:spacing w:after="0" w:line="279" w:lineRule="auto"/>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 quarter revenue guidance assumes approximately $4 million sequential unfavorable impact from foreign currency fluctuations as compared to the third quarter of fiscal 2022</w:t>
      </w:r>
    </w:p>
    <w:p>
      <w:pPr>
        <w:spacing w:after="0" w:line="48" w:lineRule="exact"/>
        <w:rPr>
          <w:rFonts w:ascii="Times New Roman" w:cs="Times New Roman" w:eastAsia="Times New Roman" w:hAnsi="Times New Roman"/>
          <w:sz w:val="12"/>
          <w:szCs w:val="12"/>
          <w:color w:val="auto"/>
        </w:rPr>
      </w:pPr>
    </w:p>
    <w:p>
      <w:pPr>
        <w:ind w:left="1780" w:right="959" w:hanging="219"/>
        <w:spacing w:after="0" w:line="265" w:lineRule="auto"/>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 quarter non-GAAP diluted EPS guidance excludes amortization of purchased intangible assets and other acquisition-related costs, changes in certain acquisitions related liabilities measured at fair value, and approximately $0.12-$0.14 per share of equity-based compensation expense and other, net of related tax effects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Full Year Fiscal 2022 Outlook</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124"/>
        </w:trPr>
        <w:tc>
          <w:tcPr>
            <w:tcW w:w="4200" w:type="dxa"/>
            <w:vAlign w:val="bottom"/>
          </w:tcPr>
          <w:p>
            <w:pPr>
              <w:spacing w:after="0"/>
              <w:rPr>
                <w:sz w:val="10"/>
                <w:szCs w:val="1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FY 2022, year-over-year growth</w:t>
            </w:r>
          </w:p>
        </w:tc>
      </w:tr>
      <w:tr>
        <w:trPr>
          <w:trHeight w:val="97"/>
        </w:trPr>
        <w:tc>
          <w:tcPr>
            <w:tcW w:w="4200" w:type="dxa"/>
            <w:vAlign w:val="bottom"/>
          </w:tcPr>
          <w:p>
            <w:pPr>
              <w:spacing w:after="0"/>
              <w:rPr>
                <w:sz w:val="8"/>
                <w:szCs w:val="8"/>
                <w:color w:val="auto"/>
              </w:rPr>
            </w:pPr>
          </w:p>
        </w:tc>
        <w:tc>
          <w:tcPr>
            <w:tcW w:w="1060" w:type="dxa"/>
            <w:vAlign w:val="bottom"/>
            <w:gridSpan w:val="2"/>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920" w:type="dxa"/>
            <w:vAlign w:val="bottom"/>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Previous Guidance</w:t>
            </w:r>
          </w:p>
        </w:tc>
      </w:tr>
      <w:tr>
        <w:trPr>
          <w:trHeight w:val="133"/>
        </w:trPr>
        <w:tc>
          <w:tcPr>
            <w:tcW w:w="42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 growth, as reported</w:t>
            </w:r>
          </w:p>
        </w:tc>
        <w:tc>
          <w:tcPr>
            <w:tcW w:w="9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6.2%-7.2%</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5.2%-7.2%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Pro forma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revenue growth, constant currency</w:t>
            </w:r>
            <w:r>
              <w:rPr>
                <w:rFonts w:ascii="Times New Roman" w:cs="Times New Roman" w:eastAsia="Times New Roman" w:hAnsi="Times New Roman"/>
                <w:sz w:val="17"/>
                <w:szCs w:val="17"/>
                <w:color w:val="auto"/>
                <w:vertAlign w:val="superscript"/>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9.6%-10.6%</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8.0%-10.0%</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diluted EPS growth</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(18.0)%-(16.5)%</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(20.5)%-(17.0)%</w:t>
            </w:r>
          </w:p>
        </w:tc>
      </w:tr>
      <w:tr>
        <w:trPr>
          <w:trHeight w:val="144"/>
        </w:trPr>
        <w:tc>
          <w:tcPr>
            <w:tcW w:w="4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Adjusted GAAP diluted EPS growth</w:t>
            </w:r>
            <w:r>
              <w:rPr>
                <w:rFonts w:ascii="Times New Roman" w:cs="Times New Roman" w:eastAsia="Times New Roman" w:hAnsi="Times New Roman"/>
                <w:sz w:val="16"/>
                <w:szCs w:val="16"/>
                <w:color w:val="auto"/>
                <w:vertAlign w:val="superscript"/>
              </w:rPr>
              <w:t>(4)</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11.0%-13.5%</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7.5%-12.5%</w:t>
            </w: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diluted EPS growth</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9.6%-10.9%</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7.3%-10.3%</w:t>
            </w:r>
          </w:p>
        </w:tc>
      </w:tr>
      <w:tr>
        <w:trPr>
          <w:trHeight w:val="236"/>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Pro forma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non-GAAP diluted EPS growth</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11.2%-12.5%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9.0%-12.0%</w:t>
            </w:r>
          </w:p>
        </w:tc>
      </w:tr>
      <w:tr>
        <w:trPr>
          <w:trHeight w:val="134"/>
        </w:trPr>
        <w:tc>
          <w:tcPr>
            <w:tcW w:w="4200" w:type="dxa"/>
            <w:vAlign w:val="bottom"/>
          </w:tcPr>
          <w:p>
            <w:pPr>
              <w:spacing w:after="0"/>
              <w:rPr>
                <w:sz w:val="11"/>
                <w:szCs w:val="11"/>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FY 2022, in millions</w:t>
            </w:r>
          </w:p>
        </w:tc>
      </w:tr>
      <w:tr>
        <w:trPr>
          <w:trHeight w:val="115"/>
        </w:trPr>
        <w:tc>
          <w:tcPr>
            <w:tcW w:w="4200" w:type="dxa"/>
            <w:vAlign w:val="bottom"/>
          </w:tcPr>
          <w:p>
            <w:pPr>
              <w:spacing w:after="0"/>
              <w:rPr>
                <w:sz w:val="10"/>
                <w:szCs w:val="1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Current Guidance</w:t>
            </w:r>
          </w:p>
        </w:tc>
        <w:tc>
          <w:tcPr>
            <w:tcW w:w="9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Previous Guidance</w:t>
            </w:r>
          </w:p>
        </w:tc>
      </w:tr>
      <w:tr>
        <w:trPr>
          <w:trHeight w:val="144"/>
        </w:trPr>
        <w:tc>
          <w:tcPr>
            <w:tcW w:w="42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Free cash flow</w:t>
            </w:r>
            <w:r>
              <w:rPr>
                <w:rFonts w:ascii="Times New Roman" w:cs="Times New Roman" w:eastAsia="Times New Roman" w:hAnsi="Times New Roman"/>
                <w:sz w:val="16"/>
                <w:szCs w:val="16"/>
                <w:color w:val="auto"/>
                <w:vertAlign w:val="superscript"/>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~$520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~$500</w:t>
            </w:r>
          </w:p>
        </w:tc>
      </w:tr>
      <w:tr>
        <w:trPr>
          <w:trHeight w:val="226"/>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Normalized free cash flow</w:t>
            </w:r>
            <w:r>
              <w:rPr>
                <w:rFonts w:ascii="Times New Roman" w:cs="Times New Roman" w:eastAsia="Times New Roman" w:hAnsi="Times New Roman"/>
                <w:sz w:val="17"/>
                <w:szCs w:val="17"/>
                <w:color w:val="auto"/>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~$650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~$650</w:t>
            </w:r>
          </w:p>
        </w:tc>
      </w:tr>
    </w:tbl>
    <w:p>
      <w:pPr>
        <w:ind w:left="1480" w:right="959" w:hanging="288"/>
        <w:spacing w:after="0" w:line="258"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year fiscal 2022 revenue guidance incorporates an expected unfavorable impact from foreign currency fluctuations of approximately 1.2% year-over-year as compared with an unfavorable impact of about 0.8% year-over-year previously</w:t>
      </w:r>
    </w:p>
    <w:p>
      <w:pPr>
        <w:spacing w:after="0" w:line="60" w:lineRule="exact"/>
        <w:rPr>
          <w:rFonts w:ascii="Times New Roman" w:cs="Times New Roman" w:eastAsia="Times New Roman" w:hAnsi="Times New Roman"/>
          <w:sz w:val="12"/>
          <w:szCs w:val="12"/>
          <w:color w:val="auto"/>
        </w:rPr>
      </w:pPr>
    </w:p>
    <w:p>
      <w:pPr>
        <w:ind w:left="1480" w:right="879" w:hanging="288"/>
        <w:spacing w:after="0" w:line="263" w:lineRule="auto"/>
        <w:tabs>
          <w:tab w:leader="none" w:pos="14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diluted earnings per share growth, and pro forma</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non-GAAP diluted earnings per share growth, excludes amortization of purchased intangible assets and other acquisition-related costs, changes in certain acquisitions related liabilities measured at fair value, approximately $0.45-$0.47 per share of equity-based compensation expense, gain from divestiture of OpenMarket and other, net of related tax effects. Adjusted GAAP diluted earnings per share</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1"/>
          <w:szCs w:val="11"/>
          <w:color w:val="auto"/>
        </w:rPr>
        <w:t xml:space="preserve"> growth, excludes gain from divestiture of OpenMarket, net of related tax effects</w:t>
      </w:r>
    </w:p>
    <w:p>
      <w:pPr>
        <w:sectPr>
          <w:pgSz w:w="11900" w:h="16838" w:orient="portrait"/>
          <w:cols w:equalWidth="0" w:num="1">
            <w:col w:w="9019"/>
          </w:cols>
          <w:pgMar w:left="1440" w:top="224" w:right="1440" w:bottom="1440" w:gutter="0" w:footer="0" w:header="0"/>
        </w:sectPr>
      </w:pPr>
    </w:p>
    <w:bookmarkStart w:id="9" w:name="page10"/>
    <w:bookmarkEnd w:id="9"/>
    <w:p>
      <w:pPr>
        <w:ind w:left="1480" w:hanging="288"/>
        <w:spacing w:after="0"/>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Non-GAAP effective tax rate is anticipated to be within a range of 13.0% to 17.0% for the full year fiscal 2022</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is comprised of cash flow from operations, less net capital expenditures and other</w:t>
      </w:r>
    </w:p>
    <w:p>
      <w:pPr>
        <w:spacing w:after="0" w:line="41" w:lineRule="exact"/>
        <w:rPr>
          <w:rFonts w:ascii="Times New Roman" w:cs="Times New Roman" w:eastAsia="Times New Roman" w:hAnsi="Times New Roman"/>
          <w:sz w:val="12"/>
          <w:szCs w:val="12"/>
          <w:color w:val="auto"/>
        </w:rPr>
      </w:pPr>
    </w:p>
    <w:p>
      <w:pPr>
        <w:ind w:left="1480" w:right="1059" w:hanging="288"/>
        <w:spacing w:after="0" w:line="258"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Normalized free cash flow excludes expected capital expenditure of $110 million related to the new campus development in Israel, and other items</w:t>
      </w:r>
    </w:p>
    <w:p>
      <w:pPr>
        <w:spacing w:after="0" w:line="1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Three Year Fiscal 2022-2024 Outlook</w:t>
      </w:r>
    </w:p>
    <w:p>
      <w:pPr>
        <w:spacing w:after="0" w:line="91" w:lineRule="exact"/>
        <w:rPr>
          <w:sz w:val="20"/>
          <w:szCs w:val="20"/>
          <w:color w:val="auto"/>
        </w:rPr>
      </w:pPr>
    </w:p>
    <w:p>
      <w:pPr>
        <w:ind w:left="1480" w:right="859" w:hanging="288"/>
        <w:spacing w:after="0" w:line="215"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our full year fiscal 2022 revenue guidance, we project revenue growth of 6% to 10% year-over-year on a constant currency</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basis in each of fiscal years 2023 and 2024</w:t>
      </w:r>
    </w:p>
    <w:p>
      <w:pPr>
        <w:spacing w:after="0" w:line="70" w:lineRule="exact"/>
        <w:rPr>
          <w:rFonts w:ascii="Times New Roman" w:cs="Times New Roman" w:eastAsia="Times New Roman" w:hAnsi="Times New Roman"/>
          <w:sz w:val="12"/>
          <w:szCs w:val="12"/>
          <w:color w:val="auto"/>
        </w:rPr>
      </w:pPr>
    </w:p>
    <w:p>
      <w:pPr>
        <w:ind w:left="1480" w:right="919" w:hanging="288"/>
        <w:spacing w:after="0" w:line="279"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Projecting revenue growth on an as reported basis in each of fiscal years 2023 and 2024 is not possible without unreasonable efforts given the uncertain impact of foreign exchange rates and acquisition activity which cannot be reasonably predicted at this time</w:t>
      </w:r>
    </w:p>
    <w:p>
      <w:pPr>
        <w:spacing w:after="0" w:line="111" w:lineRule="exact"/>
        <w:rPr>
          <w:sz w:val="20"/>
          <w:szCs w:val="20"/>
          <w:color w:val="auto"/>
        </w:rPr>
      </w:pPr>
    </w:p>
    <w:p>
      <w:pPr>
        <w:ind w:left="840" w:right="899"/>
        <w:spacing w:after="0" w:line="286" w:lineRule="auto"/>
        <w:rPr>
          <w:sz w:val="20"/>
          <w:szCs w:val="20"/>
          <w:color w:val="auto"/>
        </w:rPr>
      </w:pPr>
      <w:r>
        <w:rPr>
          <w:rFonts w:ascii="Times New Roman" w:cs="Times New Roman" w:eastAsia="Times New Roman" w:hAnsi="Times New Roman"/>
          <w:sz w:val="11"/>
          <w:szCs w:val="11"/>
          <w:color w:val="auto"/>
        </w:rPr>
        <w:t>Our fourth fiscal quarter 2022 and full year fiscal 2022, 2023 and 2024 forward looking projections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prevailing level of macroeconomic, business and operational uncertainty and the COVID-19 pandemic, which have created, and continues to create, a significant amount of uncertainty, or from current and potential customer consolidation or their other strategic corporate activities.</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Conference Call and Earnings Webcast Presentation Details</w:t>
      </w:r>
    </w:p>
    <w:p>
      <w:pPr>
        <w:spacing w:after="0" w:line="82" w:lineRule="exact"/>
        <w:rPr>
          <w:sz w:val="20"/>
          <w:szCs w:val="20"/>
          <w:color w:val="auto"/>
        </w:rPr>
      </w:pPr>
    </w:p>
    <w:p>
      <w:pPr>
        <w:ind w:left="840" w:right="1119"/>
        <w:spacing w:after="0" w:line="279" w:lineRule="auto"/>
        <w:rPr>
          <w:sz w:val="20"/>
          <w:szCs w:val="20"/>
          <w:color w:val="auto"/>
        </w:rPr>
      </w:pPr>
      <w:r>
        <w:rPr>
          <w:rFonts w:ascii="Times New Roman" w:cs="Times New Roman" w:eastAsia="Times New Roman" w:hAnsi="Times New Roman"/>
          <w:sz w:val="12"/>
          <w:szCs w:val="12"/>
          <w:color w:val="auto"/>
        </w:rPr>
        <w:t>Amdocs will host a conference call and earnings webcast presentation on August 3, 2022 at 5:00 p.m. Eastern Time to discuss the Company’s third quarter of fiscal 2022 results.</w:t>
      </w:r>
    </w:p>
    <w:p>
      <w:pPr>
        <w:sectPr>
          <w:pgSz w:w="11900" w:h="16838" w:orient="portrait"/>
          <w:cols w:equalWidth="0" w:num="1">
            <w:col w:w="9019"/>
          </w:cols>
          <w:pgMar w:left="1440" w:top="228" w:right="1440" w:bottom="1440" w:gutter="0" w:footer="0" w:header="0"/>
        </w:sectPr>
      </w:pPr>
    </w:p>
    <w:bookmarkStart w:id="10" w:name="page11"/>
    <w:bookmarkEnd w:id="10"/>
    <w:p>
      <w:pPr>
        <w:jc w:val="both"/>
        <w:ind w:left="840" w:right="8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To participate in the call, please register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115" w:lineRule="exact"/>
        <w:rPr>
          <w:sz w:val="20"/>
          <w:szCs w:val="20"/>
          <w:color w:val="auto"/>
        </w:rPr>
      </w:pPr>
    </w:p>
    <w:p>
      <w:pPr>
        <w:ind w:left="840" w:right="859"/>
        <w:spacing w:after="0" w:line="235" w:lineRule="auto"/>
        <w:rPr>
          <w:sz w:val="20"/>
          <w:szCs w:val="20"/>
          <w:color w:val="auto"/>
        </w:rPr>
      </w:pPr>
      <w:r>
        <w:rPr>
          <w:rFonts w:ascii="Times New Roman" w:cs="Times New Roman" w:eastAsia="Times New Roman" w:hAnsi="Times New Roman"/>
          <w:sz w:val="12"/>
          <w:szCs w:val="12"/>
          <w:b w:val="1"/>
          <w:bCs w:val="1"/>
          <w:color w:val="auto"/>
        </w:rPr>
        <w:t xml:space="preserve">Non-GAAP Financial Measures </w:t>
      </w:r>
      <w:r>
        <w:rPr>
          <w:rFonts w:ascii="Times New Roman" w:cs="Times New Roman" w:eastAsia="Times New Roman" w:hAnsi="Times New Roman"/>
          <w:sz w:val="12"/>
          <w:szCs w:val="12"/>
          <w:color w:val="auto"/>
        </w:rPr>
        <w:t>This release includes non-GAAP diluted earnings per share and other non-GAAP financial measures, including free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cash flow and normalized free cash flow, revenue on a constant currency</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pacing w:after="0" w:line="73" w:lineRule="exact"/>
        <w:rPr>
          <w:sz w:val="20"/>
          <w:szCs w:val="20"/>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amortization of purchased intangible assets and other acquisition-related costs;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certain acquisition-related liabilities measured at fair value;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and unusual charges or benefits (such as a gain from divestiture of OpenMarket);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equity-based compensation expense;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effects related to the above.</w:t>
      </w:r>
    </w:p>
    <w:p>
      <w:pPr>
        <w:spacing w:after="0" w:line="150"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w:t>
      </w:r>
    </w:p>
    <w:p>
      <w:pPr>
        <w:sectPr>
          <w:pgSz w:w="11900" w:h="16838" w:orient="portrait"/>
          <w:cols w:equalWidth="0" w:num="1">
            <w:col w:w="9019"/>
          </w:cols>
          <w:pgMar w:left="1440" w:top="228" w:right="1440" w:bottom="1440" w:gutter="0" w:footer="0" w:header="0"/>
        </w:sectPr>
      </w:pPr>
    </w:p>
    <w:bookmarkStart w:id="11" w:name="page12"/>
    <w:bookmarkEnd w:id="11"/>
    <w:p>
      <w:pPr>
        <w:ind w:left="840" w:right="12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associated with Amdocs’ results of operations as determined in accordance with GAAP and that these measures should only be used to evaluate Amdocs’ results of operations in conjunction with the corresponding GAAP measures.</w:t>
      </w:r>
    </w:p>
    <w:p>
      <w:pPr>
        <w:spacing w:after="0" w:line="111" w:lineRule="exact"/>
        <w:rPr>
          <w:sz w:val="20"/>
          <w:szCs w:val="20"/>
          <w:color w:val="auto"/>
        </w:rPr>
      </w:pPr>
    </w:p>
    <w:p>
      <w:pPr>
        <w:ind w:left="840" w:right="879"/>
        <w:spacing w:after="0" w:line="284" w:lineRule="auto"/>
        <w:rPr>
          <w:sz w:val="20"/>
          <w:szCs w:val="20"/>
          <w:color w:val="auto"/>
        </w:rPr>
      </w:pPr>
      <w:r>
        <w:rPr>
          <w:rFonts w:ascii="Times New Roman" w:cs="Times New Roman" w:eastAsia="Times New Roman" w:hAnsi="Times New Roman"/>
          <w:sz w:val="11"/>
          <w:szCs w:val="11"/>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10"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25"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w:t>
      </w:r>
    </w:p>
    <w:p>
      <w:pPr>
        <w:sectPr>
          <w:pgSz w:w="11900" w:h="16838" w:orient="portrait"/>
          <w:cols w:equalWidth="0" w:num="1">
            <w:col w:w="9019"/>
          </w:cols>
          <w:pgMar w:left="1440" w:top="228" w:right="1440" w:bottom="1440" w:gutter="0" w:footer="0" w:header="0"/>
        </w:sectPr>
      </w:pPr>
    </w:p>
    <w:bookmarkStart w:id="12" w:name="page13"/>
    <w:bookmarkEnd w:id="12"/>
    <w:p>
      <w:pPr>
        <w:ind w:left="840" w:right="10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Supporting Resources</w:t>
      </w:r>
    </w:p>
    <w:p>
      <w:pPr>
        <w:spacing w:after="0" w:line="91" w:lineRule="exact"/>
        <w:rPr>
          <w:sz w:val="20"/>
          <w:szCs w:val="20"/>
          <w:color w:val="auto"/>
        </w:rPr>
      </w:pPr>
    </w:p>
    <w:p>
      <w:pPr>
        <w:ind w:left="1120" w:hanging="288"/>
        <w:spacing w:after="0"/>
        <w:tabs>
          <w:tab w:leader="none" w:pos="11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Keep up with Amdocs news by visiting the Company’s </w:t>
      </w:r>
      <w:r>
        <w:rPr>
          <w:rFonts w:ascii="Times New Roman" w:cs="Times New Roman" w:eastAsia="Times New Roman" w:hAnsi="Times New Roman"/>
          <w:sz w:val="12"/>
          <w:szCs w:val="12"/>
          <w:u w:val="single" w:color="auto"/>
          <w:color w:val="auto"/>
        </w:rPr>
        <w:t>website</w:t>
      </w:r>
    </w:p>
    <w:p>
      <w:pPr>
        <w:spacing w:after="0" w:line="87"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Subscribe to Amdocs’ </w:t>
      </w:r>
      <w:r>
        <w:rPr>
          <w:rFonts w:ascii="Times New Roman" w:cs="Times New Roman" w:eastAsia="Times New Roman" w:hAnsi="Times New Roman"/>
          <w:sz w:val="12"/>
          <w:szCs w:val="12"/>
          <w:u w:val="single" w:color="auto"/>
          <w:color w:val="auto"/>
        </w:rPr>
        <w:t>RSS Feed</w:t>
      </w:r>
      <w:r>
        <w:rPr>
          <w:rFonts w:ascii="Times New Roman" w:cs="Times New Roman" w:eastAsia="Times New Roman" w:hAnsi="Times New Roman"/>
          <w:sz w:val="12"/>
          <w:szCs w:val="12"/>
          <w:color w:val="auto"/>
        </w:rPr>
        <w:t xml:space="preserve"> and follow us on </w:t>
      </w:r>
      <w:r>
        <w:rPr>
          <w:rFonts w:ascii="Times New Roman" w:cs="Times New Roman" w:eastAsia="Times New Roman" w:hAnsi="Times New Roman"/>
          <w:sz w:val="12"/>
          <w:szCs w:val="12"/>
          <w:u w:val="single" w:color="auto"/>
          <w:color w:val="auto"/>
        </w:rPr>
        <w:t>Twitter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Facebook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YouTube</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Amdocs</w:t>
      </w:r>
    </w:p>
    <w:p>
      <w:pPr>
        <w:spacing w:after="0" w:line="82" w:lineRule="exact"/>
        <w:rPr>
          <w:sz w:val="20"/>
          <w:szCs w:val="20"/>
          <w:color w:val="auto"/>
        </w:rPr>
      </w:pPr>
    </w:p>
    <w:p>
      <w:pPr>
        <w:ind w:left="840" w:right="939"/>
        <w:spacing w:after="0" w:line="257" w:lineRule="auto"/>
        <w:rPr>
          <w:sz w:val="20"/>
          <w:szCs w:val="20"/>
          <w:color w:val="auto"/>
        </w:rPr>
      </w:pPr>
      <w:r>
        <w:rPr>
          <w:rFonts w:ascii="Times New Roman" w:cs="Times New Roman" w:eastAsia="Times New Roman" w:hAnsi="Times New Roman"/>
          <w:sz w:val="12"/>
          <w:szCs w:val="12"/>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31,000 employees around the globe are here to accelerate service providers’ migration to the cloud, enable them to differentiate in the 5G era, and digitalize and automate their operations. Listed on the NASDAQ Global Select Market, Amdocs had revenue of $4.3 billion in fiscal 2021.</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For more information, visit Amdocs at </w:t>
      </w:r>
      <w:r>
        <w:rPr>
          <w:rFonts w:ascii="Times New Roman" w:cs="Times New Roman" w:eastAsia="Times New Roman" w:hAnsi="Times New Roman"/>
          <w:sz w:val="12"/>
          <w:szCs w:val="12"/>
          <w:u w:val="single" w:color="auto"/>
          <w:color w:val="auto"/>
        </w:rPr>
        <w:t>www.amdocs.com</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w:t>
      </w:r>
    </w:p>
    <w:p>
      <w:pPr>
        <w:sectPr>
          <w:pgSz w:w="11900" w:h="16838" w:orient="portrait"/>
          <w:cols w:equalWidth="0" w:num="1">
            <w:col w:w="9019"/>
          </w:cols>
          <w:pgMar w:left="1440" w:top="228" w:right="1440" w:bottom="1440" w:gutter="0" w:footer="0" w:header="0"/>
        </w:sectPr>
      </w:pPr>
    </w:p>
    <w:bookmarkStart w:id="13" w:name="page14"/>
    <w:bookmarkEnd w:id="13"/>
    <w:p>
      <w:pPr>
        <w:ind w:left="840" w:right="85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2021 filed on December 9, 2021 and our Form 6-K furnished for the first quarter of fiscal 2022 on February 14, 2022 and for the second quarter of fiscal 2022 on May 24, 2022.</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Contact</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Matthew Smith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Head of Investor Relations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Amdocs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314-212-8328</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E-mail: dox_info@amdocs.com</w:t>
      </w:r>
    </w:p>
    <w:p>
      <w:pPr>
        <w:sectPr>
          <w:pgSz w:w="11900" w:h="16838" w:orient="portrait"/>
          <w:cols w:equalWidth="0" w:num="1">
            <w:col w:w="9019"/>
          </w:cols>
          <w:pgMar w:left="1440" w:top="228"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60" w:type="dxa"/>
            <w:vAlign w:val="bottom"/>
          </w:tcPr>
          <w:p>
            <w:pPr>
              <w:spacing w:after="0"/>
              <w:rPr>
                <w:sz w:val="10"/>
                <w:szCs w:val="10"/>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15"/>
        </w:trPr>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0" w:type="dxa"/>
            <w:vAlign w:val="bottom"/>
          </w:tcPr>
          <w:p>
            <w:pPr>
              <w:spacing w:after="0"/>
              <w:rPr>
                <w:sz w:val="10"/>
                <w:szCs w:val="10"/>
                <w:color w:val="auto"/>
              </w:rPr>
            </w:pPr>
          </w:p>
        </w:tc>
        <w:tc>
          <w:tcPr>
            <w:tcW w:w="1260" w:type="dxa"/>
            <w:vAlign w:val="bottom"/>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88"/>
        </w:trPr>
        <w:tc>
          <w:tcPr>
            <w:tcW w:w="46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7"/>
                <w:szCs w:val="7"/>
                <w:color w:val="auto"/>
              </w:rPr>
            </w:pPr>
          </w:p>
        </w:tc>
        <w:tc>
          <w:tcPr>
            <w:tcW w:w="1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tcBorders>
              <w:bottom w:val="single" w:sz="8" w:color="CCEEFF"/>
            </w:tcBorders>
          </w:tcPr>
          <w:p>
            <w:pPr>
              <w:spacing w:after="0"/>
              <w:rPr>
                <w:sz w:val="7"/>
                <w:szCs w:val="7"/>
                <w:color w:val="auto"/>
              </w:rPr>
            </w:pPr>
          </w:p>
        </w:tc>
      </w:tr>
      <w:tr>
        <w:trPr>
          <w:trHeight w:val="133"/>
        </w:trPr>
        <w:tc>
          <w:tcPr>
            <w:tcW w:w="4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1,160,290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1,066,254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3,410,193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3,201,331</w:t>
            </w:r>
          </w:p>
        </w:tc>
        <w:tc>
          <w:tcPr>
            <w:tcW w:w="80" w:type="dxa"/>
            <w:vAlign w:val="bottom"/>
            <w:shd w:val="clear" w:color="auto" w:fill="CCEEFF"/>
          </w:tcPr>
          <w:p>
            <w:pPr>
              <w:spacing w:after="0"/>
              <w:rPr>
                <w:sz w:val="11"/>
                <w:szCs w:val="11"/>
                <w:color w:val="auto"/>
              </w:rPr>
            </w:pP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 of revenue</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748,214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689,370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2,206,189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2,103,601</w:t>
            </w:r>
          </w:p>
        </w:tc>
      </w:tr>
      <w:tr>
        <w:trPr>
          <w:trHeight w:val="144"/>
        </w:trPr>
        <w:tc>
          <w:tcPr>
            <w:tcW w:w="4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89,479</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80,794</w:t>
            </w: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258,488</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231,617</w:t>
            </w:r>
          </w:p>
        </w:tc>
      </w:tr>
      <w:tr>
        <w:trPr>
          <w:trHeight w:val="144"/>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136,110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122,401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399,168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361,240</w:t>
            </w:r>
          </w:p>
        </w:tc>
      </w:tr>
      <w:tr>
        <w:trPr>
          <w:trHeight w:val="144"/>
        </w:trPr>
        <w:tc>
          <w:tcPr>
            <w:tcW w:w="4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Amortization of purchased intangible assets and other</w:t>
            </w:r>
          </w:p>
        </w:tc>
        <w:tc>
          <w:tcPr>
            <w:tcW w:w="6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17,173</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18,770</w:t>
            </w: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53,237</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60,510</w:t>
            </w:r>
          </w:p>
        </w:tc>
      </w:tr>
      <w:tr>
        <w:trPr>
          <w:trHeight w:val="20"/>
        </w:trPr>
        <w:tc>
          <w:tcPr>
            <w:tcW w:w="4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990,976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911,335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2,917,082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2,756,968</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169,314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154,919</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493,111</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444,363</w:t>
            </w:r>
          </w:p>
        </w:tc>
        <w:tc>
          <w:tcPr>
            <w:tcW w:w="8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other (expense) income, net</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(7,811)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(18,992)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(9,698)</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Gain from sale of a business</w:t>
            </w:r>
          </w:p>
        </w:tc>
        <w:tc>
          <w:tcPr>
            <w:tcW w:w="60" w:type="dxa"/>
            <w:vAlign w:val="bottom"/>
          </w:tcPr>
          <w:p>
            <w:pPr>
              <w:spacing w:after="0"/>
              <w:rPr>
                <w:sz w:val="12"/>
                <w:szCs w:val="12"/>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226,410</w:t>
            </w:r>
          </w:p>
        </w:tc>
      </w:tr>
      <w:tr>
        <w:trPr>
          <w:trHeight w:val="20"/>
        </w:trPr>
        <w:tc>
          <w:tcPr>
            <w:tcW w:w="4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161,503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155,253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484,119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661,075</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6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33,037</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9,103</w:t>
            </w: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63,554</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96,226</w:t>
            </w:r>
          </w:p>
        </w:tc>
      </w:tr>
      <w:tr>
        <w:trPr>
          <w:trHeight w:val="20"/>
        </w:trPr>
        <w:tc>
          <w:tcPr>
            <w:tcW w:w="4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128,466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420,565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564,849</w:t>
            </w:r>
          </w:p>
        </w:tc>
      </w:tr>
      <w:tr>
        <w:trPr>
          <w:trHeight w:val="165"/>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80" w:type="dxa"/>
            <w:vAlign w:val="bottom"/>
          </w:tcPr>
          <w:p>
            <w:pPr>
              <w:spacing w:after="0"/>
              <w:rPr>
                <w:sz w:val="14"/>
                <w:szCs w:val="14"/>
                <w:color w:val="auto"/>
              </w:rPr>
            </w:pPr>
          </w:p>
        </w:tc>
      </w:tr>
      <w:tr>
        <w:trPr>
          <w:trHeight w:val="155"/>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4.34</w:t>
            </w:r>
          </w:p>
        </w:tc>
      </w:tr>
      <w:tr>
        <w:trPr>
          <w:trHeight w:val="165"/>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Basic weighted average number of shares outstanding</w:t>
            </w: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122,319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127,172</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123,271</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129,362</w:t>
            </w:r>
          </w:p>
        </w:tc>
        <w:tc>
          <w:tcPr>
            <w:tcW w:w="80" w:type="dxa"/>
            <w:vAlign w:val="bottom"/>
          </w:tcPr>
          <w:p>
            <w:pPr>
              <w:spacing w:after="0"/>
              <w:rPr>
                <w:sz w:val="14"/>
                <w:szCs w:val="14"/>
                <w:color w:val="auto"/>
              </w:rPr>
            </w:pPr>
          </w:p>
        </w:tc>
      </w:tr>
      <w:tr>
        <w:trPr>
          <w:trHeight w:val="155"/>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 average number of shares outstanding</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123,153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128,050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124,098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130,115</w:t>
            </w:r>
          </w:p>
        </w:tc>
      </w:tr>
      <w:tr>
        <w:trPr>
          <w:trHeight w:val="160"/>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Cash dividends declared per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0.395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1.0475</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4"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Selected Financial Metrics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80" w:type="dxa"/>
            <w:vAlign w:val="bottom"/>
          </w:tcPr>
          <w:p>
            <w:pPr>
              <w:spacing w:after="0"/>
              <w:rPr>
                <w:sz w:val="10"/>
                <w:szCs w:val="10"/>
                <w:color w:val="auto"/>
              </w:rPr>
            </w:pPr>
          </w:p>
        </w:tc>
        <w:tc>
          <w:tcPr>
            <w:tcW w:w="1240" w:type="dxa"/>
            <w:vAlign w:val="bottom"/>
            <w:gridSpan w:val="8"/>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15"/>
        </w:trPr>
        <w:tc>
          <w:tcPr>
            <w:tcW w:w="3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4"/>
          </w:tcPr>
          <w:p>
            <w:pPr>
              <w:jc w:val="center"/>
              <w:ind w:left="225"/>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200" w:type="dxa"/>
            <w:vAlign w:val="bottom"/>
            <w:tcBorders>
              <w:bottom w:val="single" w:sz="8" w:color="CCEEFF"/>
            </w:tcBorders>
          </w:tcPr>
          <w:p>
            <w:pPr>
              <w:spacing w:after="0"/>
              <w:rPr>
                <w:sz w:val="7"/>
                <w:szCs w:val="7"/>
                <w:color w:val="auto"/>
              </w:rPr>
            </w:pPr>
          </w:p>
        </w:tc>
        <w:tc>
          <w:tcPr>
            <w:tcW w:w="13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right"/>
              <w:ind w:right="12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0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jc w:val="right"/>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40" w:type="dxa"/>
            <w:vAlign w:val="bottom"/>
            <w:tcBorders>
              <w:bottom w:val="single" w:sz="8" w:color="CCEEFF"/>
            </w:tcBorders>
          </w:tcPr>
          <w:p>
            <w:pPr>
              <w:spacing w:after="0"/>
              <w:rPr>
                <w:sz w:val="7"/>
                <w:szCs w:val="7"/>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3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$1,160,290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$1,066,254</w:t>
            </w:r>
          </w:p>
        </w:tc>
        <w:tc>
          <w:tcPr>
            <w:tcW w:w="1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$3,410,193</w:t>
            </w:r>
          </w:p>
        </w:tc>
        <w:tc>
          <w:tcPr>
            <w:tcW w:w="18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$3,201,331</w:t>
            </w:r>
          </w:p>
        </w:tc>
        <w:tc>
          <w:tcPr>
            <w:tcW w:w="40" w:type="dxa"/>
            <w:vAlign w:val="bottom"/>
            <w:shd w:val="clear" w:color="auto" w:fill="CCEEFF"/>
          </w:tcPr>
          <w:p>
            <w:pPr>
              <w:spacing w:after="0"/>
              <w:rPr>
                <w:sz w:val="11"/>
                <w:szCs w:val="11"/>
                <w:color w:val="auto"/>
              </w:rPr>
            </w:pP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Non-GAAP operating income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32"/>
              <w:spacing w:after="0"/>
              <w:rPr>
                <w:sz w:val="20"/>
                <w:szCs w:val="20"/>
                <w:color w:val="auto"/>
              </w:rPr>
            </w:pPr>
            <w:r>
              <w:rPr>
                <w:rFonts w:ascii="Times New Roman" w:cs="Times New Roman" w:eastAsia="Times New Roman" w:hAnsi="Times New Roman"/>
                <w:sz w:val="12"/>
                <w:szCs w:val="12"/>
                <w:color w:val="auto"/>
              </w:rPr>
              <w:t>204,325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599,557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560,470</w:t>
            </w: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net income</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156,520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173,283</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497,599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474,350</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Non-GAAP diluted earnings per share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ind w:right="32"/>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3.65</w:t>
            </w: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 average number of shares outstanding</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123,153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128,050</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124,098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130,115</w:t>
            </w:r>
          </w:p>
        </w:tc>
      </w:tr>
      <w:tr>
        <w:trPr>
          <w:trHeight w:val="417"/>
        </w:trPr>
        <w:tc>
          <w:tcPr>
            <w:tcW w:w="5300" w:type="dxa"/>
            <w:vAlign w:val="bottom"/>
            <w:gridSpan w:val="7"/>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Free Cash Flows and Normalized Free Cash Flow</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9"/>
        </w:trPr>
        <w:tc>
          <w:tcPr>
            <w:tcW w:w="3200" w:type="dxa"/>
            <w:vAlign w:val="bottom"/>
          </w:tcPr>
          <w:p>
            <w:pPr>
              <w:spacing w:after="0"/>
              <w:rPr>
                <w:sz w:val="13"/>
                <w:szCs w:val="13"/>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5"/>
        </w:trPr>
        <w:tc>
          <w:tcPr>
            <w:tcW w:w="3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6"/>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21"/>
                <w:szCs w:val="21"/>
                <w:color w:val="auto"/>
              </w:rPr>
            </w:pPr>
          </w:p>
        </w:tc>
        <w:tc>
          <w:tcPr>
            <w:tcW w:w="1240" w:type="dxa"/>
            <w:vAlign w:val="bottom"/>
            <w:gridSpan w:val="8"/>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15"/>
        </w:trPr>
        <w:tc>
          <w:tcPr>
            <w:tcW w:w="3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w w:val="89"/>
              </w:rPr>
              <w:t>June 30,</w:t>
            </w:r>
          </w:p>
        </w:tc>
        <w:tc>
          <w:tcPr>
            <w:tcW w:w="80" w:type="dxa"/>
            <w:vAlign w:val="bottom"/>
          </w:tcPr>
          <w:p>
            <w:pPr>
              <w:spacing w:after="0"/>
              <w:rPr>
                <w:sz w:val="10"/>
                <w:szCs w:val="1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200" w:type="dxa"/>
            <w:vAlign w:val="bottom"/>
            <w:tcBorders>
              <w:bottom w:val="single" w:sz="8" w:color="CCEEFF"/>
            </w:tcBorders>
          </w:tcPr>
          <w:p>
            <w:pPr>
              <w:spacing w:after="0"/>
              <w:rPr>
                <w:sz w:val="7"/>
                <w:szCs w:val="7"/>
                <w:color w:val="auto"/>
              </w:rPr>
            </w:pPr>
          </w:p>
        </w:tc>
        <w:tc>
          <w:tcPr>
            <w:tcW w:w="13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tcBorders>
              <w:bottom w:val="single" w:sz="8" w:color="CCEEFF"/>
            </w:tcBorders>
            <w:gridSpan w:val="2"/>
          </w:tcPr>
          <w:p>
            <w:pPr>
              <w:spacing w:after="0"/>
              <w:rPr>
                <w:sz w:val="7"/>
                <w:szCs w:val="7"/>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$166,826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$189,873</w:t>
            </w: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$ 539,800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726,094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Purchases of property and equipment, net </w:t>
            </w:r>
            <w:r>
              <w:rPr>
                <w:rFonts w:ascii="Times New Roman" w:cs="Times New Roman" w:eastAsia="Times New Roman" w:hAnsi="Times New Roman"/>
                <w:sz w:val="16"/>
                <w:szCs w:val="16"/>
                <w:color w:val="auto"/>
                <w:vertAlign w:val="superscript"/>
              </w:rPr>
              <w:t>(c)</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(40,904)</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(50,255)</w:t>
            </w:r>
          </w:p>
        </w:tc>
        <w:tc>
          <w:tcPr>
            <w:tcW w:w="80" w:type="dxa"/>
            <w:vAlign w:val="bottom"/>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(145,400)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3"/>
              </w:rPr>
              <w:t>(149,565)</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139,618</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394,400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576,529</w:t>
            </w:r>
          </w:p>
        </w:tc>
        <w:tc>
          <w:tcPr>
            <w:tcW w:w="40" w:type="dxa"/>
            <w:vAlign w:val="bottom"/>
            <w:shd w:val="clear" w:color="auto" w:fill="CCEEFF"/>
          </w:tcPr>
          <w:p>
            <w:pPr>
              <w:spacing w:after="0"/>
              <w:rPr>
                <w:sz w:val="12"/>
                <w:szCs w:val="12"/>
                <w:color w:val="auto"/>
              </w:rPr>
            </w:pPr>
          </w:p>
        </w:tc>
      </w:tr>
      <w:tr>
        <w:trPr>
          <w:trHeight w:val="144"/>
        </w:trPr>
        <w:tc>
          <w:tcPr>
            <w:tcW w:w="3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Tax payment on sale of business</w:t>
            </w:r>
            <w:r>
              <w:rPr>
                <w:rFonts w:ascii="Times New Roman" w:cs="Times New Roman" w:eastAsia="Times New Roman" w:hAnsi="Times New Roman"/>
                <w:sz w:val="16"/>
                <w:szCs w:val="16"/>
                <w:color w:val="auto"/>
                <w:vertAlign w:val="superscript"/>
              </w:rPr>
              <w:t>(b)</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13,597</w:t>
            </w:r>
          </w:p>
        </w:tc>
        <w:tc>
          <w:tcPr>
            <w:tcW w:w="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3,193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38,787</w:t>
            </w:r>
          </w:p>
        </w:tc>
        <w:tc>
          <w:tcPr>
            <w:tcW w:w="40" w:type="dxa"/>
            <w:vAlign w:val="bottom"/>
          </w:tcPr>
          <w:p>
            <w:pPr>
              <w:spacing w:after="0"/>
              <w:rPr>
                <w:sz w:val="12"/>
                <w:szCs w:val="12"/>
                <w:color w:val="auto"/>
              </w:rPr>
            </w:pPr>
          </w:p>
        </w:tc>
      </w:tr>
      <w:tr>
        <w:trPr>
          <w:trHeight w:val="14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of acquisition related liabilities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14,350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13,234</w:t>
            </w:r>
          </w:p>
        </w:tc>
        <w:tc>
          <w:tcPr>
            <w:tcW w:w="40" w:type="dxa"/>
            <w:vAlign w:val="bottom"/>
            <w:shd w:val="clear" w:color="auto" w:fill="CCEEFF"/>
          </w:tcPr>
          <w:p>
            <w:pPr>
              <w:spacing w:after="0"/>
              <w:rPr>
                <w:sz w:val="12"/>
                <w:szCs w:val="12"/>
                <w:color w:val="auto"/>
              </w:rPr>
            </w:pP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Net capital expenditures related to the new campus development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18,260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25,324</w:t>
            </w:r>
          </w:p>
        </w:tc>
        <w:tc>
          <w:tcPr>
            <w:tcW w:w="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77,676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67,879</w:t>
            </w:r>
          </w:p>
        </w:tc>
        <w:tc>
          <w:tcPr>
            <w:tcW w:w="40" w:type="dxa"/>
            <w:vAlign w:val="bottom"/>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Normalized Free Cash Flow</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144,182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178,539</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$ 489,619</w:t>
            </w: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696,429</w:t>
            </w:r>
          </w:p>
        </w:tc>
        <w:tc>
          <w:tcPr>
            <w:tcW w:w="40" w:type="dxa"/>
            <w:vAlign w:val="bottom"/>
            <w:shd w:val="clear" w:color="auto" w:fill="CCEEFF"/>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68580</wp:posOffset>
            </wp:positionV>
            <wp:extent cx="5143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1120" w:hanging="288"/>
        <w:spacing w:after="0"/>
        <w:tabs>
          <w:tab w:leader="none" w:pos="11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2021, OpenMarket results are not included in the Consolidated Statements of Income given its divestiture.</w:t>
      </w:r>
    </w:p>
    <w:p>
      <w:pPr>
        <w:spacing w:after="0" w:line="1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payment related to capital gain from divestiture of OpenMarket, which was completed on December 31, 2020.</w:t>
      </w:r>
    </w:p>
    <w:p>
      <w:pPr>
        <w:spacing w:after="0" w:line="6" w:lineRule="exact"/>
        <w:rPr>
          <w:rFonts w:ascii="Times New Roman" w:cs="Times New Roman" w:eastAsia="Times New Roman" w:hAnsi="Times New Roman"/>
          <w:sz w:val="12"/>
          <w:szCs w:val="12"/>
          <w:color w:val="auto"/>
        </w:rPr>
      </w:pPr>
    </w:p>
    <w:p>
      <w:pPr>
        <w:ind w:left="1120" w:right="1039" w:hanging="288"/>
        <w:spacing w:after="0" w:line="260" w:lineRule="auto"/>
        <w:tabs>
          <w:tab w:leader="none" w:pos="11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under “Purchase of property and equipment, net” include proceeds from sale of property and equipment of $521 and $233 for the nine months ended June 30, 2022 and 2021, respectively.</w:t>
      </w:r>
    </w:p>
    <w:p>
      <w:pPr>
        <w:sectPr>
          <w:pgSz w:w="11900" w:h="16838" w:orient="portrait"/>
          <w:cols w:equalWidth="0" w:num="1">
            <w:col w:w="9019"/>
          </w:cols>
          <w:pgMar w:left="1440" w:top="224"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Reconciliation of Selected Financial Metrics from GAAP to Non-GAAP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center"/>
              <w:ind w:left="103"/>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June 30, 2022</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6"/>
          </w:tcPr>
          <w:p>
            <w:pPr>
              <w:jc w:val="center"/>
              <w:ind w:left="63"/>
              <w:spacing w:after="0" w:line="88" w:lineRule="exact"/>
              <w:rPr>
                <w:sz w:val="20"/>
                <w:szCs w:val="20"/>
                <w:color w:val="auto"/>
              </w:rPr>
            </w:pPr>
            <w:r>
              <w:rPr>
                <w:rFonts w:ascii="Times New Roman" w:cs="Times New Roman" w:eastAsia="Times New Roman" w:hAnsi="Times New Roman"/>
                <w:sz w:val="10"/>
                <w:szCs w:val="10"/>
                <w:b w:val="1"/>
                <w:bCs w:val="1"/>
                <w:color w:val="auto"/>
                <w:w w:val="97"/>
              </w:rPr>
              <w:t>Reconciliation items</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center"/>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3"/>
              </w:rPr>
              <w:t>certain</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acquisitions</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intangible</w:t>
            </w:r>
          </w:p>
        </w:tc>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related liabilities</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Tax</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8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6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measured</w:t>
            </w:r>
          </w:p>
        </w:tc>
        <w:tc>
          <w:tcPr>
            <w:tcW w:w="6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at fair value</w:t>
            </w: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6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$748,214</w:t>
            </w:r>
          </w:p>
        </w:tc>
        <w:tc>
          <w:tcPr>
            <w:tcW w:w="1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$ 739,975</w:t>
            </w: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89,479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87,984</w:t>
            </w:r>
          </w:p>
        </w:tc>
        <w:tc>
          <w:tcPr>
            <w:tcW w:w="0" w:type="dxa"/>
            <w:vAlign w:val="bottom"/>
          </w:tcPr>
          <w:p>
            <w:pPr>
              <w:spacing w:after="0"/>
              <w:rPr>
                <w:sz w:val="1"/>
                <w:szCs w:val="1"/>
                <w:color w:val="auto"/>
              </w:rPr>
            </w:pPr>
          </w:p>
        </w:tc>
      </w:tr>
      <w:tr>
        <w:trPr>
          <w:trHeight w:val="144"/>
        </w:trPr>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(8,104)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128,006</w:t>
            </w:r>
          </w:p>
        </w:tc>
        <w:tc>
          <w:tcPr>
            <w:tcW w:w="0" w:type="dxa"/>
            <w:vAlign w:val="bottom"/>
          </w:tcPr>
          <w:p>
            <w:pPr>
              <w:spacing w:after="0"/>
              <w:rPr>
                <w:sz w:val="1"/>
                <w:szCs w:val="1"/>
                <w:color w:val="auto"/>
              </w:rPr>
            </w:pPr>
          </w:p>
        </w:tc>
      </w:tr>
      <w:tr>
        <w:trPr>
          <w:trHeight w:val="133"/>
        </w:trPr>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Amortization of purchased intangible assets and</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17,173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(17,173)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1"/>
        </w:trPr>
        <w:tc>
          <w:tcPr>
            <w:tcW w:w="26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Total operating</w:t>
            </w: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990,976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(17,173)</w:t>
            </w: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(18,122)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955,965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169,314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204,325</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other expense, net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(7,811)</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w w:val="88"/>
              </w:rPr>
              <w:t>500</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33,037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7,457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40,494</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128,466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17,173</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w w:val="88"/>
              </w:rPr>
              <w:t>500</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0"/>
              </w:rPr>
              <w:t>(7,457</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$ 156,520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6"/>
          </w:tcPr>
          <w:p>
            <w:pPr>
              <w:jc w:val="center"/>
              <w:ind w:left="103"/>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June 30, 2021</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6"/>
          </w:tcPr>
          <w:p>
            <w:pPr>
              <w:jc w:val="center"/>
              <w:ind w:left="63"/>
              <w:spacing w:after="0" w:line="88" w:lineRule="exact"/>
              <w:rPr>
                <w:sz w:val="20"/>
                <w:szCs w:val="20"/>
                <w:color w:val="auto"/>
              </w:rPr>
            </w:pPr>
            <w:r>
              <w:rPr>
                <w:rFonts w:ascii="Times New Roman" w:cs="Times New Roman" w:eastAsia="Times New Roman" w:hAnsi="Times New Roman"/>
                <w:sz w:val="10"/>
                <w:szCs w:val="10"/>
                <w:b w:val="1"/>
                <w:bCs w:val="1"/>
                <w:color w:val="auto"/>
                <w:w w:val="97"/>
              </w:rPr>
              <w:t>Reconciliation items</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center"/>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3"/>
              </w:rPr>
              <w:t>certain</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acquisitions</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intangible</w:t>
            </w:r>
          </w:p>
        </w:tc>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related liabilities</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Tax</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8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6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measured</w:t>
            </w:r>
          </w:p>
        </w:tc>
        <w:tc>
          <w:tcPr>
            <w:tcW w:w="6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at fair value</w:t>
            </w: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6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$689,370</w:t>
            </w:r>
          </w:p>
        </w:tc>
        <w:tc>
          <w:tcPr>
            <w:tcW w:w="1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$ 683,424</w:t>
            </w: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80,794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79,762</w:t>
            </w:r>
          </w:p>
        </w:tc>
        <w:tc>
          <w:tcPr>
            <w:tcW w:w="0" w:type="dxa"/>
            <w:vAlign w:val="bottom"/>
          </w:tcPr>
          <w:p>
            <w:pPr>
              <w:spacing w:after="0"/>
              <w:rPr>
                <w:sz w:val="1"/>
                <w:szCs w:val="1"/>
                <w:color w:val="auto"/>
              </w:rPr>
            </w:pPr>
          </w:p>
        </w:tc>
      </w:tr>
      <w:tr>
        <w:trPr>
          <w:trHeight w:val="144"/>
        </w:trPr>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115,462</w:t>
            </w:r>
          </w:p>
        </w:tc>
        <w:tc>
          <w:tcPr>
            <w:tcW w:w="0" w:type="dxa"/>
            <w:vAlign w:val="bottom"/>
          </w:tcPr>
          <w:p>
            <w:pPr>
              <w:spacing w:after="0"/>
              <w:rPr>
                <w:sz w:val="1"/>
                <w:szCs w:val="1"/>
                <w:color w:val="auto"/>
              </w:rPr>
            </w:pPr>
          </w:p>
        </w:tc>
      </w:tr>
      <w:tr>
        <w:trPr>
          <w:trHeight w:val="133"/>
        </w:trPr>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Amortization of purchased intangible assets and</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18,770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(18,770)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911,335</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(18,770)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878,648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154,919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18,770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187,606</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other income (expense), net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5"/>
              </w:rPr>
              <w:t>(1,510)</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4,044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13,147</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146,150</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18,770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(1,510</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0"/>
              </w:rPr>
              <w:t>(4,044</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$ 173,283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4"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Reconciliation of Selected Financial Metrics from GAAP to Non-GAAP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8"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jc w:val="center"/>
        <w:ind w:left="1780"/>
        <w:spacing w:after="0" w:line="215" w:lineRule="auto"/>
        <w:rPr>
          <w:sz w:val="20"/>
          <w:szCs w:val="20"/>
          <w:color w:val="auto"/>
        </w:rPr>
      </w:pPr>
      <w:r>
        <w:rPr>
          <w:rFonts w:ascii="Times New Roman" w:cs="Times New Roman" w:eastAsia="Times New Roman" w:hAnsi="Times New Roman"/>
          <w:sz w:val="10"/>
          <w:szCs w:val="10"/>
          <w:b w:val="1"/>
          <w:bCs w:val="1"/>
          <w:color w:val="auto"/>
        </w:rPr>
        <w:t>June 30, 2022</w:t>
      </w:r>
    </w:p>
    <w:tbl>
      <w:tblPr>
        <w:tblLayout w:type="fixed"/>
        <w:tblInd w:w="840" w:type="dxa"/>
        <w:tblCellMar>
          <w:top w:w="0" w:type="dxa"/>
          <w:left w:w="0" w:type="dxa"/>
          <w:bottom w:w="0" w:type="dxa"/>
          <w:right w:w="0" w:type="dxa"/>
        </w:tblCellMar>
      </w:tblPr>
      <w:tr>
        <w:trPr>
          <w:trHeight w:val="88"/>
        </w:trPr>
        <w:tc>
          <w:tcPr>
            <w:tcW w:w="18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1440" w:type="dxa"/>
            <w:vAlign w:val="bottom"/>
            <w:tcBorders>
              <w:top w:val="single" w:sz="8" w:color="auto"/>
              <w:bottom w:val="single" w:sz="8" w:color="auto"/>
            </w:tcBorders>
            <w:gridSpan w:val="5"/>
          </w:tcPr>
          <w:p>
            <w:pPr>
              <w:jc w:val="center"/>
              <w:ind w:right="560"/>
              <w:spacing w:after="0" w:line="88" w:lineRule="exact"/>
              <w:rPr>
                <w:sz w:val="20"/>
                <w:szCs w:val="20"/>
                <w:color w:val="auto"/>
              </w:rPr>
            </w:pPr>
            <w:r>
              <w:rPr>
                <w:rFonts w:ascii="Times New Roman" w:cs="Times New Roman" w:eastAsia="Times New Roman" w:hAnsi="Times New Roman"/>
                <w:sz w:val="10"/>
                <w:szCs w:val="10"/>
                <w:b w:val="1"/>
                <w:bCs w:val="1"/>
                <w:color w:val="auto"/>
                <w:w w:val="97"/>
              </w:rPr>
              <w:t>Reconciliation items</w:t>
            </w: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certain</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acquisitions</w:t>
            </w: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Gain from</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740" w:type="dxa"/>
            <w:vAlign w:val="bottom"/>
            <w:gridSpan w:val="3"/>
            <w:vMerge w:val="continue"/>
          </w:tcPr>
          <w:p>
            <w:pPr>
              <w:spacing w:after="0"/>
              <w:rPr>
                <w:sz w:val="8"/>
                <w:szCs w:val="8"/>
                <w:color w:val="auto"/>
              </w:rPr>
            </w:pPr>
          </w:p>
        </w:tc>
        <w:tc>
          <w:tcPr>
            <w:tcW w:w="8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related liabilities</w:t>
            </w: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GAAP</w:t>
            </w:r>
          </w:p>
        </w:tc>
        <w:tc>
          <w:tcPr>
            <w:tcW w:w="6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measured</w:t>
            </w:r>
          </w:p>
        </w:tc>
        <w:tc>
          <w:tcPr>
            <w:tcW w:w="80" w:type="dxa"/>
            <w:vAlign w:val="bottom"/>
          </w:tcPr>
          <w:p>
            <w:pPr>
              <w:spacing w:after="0"/>
              <w:rPr>
                <w:sz w:val="8"/>
                <w:szCs w:val="8"/>
                <w:color w:val="auto"/>
              </w:rPr>
            </w:pPr>
          </w:p>
        </w:tc>
        <w:tc>
          <w:tcPr>
            <w:tcW w:w="6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2"/>
              </w:rPr>
              <w:t>sale of a</w:t>
            </w:r>
          </w:p>
        </w:tc>
        <w:tc>
          <w:tcPr>
            <w:tcW w:w="60" w:type="dxa"/>
            <w:vAlign w:val="bottom"/>
          </w:tcPr>
          <w:p>
            <w:pPr>
              <w:spacing w:after="0"/>
              <w:rPr>
                <w:sz w:val="8"/>
                <w:szCs w:val="8"/>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85"/>
              </w:rPr>
              <w:t>Other</w:t>
            </w: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8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at fair value</w:t>
            </w:r>
          </w:p>
        </w:tc>
        <w:tc>
          <w:tcPr>
            <w:tcW w:w="80" w:type="dxa"/>
            <w:vAlign w:val="bottom"/>
          </w:tcPr>
          <w:p>
            <w:pPr>
              <w:spacing w:after="0"/>
              <w:rPr>
                <w:sz w:val="10"/>
                <w:szCs w:val="10"/>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business</w:t>
            </w:r>
          </w:p>
        </w:tc>
        <w:tc>
          <w:tcPr>
            <w:tcW w:w="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effect</w:t>
            </w: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5"/>
              </w:rPr>
              <w:t>2,206,189</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(23,740)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w w:val="96"/>
              </w:rPr>
              <w:t>$2,181,940</w:t>
            </w: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258,488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(4,093)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254,395</w:t>
            </w:r>
          </w:p>
        </w:tc>
        <w:tc>
          <w:tcPr>
            <w:tcW w:w="0" w:type="dxa"/>
            <w:vAlign w:val="bottom"/>
          </w:tcPr>
          <w:p>
            <w:pPr>
              <w:spacing w:after="0"/>
              <w:rPr>
                <w:sz w:val="1"/>
                <w:szCs w:val="1"/>
                <w:color w:val="auto"/>
              </w:rPr>
            </w:pPr>
          </w:p>
        </w:tc>
      </w:tr>
      <w:tr>
        <w:trPr>
          <w:trHeight w:val="133"/>
        </w:trPr>
        <w:tc>
          <w:tcPr>
            <w:tcW w:w="18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Selling, general and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administrative</w:t>
            </w:r>
          </w:p>
        </w:tc>
        <w:tc>
          <w:tcPr>
            <w:tcW w:w="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399,168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(24,867)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374,301</w:t>
            </w: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Amortization of purchased</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 and other</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53,237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(53,237)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2,917,082</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(53,237)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(52,700)</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2,810,636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493,111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53,237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52,700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599,557</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other expense, net</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(18,992)</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5"/>
              </w:rPr>
              <w:t>(2,005)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from sale of a business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63,554</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17,407</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420,565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53,237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52,700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(2,005)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(17,407)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497,599</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Nine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center"/>
              <w:ind w:left="66"/>
              <w:spacing w:after="0"/>
              <w:rPr>
                <w:sz w:val="20"/>
                <w:szCs w:val="20"/>
                <w:color w:val="auto"/>
              </w:rPr>
            </w:pPr>
            <w:r>
              <w:rPr>
                <w:rFonts w:ascii="Times New Roman" w:cs="Times New Roman" w:eastAsia="Times New Roman" w:hAnsi="Times New Roman"/>
                <w:sz w:val="10"/>
                <w:szCs w:val="10"/>
                <w:b w:val="1"/>
                <w:bCs w:val="1"/>
                <w:color w:val="auto"/>
                <w:w w:val="96"/>
              </w:rPr>
              <w:t>June 30, 2021</w:t>
            </w:r>
            <w:r>
              <w:rPr>
                <w:rFonts w:ascii="Times New Roman" w:cs="Times New Roman" w:eastAsia="Times New Roman" w:hAnsi="Times New Roman"/>
                <w:sz w:val="7"/>
                <w:szCs w:val="7"/>
                <w:b w:val="1"/>
                <w:bCs w:val="1"/>
                <w:color w:val="auto"/>
                <w:w w:val="96"/>
              </w:rPr>
              <w:t>(a)</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5"/>
          </w:tcPr>
          <w:p>
            <w:pPr>
              <w:jc w:val="center"/>
              <w:ind w:right="560"/>
              <w:spacing w:after="0" w:line="88" w:lineRule="exact"/>
              <w:rPr>
                <w:sz w:val="20"/>
                <w:szCs w:val="20"/>
                <w:color w:val="auto"/>
              </w:rPr>
            </w:pPr>
            <w:r>
              <w:rPr>
                <w:rFonts w:ascii="Times New Roman" w:cs="Times New Roman" w:eastAsia="Times New Roman" w:hAnsi="Times New Roman"/>
                <w:sz w:val="10"/>
                <w:szCs w:val="10"/>
                <w:b w:val="1"/>
                <w:bCs w:val="1"/>
                <w:color w:val="auto"/>
                <w:w w:val="97"/>
              </w:rPr>
              <w:t>Reconciliation items</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certain</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acquisitions</w:t>
            </w: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Gain from</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740" w:type="dxa"/>
            <w:vAlign w:val="bottom"/>
            <w:gridSpan w:val="3"/>
            <w:vMerge w:val="continue"/>
          </w:tcPr>
          <w:p>
            <w:pPr>
              <w:spacing w:after="0"/>
              <w:rPr>
                <w:sz w:val="8"/>
                <w:szCs w:val="8"/>
                <w:color w:val="auto"/>
              </w:rPr>
            </w:pPr>
          </w:p>
        </w:tc>
        <w:tc>
          <w:tcPr>
            <w:tcW w:w="8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related liabilities</w:t>
            </w: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GAAP</w:t>
            </w:r>
          </w:p>
        </w:tc>
        <w:tc>
          <w:tcPr>
            <w:tcW w:w="6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measured</w:t>
            </w:r>
          </w:p>
        </w:tc>
        <w:tc>
          <w:tcPr>
            <w:tcW w:w="80" w:type="dxa"/>
            <w:vAlign w:val="bottom"/>
          </w:tcPr>
          <w:p>
            <w:pPr>
              <w:spacing w:after="0"/>
              <w:rPr>
                <w:sz w:val="8"/>
                <w:szCs w:val="8"/>
                <w:color w:val="auto"/>
              </w:rPr>
            </w:pPr>
          </w:p>
        </w:tc>
        <w:tc>
          <w:tcPr>
            <w:tcW w:w="6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2"/>
              </w:rPr>
              <w:t>sale of a</w:t>
            </w:r>
          </w:p>
        </w:tc>
        <w:tc>
          <w:tcPr>
            <w:tcW w:w="60" w:type="dxa"/>
            <w:vAlign w:val="bottom"/>
          </w:tcPr>
          <w:p>
            <w:pPr>
              <w:spacing w:after="0"/>
              <w:rPr>
                <w:sz w:val="8"/>
                <w:szCs w:val="8"/>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85"/>
              </w:rPr>
              <w:t>Other</w:t>
            </w: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8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at fair value</w:t>
            </w:r>
          </w:p>
        </w:tc>
        <w:tc>
          <w:tcPr>
            <w:tcW w:w="80" w:type="dxa"/>
            <w:vAlign w:val="bottom"/>
          </w:tcPr>
          <w:p>
            <w:pPr>
              <w:spacing w:after="0"/>
              <w:rPr>
                <w:sz w:val="10"/>
                <w:szCs w:val="10"/>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business</w:t>
            </w:r>
          </w:p>
        </w:tc>
        <w:tc>
          <w:tcPr>
            <w:tcW w:w="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effect</w:t>
            </w: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5"/>
              </w:rPr>
              <w:t>2,103,601</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(16,543)</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(15,654)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w w:val="96"/>
              </w:rPr>
              <w:t>$2,071,404</w:t>
            </w: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231,617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(2,876)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228,741</w:t>
            </w:r>
          </w:p>
        </w:tc>
        <w:tc>
          <w:tcPr>
            <w:tcW w:w="0" w:type="dxa"/>
            <w:vAlign w:val="bottom"/>
          </w:tcPr>
          <w:p>
            <w:pPr>
              <w:spacing w:after="0"/>
              <w:rPr>
                <w:sz w:val="1"/>
                <w:szCs w:val="1"/>
                <w:color w:val="auto"/>
              </w:rPr>
            </w:pPr>
          </w:p>
        </w:tc>
      </w:tr>
      <w:tr>
        <w:trPr>
          <w:trHeight w:val="133"/>
        </w:trPr>
        <w:tc>
          <w:tcPr>
            <w:tcW w:w="18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Selling, general and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administrative</w:t>
            </w:r>
          </w:p>
        </w:tc>
        <w:tc>
          <w:tcPr>
            <w:tcW w:w="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361,240</w:t>
            </w:r>
          </w:p>
        </w:tc>
        <w:tc>
          <w:tcPr>
            <w:tcW w:w="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(20,524)</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340,716</w:t>
            </w: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Amortization of purchased</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 and other</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60,510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(60,510)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1"/>
        </w:trPr>
        <w:tc>
          <w:tcPr>
            <w:tcW w:w="18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Total operating</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expenses</w:t>
            </w: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5"/>
              </w:rPr>
              <w:t>2,756,968</w:t>
            </w: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(60,510)</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(39,943)</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(15,654)</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2,640,861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444,363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60,510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39,943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15,654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560,470</w:t>
            </w:r>
          </w:p>
        </w:tc>
        <w:tc>
          <w:tcPr>
            <w:tcW w:w="0" w:type="dxa"/>
            <w:vAlign w:val="bottom"/>
          </w:tcPr>
          <w:p>
            <w:pPr>
              <w:spacing w:after="0"/>
              <w:rPr>
                <w:sz w:val="1"/>
                <w:szCs w:val="1"/>
                <w:color w:val="auto"/>
              </w:rPr>
            </w:pPr>
          </w:p>
        </w:tc>
      </w:tr>
      <w:tr>
        <w:trPr>
          <w:trHeight w:val="131"/>
        </w:trPr>
        <w:tc>
          <w:tcPr>
            <w:tcW w:w="18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Interest and other income</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 net</w:t>
            </w: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(9,698)</w:t>
            </w:r>
          </w:p>
        </w:tc>
        <w:tc>
          <w:tcPr>
            <w:tcW w:w="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(686)</w:t>
            </w:r>
          </w:p>
        </w:tc>
        <w:tc>
          <w:tcPr>
            <w:tcW w:w="6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(10,384)</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from sale of a business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226,410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3"/>
              </w:rPr>
              <w:t>(226,410)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96,226</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(20,490)</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564,849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60,510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39,943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15,654</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w w:val="98"/>
              </w:rPr>
              <w:t>$</w:t>
            </w:r>
            <w:r>
              <w:rPr>
                <w:rFonts w:ascii="Times New Roman" w:cs="Times New Roman" w:eastAsia="Times New Roman" w:hAnsi="Times New Roman"/>
                <w:sz w:val="12"/>
                <w:szCs w:val="12"/>
                <w:color w:val="auto"/>
                <w:w w:val="98"/>
              </w:rPr>
              <w:t>(226,410)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20,490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474,350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59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jc w:val="right"/>
              <w:ind w:right="41"/>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180" w:type="dxa"/>
            <w:vAlign w:val="bottom"/>
          </w:tcPr>
          <w:p>
            <w:pPr>
              <w:spacing w:after="0"/>
              <w:rPr>
                <w:sz w:val="6"/>
                <w:szCs w:val="6"/>
                <w:color w:val="auto"/>
              </w:rPr>
            </w:pPr>
          </w:p>
        </w:tc>
        <w:tc>
          <w:tcPr>
            <w:tcW w:w="58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15"/>
        </w:trPr>
        <w:tc>
          <w:tcPr>
            <w:tcW w:w="59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24"/>
        </w:trPr>
        <w:tc>
          <w:tcPr>
            <w:tcW w:w="59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597,761</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709,064</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Short-term interest-bearing investments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252,512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256,527</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net, including unbilled of $137,411 and $162,278, respectively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1,039,983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866,819</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226,027</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235,089</w:t>
            </w:r>
          </w:p>
        </w:tc>
        <w:tc>
          <w:tcPr>
            <w:tcW w:w="40" w:type="dxa"/>
            <w:vAlign w:val="bottom"/>
          </w:tcPr>
          <w:p>
            <w:pPr>
              <w:spacing w:after="0"/>
              <w:rPr>
                <w:sz w:val="12"/>
                <w:szCs w:val="12"/>
                <w:color w:val="auto"/>
              </w:rPr>
            </w:pPr>
          </w:p>
        </w:tc>
      </w:tr>
      <w:tr>
        <w:trPr>
          <w:trHeight w:val="142"/>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2,116,283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2,067,499</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747,782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698,768</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207,885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233,162</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Goodwill and other intangible assets, net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2,866,914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2,881,676</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563,188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630,669</w:t>
            </w:r>
          </w:p>
        </w:tc>
      </w:tr>
      <w:tr>
        <w:trPr>
          <w:trHeight w:val="15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6,502,052</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6,511,774</w:t>
            </w:r>
          </w:p>
        </w:tc>
        <w:tc>
          <w:tcPr>
            <w:tcW w:w="40" w:type="dxa"/>
            <w:vAlign w:val="bottom"/>
          </w:tcPr>
          <w:p>
            <w:pPr>
              <w:spacing w:after="0"/>
              <w:rPr>
                <w:sz w:val="13"/>
                <w:szCs w:val="13"/>
                <w:color w:val="auto"/>
              </w:rPr>
            </w:pPr>
          </w:p>
        </w:tc>
      </w:tr>
      <w:tr>
        <w:trPr>
          <w:trHeight w:val="14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accruals and other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990,255</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1,007,777</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58,714</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237,374</w:t>
            </w:r>
          </w:p>
        </w:tc>
      </w:tr>
      <w:tr>
        <w:trPr>
          <w:trHeight w:val="142"/>
        </w:trPr>
        <w:tc>
          <w:tcPr>
            <w:tcW w:w="59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1,334,319</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1,303,865</w:t>
            </w:r>
          </w:p>
        </w:tc>
        <w:tc>
          <w:tcPr>
            <w:tcW w:w="40" w:type="dxa"/>
            <w:vAlign w:val="bottom"/>
          </w:tcPr>
          <w:p>
            <w:pPr>
              <w:spacing w:after="0"/>
              <w:rPr>
                <w:sz w:val="12"/>
                <w:szCs w:val="12"/>
                <w:color w:val="auto"/>
              </w:rPr>
            </w:pP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177,906</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unamortized debt issuance costs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644,974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644,553</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783,877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750,266</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Total Amdocs Limited Shareholders’ equity</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3,530,704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3,592,675</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42,509</w:t>
            </w:r>
          </w:p>
        </w:tc>
      </w:tr>
      <w:tr>
        <w:trPr>
          <w:trHeight w:val="142"/>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Total equity</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3,573,213</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3,635,184</w:t>
            </w:r>
          </w:p>
        </w:tc>
        <w:tc>
          <w:tcPr>
            <w:tcW w:w="40" w:type="dxa"/>
            <w:vAlign w:val="bottom"/>
          </w:tcPr>
          <w:p>
            <w:pPr>
              <w:spacing w:after="0"/>
              <w:rPr>
                <w:sz w:val="12"/>
                <w:szCs w:val="12"/>
                <w:color w:val="auto"/>
              </w:rPr>
            </w:pPr>
          </w:p>
        </w:tc>
      </w:tr>
      <w:tr>
        <w:trPr>
          <w:trHeight w:val="14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6,502,052</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6,511,774</w:t>
            </w: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1280" w:type="dxa"/>
            <w:vAlign w:val="bottom"/>
            <w:gridSpan w:val="4"/>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15"/>
        </w:trPr>
        <w:tc>
          <w:tcPr>
            <w:tcW w:w="6060" w:type="dxa"/>
            <w:vAlign w:val="bottom"/>
          </w:tcPr>
          <w:p>
            <w:pPr>
              <w:spacing w:after="0"/>
              <w:rPr>
                <w:sz w:val="10"/>
                <w:szCs w:val="10"/>
                <w:color w:val="auto"/>
              </w:rPr>
            </w:pPr>
          </w:p>
        </w:tc>
        <w:tc>
          <w:tcPr>
            <w:tcW w:w="1280" w:type="dxa"/>
            <w:vAlign w:val="bottom"/>
            <w:gridSpan w:val="4"/>
          </w:tcPr>
          <w:p>
            <w:pPr>
              <w:jc w:val="right"/>
              <w:ind w:right="458"/>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88"/>
        </w:trPr>
        <w:tc>
          <w:tcPr>
            <w:tcW w:w="6060" w:type="dxa"/>
            <w:vAlign w:val="bottom"/>
            <w:tcBorders>
              <w:bottom w:val="single" w:sz="8" w:color="CCEEFF"/>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top w:val="single" w:sz="8" w:color="auto"/>
              <w:bottom w:val="single" w:sz="8" w:color="CCEEFF"/>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40"/>
              <w:spacing w:after="0" w:line="88"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tcBorders>
              <w:bottom w:val="single" w:sz="8" w:color="CCEEFF"/>
            </w:tcBorders>
          </w:tcPr>
          <w:p>
            <w:pPr>
              <w:spacing w:after="0"/>
              <w:rPr>
                <w:sz w:val="7"/>
                <w:szCs w:val="7"/>
                <w:color w:val="auto"/>
              </w:rPr>
            </w:pPr>
          </w:p>
        </w:tc>
      </w:tr>
      <w:tr>
        <w:trPr>
          <w:trHeight w:val="124"/>
        </w:trPr>
        <w:tc>
          <w:tcPr>
            <w:tcW w:w="6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$ 420,565</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9"/>
              </w:rPr>
              <w:t>$ 564,849</w:t>
            </w: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Reconciliation of net income to net cash provided by operating activities:</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amortization and impairment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174,712</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157,024</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421</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409</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Equity-based compensation expense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52,700</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39,943</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Gain from sale of a business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(226,410)</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income taxes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(20,442)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(64,882)</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from short-term interest-bearing investments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2,028</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1,006</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Net changes in operating assets and liabilities, net of amounts acquired: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receivable, net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(157,557)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(121,653)</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3,534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(434)</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27,918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(19,387)</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Lease assets and liabilities, net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3,603</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6,724</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payable, accrued expenses and accrued personnel</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(63,804)</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110,982</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revenue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28,465</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205,915</w:t>
            </w:r>
          </w:p>
        </w:tc>
      </w:tr>
      <w:tr>
        <w:trPr>
          <w:trHeight w:val="144"/>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taxes payable, net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19,903</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44,711</w:t>
            </w:r>
          </w:p>
        </w:tc>
      </w:tr>
      <w:tr>
        <w:trPr>
          <w:trHeight w:val="144"/>
        </w:trPr>
        <w:tc>
          <w:tcPr>
            <w:tcW w:w="6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57,754</w:t>
            </w:r>
          </w:p>
        </w:tc>
        <w:tc>
          <w:tcPr>
            <w:tcW w:w="200" w:type="dxa"/>
            <w:vAlign w:val="bottom"/>
          </w:tcPr>
          <w:p>
            <w:pPr>
              <w:spacing w:after="0"/>
              <w:rPr>
                <w:sz w:val="12"/>
                <w:szCs w:val="12"/>
                <w:color w:val="auto"/>
              </w:rPr>
            </w:pP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27,297</w:t>
            </w: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539,800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726,094</w:t>
            </w:r>
          </w:p>
        </w:tc>
      </w:tr>
      <w:tr>
        <w:trPr>
          <w:trHeight w:val="142"/>
        </w:trPr>
        <w:tc>
          <w:tcPr>
            <w:tcW w:w="6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 from Investing Activities: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Purchase of property and equipment, net </w:t>
            </w:r>
            <w:r>
              <w:rPr>
                <w:rFonts w:ascii="Times New Roman" w:cs="Times New Roman" w:eastAsia="Times New Roman" w:hAnsi="Times New Roman"/>
                <w:sz w:val="16"/>
                <w:szCs w:val="16"/>
                <w:b w:val="1"/>
                <w:bCs w:val="1"/>
                <w:color w:val="auto"/>
                <w:vertAlign w:val="superscript"/>
              </w:rPr>
              <w:t>(c)</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(145,400)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(149,565)</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of short-term interest-bearing investments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20,043</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14,333</w:t>
            </w: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short-term interest-bearing investments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(34,275)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(208,626)</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Net cash paid for business and intangible assets acquisitions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(24,430)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(111,932)</w:t>
            </w: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received from sale of a business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10,000</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288,990</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(5,030)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(332)</w:t>
            </w: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(179,092)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(167,132)</w:t>
            </w:r>
          </w:p>
        </w:tc>
      </w:tr>
      <w:tr>
        <w:trPr>
          <w:trHeight w:val="142"/>
        </w:trPr>
        <w:tc>
          <w:tcPr>
            <w:tcW w:w="6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 from Financing Activities: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under financing arrangements</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shares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(400,922)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(539,969)</w:t>
            </w: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employee stock options exercises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72,957</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84,474</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Payments of dividends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(137,893)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(131,892)</w:t>
            </w: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of contingent consideration from a business acquisition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(6,153)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(1,462)</w:t>
            </w:r>
          </w:p>
        </w:tc>
      </w:tr>
      <w:tr>
        <w:trPr>
          <w:trHeight w:val="142"/>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(472,011)</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(688,849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(111,303)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(129,887)</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709,064</w:t>
            </w:r>
          </w:p>
        </w:tc>
        <w:tc>
          <w:tcPr>
            <w:tcW w:w="200" w:type="dxa"/>
            <w:vAlign w:val="bottom"/>
          </w:tcPr>
          <w:p>
            <w:pPr>
              <w:spacing w:after="0"/>
              <w:rPr>
                <w:sz w:val="12"/>
                <w:szCs w:val="12"/>
                <w:color w:val="auto"/>
              </w:rPr>
            </w:pP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983,188</w:t>
            </w: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$ 597,761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$ 853,301</w:t>
            </w:r>
          </w:p>
        </w:tc>
      </w:tr>
      <w:tr>
        <w:trPr>
          <w:trHeight w:val="27"/>
        </w:trPr>
        <w:tc>
          <w:tcPr>
            <w:tcW w:w="6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Supplementary Information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4160" w:type="dxa"/>
            <w:vAlign w:val="bottom"/>
          </w:tcPr>
          <w:p>
            <w:pPr>
              <w:spacing w:after="0"/>
              <w:rPr>
                <w:sz w:val="6"/>
                <w:szCs w:val="6"/>
                <w:color w:val="auto"/>
              </w:rPr>
            </w:pPr>
          </w:p>
        </w:tc>
        <w:tc>
          <w:tcPr>
            <w:tcW w:w="620" w:type="dxa"/>
            <w:vAlign w:val="bottom"/>
            <w:gridSpan w:val="3"/>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120" w:type="dxa"/>
            <w:vAlign w:val="bottom"/>
          </w:tcPr>
          <w:p>
            <w:pPr>
              <w:spacing w:after="0"/>
              <w:rPr>
                <w:sz w:val="6"/>
                <w:szCs w:val="6"/>
                <w:color w:val="auto"/>
              </w:rPr>
            </w:pPr>
          </w:p>
        </w:tc>
        <w:tc>
          <w:tcPr>
            <w:tcW w:w="7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7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0" w:type="dxa"/>
            <w:vAlign w:val="bottom"/>
          </w:tcPr>
          <w:p>
            <w:pPr>
              <w:spacing w:after="0"/>
              <w:rPr>
                <w:sz w:val="6"/>
                <w:szCs w:val="6"/>
                <w:color w:val="auto"/>
              </w:rPr>
            </w:pPr>
          </w:p>
        </w:tc>
      </w:tr>
      <w:tr>
        <w:trPr>
          <w:trHeight w:val="115"/>
        </w:trPr>
        <w:tc>
          <w:tcPr>
            <w:tcW w:w="4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Borders>
              <w:bottom w:val="single" w:sz="8" w:color="CCEEFF"/>
            </w:tcBorders>
          </w:tcPr>
          <w:p>
            <w:pPr>
              <w:spacing w:after="0"/>
              <w:rPr>
                <w:sz w:val="10"/>
                <w:szCs w:val="10"/>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788.0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772.2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722.8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686.1</w:t>
            </w:r>
          </w:p>
        </w:tc>
        <w:tc>
          <w:tcPr>
            <w:tcW w:w="40" w:type="dxa"/>
            <w:vAlign w:val="bottom"/>
            <w:shd w:val="clear" w:color="auto" w:fill="CCEEFF"/>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Europe</w:t>
            </w: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146.1</w:t>
            </w:r>
          </w:p>
        </w:tc>
        <w:tc>
          <w:tcPr>
            <w:tcW w:w="8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142.5</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146.8</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155.7</w:t>
            </w: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 of the World</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226.2</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216.6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217.7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224.5</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1,160.3</w:t>
            </w: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w w:val="95"/>
              </w:rPr>
              <w:t>$</w:t>
            </w:r>
            <w:r>
              <w:rPr>
                <w:rFonts w:ascii="Times New Roman" w:cs="Times New Roman" w:eastAsia="Times New Roman" w:hAnsi="Times New Roman"/>
                <w:sz w:val="12"/>
                <w:szCs w:val="12"/>
                <w:color w:val="auto"/>
                <w:w w:val="95"/>
              </w:rPr>
              <w:t>1,145.3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1,104.6</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1,087.3</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1,066.3</w:t>
            </w:r>
          </w:p>
        </w:tc>
        <w:tc>
          <w:tcPr>
            <w:tcW w:w="40" w:type="dxa"/>
            <w:vAlign w:val="bottom"/>
          </w:tcPr>
          <w:p>
            <w:pPr>
              <w:spacing w:after="0"/>
              <w:rPr>
                <w:sz w:val="12"/>
                <w:szCs w:val="12"/>
                <w:color w:val="auto"/>
              </w:rPr>
            </w:pPr>
          </w:p>
        </w:tc>
      </w:tr>
      <w:tr>
        <w:trPr>
          <w:trHeight w:val="252"/>
        </w:trPr>
        <w:tc>
          <w:tcPr>
            <w:tcW w:w="41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72"/>
        </w:trPr>
        <w:tc>
          <w:tcPr>
            <w:tcW w:w="4160" w:type="dxa"/>
            <w:vAlign w:val="bottom"/>
          </w:tcPr>
          <w:p>
            <w:pPr>
              <w:spacing w:after="0"/>
              <w:rPr>
                <w:sz w:val="6"/>
                <w:szCs w:val="6"/>
                <w:color w:val="auto"/>
              </w:rPr>
            </w:pPr>
          </w:p>
        </w:tc>
        <w:tc>
          <w:tcPr>
            <w:tcW w:w="620" w:type="dxa"/>
            <w:vAlign w:val="bottom"/>
            <w:gridSpan w:val="3"/>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120" w:type="dxa"/>
            <w:vAlign w:val="bottom"/>
          </w:tcPr>
          <w:p>
            <w:pPr>
              <w:spacing w:after="0"/>
              <w:rPr>
                <w:sz w:val="6"/>
                <w:szCs w:val="6"/>
                <w:color w:val="auto"/>
              </w:rPr>
            </w:pPr>
          </w:p>
        </w:tc>
        <w:tc>
          <w:tcPr>
            <w:tcW w:w="7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7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0" w:type="dxa"/>
            <w:vAlign w:val="bottom"/>
          </w:tcPr>
          <w:p>
            <w:pPr>
              <w:spacing w:after="0"/>
              <w:rPr>
                <w:sz w:val="6"/>
                <w:szCs w:val="6"/>
                <w:color w:val="auto"/>
              </w:rPr>
            </w:pPr>
          </w:p>
        </w:tc>
      </w:tr>
      <w:tr>
        <w:trPr>
          <w:trHeight w:val="115"/>
        </w:trPr>
        <w:tc>
          <w:tcPr>
            <w:tcW w:w="4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Borders>
              <w:bottom w:val="single" w:sz="8" w:color="CCEEFF"/>
            </w:tcBorders>
          </w:tcPr>
          <w:p>
            <w:pPr>
              <w:spacing w:after="0"/>
              <w:rPr>
                <w:sz w:val="10"/>
                <w:szCs w:val="10"/>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Managed Services Revenue</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717.9</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663.4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659.7</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637.5</w:t>
            </w: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650.5</w:t>
            </w:r>
          </w:p>
        </w:tc>
        <w:tc>
          <w:tcPr>
            <w:tcW w:w="40" w:type="dxa"/>
            <w:vAlign w:val="bottom"/>
            <w:shd w:val="clear" w:color="auto" w:fill="CCEEFF"/>
          </w:tcPr>
          <w:p>
            <w:pPr>
              <w:spacing w:after="0"/>
              <w:rPr>
                <w:sz w:val="11"/>
                <w:szCs w:val="11"/>
                <w:color w:val="auto"/>
              </w:rPr>
            </w:pPr>
          </w:p>
        </w:tc>
      </w:tr>
      <w:tr>
        <w:trPr>
          <w:trHeight w:val="241"/>
        </w:trPr>
        <w:tc>
          <w:tcPr>
            <w:tcW w:w="4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72"/>
        </w:trPr>
        <w:tc>
          <w:tcPr>
            <w:tcW w:w="4160" w:type="dxa"/>
            <w:vAlign w:val="bottom"/>
          </w:tcPr>
          <w:p>
            <w:pPr>
              <w:spacing w:after="0"/>
              <w:rPr>
                <w:sz w:val="6"/>
                <w:szCs w:val="6"/>
                <w:color w:val="auto"/>
              </w:rPr>
            </w:pPr>
          </w:p>
        </w:tc>
        <w:tc>
          <w:tcPr>
            <w:tcW w:w="620" w:type="dxa"/>
            <w:vAlign w:val="bottom"/>
            <w:gridSpan w:val="3"/>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120" w:type="dxa"/>
            <w:vAlign w:val="bottom"/>
          </w:tcPr>
          <w:p>
            <w:pPr>
              <w:spacing w:after="0"/>
              <w:rPr>
                <w:sz w:val="6"/>
                <w:szCs w:val="6"/>
                <w:color w:val="auto"/>
              </w:rPr>
            </w:pPr>
          </w:p>
        </w:tc>
        <w:tc>
          <w:tcPr>
            <w:tcW w:w="7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7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40" w:type="dxa"/>
            <w:vAlign w:val="bottom"/>
          </w:tcPr>
          <w:p>
            <w:pPr>
              <w:spacing w:after="0"/>
              <w:rPr>
                <w:sz w:val="6"/>
                <w:szCs w:val="6"/>
                <w:color w:val="auto"/>
              </w:rPr>
            </w:pPr>
          </w:p>
        </w:tc>
      </w:tr>
      <w:tr>
        <w:trPr>
          <w:trHeight w:val="115"/>
        </w:trPr>
        <w:tc>
          <w:tcPr>
            <w:tcW w:w="4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Borders>
              <w:bottom w:val="single" w:sz="8" w:color="CCEEFF"/>
            </w:tcBorders>
          </w:tcPr>
          <w:p>
            <w:pPr>
              <w:spacing w:after="0"/>
              <w:rPr>
                <w:sz w:val="10"/>
                <w:szCs w:val="10"/>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12-Month Backlog</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3,950</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3,890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3,830</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3,690</w:t>
            </w: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3,590</w:t>
            </w:r>
          </w:p>
        </w:tc>
        <w:tc>
          <w:tcPr>
            <w:tcW w:w="40" w:type="dxa"/>
            <w:vAlign w:val="bottom"/>
            <w:shd w:val="clear" w:color="auto" w:fill="CCEEFF"/>
          </w:tcPr>
          <w:p>
            <w:pPr>
              <w:spacing w:after="0"/>
              <w:rPr>
                <w:sz w:val="11"/>
                <w:szCs w:val="11"/>
                <w:color w:val="auto"/>
              </w:rPr>
            </w:pPr>
          </w:p>
        </w:tc>
      </w:tr>
    </w:tbl>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 # #</w:t>
      </w:r>
    </w:p>
    <w:p>
      <w:pPr>
        <w:sectPr>
          <w:pgSz w:w="11900" w:h="16838" w:orient="portrait"/>
          <w:cols w:equalWidth="0" w:num="1">
            <w:col w:w="9019"/>
          </w:cols>
          <w:pgMar w:left="1440" w:top="224"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2022-08-04T05:28:09Z</dcterms:created>
  <dcterms:modified xsi:type="dcterms:W3CDTF">2022-08-04T05:28:09Z</dcterms:modified>
</cp:coreProperties>
</file>