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254000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00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600"/>
        <w:spacing w:after="0" w:line="207" w:lineRule="exact"/>
        <w:tabs>
          <w:tab w:leader="none" w:pos="5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449" w:right="879"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12, 2019, Amdocs Limited (“Amdocs”) issued a press release announcing financial results for the quarter ended September 30, 2019. A copy of the press release is furnished as Exhibit 99.1 to this Report of Foreign Private Issuer on Form 6-K.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74" w:right="5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ectPr>
          <w:pgSz w:w="11900" w:h="16838" w:orient="portrait"/>
          <w:cols w:equalWidth="0" w:num="1">
            <w:col w:w="10280"/>
          </w:cols>
          <w:pgMar w:left="440" w:top="270" w:right="1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0" w:type="dxa"/>
            <w:vAlign w:val="bottom"/>
          </w:tcPr>
          <w:p>
            <w:pPr>
              <w:ind w:left="3020"/>
              <w:spacing w:after="0"/>
              <w:rPr>
                <w:sz w:val="20"/>
                <w:szCs w:val="20"/>
                <w:color w:val="auto"/>
              </w:rPr>
            </w:pPr>
            <w:r>
              <w:rPr>
                <w:rFonts w:ascii="Arial" w:cs="Arial" w:eastAsia="Arial" w:hAnsi="Arial"/>
                <w:sz w:val="18"/>
                <w:szCs w:val="18"/>
                <w:color w:val="auto"/>
              </w:rPr>
              <w:t>EXHIBIT INDEX</w:t>
            </w:r>
          </w:p>
        </w:tc>
      </w:tr>
      <w:tr>
        <w:trPr>
          <w:trHeight w:val="399"/>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20" w:type="dxa"/>
            <w:vAlign w:val="bottom"/>
          </w:tcPr>
          <w:p>
            <w:pPr>
              <w:spacing w:after="0"/>
              <w:rPr>
                <w:sz w:val="24"/>
                <w:szCs w:val="24"/>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gridSpan w:val="2"/>
          </w:tcPr>
          <w:p>
            <w:pPr>
              <w:ind w:left="920"/>
              <w:spacing w:after="0"/>
              <w:rPr>
                <w:sz w:val="20"/>
                <w:szCs w:val="20"/>
                <w:color w:val="auto"/>
              </w:rPr>
            </w:pPr>
            <w:r>
              <w:rPr>
                <w:rFonts w:ascii="Arial" w:cs="Arial" w:eastAsia="Arial" w:hAnsi="Arial"/>
                <w:sz w:val="18"/>
                <w:szCs w:val="18"/>
                <w:color w:val="auto"/>
              </w:rPr>
              <w:t>Amdocs Limited Press Release dated November 12, 2019.</w:t>
            </w:r>
          </w:p>
        </w:tc>
      </w:tr>
    </w:tbl>
    <w:p>
      <w:pPr>
        <w:ind w:left="920"/>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172085</wp:posOffset>
            </wp:positionV>
            <wp:extent cx="185229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line="255" w:lineRule="auto"/>
        <w:rPr>
          <w:sz w:val="20"/>
          <w:szCs w:val="20"/>
          <w:color w:val="auto"/>
        </w:rPr>
      </w:pPr>
      <w:r>
        <w:rPr>
          <w:rFonts w:ascii="Arial" w:cs="Arial" w:eastAsia="Arial" w:hAnsi="Arial"/>
          <w:sz w:val="25"/>
          <w:szCs w:val="25"/>
          <w:b w:val="1"/>
          <w:bCs w:val="1"/>
          <w:i w:val="1"/>
          <w:iCs w:val="1"/>
          <w:color w:val="auto"/>
        </w:rPr>
        <w:t>Amdocs Limited Reports Fourth Quarter Fiscal 2019 Results Record Quarterly Revenue of $1.03 Billion Expects Fiscal 2020 Revenue Growth of 2.0%-6.0% YoY in Constant Currency Signs Strategic Multi-Year Managed Services Agreement with AT&amp;T Quarterly Cash Dividend to be Raised From $0.285 to $0.3275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2019 Highlights</w:t>
      </w:r>
    </w:p>
    <w:p>
      <w:pPr>
        <w:spacing w:after="0" w:line="256" w:lineRule="exact"/>
        <w:rPr>
          <w:sz w:val="20"/>
          <w:szCs w:val="20"/>
          <w:color w:val="auto"/>
        </w:rPr>
      </w:pPr>
    </w:p>
    <w:p>
      <w:pPr>
        <w:ind w:left="980" w:right="400" w:hanging="436"/>
        <w:spacing w:after="0" w:line="277"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Revenue of $1,030 million, at the midpoint of the $1,015-$1,055 million guidance range, adjusting for a negative impact from foreign currency movements of approximately $5 million compared to our guidance assumptions</w:t>
      </w:r>
    </w:p>
    <w:p>
      <w:pPr>
        <w:spacing w:after="0" w:line="197" w:lineRule="exact"/>
        <w:rPr>
          <w:rFonts w:ascii="Arial" w:cs="Arial" w:eastAsia="Arial" w:hAnsi="Arial"/>
          <w:sz w:val="18"/>
          <w:szCs w:val="18"/>
          <w:color w:val="auto"/>
        </w:rPr>
      </w:pPr>
    </w:p>
    <w:p>
      <w:pPr>
        <w:ind w:left="980" w:hanging="436"/>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diluted EPS of $0.90, above the $0.81-$0.89 guidance range</w:t>
      </w:r>
    </w:p>
    <w:p>
      <w:pPr>
        <w:spacing w:after="0" w:line="252" w:lineRule="exact"/>
        <w:rPr>
          <w:rFonts w:ascii="Arial" w:cs="Arial" w:eastAsia="Arial" w:hAnsi="Arial"/>
          <w:sz w:val="18"/>
          <w:szCs w:val="18"/>
          <w:color w:val="auto"/>
        </w:rPr>
      </w:pPr>
    </w:p>
    <w:p>
      <w:pPr>
        <w:ind w:left="980" w:hanging="436"/>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diluted EPS of $1.08, above the midpoint of the $1.04-$1.10 guidance range</w:t>
      </w:r>
    </w:p>
    <w:p>
      <w:pPr>
        <w:spacing w:after="0" w:line="252" w:lineRule="exact"/>
        <w:rPr>
          <w:rFonts w:ascii="Arial" w:cs="Arial" w:eastAsia="Arial" w:hAnsi="Arial"/>
          <w:sz w:val="18"/>
          <w:szCs w:val="18"/>
          <w:color w:val="auto"/>
        </w:rPr>
      </w:pPr>
    </w:p>
    <w:p>
      <w:pPr>
        <w:ind w:left="980" w:hanging="436"/>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income of $144 million; GAAP operating margin of 14.0%</w:t>
      </w:r>
    </w:p>
    <w:p>
      <w:pPr>
        <w:spacing w:after="0" w:line="252" w:lineRule="exact"/>
        <w:rPr>
          <w:rFonts w:ascii="Arial" w:cs="Arial" w:eastAsia="Arial" w:hAnsi="Arial"/>
          <w:sz w:val="18"/>
          <w:szCs w:val="18"/>
          <w:color w:val="auto"/>
        </w:rPr>
      </w:pPr>
    </w:p>
    <w:p>
      <w:pPr>
        <w:ind w:left="980" w:hanging="436"/>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operating income of $178 million; non-GAAP operating margin of 17.3%</w:t>
      </w:r>
    </w:p>
    <w:p>
      <w:pPr>
        <w:spacing w:after="0" w:line="252" w:lineRule="exact"/>
        <w:rPr>
          <w:rFonts w:ascii="Arial" w:cs="Arial" w:eastAsia="Arial" w:hAnsi="Arial"/>
          <w:sz w:val="18"/>
          <w:szCs w:val="18"/>
          <w:color w:val="auto"/>
        </w:rPr>
      </w:pPr>
    </w:p>
    <w:p>
      <w:pPr>
        <w:ind w:left="980" w:right="780" w:hanging="436"/>
        <w:spacing w:after="0" w:line="277"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Quarterly free cash flow of $179 million, comprised of cash flow from operations of $214 million, less $34 million in net capital expenditures and other; normalized free cash flow of $190 million (1)</w:t>
      </w:r>
    </w:p>
    <w:p>
      <w:pPr>
        <w:spacing w:after="0" w:line="197" w:lineRule="exact"/>
        <w:rPr>
          <w:rFonts w:ascii="Arial" w:cs="Arial" w:eastAsia="Arial" w:hAnsi="Arial"/>
          <w:sz w:val="18"/>
          <w:szCs w:val="18"/>
          <w:color w:val="auto"/>
        </w:rPr>
      </w:pPr>
    </w:p>
    <w:p>
      <w:pPr>
        <w:ind w:left="980" w:hanging="436"/>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Twelve-month backlog of $3.49 billion, up $90 million sequentially and up 3.9% as compared to last year’s fourth fiscal quarter</w:t>
      </w:r>
    </w:p>
    <w:p>
      <w:pPr>
        <w:spacing w:after="0" w:line="252" w:lineRule="exact"/>
        <w:rPr>
          <w:rFonts w:ascii="Arial" w:cs="Arial" w:eastAsia="Arial" w:hAnsi="Arial"/>
          <w:sz w:val="18"/>
          <w:szCs w:val="18"/>
          <w:color w:val="auto"/>
        </w:rPr>
      </w:pPr>
    </w:p>
    <w:p>
      <w:pPr>
        <w:ind w:left="980" w:hanging="436"/>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of $0.285 per share to be paid on January 24, 2020</w:t>
      </w:r>
    </w:p>
    <w:p>
      <w:pPr>
        <w:spacing w:after="0" w:line="252" w:lineRule="exact"/>
        <w:rPr>
          <w:rFonts w:ascii="Arial" w:cs="Arial" w:eastAsia="Arial" w:hAnsi="Arial"/>
          <w:sz w:val="18"/>
          <w:szCs w:val="18"/>
          <w:color w:val="auto"/>
        </w:rPr>
      </w:pPr>
    </w:p>
    <w:p>
      <w:pPr>
        <w:ind w:left="980" w:right="100" w:hanging="436"/>
        <w:spacing w:after="0" w:line="308" w:lineRule="auto"/>
        <w:tabs>
          <w:tab w:leader="none" w:pos="98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board of directors also approved a 15% increase in the Company’s quarterly cash dividend payment from $0.285 per share to $0.3275 per share, anticipated to be first paid in April 2020, subject to shareholder approval at the January 2020 annual meeting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Please refer to the Selected Financial Metrics tables below (figures may not sum because of rounding).</w:t>
      </w:r>
    </w:p>
    <w:p>
      <w:pPr>
        <w:sectPr>
          <w:pgSz w:w="11900" w:h="16838" w:orient="portrait"/>
          <w:cols w:equalWidth="0" w:num="1">
            <w:col w:w="11020"/>
          </w:cols>
          <w:pgMar w:left="440" w:top="121" w:right="439" w:bottom="1440" w:gutter="0" w:footer="0" w:header="0"/>
        </w:sectPr>
      </w:pPr>
    </w:p>
    <w:bookmarkStart w:id="5" w:name="page6"/>
    <w:bookmarkEnd w:id="5"/>
    <w:p>
      <w:pPr>
        <w:jc w:val="both"/>
        <w:ind w:left="980" w:right="360" w:hanging="436"/>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has approved a share repurchase plan authorizing the repurchase of up to $800 million of ordinary shares at the company’s discretion; this plan has no expiration date and is in addition to the current authorization, which, as of September 30, 2019, provided for up to $239 million of remaining repurchase authority</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ST. LOUIS – November 12, 2019 </w:t>
      </w:r>
      <w:r>
        <w:rPr>
          <w:rFonts w:ascii="Arial" w:cs="Arial" w:eastAsia="Arial" w:hAnsi="Arial"/>
          <w:sz w:val="18"/>
          <w:szCs w:val="18"/>
          <w:color w:val="auto"/>
        </w:rPr>
        <w:t>– Amdocs Limited (NASDAQ: DOX) today reported operating results for the three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pleased to report a strong finish to our fiscal year 2019. Q4 revenue was in line with the midpoint of our guidance on a constant currency basis and was driven by stable trends in North America, solid year-over-year growth in Rest of World and our best quarter in more than a decade in Europe. Profitability was stable and cash collections were healthy as we met key milestones relating to our customer project activity. As such, we exceeded our fiscal 2019 target for normalized free cash flow of $600 million and delivered full year non-GAAP earnings per share growth of 6.9%, which is consistent with the high end of the original guidance range of 3% to 7% that we provided last November,” said Shuky Sheffer, president and chief executive officer of Amdocs Management Limited.</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Sheffer continued, “Today, we are excited to announce a multi-year agreement that extends our collaboration with AT&amp;T to modernize and upgrade AT&amp;T’s digital business support systems, as 5G and the cloud will lead to new business and consumer applications. In addition to customer experience and digital enablement programs, our alliance with AT&amp;T will be expanded to include activities in strategic areas such as data analytics and security. We are very proud of our deep relationship spanning many decades with AT&amp;T and we look forward to strengthening this relationship as the communications and media industry continues to innovate at an unprecedented pace.”</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Sheffer concluded, “We begin fiscal 2020 with record 12-month backlog, which is up roughly 4% from a year ago, and we have further improved our strong visibility in the first quarter with the signing of a large IT transformation project at Vodafone Germany. Overall, we expect to deliver full year non-GAAP diluted earnings per share growth of 3.0% to 7.0%</w:t>
      </w:r>
    </w:p>
    <w:p>
      <w:pPr>
        <w:sectPr>
          <w:pgSz w:w="11900" w:h="16838" w:orient="portrait"/>
          <w:cols w:equalWidth="0" w:num="1">
            <w:col w:w="11000"/>
          </w:cols>
          <w:pgMar w:left="440" w:top="274" w:right="459" w:bottom="1440" w:gutter="0" w:footer="0" w:header="0"/>
        </w:sectPr>
      </w:pPr>
    </w:p>
    <w:bookmarkStart w:id="6" w:name="page7"/>
    <w:bookmarkEnd w:id="6"/>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fiscal 2020. Moreover, we plan to further enhance the total return we provide to shareholders by raising our quarterly dividend for the seventh consecutive year, subject to shareholders approval at the annual meeting in January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 for the fourth fiscal quarter ended September 30, 2019 was $1,030 million, up $5 million sequentially from the third fiscal quarter of 2019 and up 2.8% as reported and 3.6% in constant currency as compared to last year’s fourth fiscal quarter. Revenue for the fourth fiscal quarter of 2019 includes a negative impact from foreign currency movements of approximately $3 million relative to the third quarter of fiscal 2019. Revenue was at the midpoint of Amdocs’ guidance, adjusting for the negative impact of approximately $5 million of foreign currency movements relative to guidance.</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Revenue for the fiscal year ended September 30, 2019, was $4.1 billion, up 2.8% from the last fiscal year and within Amdocs’ guidance range for growth of 2.4% to 3.4% year-over-year as reported. Adjusting for the negative impact of foreign currency movements, revenue was up 4.1% from the last fiscal year and within Amdocs’ guidance range for growth of 3.6% to 4.6% year-over-year.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GAAP net income for the fourth quarter of fiscal 2019 was $122.0 million, or $0.90 per diluted share, compared to GAAP net income of $44.3 million, or $0.31 per diluted share, in the prior fiscal year’s fourth quarter. Net income on a non-GAAP basis was $147.1 million, or $1.08 per diluted share, compared to non-GAAP net income of $140.2 million, or $0.99 per diluted share, in the fourth quarter of fiscal 2018. Non-GAAP net income excludes amortization of purchased intangible assets and other acquisition-related costs, changes in certain acquisitions related liabilities measured at fair value, equity-based compensation expenses, and other, net of related tax effects, in the fourth quarter of fiscal 2019, and amortization of purchased intangible assets and other acquisition-related costs, changes in certain acquisitions related liabilities measured at fair value, equity-based</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expenses, and non-recurring charges, net of related tax effects, in the fourth quarter of fiscal 2018.</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GAAP net income in fiscal 2019 was $479.4 million, or $3.47 per diluted share, compared to GAAP net income of $354.4 million, or $2.47 per diluted share, in fiscal 2018. Fiscal 2019 net income on a non-GAAP basis was $595.1 million, or $4.31 per diluted share, compared to non-GAAP net income of $579.6 million, or $4.03 per diluted share, in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of reconciliation of selected financial metrics from GAAP to Non-GAAP, please refer to the tables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80" w:right="20" w:hanging="436"/>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November 12, 2019, the Board approved the Company’s next quarterly cash dividend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$0.285 per share and set December 31, 2019 as the record date for determining the shareholders entitled to receive the dividend, which will be payable on January 24, 2020. The Board also approved a 15% increase in the Company’s quarterly cash dividend payment to $0.3275 per share, which is anticipated to be first paid in April 2020, provided that the increase is approved by shareholders at the January 2020 annual general meeting of shareholders.</w:t>
      </w:r>
    </w:p>
    <w:p>
      <w:pPr>
        <w:spacing w:after="0" w:line="93" w:lineRule="exact"/>
        <w:rPr>
          <w:rFonts w:ascii="Arial" w:cs="Arial" w:eastAsia="Arial" w:hAnsi="Arial"/>
          <w:sz w:val="18"/>
          <w:szCs w:val="18"/>
          <w:color w:val="auto"/>
        </w:rPr>
      </w:pPr>
    </w:p>
    <w:p>
      <w:pPr>
        <w:ind w:left="980" w:hanging="436"/>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$90 million of ordinary shares during the fourth quarter of fiscal 2019.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approved a share repurchase plan authorizing the repurchase of up to $800 million of ordinary shares at the company’s discretion; this plan has no expiration date and is in addition to the current authorization, which, as of September 30, 2019, provided for up to $239 million of remaining repurchase authority.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going support activities, was $3.49 billion at the end of the fourth quarter of fiscal 2019, up $90 million from the end of the prior quarter.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2020 Outlook</w:t>
      </w:r>
    </w:p>
    <w:p>
      <w:pPr>
        <w:spacing w:after="0" w:line="135" w:lineRule="exact"/>
        <w:rPr>
          <w:sz w:val="20"/>
          <w:szCs w:val="20"/>
          <w:color w:val="auto"/>
        </w:rPr>
      </w:pPr>
    </w:p>
    <w:p>
      <w:pPr>
        <w:ind w:left="980" w:right="220" w:hanging="43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approximately $1,015-$1,055 million, assuming approximately $1 million sequential negative impact from foreign currency fluctuations as compared to the fourth quarter of fiscal 2019, including a full quarter revenue contribution from the acquisition of TTS Wireless which closed in early August</w:t>
      </w:r>
    </w:p>
    <w:p>
      <w:pPr>
        <w:spacing w:after="0" w:line="86" w:lineRule="exact"/>
        <w:rPr>
          <w:rFonts w:ascii="Arial" w:cs="Arial" w:eastAsia="Arial" w:hAnsi="Arial"/>
          <w:sz w:val="18"/>
          <w:szCs w:val="18"/>
          <w:color w:val="auto"/>
        </w:rPr>
      </w:pPr>
    </w:p>
    <w:p>
      <w:pPr>
        <w:ind w:left="980" w:hanging="43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EPS of approximately $0.79-$0.87. The impact of the acquisition of TTS Wireless on GAAP diluted EPS will not be known until after Amdocs completes the purchase price allocation</w:t>
      </w:r>
    </w:p>
    <w:p>
      <w:pPr>
        <w:spacing w:after="0" w:line="75" w:lineRule="exact"/>
        <w:rPr>
          <w:rFonts w:ascii="Arial" w:cs="Arial" w:eastAsia="Arial" w:hAnsi="Arial"/>
          <w:sz w:val="18"/>
          <w:szCs w:val="18"/>
          <w:color w:val="auto"/>
        </w:rPr>
      </w:pPr>
    </w:p>
    <w:p>
      <w:pPr>
        <w:ind w:left="980" w:right="20" w:hanging="436"/>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diluted EPS of approximately $1.02-$1.08, excluding amortization of purchased intangible assets and other acquisition-related costs, changes in certain acquisitions related liabilities measured at fair value, and approximately $0.06-$0.08 per share of equity-based compensation expense, net of related tax effects. The impact of the acquisition of TTS Wireless on Amdocs’ non-GAAP diluted earnings per share is expected to be neutral in the first quarter of fiscal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2020 Outlook</w:t>
      </w:r>
    </w:p>
    <w:p>
      <w:pPr>
        <w:spacing w:after="0" w:line="135" w:lineRule="exact"/>
        <w:rPr>
          <w:sz w:val="20"/>
          <w:szCs w:val="20"/>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growth of 1.5%-5.5% year-over-year as reported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growth of 2.0%-6.0% year-over-year on a constant currency basis</w:t>
      </w:r>
    </w:p>
    <w:p>
      <w:pPr>
        <w:spacing w:after="0" w:line="130" w:lineRule="exact"/>
        <w:rPr>
          <w:rFonts w:ascii="Arial" w:cs="Arial" w:eastAsia="Arial" w:hAnsi="Arial"/>
          <w:sz w:val="18"/>
          <w:szCs w:val="18"/>
          <w:color w:val="auto"/>
        </w:rPr>
      </w:pPr>
    </w:p>
    <w:p>
      <w:pPr>
        <w:ind w:left="980" w:right="62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year fiscal 2020 revenue guidance incorporates just over 1% of growth from the acquisition of TTS Wireless, and an expected negative impact from foreign currency fluctuations of about 0.5% year-over-year</w:t>
      </w:r>
    </w:p>
    <w:p>
      <w:pPr>
        <w:spacing w:after="0" w:line="75" w:lineRule="exact"/>
        <w:rPr>
          <w:rFonts w:ascii="Arial" w:cs="Arial" w:eastAsia="Arial" w:hAnsi="Arial"/>
          <w:sz w:val="18"/>
          <w:szCs w:val="18"/>
          <w:color w:val="auto"/>
        </w:rPr>
      </w:pPr>
    </w:p>
    <w:p>
      <w:pPr>
        <w:ind w:left="980" w:right="6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diluted earnings per share growth of roughly 5.0%-12.0% year-over-year. The impact of the acquisition of TTS Wireless on GAAP diluted EPS will not be known until after Amdocs completes the purchase price allocation</w:t>
      </w:r>
    </w:p>
    <w:p>
      <w:pPr>
        <w:spacing w:after="0" w:line="75" w:lineRule="exact"/>
        <w:rPr>
          <w:rFonts w:ascii="Arial" w:cs="Arial" w:eastAsia="Arial" w:hAnsi="Arial"/>
          <w:sz w:val="18"/>
          <w:szCs w:val="18"/>
          <w:color w:val="auto"/>
        </w:rPr>
      </w:pPr>
    </w:p>
    <w:p>
      <w:pPr>
        <w:jc w:val="both"/>
        <w:ind w:left="980" w:right="20" w:hanging="436"/>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diluted earnings per share growth of roughly 3.0%-7.0% year-over-year, excluding amortization of purchased intangible assets and other acquisition-related costs, changes in certain acquisitions related liabilities measured at fair value, and approximately $0.24-$0.32 per share of equity-based compensation expense, net of</w:t>
      </w:r>
    </w:p>
    <w:p>
      <w:pPr>
        <w:sectPr>
          <w:pgSz w:w="11900" w:h="16838" w:orient="portrait"/>
          <w:cols w:equalWidth="0" w:num="1">
            <w:col w:w="11000"/>
          </w:cols>
          <w:pgMar w:left="440" w:top="274" w:right="459" w:bottom="1440" w:gutter="0" w:footer="0" w:header="0"/>
        </w:sectPr>
      </w:pPr>
    </w:p>
    <w:bookmarkStart w:id="9" w:name="page10"/>
    <w:bookmarkEnd w:id="9"/>
    <w:p>
      <w:pPr>
        <w:ind w:left="980"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tax effects. The impact of the acquisition of TTS Wireless on Amdocs’ non-GAAP diluted earnings per share is expected to be neutral in fiscal year 2020</w:t>
      </w:r>
    </w:p>
    <w:p>
      <w:pPr>
        <w:spacing w:after="0" w:line="76" w:lineRule="exact"/>
        <w:rPr>
          <w:sz w:val="20"/>
          <w:szCs w:val="20"/>
          <w:color w:val="auto"/>
        </w:rPr>
      </w:pPr>
    </w:p>
    <w:p>
      <w:pPr>
        <w:ind w:left="980" w:right="580" w:hanging="43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of approximately $350 million, comprised of cash flow from operations, less net capital expenditures and other, and normalized free cash flow of approximately $480 million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first fiscal quarter 2020 and full year fiscal 2020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T-Mobile’s proposed merger with Sprint, or from other current and potential customer consolidation activity.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Amdocs will host a conference call on November 12, 2019 at 5:00 p.m. Eastern Time to discuss the Company’s fourth quarter of fiscal 2019 results. To participate, please dial +1 (844) 513-7152, or +1 (508) 637-5600 outside the United States, approximately 15 minutes before the call and enter passcode 7084814.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77" w:lineRule="exact"/>
        <w:rPr>
          <w:sz w:val="20"/>
          <w:szCs w:val="20"/>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ectPr>
          <w:pgSz w:w="11900" w:h="16838" w:orient="portrait"/>
          <w:cols w:equalWidth="0" w:num="1">
            <w:col w:w="11000"/>
          </w:cols>
          <w:pgMar w:left="440" w:top="274" w:right="459" w:bottom="1440" w:gutter="0" w:footer="0" w:header="0"/>
        </w:sectPr>
      </w:pPr>
    </w:p>
    <w:bookmarkStart w:id="10" w:name="page11"/>
    <w:bookmarkEnd w:id="10"/>
    <w:p>
      <w:pPr>
        <w:ind w:left="980" w:hanging="43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equity-based compensation expense;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Free cash flow equals cash generated by operating activities less net capital expenditures and other, and normalized free cash flow is adjusted to exclude net capital expenditures related to the new campus development, payments for previously expensed restructuring charges, payments for legal dispute settlement,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w:t>
      </w:r>
    </w:p>
    <w:p>
      <w:pPr>
        <w:sectPr>
          <w:pgSz w:w="11900" w:h="16838" w:orient="portrait"/>
          <w:cols w:equalWidth="0" w:num="1">
            <w:col w:w="10980"/>
          </w:cols>
          <w:pgMar w:left="440" w:top="274" w:right="479" w:bottom="1440" w:gutter="0" w:footer="0" w:header="0"/>
        </w:sectPr>
      </w:pPr>
    </w:p>
    <w:bookmarkStart w:id="11" w:name="page12"/>
    <w:bookmarkEnd w:id="11"/>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intangible assets and other acquisition-related costs, changes in certain acquisition-related liabilities measured at fair value, non-recurring and unusual charges,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 25,000 employees serve customers in over 85 countries. Listed on the NASDAQ Global Select Market, Amdocs had revenue of $4.1 billion in fiscal 2019.</w:t>
      </w:r>
    </w:p>
    <w:p>
      <w:pPr>
        <w:sectPr>
          <w:pgSz w:w="11900" w:h="16838" w:orient="portrait"/>
          <w:cols w:equalWidth="0" w:num="1">
            <w:col w:w="10980"/>
          </w:cols>
          <w:pgMar w:left="440" w:top="274"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2018 filed on December 10, 2018 and our Form 6-K furnished for the first quarter of fiscal 2019 on February 19, 2019 and for the second quarter of fiscal 2019 on May 28, 2019 and for the third quarter of fiscal 2019 on August 19,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020"/>
          </w:cols>
          <w:pgMar w:left="440" w:top="274"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1,030,253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1,002,588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4,086,669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3,974,837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2,653,172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2,595,276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886,099</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3,516,923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3,546,530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146,598</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24,571</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479,446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135,317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136,151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0"/>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$1,030,253</w:t>
            </w:r>
          </w:p>
        </w:tc>
        <w:tc>
          <w:tcPr>
            <w:tcW w:w="2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$1,002,588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$4,086,669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$3,974,837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177,989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172,606</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707,889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687,020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147,137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140,230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595,089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136,151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141,872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680" w:type="dxa"/>
            <w:vAlign w:val="bottom"/>
            <w:gridSpan w:val="5"/>
          </w:tcPr>
          <w:p>
            <w:pPr>
              <w:jc w:val="right"/>
              <w:ind w:right="199"/>
              <w:spacing w:after="0"/>
              <w:rPr>
                <w:sz w:val="20"/>
                <w:szCs w:val="20"/>
                <w:color w:val="auto"/>
              </w:rPr>
            </w:pPr>
            <w:r>
              <w:rPr>
                <w:rFonts w:ascii="Arial" w:cs="Arial" w:eastAsia="Arial" w:hAnsi="Arial"/>
                <w:sz w:val="18"/>
                <w:szCs w:val="18"/>
                <w:b w:val="1"/>
                <w:bCs w:val="1"/>
                <w:color w:val="auto"/>
              </w:rPr>
              <w:t>Free Cash Flows and Normalized Free Cash Flow</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40" w:type="dxa"/>
            <w:vAlign w:val="bottom"/>
            <w:gridSpan w:val="2"/>
          </w:tcPr>
          <w:p>
            <w:pPr>
              <w:jc w:val="right"/>
              <w:ind w:right="970"/>
              <w:spacing w:after="0"/>
              <w:rPr>
                <w:sz w:val="20"/>
                <w:szCs w:val="20"/>
                <w:color w:val="auto"/>
              </w:rPr>
            </w:pPr>
            <w:r>
              <w:rPr>
                <w:rFonts w:ascii="Arial" w:cs="Arial" w:eastAsia="Arial" w:hAnsi="Arial"/>
                <w:sz w:val="14"/>
                <w:szCs w:val="14"/>
                <w:b w:val="1"/>
                <w:bCs w:val="1"/>
                <w:color w:val="auto"/>
                <w:w w:val="99"/>
              </w:rPr>
              <w:t>(In thousands)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1"/>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$213,625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$115,349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$ 656,377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557,249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Purchases of property and equipment, net (*)</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(34,325)</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(33,893)</w:t>
            </w:r>
          </w:p>
        </w:tc>
        <w:tc>
          <w:tcPr>
            <w:tcW w:w="12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(128,086)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(231,146)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8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179,300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81,321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528,291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325,645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Payments for legal dispute settlement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1,233</w:t>
            </w:r>
          </w:p>
        </w:tc>
        <w:tc>
          <w:tcPr>
            <w:tcW w:w="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6,500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15,627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capital expenditures related to the new campus development (*)</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9,101</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980" w:type="dxa"/>
            <w:vAlign w:val="bottom"/>
            <w:gridSpan w:val="2"/>
          </w:tcPr>
          <w:p>
            <w:pPr>
              <w:spacing w:after="0"/>
              <w:rPr>
                <w:sz w:val="20"/>
                <w:szCs w:val="20"/>
                <w:color w:val="auto"/>
              </w:rPr>
            </w:pPr>
            <w:r>
              <w:rPr>
                <w:rFonts w:ascii="Arial" w:cs="Arial" w:eastAsia="Arial" w:hAnsi="Arial"/>
                <w:sz w:val="18"/>
                <w:szCs w:val="18"/>
                <w:color w:val="auto"/>
              </w:rPr>
              <w:t>Payments of acquisition related liabilities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Normalized Free Cash Flow</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189,634</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$ 89,039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$ 613,480</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428,374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
        <w:spacing w:after="0" w:line="312"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under “Purchase of property and equipment, net”, and the amounts under “Net capital expenditures related to the new campus development” include proceeds of $9,676 relating to the refund of betterment levy for fiscal year ended 30 September 2019 and proceeds from sale of property and equipment of $77 and $151, $346 and $459, for the three months and fiscal year ended 30 September 2019 and 2018, respectively.</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Amortization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4"/>
          </w:tcPr>
          <w:p>
            <w:pPr>
              <w:ind w:left="220"/>
              <w:spacing w:after="0" w:line="119" w:lineRule="exact"/>
              <w:rPr>
                <w:sz w:val="20"/>
                <w:szCs w:val="20"/>
                <w:color w:val="auto"/>
              </w:rPr>
            </w:pPr>
            <w:r>
              <w:rPr>
                <w:rFonts w:ascii="Arial" w:cs="Arial" w:eastAsia="Arial" w:hAnsi="Arial"/>
                <w:sz w:val="13"/>
                <w:szCs w:val="13"/>
                <w:b w:val="1"/>
                <w:bCs w:val="1"/>
                <w:color w:val="auto"/>
              </w:rPr>
              <w:t>Changes in certain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Equity-based</w:t>
            </w:r>
          </w:p>
        </w:tc>
        <w:tc>
          <w:tcPr>
            <w:tcW w:w="2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 related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purchased</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GAAP</w:t>
            </w:r>
          </w:p>
        </w:tc>
        <w:tc>
          <w:tcPr>
            <w:tcW w:w="14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0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measured at fair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89"/>
              </w:rPr>
              <w:t>expense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effect</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667,129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(4,618)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$ 660,475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125,046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122,437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 intangible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 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886,099</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144,154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122,027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(3,761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$ 147,137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Amortization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4"/>
          </w:tcPr>
          <w:p>
            <w:pPr>
              <w:ind w:left="220"/>
              <w:spacing w:after="0" w:line="119" w:lineRule="exact"/>
              <w:rPr>
                <w:sz w:val="20"/>
                <w:szCs w:val="20"/>
                <w:color w:val="auto"/>
              </w:rPr>
            </w:pPr>
            <w:r>
              <w:rPr>
                <w:rFonts w:ascii="Arial" w:cs="Arial" w:eastAsia="Arial" w:hAnsi="Arial"/>
                <w:sz w:val="13"/>
                <w:szCs w:val="13"/>
                <w:b w:val="1"/>
                <w:bCs w:val="1"/>
                <w:color w:val="auto"/>
              </w:rPr>
              <w:t>Changes in certain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Equity-based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purchased</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related liabilities</w:t>
            </w:r>
          </w:p>
        </w:tc>
        <w:tc>
          <w:tcPr>
            <w:tcW w:w="11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Non-recurring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GAAP</w:t>
            </w:r>
          </w:p>
        </w:tc>
        <w:tc>
          <w:tcPr>
            <w:tcW w:w="14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0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measured at fair</w:t>
            </w:r>
          </w:p>
        </w:tc>
        <w:tc>
          <w:tcPr>
            <w:tcW w:w="1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89"/>
              </w:rPr>
              <w:t>expense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charges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effect</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654,923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$ 642,513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125,830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 intangible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 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Non-recurring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933,769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68,819</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(7,822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$ 140,230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2960"/>
        <w:spacing w:after="0"/>
        <w:rPr>
          <w:sz w:val="20"/>
          <w:szCs w:val="20"/>
          <w:color w:val="auto"/>
        </w:rPr>
      </w:pPr>
      <w:r>
        <w:rPr>
          <w:rFonts w:ascii="Arial" w:cs="Arial" w:eastAsia="Arial" w:hAnsi="Arial"/>
          <w:sz w:val="14"/>
          <w:szCs w:val="14"/>
          <w:b w:val="1"/>
          <w:bCs w:val="1"/>
          <w:color w:val="auto"/>
        </w:rPr>
        <w:t>Fiscal year ended</w:t>
      </w:r>
    </w:p>
    <w:p>
      <w:pPr>
        <w:jc w:val="center"/>
        <w:ind w:left="2960"/>
        <w:spacing w:after="0" w:line="236" w:lineRule="auto"/>
        <w:rPr>
          <w:sz w:val="20"/>
          <w:szCs w:val="20"/>
          <w:color w:val="auto"/>
        </w:rPr>
      </w:pPr>
      <w:r>
        <w:rPr>
          <w:rFonts w:ascii="Arial" w:cs="Arial" w:eastAsia="Arial" w:hAnsi="Arial"/>
          <w:sz w:val="14"/>
          <w:szCs w:val="14"/>
          <w:b w:val="1"/>
          <w:bCs w:val="1"/>
          <w:color w:val="auto"/>
        </w:rPr>
        <w:t>September 30,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Amortization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4"/>
          </w:tcPr>
          <w:p>
            <w:pPr>
              <w:ind w:left="200"/>
              <w:spacing w:after="0" w:line="119" w:lineRule="exact"/>
              <w:rPr>
                <w:sz w:val="20"/>
                <w:szCs w:val="20"/>
                <w:color w:val="auto"/>
              </w:rPr>
            </w:pPr>
            <w:r>
              <w:rPr>
                <w:rFonts w:ascii="Arial" w:cs="Arial" w:eastAsia="Arial" w:hAnsi="Arial"/>
                <w:sz w:val="13"/>
                <w:szCs w:val="13"/>
                <w:b w:val="1"/>
                <w:bCs w:val="1"/>
                <w:color w:val="auto"/>
              </w:rPr>
              <w:t>Changes in certain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Equity-based</w:t>
            </w:r>
          </w:p>
        </w:tc>
        <w:tc>
          <w:tcPr>
            <w:tcW w:w="2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 related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liabilities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12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measured at fair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2,653,172</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(19,879)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$2,631,058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w w:val="97"/>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intangible assets 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3,516,923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3,378,780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(19,561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Fiscal 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Amortization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4"/>
          </w:tcPr>
          <w:p>
            <w:pPr>
              <w:ind w:left="200"/>
              <w:spacing w:after="0" w:line="119" w:lineRule="exact"/>
              <w:rPr>
                <w:sz w:val="20"/>
                <w:szCs w:val="20"/>
                <w:color w:val="auto"/>
              </w:rPr>
            </w:pPr>
            <w:r>
              <w:rPr>
                <w:rFonts w:ascii="Arial" w:cs="Arial" w:eastAsia="Arial" w:hAnsi="Arial"/>
                <w:sz w:val="13"/>
                <w:szCs w:val="13"/>
                <w:b w:val="1"/>
                <w:bCs w:val="1"/>
                <w:color w:val="auto"/>
              </w:rPr>
              <w:t>Changes in certain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Equity-based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related liabilities</w:t>
            </w:r>
          </w:p>
        </w:tc>
        <w:tc>
          <w:tcPr>
            <w:tcW w:w="11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Non-recurring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12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measured at fair</w:t>
            </w:r>
          </w:p>
        </w:tc>
        <w:tc>
          <w:tcPr>
            <w:tcW w:w="1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charges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2,595,276</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(18,253)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$2,559,331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w w:val="97"/>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481,093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(25,746)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intangible assets 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Non-recurring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(85,057)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3,546,530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3,287,816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(33,517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91"/>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2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Accounts receivable, net, including unbilled of $227,061 and $263,997,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987,858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216,084</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1,675,574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1,720,717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2,667,997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2,710,144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423,941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5,292,826</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5,347,815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1,089,748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1,162,543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118,182</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1,207,930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542,430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3,499,957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3,448,879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3,542,466</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3,492,042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5,292,826</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5,347,815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Fiscal year ended</w:t>
      </w:r>
    </w:p>
    <w:p>
      <w:pPr>
        <w:jc w:val="center"/>
        <w:ind w:left="90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$ 479,446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$ 354,396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205,772</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211,224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(13,950)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25,907</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(60,042)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(37,855)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6,025</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(128,086)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(231,146)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101,287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(60,572)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(86,756)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(362,392)</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(398,057)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41,483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(147,616)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by noncontrolling interests, net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(4,776)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(7,470)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(516,772)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(425,685)</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(230,828)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418,783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$ 471,632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$ 418,873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17" w:lineRule="exact"/>
        <w:rPr>
          <w:sz w:val="20"/>
          <w:szCs w:val="20"/>
          <w:color w:val="auto"/>
        </w:rPr>
      </w:pPr>
    </w:p>
    <w:p>
      <w:pPr>
        <w:ind w:right="160" w:firstLine="4"/>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of $9,676 relating to the refund of betterment levy for the fiscal year ended September 30, 2019 and proceeds from sale of property and equipment of $151 and $459, for the fiscal year ended September 30, 2019 and 2018, respectively.</w:t>
      </w:r>
    </w:p>
    <w:p>
      <w:pPr>
        <w:sectPr>
          <w:pgSz w:w="11900" w:h="16838" w:orient="portrait"/>
          <w:cols w:equalWidth="0" w:num="1">
            <w:col w:w="11040"/>
          </w:cols>
          <w:pgMar w:left="440" w:top="270" w:right="4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9"/>
              </w:rPr>
              <w:t>March 31,</w:t>
            </w:r>
          </w:p>
        </w:tc>
        <w:tc>
          <w:tcPr>
            <w:tcW w:w="11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Europe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60" w:type="dxa"/>
            <w:vAlign w:val="bottom"/>
            <w:shd w:val="clear" w:color="auto" w:fill="CCEEFF"/>
          </w:tcPr>
          <w:p>
            <w:pPr>
              <w:spacing w:after="0"/>
              <w:rPr>
                <w:sz w:val="18"/>
                <w:szCs w:val="18"/>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1,030.3</w:t>
            </w:r>
          </w:p>
        </w:tc>
        <w:tc>
          <w:tcPr>
            <w:tcW w:w="26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1,024.7</w:t>
            </w:r>
          </w:p>
        </w:tc>
        <w:tc>
          <w:tcPr>
            <w:tcW w:w="26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1,019.7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9"/>
              </w:rPr>
              <w:t>March 31,</w:t>
            </w:r>
          </w:p>
        </w:tc>
        <w:tc>
          <w:tcPr>
            <w:tcW w:w="11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9"/>
              </w:rPr>
              <w:t>March 31,</w:t>
            </w:r>
          </w:p>
        </w:tc>
        <w:tc>
          <w:tcPr>
            <w:tcW w:w="11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2019-11-28T08:28:49Z</dcterms:created>
  <dcterms:modified xsi:type="dcterms:W3CDTF">2019-11-28T08:28:49Z</dcterms:modified>
</cp:coreProperties>
</file>