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4"/>
          <w:szCs w:val="24"/>
          <w:color w:val="auto"/>
        </w:rPr>
      </w:pPr>
    </w:p>
    <w:p>
      <w:pPr>
        <w:ind w:left="540" w:right="1999" w:hanging="532"/>
        <w:spacing w:after="0" w:line="25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169" w:lineRule="exact"/>
        <w:rPr>
          <w:sz w:val="24"/>
          <w:szCs w:val="24"/>
          <w:color w:val="auto"/>
        </w:rPr>
      </w:pPr>
    </w:p>
    <w:p>
      <w:pPr>
        <w:ind w:left="540" w:right="2099" w:hanging="532"/>
        <w:spacing w:after="0" w:line="25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SEPTEMBER 30, 2000</w:t>
      </w:r>
    </w:p>
    <w:p>
      <w:pPr>
        <w:spacing w:after="0" w:line="16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1779" w:hanging="412"/>
        <w:spacing w:after="0" w:line="25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 TO ________.</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 and translation of</w:t>
      </w:r>
    </w:p>
    <w:p>
      <w:pPr>
        <w:jc w:val="center"/>
        <w:ind w:right="1879"/>
        <w:spacing w:after="0"/>
        <w:rPr>
          <w:sz w:val="20"/>
          <w:szCs w:val="20"/>
          <w:color w:val="auto"/>
        </w:rPr>
      </w:pPr>
      <w:r>
        <w:rPr>
          <w:rFonts w:ascii="Courier New" w:cs="Courier New" w:eastAsia="Courier New" w:hAnsi="Courier New"/>
          <w:sz w:val="18"/>
          <w:szCs w:val="18"/>
          <w:color w:val="auto"/>
        </w:rPr>
        <w:t>Registrant's name into English)</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ISLAND OF GUERNSEY</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(Jurisdiction of incorporation or organization)</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Act.</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380" w:type="dxa"/>
            <w:vAlign w:val="bottom"/>
          </w:tcPr>
          <w:p>
            <w:pPr>
              <w:ind w:left="640"/>
              <w:spacing w:after="0"/>
              <w:rPr>
                <w:sz w:val="20"/>
                <w:szCs w:val="20"/>
                <w:color w:val="auto"/>
              </w:rPr>
            </w:pPr>
            <w:r>
              <w:rPr>
                <w:rFonts w:ascii="Courier New" w:cs="Courier New" w:eastAsia="Courier New" w:hAnsi="Courier New"/>
                <w:sz w:val="18"/>
                <w:szCs w:val="18"/>
                <w:color w:val="auto"/>
              </w:rPr>
              <w:t>TITLE OF EACH CLASS</w:t>
            </w:r>
          </w:p>
        </w:tc>
        <w:tc>
          <w:tcPr>
            <w:tcW w:w="4960" w:type="dxa"/>
            <w:vAlign w:val="bottom"/>
          </w:tcPr>
          <w:p>
            <w:pPr>
              <w:ind w:left="740"/>
              <w:spacing w:after="0"/>
              <w:rPr>
                <w:sz w:val="20"/>
                <w:szCs w:val="20"/>
                <w:color w:val="auto"/>
              </w:rPr>
            </w:pPr>
            <w:r>
              <w:rPr>
                <w:rFonts w:ascii="Courier New" w:cs="Courier New" w:eastAsia="Courier New" w:hAnsi="Courier New"/>
                <w:sz w:val="18"/>
                <w:szCs w:val="18"/>
                <w:color w:val="auto"/>
              </w:rPr>
              <w:t>NAME OF EXCHANGE ON WHICH REGISTERED</w:t>
            </w:r>
          </w:p>
        </w:tc>
        <w:tc>
          <w:tcPr>
            <w:tcW w:w="0" w:type="dxa"/>
            <w:vAlign w:val="bottom"/>
          </w:tcPr>
          <w:p>
            <w:pPr>
              <w:spacing w:after="0"/>
              <w:rPr>
                <w:sz w:val="1"/>
                <w:szCs w:val="1"/>
                <w:color w:val="auto"/>
              </w:rPr>
            </w:pPr>
          </w:p>
        </w:tc>
      </w:tr>
      <w:tr>
        <w:trPr>
          <w:trHeight w:val="296"/>
        </w:trPr>
        <w:tc>
          <w:tcPr>
            <w:tcW w:w="33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496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Ordinary Shares, par value L0.01</w:t>
            </w:r>
          </w:p>
        </w:tc>
        <w:tc>
          <w:tcPr>
            <w:tcW w:w="4960" w:type="dxa"/>
            <w:vAlign w:val="bottom"/>
          </w:tcPr>
          <w:p>
            <w:pPr>
              <w:ind w:left="1360"/>
              <w:spacing w:after="0"/>
              <w:rPr>
                <w:sz w:val="20"/>
                <w:szCs w:val="20"/>
                <w:color w:val="auto"/>
              </w:rPr>
            </w:pPr>
            <w:r>
              <w:rPr>
                <w:rFonts w:ascii="Courier New" w:cs="Courier New" w:eastAsia="Courier New" w:hAnsi="Courier New"/>
                <w:sz w:val="18"/>
                <w:szCs w:val="18"/>
                <w:color w:val="auto"/>
              </w:rPr>
              <w:t>New York Stock Exchange</w:t>
            </w:r>
          </w:p>
        </w:tc>
        <w:tc>
          <w:tcPr>
            <w:tcW w:w="0" w:type="dxa"/>
            <w:vAlign w:val="bottom"/>
          </w:tcPr>
          <w:p>
            <w:pPr>
              <w:spacing w:after="0"/>
              <w:rPr>
                <w:sz w:val="1"/>
                <w:szCs w:val="1"/>
                <w:color w:val="auto"/>
              </w:rPr>
            </w:pPr>
          </w:p>
        </w:tc>
      </w:tr>
      <w:tr>
        <w:trPr>
          <w:trHeight w:val="514"/>
        </w:trPr>
        <w:tc>
          <w:tcPr>
            <w:tcW w:w="83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7"/>
              </w:rPr>
              <w:t>Securities registered or to be registered pursuant to Section 12(g) of the</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Act.</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4"/>
                <w:szCs w:val="24"/>
                <w:color w:val="auto"/>
              </w:rPr>
            </w:pPr>
          </w:p>
        </w:tc>
        <w:tc>
          <w:tcPr>
            <w:tcW w:w="4960" w:type="dxa"/>
            <w:vAlign w:val="bottom"/>
          </w:tcPr>
          <w:p>
            <w:pPr>
              <w:jc w:val="center"/>
              <w:ind w:right="3172"/>
              <w:spacing w:after="0"/>
              <w:rPr>
                <w:sz w:val="20"/>
                <w:szCs w:val="20"/>
                <w:color w:val="auto"/>
              </w:rPr>
            </w:pPr>
            <w:r>
              <w:rPr>
                <w:rFonts w:ascii="Courier New" w:cs="Courier New" w:eastAsia="Courier New" w:hAnsi="Courier New"/>
                <w:sz w:val="18"/>
                <w:szCs w:val="18"/>
                <w:color w:val="auto"/>
                <w:w w:val="97"/>
              </w:rPr>
              <w:t>NONE</w:t>
            </w:r>
          </w:p>
        </w:tc>
        <w:tc>
          <w:tcPr>
            <w:tcW w:w="0" w:type="dxa"/>
            <w:vAlign w:val="bottom"/>
          </w:tcPr>
          <w:p>
            <w:pPr>
              <w:spacing w:after="0"/>
              <w:rPr>
                <w:sz w:val="1"/>
                <w:szCs w:val="1"/>
                <w:color w:val="auto"/>
              </w:rPr>
            </w:pPr>
          </w:p>
        </w:tc>
      </w:tr>
      <w:tr>
        <w:trPr>
          <w:trHeight w:val="203"/>
        </w:trPr>
        <w:tc>
          <w:tcPr>
            <w:tcW w:w="83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960" w:type="dxa"/>
            <w:vAlign w:val="bottom"/>
          </w:tcPr>
          <w:p>
            <w:pPr>
              <w:jc w:val="center"/>
              <w:ind w:right="3192"/>
              <w:spacing w:after="0"/>
              <w:rPr>
                <w:sz w:val="20"/>
                <w:szCs w:val="20"/>
                <w:color w:val="auto"/>
              </w:rPr>
            </w:pPr>
            <w:r>
              <w:rPr>
                <w:rFonts w:ascii="Courier New" w:cs="Courier New" w:eastAsia="Courier New" w:hAnsi="Courier New"/>
                <w:sz w:val="18"/>
                <w:szCs w:val="18"/>
                <w:color w:val="auto"/>
                <w:w w:val="97"/>
              </w:rPr>
              <w:t>(Title of class)</w:t>
            </w:r>
          </w:p>
        </w:tc>
        <w:tc>
          <w:tcPr>
            <w:tcW w:w="0" w:type="dxa"/>
            <w:vAlign w:val="bottom"/>
          </w:tcPr>
          <w:p>
            <w:pPr>
              <w:spacing w:after="0"/>
              <w:rPr>
                <w:sz w:val="1"/>
                <w:szCs w:val="1"/>
                <w:color w:val="auto"/>
              </w:rPr>
            </w:pPr>
          </w:p>
        </w:tc>
      </w:tr>
      <w:tr>
        <w:trPr>
          <w:trHeight w:val="311"/>
        </w:trPr>
        <w:tc>
          <w:tcPr>
            <w:tcW w:w="83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Securities for which there is a reporting obligation pursuant to Section</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15(d) of the Act.</w:t>
            </w:r>
          </w:p>
        </w:tc>
        <w:tc>
          <w:tcPr>
            <w:tcW w:w="4960" w:type="dxa"/>
            <w:vAlign w:val="bottom"/>
            <w:vMerge w:val="restart"/>
          </w:tcPr>
          <w:p>
            <w:pPr>
              <w:jc w:val="center"/>
              <w:ind w:right="3172"/>
              <w:spacing w:after="0"/>
              <w:rPr>
                <w:sz w:val="20"/>
                <w:szCs w:val="20"/>
                <w:color w:val="auto"/>
              </w:rPr>
            </w:pPr>
            <w:r>
              <w:rPr>
                <w:rFonts w:ascii="Courier New" w:cs="Courier New" w:eastAsia="Courier New" w:hAnsi="Courier New"/>
                <w:sz w:val="18"/>
                <w:szCs w:val="18"/>
                <w:color w:val="auto"/>
                <w:w w:val="97"/>
              </w:rPr>
              <w:t>NONE</w:t>
            </w: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4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960" w:type="dxa"/>
            <w:vAlign w:val="bottom"/>
          </w:tcPr>
          <w:p>
            <w:pPr>
              <w:jc w:val="center"/>
              <w:ind w:right="3192"/>
              <w:spacing w:after="0"/>
              <w:rPr>
                <w:sz w:val="20"/>
                <w:szCs w:val="20"/>
                <w:color w:val="auto"/>
              </w:rPr>
            </w:pPr>
            <w:r>
              <w:rPr>
                <w:rFonts w:ascii="Courier New" w:cs="Courier New" w:eastAsia="Courier New" w:hAnsi="Courier New"/>
                <w:sz w:val="18"/>
                <w:szCs w:val="18"/>
                <w:color w:val="auto"/>
                <w:w w:val="97"/>
              </w:rPr>
              <w:t>(Title of class)</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Voting</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Ordinary Shares, par</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value L0.01</w:t>
            </w:r>
          </w:p>
        </w:tc>
        <w:tc>
          <w:tcPr>
            <w:tcW w:w="2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198,029,595(1)</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Non-Voting Ordinary Shares,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 L0.01</w:t>
            </w:r>
          </w:p>
        </w:tc>
        <w:tc>
          <w:tcPr>
            <w:tcW w:w="2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23,136,273</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of class)</w:t>
            </w:r>
          </w:p>
        </w:tc>
        <w:tc>
          <w:tcPr>
            <w:tcW w:w="26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(Number of shares)</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4"/>
          <w:szCs w:val="24"/>
          <w:color w:val="auto"/>
        </w:rPr>
      </w:pPr>
    </w:p>
    <w:p>
      <w:pPr>
        <w:ind w:left="420" w:right="1879" w:hanging="412"/>
        <w:spacing w:after="0" w:line="304"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9,037,774 shares held by shareholders of a company we acquired, which can be exchanged for our voting ordinary shares. Does not include (a) 12,159,578 ordinary shares remaining under our stock option plan, and (b) 1,703,672 ordinary shares reserved for issuance upon exercise of vested</w:t>
      </w:r>
    </w:p>
    <w:p>
      <w:pPr>
        <w:sectPr>
          <w:pgSz w:w="11900" w:h="16967" w:orient="portrait"/>
          <w:cols w:equalWidth="0" w:num="1">
            <w:col w:w="10219"/>
          </w:cols>
          <w:pgMar w:left="240" w:top="218" w:right="1440" w:bottom="0" w:gutter="0" w:footer="0" w:header="0"/>
        </w:sectPr>
      </w:pPr>
    </w:p>
    <w:bookmarkStart w:id="1" w:name="page2"/>
    <w:bookmarkEnd w:id="1"/>
    <w:p>
      <w:pPr>
        <w:ind w:left="420" w:right="2199"/>
        <w:spacing w:after="0" w:line="274" w:lineRule="auto"/>
        <w:rPr>
          <w:sz w:val="20"/>
          <w:szCs w:val="20"/>
          <w:color w:val="auto"/>
        </w:rPr>
      </w:pPr>
      <w:r>
        <w:rPr>
          <w:rFonts w:ascii="Courier New" w:cs="Courier New" w:eastAsia="Courier New" w:hAnsi="Courier New"/>
          <w:sz w:val="18"/>
          <w:szCs w:val="18"/>
          <w:color w:val="auto"/>
        </w:rPr>
        <w:t>options granted by companies we have acquired. As of September 30, 2000, options to purchase an aggregate of 9,524,406 ordinary shares were outstanding and 2,635,172 ordinary shares remained available for future option grants under our stock option plan.</w:t>
      </w:r>
    </w:p>
    <w:p>
      <w:pPr>
        <w:spacing w:after="0" w:line="82"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0"/>
          <w:szCs w:val="20"/>
          <w:color w:val="auto"/>
        </w:rPr>
      </w:pP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169" w:lineRule="exact"/>
        <w:rPr>
          <w:sz w:val="20"/>
          <w:szCs w:val="20"/>
          <w:color w:val="auto"/>
        </w:rPr>
      </w:pPr>
    </w:p>
    <w:p>
      <w:pPr>
        <w:ind w:right="2099" w:firstLine="527"/>
        <w:spacing w:after="0" w:line="257" w:lineRule="auto"/>
        <w:rPr>
          <w:sz w:val="20"/>
          <w:szCs w:val="20"/>
          <w:color w:val="auto"/>
        </w:rPr>
      </w:pPr>
      <w:r>
        <w:rPr>
          <w:rFonts w:ascii="Courier New" w:cs="Courier New" w:eastAsia="Courier New" w:hAnsi="Courier New"/>
          <w:sz w:val="18"/>
          <w:szCs w:val="18"/>
          <w:color w:val="auto"/>
        </w:rPr>
        <w:t>Indicate by check mark which financial statement item the registrant has selected to follow.</w:t>
      </w: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ectPr>
          <w:pgSz w:w="11900" w:h="16838" w:orient="portrait"/>
          <w:cols w:equalWidth="0" w:num="1">
            <w:col w:w="10219"/>
          </w:cols>
          <w:pgMar w:left="240" w:top="110"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65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6"/>
              </w:rPr>
              <w:t>FORM 20-F</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ANNUAL REPORT FOR THE FISCAL YEAR ENDED SEPTEMBER 30, 2000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65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4"/>
                <w:szCs w:val="24"/>
                <w:color w:val="auto"/>
              </w:rPr>
            </w:pPr>
          </w:p>
        </w:tc>
        <w:tc>
          <w:tcPr>
            <w:tcW w:w="65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9"/>
              </w:rPr>
              <w:t>INDEX</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1.</w:t>
            </w:r>
          </w:p>
        </w:tc>
        <w:tc>
          <w:tcPr>
            <w:tcW w:w="65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PART 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Identity of Directors, Senior Management and Advisors -- Not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applicable..................................................</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Offer Statistics and Expected Timetable -- Not 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Key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Information on the Company..................................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Operating and Financial Review and Prospects................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Directors, Senior Management and Employees..................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Major Shareholders and Related Party Transactions...........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Financial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The Offer and Listing.......................................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10.</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Additional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Quantitative and Qualitative Disclosure about Market Risk...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Securities Other than Equity</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65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Securities -- Not applicable................................</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13.</w:t>
            </w:r>
          </w:p>
        </w:tc>
        <w:tc>
          <w:tcPr>
            <w:tcW w:w="65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PART II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Defaults, Dividend Arrearages and Delinquencies -- Not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14.</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applicable..................................................</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Material Modifications to the Rights of Security Holders and</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65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Use of Proceeds -- Not applicable...........................</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Item 17.</w:t>
            </w:r>
          </w:p>
        </w:tc>
        <w:tc>
          <w:tcPr>
            <w:tcW w:w="65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PART III</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Financial Statements -- Not applicable......................</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18.</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Financial 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19.</w:t>
            </w:r>
          </w:p>
        </w:tc>
        <w:tc>
          <w:tcPr>
            <w:tcW w:w="65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Exhibits....................................................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SIGNATURES</w:t>
            </w:r>
          </w:p>
        </w:tc>
        <w:tc>
          <w:tcPr>
            <w:tcW w:w="6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640" w:type="dxa"/>
            <w:vAlign w:val="bottom"/>
            <w:gridSpan w:val="2"/>
          </w:tcPr>
          <w:p>
            <w:pPr>
              <w:spacing w:after="0"/>
              <w:rPr>
                <w:sz w:val="20"/>
                <w:szCs w:val="20"/>
                <w:color w:val="auto"/>
              </w:rPr>
            </w:pPr>
            <w:r>
              <w:rPr>
                <w:rFonts w:ascii="Courier New" w:cs="Courier New" w:eastAsia="Courier New" w:hAnsi="Courier New"/>
                <w:sz w:val="18"/>
                <w:szCs w:val="18"/>
                <w:color w:val="auto"/>
              </w:rPr>
              <w:t>EXHIBIT INDEX</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60" w:type="dxa"/>
            <w:vAlign w:val="bottom"/>
          </w:tcPr>
          <w:p>
            <w:pPr>
              <w:spacing w:after="0"/>
              <w:rPr>
                <w:sz w:val="24"/>
                <w:szCs w:val="24"/>
                <w:color w:val="auto"/>
              </w:rPr>
            </w:pPr>
          </w:p>
        </w:tc>
        <w:tc>
          <w:tcPr>
            <w:tcW w:w="65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Unless the context otherwise requires, all references in this annual report to "Amdocs", "we", "our", "us" and the "Company" refer to Amdocs Limited and its consolidated subsidiaries and their respective predecessors. References to "dollars" or $ are to United States dollars. Unless otherwise stated, all references to ordinary shares are to both voting and non-voting ordinary shares.</w:t>
      </w:r>
    </w:p>
    <w:p>
      <w:pPr>
        <w:spacing w:after="0" w:line="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accounting principals generally accepted in the United States ("GAAP") and presented in dollars. The selected historical consolidated financial information set forth below has been derived from the historical Consolidated Financial Statements of Amdocs for the years presented. Historical information as of and for the five years ended September 30, 2000 is derived from our Consolidated Financial Statements, which have been audited by Ernst &amp; Young LLP, our independent auditors.</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set forth in our Current Report on Form 6-K dated December 29, 2000, and should be read in conjunction with those Consolidated Financial Statements and the discussion under "Operating and Financial Review and Prospects" included elsewhere in this report.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60" w:type="dxa"/>
            <w:vAlign w:val="bottom"/>
            <w:gridSpan w:val="3"/>
          </w:tcPr>
          <w:p>
            <w:pPr>
              <w:jc w:val="right"/>
              <w:ind w:right="712"/>
              <w:spacing w:after="0"/>
              <w:rPr>
                <w:sz w:val="20"/>
                <w:szCs w:val="20"/>
                <w:color w:val="auto"/>
              </w:rPr>
            </w:pPr>
            <w:r>
              <w:rPr>
                <w:rFonts w:ascii="Courier New" w:cs="Courier New" w:eastAsia="Courier New" w:hAnsi="Courier New"/>
                <w:sz w:val="18"/>
                <w:szCs w:val="18"/>
                <w:color w:val="auto"/>
              </w:rPr>
              <w:t>YEAR ENDED SEPTEMBER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(IN THOUSANDS, EXCEPT PER SHARE DATA)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$1,118,320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$626,855</w:t>
            </w: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$403,767</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$290,102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$211,720</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Revenue............................</w:t>
            </w:r>
          </w:p>
        </w:tc>
        <w:tc>
          <w:tcPr>
            <w:tcW w:w="11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74,124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146,998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84,895</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35,490</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98,543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30,107</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5,876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24,508</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Basic earnings per share...........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earnings per share.........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Dividends declared per share.......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3.76</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AS OF SEPTEMBER 30,</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(IN THOUSANDS)</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$1,935,085</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$430,011</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$239,966</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7"/>
              </w:rPr>
              <w:t>$220,582</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$104,531</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obligations (net of</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23,417</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17,148</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9,215</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7,370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1,663</w:t>
            </w: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portion).................</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1,430,772</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123,737</w:t>
            </w:r>
          </w:p>
        </w:tc>
        <w:tc>
          <w:tcPr>
            <w:tcW w:w="168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(21,889)</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94,253</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15,988</w:t>
            </w:r>
          </w:p>
        </w:tc>
        <w:tc>
          <w:tcPr>
            <w:tcW w:w="0" w:type="dxa"/>
            <w:vAlign w:val="bottom"/>
          </w:tcPr>
          <w:p>
            <w:pPr>
              <w:spacing w:after="0"/>
              <w:rPr>
                <w:sz w:val="1"/>
                <w:szCs w:val="1"/>
                <w:color w:val="auto"/>
              </w:rPr>
            </w:pPr>
          </w:p>
        </w:tc>
      </w:tr>
      <w:tr>
        <w:trPr>
          <w:trHeight w:val="296"/>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9"/>
              </w:rPr>
              <w:t>(deficit)(2)(3)..................</w:t>
            </w:r>
          </w:p>
        </w:tc>
        <w:tc>
          <w:tcPr>
            <w:tcW w:w="136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85" w:right="1440" w:bottom="1440" w:gutter="0" w:footer="0" w:header="0"/>
        </w:sectPr>
      </w:pPr>
    </w:p>
    <w:p>
      <w:pPr>
        <w:spacing w:after="0" w:line="1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8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ORDINARY 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80" w:type="dxa"/>
            <w:vAlign w:val="bottom"/>
          </w:tcPr>
          <w:p>
            <w:pPr>
              <w:jc w:val="right"/>
              <w:ind w:right="356"/>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311"/>
        </w:trPr>
        <w:tc>
          <w:tcPr>
            <w:tcW w:w="590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w w:val="97"/>
              </w:rPr>
              <w:t>STATEMENT OF CHANGES IN SHAREHOLDERS' EQUITY DATA:</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8"/>
                <w:szCs w:val="18"/>
                <w:color w:val="auto"/>
              </w:rPr>
              <w:t>107,916</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$1,727</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Balance as</w:t>
            </w:r>
          </w:p>
        </w:tc>
        <w:tc>
          <w:tcPr>
            <w:tcW w:w="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of</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October 1, 1996..........................</w:t>
            </w:r>
          </w:p>
        </w:tc>
        <w:tc>
          <w:tcPr>
            <w:tcW w:w="12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Issuance</w:t>
            </w:r>
          </w:p>
        </w:tc>
        <w:tc>
          <w:tcPr>
            <w:tcW w:w="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of</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ordinary shares..........................</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16,792</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269</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Balance as</w:t>
            </w:r>
          </w:p>
        </w:tc>
        <w:tc>
          <w:tcPr>
            <w:tcW w:w="320" w:type="dxa"/>
            <w:vAlign w:val="bottom"/>
            <w:vMerge w:val="restart"/>
          </w:tcPr>
          <w:p>
            <w:pPr>
              <w:jc w:val="right"/>
              <w:ind w:right="13"/>
              <w:spacing w:after="0"/>
              <w:rPr>
                <w:sz w:val="20"/>
                <w:szCs w:val="20"/>
                <w:color w:val="auto"/>
              </w:rPr>
            </w:pPr>
            <w:r>
              <w:rPr>
                <w:rFonts w:ascii="Courier New" w:cs="Courier New" w:eastAsia="Courier New" w:hAnsi="Courier New"/>
                <w:sz w:val="18"/>
                <w:szCs w:val="18"/>
                <w:color w:val="auto"/>
                <w:w w:val="92"/>
              </w:rPr>
              <w:t>of</w:t>
            </w:r>
          </w:p>
        </w:tc>
        <w:tc>
          <w:tcPr>
            <w:tcW w:w="4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September 30, 1997.......................</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124,708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Issuance</w:t>
            </w:r>
          </w:p>
        </w:tc>
        <w:tc>
          <w:tcPr>
            <w:tcW w:w="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of</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ordinary shares(2).......................</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72,092</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1,153</w:t>
            </w:r>
          </w:p>
        </w:tc>
        <w:tc>
          <w:tcPr>
            <w:tcW w:w="0" w:type="dxa"/>
            <w:vAlign w:val="bottom"/>
          </w:tcPr>
          <w:p>
            <w:pPr>
              <w:spacing w:after="0"/>
              <w:rPr>
                <w:sz w:val="1"/>
                <w:szCs w:val="1"/>
                <w:color w:val="auto"/>
              </w:rPr>
            </w:pPr>
          </w:p>
        </w:tc>
      </w:tr>
      <w:tr>
        <w:trPr>
          <w:trHeight w:val="203"/>
        </w:trPr>
        <w:tc>
          <w:tcPr>
            <w:tcW w:w="5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options granted, net of forfeitures............</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Balance as</w:t>
            </w:r>
          </w:p>
        </w:tc>
        <w:tc>
          <w:tcPr>
            <w:tcW w:w="320" w:type="dxa"/>
            <w:vAlign w:val="bottom"/>
            <w:vMerge w:val="restart"/>
          </w:tcPr>
          <w:p>
            <w:pPr>
              <w:jc w:val="right"/>
              <w:ind w:right="13"/>
              <w:spacing w:after="0"/>
              <w:rPr>
                <w:sz w:val="20"/>
                <w:szCs w:val="20"/>
                <w:color w:val="auto"/>
              </w:rPr>
            </w:pPr>
            <w:r>
              <w:rPr>
                <w:rFonts w:ascii="Courier New" w:cs="Courier New" w:eastAsia="Courier New" w:hAnsi="Courier New"/>
                <w:sz w:val="18"/>
                <w:szCs w:val="18"/>
                <w:color w:val="auto"/>
                <w:w w:val="92"/>
              </w:rPr>
              <w:t>of</w:t>
            </w:r>
          </w:p>
        </w:tc>
        <w:tc>
          <w:tcPr>
            <w:tcW w:w="4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September 30, 1998.......................</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196,800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3,149</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Issuance</w:t>
            </w:r>
          </w:p>
        </w:tc>
        <w:tc>
          <w:tcPr>
            <w:tcW w:w="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of</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ordinary shares(2).......................</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2,000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5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options granted, net of forfeitures............</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Balance as</w:t>
            </w:r>
          </w:p>
        </w:tc>
        <w:tc>
          <w:tcPr>
            <w:tcW w:w="320" w:type="dxa"/>
            <w:vAlign w:val="bottom"/>
            <w:vMerge w:val="restart"/>
          </w:tcPr>
          <w:p>
            <w:pPr>
              <w:jc w:val="right"/>
              <w:ind w:right="13"/>
              <w:spacing w:after="0"/>
              <w:rPr>
                <w:sz w:val="20"/>
                <w:szCs w:val="20"/>
                <w:color w:val="auto"/>
              </w:rPr>
            </w:pPr>
            <w:r>
              <w:rPr>
                <w:rFonts w:ascii="Courier New" w:cs="Courier New" w:eastAsia="Courier New" w:hAnsi="Courier New"/>
                <w:sz w:val="18"/>
                <w:szCs w:val="18"/>
                <w:color w:val="auto"/>
                <w:w w:val="92"/>
              </w:rPr>
              <w:t>of</w:t>
            </w:r>
          </w:p>
        </w:tc>
        <w:tc>
          <w:tcPr>
            <w:tcW w:w="4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September 30, 1999.......................</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198,800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3,181</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Issuance</w:t>
            </w:r>
          </w:p>
        </w:tc>
        <w:tc>
          <w:tcPr>
            <w:tcW w:w="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of</w:t>
            </w:r>
          </w:p>
        </w:tc>
        <w:tc>
          <w:tcPr>
            <w:tcW w:w="4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ordinary shares related to acquisitions,</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8"/>
                <w:szCs w:val="18"/>
                <w:color w:val="auto"/>
              </w:rPr>
              <w:t>20,307</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325</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net(3)</w:t>
            </w:r>
          </w:p>
        </w:tc>
        <w:tc>
          <w:tcPr>
            <w:tcW w:w="6020" w:type="dxa"/>
            <w:vAlign w:val="bottom"/>
            <w:gridSpan w:val="3"/>
            <w:vMerge w:val="restart"/>
          </w:tcPr>
          <w:p>
            <w:pPr>
              <w:jc w:val="right"/>
              <w:ind w:right="1296"/>
              <w:spacing w:after="0"/>
              <w:rPr>
                <w:sz w:val="20"/>
                <w:szCs w:val="20"/>
                <w:color w:val="auto"/>
              </w:rPr>
            </w:pPr>
            <w:r>
              <w:rPr>
                <w:rFonts w:ascii="Courier New" w:cs="Courier New" w:eastAsia="Courier New" w:hAnsi="Courier New"/>
                <w:sz w:val="29"/>
                <w:szCs w:val="29"/>
                <w:color w:val="auto"/>
                <w:w w:val="72"/>
                <w:vertAlign w:val="subscript"/>
              </w:rPr>
              <w:t>stock</w:t>
            </w: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optionsexercised</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Employee</w:t>
            </w:r>
          </w:p>
        </w:tc>
        <w:tc>
          <w:tcPr>
            <w:tcW w:w="4740" w:type="dxa"/>
            <w:vAlign w:val="bottom"/>
            <w:gridSpan w:val="2"/>
            <w:vMerge w:val="continue"/>
          </w:tcPr>
          <w:p>
            <w:pPr>
              <w:jc w:val="right"/>
              <w:ind w:right="12"/>
              <w:spacing w:after="0" w:line="178"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2,058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480" w:type="dxa"/>
            <w:vAlign w:val="bottom"/>
            <w:gridSpan w:val="2"/>
          </w:tcPr>
          <w:p>
            <w:pPr>
              <w:jc w:val="right"/>
              <w:ind w:right="13"/>
              <w:spacing w:after="0" w:line="203" w:lineRule="exact"/>
              <w:rPr>
                <w:sz w:val="20"/>
                <w:szCs w:val="20"/>
                <w:color w:val="auto"/>
              </w:rPr>
            </w:pPr>
            <w:r>
              <w:rPr>
                <w:rFonts w:ascii="Courier New" w:cs="Courier New" w:eastAsia="Courier New" w:hAnsi="Courier New"/>
                <w:sz w:val="18"/>
                <w:szCs w:val="18"/>
                <w:color w:val="auto"/>
              </w:rPr>
              <w:t>Tax benefit</w:t>
            </w:r>
          </w:p>
        </w:tc>
        <w:tc>
          <w:tcPr>
            <w:tcW w:w="4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of stock options exercised...............</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options granted................................</w:t>
            </w:r>
          </w:p>
        </w:tc>
        <w:tc>
          <w:tcPr>
            <w:tcW w:w="1280" w:type="dxa"/>
            <w:vAlign w:val="bottom"/>
          </w:tcPr>
          <w:p>
            <w:pPr>
              <w:jc w:val="right"/>
              <w:ind w:right="136"/>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Balance as</w:t>
            </w:r>
          </w:p>
        </w:tc>
        <w:tc>
          <w:tcPr>
            <w:tcW w:w="320" w:type="dxa"/>
            <w:vAlign w:val="bottom"/>
            <w:vMerge w:val="restart"/>
          </w:tcPr>
          <w:p>
            <w:pPr>
              <w:jc w:val="right"/>
              <w:ind w:right="13"/>
              <w:spacing w:after="0"/>
              <w:rPr>
                <w:sz w:val="20"/>
                <w:szCs w:val="20"/>
                <w:color w:val="auto"/>
              </w:rPr>
            </w:pPr>
            <w:r>
              <w:rPr>
                <w:rFonts w:ascii="Courier New" w:cs="Courier New" w:eastAsia="Courier New" w:hAnsi="Courier New"/>
                <w:sz w:val="18"/>
                <w:szCs w:val="18"/>
                <w:color w:val="auto"/>
                <w:w w:val="92"/>
              </w:rPr>
              <w:t>of</w:t>
            </w:r>
          </w:p>
        </w:tc>
        <w:tc>
          <w:tcPr>
            <w:tcW w:w="4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September 30, 2000.......................</w:t>
            </w:r>
          </w:p>
        </w:tc>
        <w:tc>
          <w:tcPr>
            <w:tcW w:w="1280" w:type="dxa"/>
            <w:vAlign w:val="bottom"/>
            <w:vMerge w:val="restart"/>
          </w:tcPr>
          <w:p>
            <w:pPr>
              <w:jc w:val="right"/>
              <w:ind w:right="13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221,165</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$3,539</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80" w:type="dxa"/>
            <w:vAlign w:val="bottom"/>
          </w:tcPr>
          <w:p>
            <w:pPr>
              <w:jc w:val="right"/>
              <w:ind w:right="136"/>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640" w:hanging="412"/>
        <w:spacing w:after="0" w:line="24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nonrecurring acquisition-related charges aggregating to $75,617, relating to our acquisitions of International Telecommunication Data Systems, Inc. ("ITDS") in November 1999 and Solect Technology Group Inc. ("Solect") in April 2000, in stock-for-stock transactions. The charges related to the ITDS transaction aggregated to $19,876 and were incurred by us in the first quarter of fiscal 2000. The charges related to the Solect transaction aggregated to $55,741 and were incurred by us in the third quarter of fiscal 2000. Each of these charges included write-offs of purchased in-process research and development and other indirect acquisition-related costs. In the fourth quarter of fiscal 1997, we recorded nonrecurring charges of $27,563. Of such amount, $25,763 was attributable to the funding of a contribution to a trust and the balance, $1,800, was due to the write-off of in-process technology related to certain software rights acquired from several operating subsidiaries of SBC Communications Inc. ("SBC").</w:t>
      </w:r>
    </w:p>
    <w:p>
      <w:pPr>
        <w:spacing w:after="0" w:line="106" w:lineRule="exact"/>
        <w:rPr>
          <w:rFonts w:ascii="Courier New" w:cs="Courier New" w:eastAsia="Courier New" w:hAnsi="Courier New"/>
          <w:sz w:val="18"/>
          <w:szCs w:val="18"/>
          <w:color w:val="auto"/>
        </w:rPr>
      </w:pPr>
    </w:p>
    <w:p>
      <w:pPr>
        <w:ind w:left="420" w:right="640" w:hanging="412"/>
        <w:spacing w:after="0" w:line="27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completed our initial public offering of 18,000 ordinary shares in June 1998 and a public offering of an additional 2,000 ordinary shares in June 1999. The net proceeds to us from the offerings were $234,190 and $41,384, respectively.</w:t>
      </w:r>
    </w:p>
    <w:p>
      <w:pPr>
        <w:spacing w:after="0" w:line="81" w:lineRule="exact"/>
        <w:rPr>
          <w:rFonts w:ascii="Courier New" w:cs="Courier New" w:eastAsia="Courier New" w:hAnsi="Courier New"/>
          <w:sz w:val="18"/>
          <w:szCs w:val="18"/>
          <w:color w:val="auto"/>
        </w:rPr>
      </w:pPr>
    </w:p>
    <w:p>
      <w:pPr>
        <w:ind w:left="420" w:right="420" w:hanging="412"/>
        <w:spacing w:after="0" w:line="26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7,564 ordinary shares, including shares issuable upon exercise of vested ITDS employee options, were issued in connection with the ITDS acquisition, and an aggregate of 15,500 ordinary shares, including shares issuable upon exercise of vested Solect employee options, were issued in connection with the Solect acquisition.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640" w:firstLine="211"/>
        <w:spacing w:after="0" w:line="347" w:lineRule="auto"/>
        <w:rPr>
          <w:sz w:val="20"/>
          <w:szCs w:val="20"/>
          <w:color w:val="auto"/>
        </w:rPr>
      </w:pPr>
      <w:r>
        <w:rPr>
          <w:rFonts w:ascii="Courier New" w:cs="Courier New" w:eastAsia="Courier New" w:hAnsi="Courier New"/>
          <w:sz w:val="18"/>
          <w:szCs w:val="18"/>
          <w:color w:val="auto"/>
        </w:rPr>
        <w:t>FUNDAMENTAL CHANGES IN THE COMMUNICATIONS MARKET COULD REDUCE DEMAND FOR OUR SYSTEMS</w:t>
      </w:r>
    </w:p>
    <w:p>
      <w:pPr>
        <w:spacing w:after="0" w:line="18" w:lineRule="exact"/>
        <w:rPr>
          <w:sz w:val="20"/>
          <w:szCs w:val="20"/>
          <w:color w:val="auto"/>
        </w:rPr>
      </w:pPr>
    </w:p>
    <w:p>
      <w:pPr>
        <w:ind w:right="420" w:firstLine="527"/>
        <w:spacing w:after="0" w:line="256" w:lineRule="auto"/>
        <w:rPr>
          <w:sz w:val="20"/>
          <w:szCs w:val="20"/>
          <w:color w:val="auto"/>
        </w:rPr>
      </w:pPr>
      <w:r>
        <w:rPr>
          <w:rFonts w:ascii="Courier New" w:cs="Courier New" w:eastAsia="Courier New" w:hAnsi="Courier New"/>
          <w:sz w:val="18"/>
          <w:szCs w:val="18"/>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98" w:lineRule="exact"/>
        <w:rPr>
          <w:sz w:val="20"/>
          <w:szCs w:val="20"/>
          <w:color w:val="auto"/>
        </w:rPr>
      </w:pPr>
    </w:p>
    <w:p>
      <w:pPr>
        <w:ind w:right="420" w:firstLine="527"/>
        <w:spacing w:after="0" w:line="306" w:lineRule="auto"/>
        <w:rPr>
          <w:sz w:val="20"/>
          <w:szCs w:val="20"/>
          <w:color w:val="auto"/>
        </w:rPr>
      </w:pPr>
      <w:r>
        <w:rPr>
          <w:rFonts w:ascii="Courier New" w:cs="Courier New" w:eastAsia="Courier New" w:hAnsi="Courier New"/>
          <w:sz w:val="16"/>
          <w:szCs w:val="16"/>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as well as a broader introduction of electronic directories. Our new products for these markets may not be successful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ADDITIONAL</w:t>
      </w:r>
    </w:p>
    <w:p>
      <w:pPr>
        <w:spacing w:after="0" w:line="52" w:lineRule="exact"/>
        <w:rPr>
          <w:sz w:val="20"/>
          <w:szCs w:val="20"/>
          <w:color w:val="auto"/>
        </w:rPr>
      </w:pPr>
    </w:p>
    <w:p>
      <w:pPr>
        <w:ind w:left="102"/>
        <w:spacing w:after="0"/>
        <w:rPr>
          <w:sz w:val="20"/>
          <w:szCs w:val="20"/>
          <w:color w:val="auto"/>
        </w:rPr>
      </w:pPr>
      <w:r>
        <w:rPr>
          <w:rFonts w:ascii="Courier New" w:cs="Courier New" w:eastAsia="Courier New" w:hAnsi="Courier New"/>
          <w:sz w:val="18"/>
          <w:szCs w:val="18"/>
          <w:color w:val="auto"/>
        </w:rPr>
        <w:t>PAID-IN</w:t>
      </w:r>
    </w:p>
    <w:p>
      <w:pPr>
        <w:ind w:left="102"/>
        <w:spacing w:after="0" w:line="238" w:lineRule="auto"/>
        <w:rPr>
          <w:sz w:val="20"/>
          <w:szCs w:val="20"/>
          <w:color w:val="auto"/>
        </w:rPr>
      </w:pPr>
      <w:r>
        <w:rPr>
          <w:rFonts w:ascii="Courier New" w:cs="Courier New" w:eastAsia="Courier New" w:hAnsi="Courier New"/>
          <w:sz w:val="18"/>
          <w:szCs w:val="18"/>
          <w:color w:val="auto"/>
        </w:rPr>
        <w:t>CAPITAL</w:t>
      </w:r>
    </w:p>
    <w:p>
      <w:pPr>
        <w:ind w:left="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ind w:left="422" w:hanging="422"/>
        <w:spacing w:after="0"/>
        <w:tabs>
          <w:tab w:leader="none" w:pos="42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14,348</w:t>
      </w:r>
    </w:p>
    <w:p>
      <w:pPr>
        <w:spacing w:after="0" w:line="53" w:lineRule="exact"/>
        <w:rPr>
          <w:rFonts w:ascii="Courier New" w:cs="Courier New" w:eastAsia="Courier New" w:hAnsi="Courier New"/>
          <w:sz w:val="16"/>
          <w:szCs w:val="16"/>
          <w:color w:val="auto"/>
        </w:rPr>
      </w:pPr>
    </w:p>
    <w:p>
      <w:pPr>
        <w:ind w:left="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91,431</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105,779</w:t>
      </w:r>
    </w:p>
    <w:p>
      <w:pPr>
        <w:jc w:val="right"/>
        <w:spacing w:after="0" w:line="238" w:lineRule="auto"/>
        <w:rPr>
          <w:sz w:val="20"/>
          <w:szCs w:val="20"/>
          <w:color w:val="auto"/>
        </w:rPr>
      </w:pPr>
      <w:r>
        <w:rPr>
          <w:rFonts w:ascii="Courier New" w:cs="Courier New" w:eastAsia="Courier New" w:hAnsi="Courier New"/>
          <w:sz w:val="18"/>
          <w:szCs w:val="18"/>
          <w:color w:val="auto"/>
        </w:rPr>
        <w:t>331,485</w:t>
      </w:r>
    </w:p>
    <w:p>
      <w:pPr>
        <w:jc w:val="right"/>
        <w:spacing w:after="0"/>
        <w:rPr>
          <w:sz w:val="20"/>
          <w:szCs w:val="20"/>
          <w:color w:val="auto"/>
        </w:rPr>
      </w:pPr>
      <w:r>
        <w:rPr>
          <w:rFonts w:ascii="Courier New" w:cs="Courier New" w:eastAsia="Courier New" w:hAnsi="Courier New"/>
          <w:sz w:val="18"/>
          <w:szCs w:val="18"/>
          <w:color w:val="auto"/>
        </w:rPr>
        <w:t>10,239</w:t>
      </w:r>
    </w:p>
    <w:p>
      <w:pPr>
        <w:ind w:left="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447,503</w:t>
      </w:r>
    </w:p>
    <w:p>
      <w:pPr>
        <w:jc w:val="right"/>
        <w:spacing w:after="0" w:line="238" w:lineRule="auto"/>
        <w:rPr>
          <w:sz w:val="20"/>
          <w:szCs w:val="20"/>
          <w:color w:val="auto"/>
        </w:rPr>
      </w:pPr>
      <w:r>
        <w:rPr>
          <w:rFonts w:ascii="Courier New" w:cs="Courier New" w:eastAsia="Courier New" w:hAnsi="Courier New"/>
          <w:sz w:val="18"/>
          <w:szCs w:val="18"/>
          <w:color w:val="auto"/>
        </w:rPr>
        <w:t>41,352</w:t>
      </w:r>
    </w:p>
    <w:p>
      <w:pPr>
        <w:jc w:val="right"/>
        <w:spacing w:after="0"/>
        <w:rPr>
          <w:sz w:val="20"/>
          <w:szCs w:val="20"/>
          <w:color w:val="auto"/>
        </w:rPr>
      </w:pPr>
      <w:r>
        <w:rPr>
          <w:rFonts w:ascii="Courier New" w:cs="Courier New" w:eastAsia="Courier New" w:hAnsi="Courier New"/>
          <w:sz w:val="18"/>
          <w:szCs w:val="18"/>
          <w:color w:val="auto"/>
        </w:rPr>
        <w:t>244</w:t>
      </w: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489,099</w:t>
      </w:r>
    </w:p>
    <w:p>
      <w:pPr>
        <w:spacing w:after="0" w:line="16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1,263,330</w:t>
      </w:r>
    </w:p>
    <w:p>
      <w:pPr>
        <w:spacing w:after="0" w:line="2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21,327</w:t>
      </w:r>
    </w:p>
    <w:p>
      <w:pPr>
        <w:jc w:val="right"/>
        <w:spacing w:after="0" w:line="238" w:lineRule="auto"/>
        <w:rPr>
          <w:sz w:val="20"/>
          <w:szCs w:val="20"/>
          <w:color w:val="auto"/>
        </w:rPr>
      </w:pPr>
      <w:r>
        <w:rPr>
          <w:rFonts w:ascii="Courier New" w:cs="Courier New" w:eastAsia="Courier New" w:hAnsi="Courier New"/>
          <w:sz w:val="18"/>
          <w:szCs w:val="18"/>
          <w:color w:val="auto"/>
        </w:rPr>
        <w:t>10,825</w:t>
      </w:r>
    </w:p>
    <w:p>
      <w:pPr>
        <w:jc w:val="right"/>
        <w:spacing w:after="0"/>
        <w:rPr>
          <w:sz w:val="20"/>
          <w:szCs w:val="20"/>
          <w:color w:val="auto"/>
        </w:rPr>
      </w:pPr>
      <w:r>
        <w:rPr>
          <w:rFonts w:ascii="Courier New" w:cs="Courier New" w:eastAsia="Courier New" w:hAnsi="Courier New"/>
          <w:sz w:val="18"/>
          <w:szCs w:val="18"/>
          <w:color w:val="auto"/>
        </w:rPr>
        <w:t>235</w:t>
      </w: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$1,784,816</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860" w:space="418"/>
            <w:col w:w="1062"/>
          </w:cols>
          <w:pgMar w:left="240" w:top="285" w:right="1319"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and we believe our current</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0"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839"/>
        <w:spacing w:after="0" w:line="402" w:lineRule="auto"/>
        <w:rPr>
          <w:sz w:val="20"/>
          <w:szCs w:val="20"/>
          <w:color w:val="auto"/>
        </w:rPr>
      </w:pPr>
      <w:r>
        <w:rPr>
          <w:rFonts w:ascii="Courier New" w:cs="Courier New" w:eastAsia="Courier New" w:hAnsi="Courier New"/>
          <w:sz w:val="16"/>
          <w:szCs w:val="16"/>
          <w:color w:val="auto"/>
        </w:rPr>
        <w:t>levels of revenue from the sales of products and services to directory publishers are not likely to grow but will remain relatively stable.</w:t>
      </w:r>
    </w:p>
    <w:p>
      <w:pPr>
        <w:spacing w:after="0" w:line="1" w:lineRule="exact"/>
        <w:rPr>
          <w:sz w:val="20"/>
          <w:szCs w:val="20"/>
          <w:color w:val="auto"/>
        </w:rPr>
      </w:pPr>
    </w:p>
    <w:p>
      <w:pPr>
        <w:ind w:left="220" w:right="2619"/>
        <w:spacing w:after="0" w:line="347" w:lineRule="auto"/>
        <w:rPr>
          <w:sz w:val="20"/>
          <w:szCs w:val="20"/>
          <w:color w:val="auto"/>
        </w:rPr>
      </w:pPr>
      <w:r>
        <w:rPr>
          <w:rFonts w:ascii="Courier New" w:cs="Courier New" w:eastAsia="Courier New" w:hAnsi="Courier New"/>
          <w:sz w:val="18"/>
          <w:szCs w:val="18"/>
          <w:color w:val="auto"/>
        </w:rPr>
        <w:t>IF WE CANNOT COMPETE SUCCESSFULLY WITH EXISTING OR NEW COMPETITORS OUR BUSINESS COULD BE MATERIALLY ADVERSELY AFFECTED</w:t>
      </w:r>
    </w:p>
    <w:p>
      <w:pPr>
        <w:spacing w:after="0" w:line="18"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5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05"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We also believe that our ability to compete depends in part on a number of factors, including:</w:t>
      </w:r>
    </w:p>
    <w:p>
      <w:pPr>
        <w:spacing w:after="0" w:line="18" w:lineRule="exact"/>
        <w:rPr>
          <w:sz w:val="20"/>
          <w:szCs w:val="20"/>
          <w:color w:val="auto"/>
        </w:rPr>
      </w:pPr>
    </w:p>
    <w:p>
      <w:pPr>
        <w:ind w:left="860" w:right="2419" w:hanging="325"/>
        <w:spacing w:after="0" w:line="34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18"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1" w:lineRule="exact"/>
        <w:rPr>
          <w:rFonts w:ascii="Courier New" w:cs="Courier New" w:eastAsia="Courier New" w:hAnsi="Courier New"/>
          <w:sz w:val="18"/>
          <w:szCs w:val="18"/>
          <w:color w:val="auto"/>
        </w:rPr>
      </w:pPr>
    </w:p>
    <w:p>
      <w:pPr>
        <w:ind w:left="860" w:right="2739" w:hanging="325"/>
        <w:spacing w:after="0" w:line="34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1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MUST CONTINUALLY ENHANCE OUR PRODUCTS TO REMAIN COMPETITIVE</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("BSS") products that operate in state-of-the-art computing environments.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7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On November 30, 1999, in a stock-for-stock transaction, we completed our acquisition of International Telecommunication Data Systems, Inc. ("ITDS"), a leading provider of billing and customer care service bureau solutions to wireless communications service providers. On April 5, 2000, in a stock-for-stock transaction, we completed our acquisition of Solect Technology Group Inc. ("Solect"), a leading provider of Internet Protocol ("IP") billing and customer care software to Internet service providers, including wireless</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559"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companies and Application Service Providers ("ASPs").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that the ITDS or Solect acquisitions will enhance our products or strengthen our competitive position or that we will be able to successfully and efficiently integrate these businesses into our own.</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OUR BUSINESS IS HIGHLY DEPENDENT ON A LIMITED NUMBER OF SIGNIFICANT CUSTOMERS</w:t>
      </w:r>
    </w:p>
    <w:p>
      <w:pPr>
        <w:spacing w:after="0" w:line="22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(see below), accounted for approximately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WE DEPEND ON SBC COMMUNICATIONS INC. FOR A SIGNIFICANT PORTION OF OUR REVENUE</w:t>
      </w:r>
    </w:p>
    <w:p>
      <w:pPr>
        <w:spacing w:after="0" w:line="22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One of our largest groups of customers is SBC Communications Inc. ("SBC") and its operating subsidiaries. SBC International Inc. ("SBCI"), a wholly-owned subsidiary of SBC, is also one of our largest shareholders. As of December 1, 2000, it held approximately 10.4% of our outstanding voting ordinary shares and all of our outstanding non-voting ordinary shares. A significant decrease in the sale of products and services to SBC or its subsidiaries may materially adversely affect our results of operations and financial condition.</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12.6%, 15.9% and 20.8% of our total revenue in fiscal 2000, 1999 and 1998, respectively. The amount of revenue attributable to SBC and such subsidiaries amounted to $141.0 million, $99.5 million and $84.4 million in fiscal 2000, 1999 and 1998, respectively.</w:t>
      </w:r>
    </w:p>
    <w:p>
      <w:pPr>
        <w:spacing w:after="0" w:line="104"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OUR FUTURE SUCCESS DEPENDS ON OUR ABILITY TO DEVELOP LONG-TERM RELATIONSHIPS WITH OUR CUSTOMERS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SKILLED EMPLOYEES THAT WE NEED MAY BE DIFFICULT TO HIRE AND RETAIN</w:t>
      </w:r>
    </w:p>
    <w:p>
      <w:pPr>
        <w:spacing w:after="0" w:line="201" w:lineRule="exact"/>
        <w:rPr>
          <w:sz w:val="20"/>
          <w:szCs w:val="20"/>
          <w:color w:val="auto"/>
        </w:rPr>
      </w:pPr>
    </w:p>
    <w:p>
      <w:pPr>
        <w:ind w:right="2099" w:firstLine="527"/>
        <w:spacing w:after="0" w:line="252" w:lineRule="auto"/>
        <w:rPr>
          <w:sz w:val="20"/>
          <w:szCs w:val="20"/>
          <w:color w:val="auto"/>
        </w:rPr>
      </w:pPr>
      <w:r>
        <w:rPr>
          <w:rFonts w:ascii="Courier New" w:cs="Courier New" w:eastAsia="Courier New" w:hAnsi="Courier New"/>
          <w:sz w:val="18"/>
          <w:szCs w:val="18"/>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7,900 software and information technology specialists, of which over 4,200 are located in Israel and 1,900 are located in North America. We intensively recruit technical personnel for our principal development centers in Israel, the United States, Cyprus, Ireland and Canada. Our ability to</w:t>
      </w:r>
    </w:p>
    <w:p>
      <w:pPr>
        <w:sectPr>
          <w:pgSz w:w="11900" w:h="16838" w:orient="portrait"/>
          <w:cols w:equalWidth="0" w:num="1">
            <w:col w:w="10219"/>
          </w:cols>
          <w:pgMar w:left="240" w:top="285" w:right="1440" w:bottom="816" w:gutter="0" w:footer="0" w:header="0"/>
        </w:sectPr>
      </w:pP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816"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QUARTERLY OPERATING RESULTS MAY FLUCTUATE</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82" w:lineRule="exact"/>
        <w:rPr>
          <w:sz w:val="20"/>
          <w:szCs w:val="20"/>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fees,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cancellations of significant projects by customers,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factors.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93"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LENGTHY SALES CYCLE MAKES IT DIFFICULT TO ANTICIPATE THE TIMING OF SALES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ectPr>
          <w:pgSz w:w="11900" w:h="16838" w:orient="portrait"/>
          <w:cols w:equalWidth="0" w:num="1">
            <w:col w:w="10219"/>
          </w:cols>
          <w:pgMar w:left="240" w:top="285" w:right="1440" w:bottom="1440" w:gutter="0" w:footer="0" w:header="0"/>
        </w:sect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1440" w:gutter="0" w:footer="0" w:header="0"/>
          <w:type w:val="continuous"/>
        </w:sectPr>
      </w:pPr>
    </w:p>
    <w:bookmarkStart w:id="9" w:name="page10"/>
    <w:bookmarkEnd w:id="9"/>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INTERNATIONAL PRESENCE CREATES SPECIAL RISKS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We are subject to certain risks inherent in doing business in international markets, including:</w:t>
      </w:r>
    </w:p>
    <w:p>
      <w:pPr>
        <w:spacing w:after="0" w:line="18" w:lineRule="exact"/>
        <w:rPr>
          <w:sz w:val="20"/>
          <w:szCs w:val="20"/>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1" w:lineRule="exact"/>
        <w:rPr>
          <w:rFonts w:ascii="Courier New" w:cs="Courier New" w:eastAsia="Courier New" w:hAnsi="Courier New"/>
          <w:sz w:val="18"/>
          <w:szCs w:val="18"/>
          <w:color w:val="auto"/>
        </w:rPr>
      </w:pPr>
    </w:p>
    <w:p>
      <w:pPr>
        <w:ind w:left="860" w:right="2199" w:hanging="325"/>
        <w:spacing w:after="0" w:line="34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18"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immigration regulations that limit our ability to deploy our employees,</w:t>
      </w:r>
    </w:p>
    <w:p>
      <w:pPr>
        <w:spacing w:after="0" w:line="223"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1" w:lineRule="exact"/>
        <w:rPr>
          <w:rFonts w:ascii="Courier New" w:cs="Courier New" w:eastAsia="Courier New" w:hAnsi="Courier New"/>
          <w:sz w:val="18"/>
          <w:szCs w:val="18"/>
          <w:color w:val="auto"/>
        </w:rPr>
      </w:pPr>
    </w:p>
    <w:p>
      <w:pPr>
        <w:ind w:left="860" w:right="2519" w:hanging="325"/>
        <w:spacing w:after="0" w:line="34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w:t>
      </w:r>
    </w:p>
    <w:p>
      <w:pPr>
        <w:spacing w:after="0" w:line="18"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We maintain development facilities in Israel, the United States, Cyprus, Ireland and Canada, operate a support center in Brazil and have operations in North America, Europe, Latin America and the Asia-Pacific region. Although a majority of our revenue in fiscal 2000 was derived from customers in North America and Europe, we obtain significant revenue from customers in the Asia-Pacific region and Latin America. Our strategy is to continue to broaden our European and North American customer base and to expand into new international markets.</w:t>
      </w:r>
    </w:p>
    <w:p>
      <w:pPr>
        <w:spacing w:after="0" w:line="104" w:lineRule="exact"/>
        <w:rPr>
          <w:sz w:val="20"/>
          <w:szCs w:val="20"/>
          <w:color w:val="auto"/>
        </w:rPr>
      </w:pPr>
    </w:p>
    <w:p>
      <w:pPr>
        <w:ind w:left="220" w:right="2199"/>
        <w:spacing w:after="0" w:line="347" w:lineRule="auto"/>
        <w:rPr>
          <w:sz w:val="20"/>
          <w:szCs w:val="20"/>
          <w:color w:val="auto"/>
        </w:rPr>
      </w:pPr>
      <w:r>
        <w:rPr>
          <w:rFonts w:ascii="Courier New" w:cs="Courier New" w:eastAsia="Courier New" w:hAnsi="Courier New"/>
          <w:sz w:val="18"/>
          <w:szCs w:val="18"/>
          <w:color w:val="auto"/>
        </w:rPr>
        <w:t>FLUCTUATIONS IN FOREIGN CURRENCY EXCHANGE RATES COULD ADVERSELY AFFECT OUR BUSINESS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BE UNABLE TO PROTECT OUR PROPRIETARY TECHNOLOGY</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w:t>
      </w:r>
    </w:p>
    <w:p>
      <w:pPr>
        <w:sectPr>
          <w:pgSz w:w="11900" w:h="16842" w:orient="portrait"/>
          <w:cols w:equalWidth="0" w:num="1">
            <w:col w:w="10219"/>
          </w:cols>
          <w:pgMar w:left="240" w:top="285"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foreign countries do</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0"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not protect our proprietary technology to the same extent as the laws of the United States. Other companies could independently develop similar or superior technology without violating our proprietary rights.</w:t>
      </w:r>
    </w:p>
    <w:p>
      <w:pPr>
        <w:spacing w:after="0" w:line="66"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and expensive and could involve a high degree of risk.</w:t>
      </w:r>
    </w:p>
    <w:p>
      <w:pPr>
        <w:spacing w:after="0" w:line="66"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18"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05"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04" w:lineRule="exact"/>
        <w:rPr>
          <w:sz w:val="20"/>
          <w:szCs w:val="20"/>
          <w:color w:val="auto"/>
        </w:rPr>
      </w:pPr>
    </w:p>
    <w:p>
      <w:pPr>
        <w:ind w:left="220" w:right="1999"/>
        <w:spacing w:after="0" w:line="347"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9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Any of the following could have a material affect on our overall effective tax rate:</w:t>
      </w:r>
    </w:p>
    <w:p>
      <w:pPr>
        <w:spacing w:after="0" w:line="18"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18"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 or</w:t>
      </w:r>
    </w:p>
    <w:p>
      <w:pPr>
        <w:spacing w:after="0" w:line="18"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90"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w:t>
      </w:r>
    </w:p>
    <w:p>
      <w:pPr>
        <w:sectPr>
          <w:pgSz w:w="11900" w:h="16838" w:orient="portrait"/>
          <w:cols w:equalWidth="0" w:num="1">
            <w:col w:w="10219"/>
          </w:cols>
          <w:pgMar w:left="240" w:top="285" w:right="1440" w:bottom="0" w:gutter="0" w:footer="0" w:header="0"/>
        </w:sectPr>
      </w:pP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5" w:right="1440" w:bottom="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04" w:lineRule="exact"/>
        <w:rPr>
          <w:sz w:val="20"/>
          <w:szCs w:val="20"/>
          <w:color w:val="auto"/>
        </w:rPr>
      </w:pPr>
    </w:p>
    <w:p>
      <w:pPr>
        <w:ind w:left="220" w:right="1999"/>
        <w:spacing w:after="0" w:line="347" w:lineRule="auto"/>
        <w:rPr>
          <w:sz w:val="20"/>
          <w:szCs w:val="20"/>
          <w:color w:val="auto"/>
        </w:rPr>
      </w:pPr>
      <w:r>
        <w:rPr>
          <w:rFonts w:ascii="Courier New" w:cs="Courier New" w:eastAsia="Courier New" w:hAnsi="Courier New"/>
          <w:sz w:val="18"/>
          <w:szCs w:val="18"/>
          <w:color w:val="auto"/>
        </w:rPr>
        <w:t>OUR DEVELOPMENT FACILITIES IN ISRAEL AND CYPRUS MAY BE ADVERSELY AFFECTED BY POLITICAL AND ECONOMIC CONDITIONS IN THOSE COUNTRIES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Out of the five development centers we maintain worldwide, our largest development center is located in Israel, which is also where we employ over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104"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While Israel has entered into peace agreements with both Egypt and Jordan and several other countries have announced their intentions to establish trade and other relations with Israel, Israel has not entered into any peace arrangement with Syria or Lebanon. Moreover, while Israel is in the process of conducting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AND DEVELOPMENT OF AMDOCS</w:t>
      </w:r>
    </w:p>
    <w:p>
      <w:pPr>
        <w:spacing w:after="0" w:line="201"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Both our legal and commercial name is Amdocs Limited. We are a holding company, originally incorporated under the laws of the Island of Guernsey in 1988. From the inception of our business in 1982 until 1995, our business operated through a group of companies owned by common shareholders. Amdocs Limited became the holding company for all these affiliated companies in 1995. Our global business, conducted through subsidiaries, is to provide information system solutions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7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5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On November 30, 1999, in a stock-for-stock transaction, we completed the acquisition of ITDS, a leading provider of customer care and billing service bureau solutions to wireless communications providers. Our acquisition of ITDS enabled us to expand our service offering, enhancing our ability to provide outsourcing solutions for customers using our systems.</w:t>
      </w:r>
    </w:p>
    <w:p>
      <w:pPr>
        <w:spacing w:after="0" w:line="90"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 April 5, 2000, in a stock-for-stock transaction, we completed our acquisition of Solect, a leading provider of customer care and billing software to IP service providers. The Solect acquisition is part of our strategy to expand our commitment to the IP services market. With our acquisition of Solect, together with expanded internal development efforts in the IP area, we believe we are enhancing our ability to serve the growing IP needs of our existing wireless and wireline customers, while also expanding our target market to cover IP operators, such as Internet Service Providers ("ISPs"), ASPs and broadband providers.</w:t>
      </w:r>
    </w:p>
    <w:p>
      <w:pPr>
        <w:spacing w:after="0" w:line="99"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the future, we may consider additional acquisitions in order to acquire new products or services or otherwise enhance our market position or strategic strengths.</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principal capital expenditures for each of fiscal 2000, 1999 and 1998 have been for computer equipment, for which we spent approximately $35.7 million, $30.2 million and $13.0 million in each respective year. We also lease vehicles for use by our employees, incurring lease obligations of $15.7 million, $14.9 million and $5.2 million, respectively, in each of the last three fiscal years.</w:t>
      </w:r>
    </w:p>
    <w:p>
      <w:pPr>
        <w:spacing w:after="0" w:line="93"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Principal capital expenditures currently in progress consist of approximately $80.0 million to be used in fiscal 2001 for additional computer equipment with the bulk of these expenditures for computer equipment to be located at our facilities in North America and Israel.</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1"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We are a leading provider of software products and services to major communications companies in North America, Europe and the rest of the world.</w:t>
      </w:r>
    </w:p>
    <w:p>
      <w:pPr>
        <w:spacing w:after="0" w:line="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BSS products consist of families of customized software products and services designed to meet the critical business needs of specific communications market sectors. We provide primarily Customer Care, Billing and Order Management Systems ("CC&amp;B Systems") for communications and IP service providers. Our systems support a wide range of communications services including wireline, wireless, broadband, electronic and mobile commerce and Internet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13"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in the United States, BT, Tele Danmark and Deutsche Telekom), wireless companies (such as Sprint PCS, Pacific Wireless, Vodafone Group, Mannesmann Mobilfunk and Telstra) and Internet companies (such as BT, E-Plus and PointOne).</w:t>
      </w:r>
    </w:p>
    <w:p>
      <w:pPr>
        <w:spacing w:after="0" w:line="105"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Our BSS products and related services are designed to manage and improve key aspects of the business operations of communications companies, such as customer care, order management, call rating, invoice</w:t>
      </w:r>
    </w:p>
    <w:p>
      <w:pPr>
        <w:sectPr>
          <w:pgSz w:w="11900" w:h="16838" w:orient="portrait"/>
          <w:cols w:equalWidth="0" w:num="1">
            <w:col w:w="10219"/>
          </w:cols>
          <w:pgMar w:left="240" w:top="285" w:right="1440" w:bottom="411"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85" w:right="1440" w:bottom="411"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calculation and preparation, bill formatting, collections, fraud management and directory publishing services. We tailor our BSS products to address the unique needs of each communications provider.</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Communications Industry</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The global 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multiple or convergent services, offering combinations of local exchange, long distance, wireless, Internet data and electronic and mobile commerce services. Deregulation is also creating opportunities for new ways of doing business, such as wholesaling and reselling communications services. Internationally, privatization and deregulation continue to encourage increased international competition and the emergence of newly authorized 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parallel, the communications industry is undergoing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109"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recent years, there has also been an explosion of new communications technologies, including ATM, IP, xDSL, utilization of cable television infrastructure to provide Internet services, PCS, GPRS (General Packet Radio Services), UMTS (Universal Mobile Telecommunications System), WAP (Wireless Application Protocol) for wireless Internet, and intelligent networks. Additionally, the directory publishing industry, which is currently dominated by communications companies that are owned by or affiliated with the public telecommunications carriers, is also experiencing significant changes due to the introduction of new technologies and distribution platforms, especially Internet directories.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Information Systems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As a result of these developments, many communications companies are seeking a new generation of information systems to support their operations and to be more competitive. Such communications companies are looking for systems that provide enhanced customer management, flexible rating capabilities to support rapid rollout of new price plans and advanced IP services, and the ability to provide customers with single-contact, single-invoice solutions with integrated pricing plans for a wide range of services (convergence or "one-stop shopping"). The legacy information systems used by communications companies generally do not provide the level of integration, flexibility and scalability needed by communications companies as they seek to differentiate themselves from their competitors in an increasingly competitive market place.</w:t>
      </w:r>
    </w:p>
    <w:p>
      <w:pPr>
        <w:spacing w:after="0" w:line="8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Many new and existing communications companies do not have the financial or human resources or technological capability to internally develop efficient, flexible, cost-effective information systems on a timely basis. Moreover, as many communications companies strive to become more consumer-oriented, they are concentrating their efforts and internal resources on marketing to consumers and expanding their service offerings, and many are turning to third-party vendors for their information systems which creates significant opportunities for vendors of CC&amp;B Systems, such as Amdocs.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SOLUTION</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believe that our total solutions orientation, product-driven approach and commitment to and support of quality personnel permit us to offer our customers effective solutions that are both highly innovative and</w:t>
      </w:r>
    </w:p>
    <w:p>
      <w:pPr>
        <w:sectPr>
          <w:pgSz w:w="11900" w:h="16838" w:orient="portrait"/>
          <w:cols w:equalWidth="0" w:num="1">
            <w:col w:w="10219"/>
          </w:cols>
          <w:pgMar w:left="240" w:top="285" w:right="1440" w:bottom="613"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613"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right="2739"/>
        <w:spacing w:after="0" w:line="402" w:lineRule="auto"/>
        <w:rPr>
          <w:sz w:val="20"/>
          <w:szCs w:val="20"/>
          <w:color w:val="auto"/>
        </w:rPr>
      </w:pPr>
      <w:r>
        <w:rPr>
          <w:rFonts w:ascii="Courier New" w:cs="Courier New" w:eastAsia="Courier New" w:hAnsi="Courier New"/>
          <w:sz w:val="16"/>
          <w:szCs w:val="16"/>
          <w:color w:val="auto"/>
        </w:rPr>
        <w:t>reliable. We believe that our success derives from a combination of the following factors that differentiate us from most of our competitors.</w:t>
      </w:r>
    </w:p>
    <w:p>
      <w:pPr>
        <w:spacing w:after="0" w:line="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Total Solutions Orientation. We offer our customers total solutions that include BSS product-driven software tailored to the customer's specific requirements, implementation services, systems integration, maintenance, ongoing support and outsourcing. By providing services directly to the customer, we are able to utilize effectively our intensive technical knowledge of our BSS products in the overall execution of a project, significantly reducing project risk. Our product-driven software solutions approach is distinctly different from the project-based strategy that has traditionally characterized many of the communications information systems and service providers over the past twenty years. Our product-driven software solutions use our BSS products as the starting point for each project. This approach enhances our ability to provide our customers with timely, cost-effective, low-risk solutions at a consistent level of quality.</w:t>
      </w:r>
    </w:p>
    <w:p>
      <w:pPr>
        <w:spacing w:after="0" w:line="10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Functional and Flexible BSS Products. Our BSS products are based on an open, multi-tier, client-server, rule and table-based architecture that provides the functionality, scalability, modularity and adaptability required by today's deregulated, highly competitive communications industry. Through the flexibility of our BSS products, our customers are able to achieve significant time-to-market advantages and reduce their dependence on technical and other staff.</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Cyprus, Ireland and Canada.</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82" w:lineRule="exact"/>
        <w:rPr>
          <w:sz w:val="20"/>
          <w:szCs w:val="20"/>
          <w:color w:val="auto"/>
        </w:rPr>
      </w:pPr>
    </w:p>
    <w:p>
      <w:pPr>
        <w:ind w:left="740" w:right="1779" w:hanging="205"/>
        <w:spacing w:after="0" w:line="253"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resources and efforts on providing strategic information systems to the growing number of communications industry participants. This strategy has enabled us to develop the specialized industry know-how and capability necessary to deliver the technologically advanced, large-scale, specifications-intensive information systems solutions required by the leading communications companies in the wireless, wireline, IP and convergent service sectors.</w:t>
      </w:r>
    </w:p>
    <w:p>
      <w:pPr>
        <w:spacing w:after="0" w:line="103" w:lineRule="exact"/>
        <w:rPr>
          <w:rFonts w:ascii="Courier New" w:cs="Courier New" w:eastAsia="Courier New" w:hAnsi="Courier New"/>
          <w:sz w:val="18"/>
          <w:szCs w:val="18"/>
          <w:color w:val="auto"/>
        </w:rPr>
      </w:pPr>
    </w:p>
    <w:p>
      <w:pPr>
        <w:ind w:left="740" w:right="1879" w:hanging="205"/>
        <w:spacing w:after="0" w:line="24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and Promising New Entrants. We intend to continue to direct our marketing efforts principally towards the major communications companies and new entrants that are believed to have the potential to be market leaders. Our customer base includes major communications companies in North America (including SBC, Verizon, Bellsouth, Sprint, PCS and Nextel), major foreign network operators and service providers (including Deutsche Telekom (Germany), Mannesmann Mobilfunk (Germany), Telstra (Australia), BT (UK) and Vodafone Group (UK))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06" w:lineRule="exact"/>
        <w:rPr>
          <w:rFonts w:ascii="Courier New" w:cs="Courier New" w:eastAsia="Courier New" w:hAnsi="Courier New"/>
          <w:sz w:val="18"/>
          <w:szCs w:val="18"/>
          <w:color w:val="auto"/>
        </w:rPr>
      </w:pPr>
    </w:p>
    <w:p>
      <w:pPr>
        <w:ind w:left="740" w:right="1999" w:hanging="205"/>
        <w:spacing w:after="0" w:line="253"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the detailed functional specifications of the system required by the customer. In accordance with such specifications, system</w:t>
      </w:r>
    </w:p>
    <w:p>
      <w:pPr>
        <w:sectPr>
          <w:pgSz w:w="11900" w:h="16838" w:orient="portrait"/>
          <w:cols w:equalWidth="0" w:num="1">
            <w:col w:w="10219"/>
          </w:cols>
          <w:pgMar w:left="240" w:top="285" w:right="1440" w:bottom="0" w:gutter="0" w:footer="0" w:header="0"/>
        </w:sectPr>
      </w:pP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5" w:right="1440" w:bottom="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740" w:right="1779"/>
        <w:spacing w:after="0" w:line="293" w:lineRule="auto"/>
        <w:rPr>
          <w:sz w:val="20"/>
          <w:szCs w:val="20"/>
          <w:color w:val="auto"/>
        </w:rPr>
      </w:pPr>
      <w:r>
        <w:rPr>
          <w:rFonts w:ascii="Courier New" w:cs="Courier New" w:eastAsia="Courier New" w:hAnsi="Courier New"/>
          <w:sz w:val="16"/>
          <w:szCs w:val="16"/>
          <w:color w:val="auto"/>
        </w:rPr>
        <w:t>modules are then adapted or customized to meet the customer's specific business requirements. We believe that this approach minimizes risks and increases efficiencies by drawing on field-proven BSS products and techniques, and also helps to create significant time-to-market and other competitive advantages for our customers. By leveraging our specialized product knowledge, we believe that we can provide more effective system integration and implementation support services to our customers.</w:t>
      </w:r>
    </w:p>
    <w:p>
      <w:pPr>
        <w:spacing w:after="0" w:line="72" w:lineRule="exact"/>
        <w:rPr>
          <w:sz w:val="20"/>
          <w:szCs w:val="20"/>
          <w:color w:val="auto"/>
        </w:rPr>
      </w:pPr>
    </w:p>
    <w:p>
      <w:pPr>
        <w:ind w:left="740" w:right="1779" w:hanging="205"/>
        <w:spacing w:after="0" w:line="287"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75" w:lineRule="exact"/>
        <w:rPr>
          <w:rFonts w:ascii="Courier New" w:cs="Courier New" w:eastAsia="Courier New" w:hAnsi="Courier New"/>
          <w:sz w:val="16"/>
          <w:szCs w:val="16"/>
          <w:color w:val="auto"/>
        </w:rPr>
      </w:pPr>
    </w:p>
    <w:p>
      <w:pPr>
        <w:ind w:left="740" w:right="1779" w:hanging="205"/>
        <w:spacing w:after="0" w:line="280"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Enhance Global Capabilities. We intend to continue to develop and enhance our global business strategy by targeting advanced communications markets around the world. The worldwide demand for communications services is increasing rapidly, due, in part, to the rapid development of new communications technologies,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major 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have developed core competencies in various advanced technologies that are used in our BSS products. By utilizing technologies such as rule and table-based design, multi-tier architecture, object-oriented techniques, data mining, web-enabling and open application program interfaces ("APIs"),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for remote users, both internally within a communications company's organization and between the organization and its subscribers.</w:t>
      </w:r>
    </w:p>
    <w:p>
      <w:pPr>
        <w:spacing w:after="0" w:line="10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VMS and Windows NT.</w:t>
      </w:r>
    </w:p>
    <w:p>
      <w:pPr>
        <w:spacing w:after="0" w:line="90" w:lineRule="exact"/>
        <w:rPr>
          <w:sz w:val="20"/>
          <w:szCs w:val="20"/>
          <w:color w:val="auto"/>
        </w:rPr>
      </w:pPr>
    </w:p>
    <w:p>
      <w:pPr>
        <w:ind w:right="3039" w:firstLine="527"/>
        <w:spacing w:after="0" w:line="347" w:lineRule="auto"/>
        <w:rPr>
          <w:sz w:val="20"/>
          <w:szCs w:val="20"/>
          <w:color w:val="auto"/>
        </w:rPr>
      </w:pPr>
      <w:r>
        <w:rPr>
          <w:rFonts w:ascii="Courier New" w:cs="Courier New" w:eastAsia="Courier New" w:hAnsi="Courier New"/>
          <w:sz w:val="18"/>
          <w:szCs w:val="18"/>
          <w:color w:val="auto"/>
        </w:rPr>
        <w:t>The architecture of our BSS products includes the following key characteristics:</w:t>
      </w:r>
    </w:p>
    <w:p>
      <w:pPr>
        <w:spacing w:after="0" w:line="18" w:lineRule="exact"/>
        <w:rPr>
          <w:sz w:val="20"/>
          <w:szCs w:val="20"/>
          <w:color w:val="auto"/>
        </w:rPr>
      </w:pPr>
    </w:p>
    <w:p>
      <w:pPr>
        <w:ind w:left="740" w:right="1779" w:hanging="205"/>
        <w:spacing w:after="0" w:line="26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89" w:lineRule="exact"/>
        <w:rPr>
          <w:rFonts w:ascii="Courier New" w:cs="Courier New" w:eastAsia="Courier New" w:hAnsi="Courier New"/>
          <w:sz w:val="18"/>
          <w:szCs w:val="18"/>
          <w:color w:val="auto"/>
        </w:rPr>
      </w:pPr>
    </w:p>
    <w:p>
      <w:pPr>
        <w:ind w:left="740" w:right="1779" w:hanging="205"/>
        <w:spacing w:after="0" w:line="252"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ectPr>
          <w:pgSz w:w="11900" w:h="16838" w:orient="portrait"/>
          <w:cols w:equalWidth="0" w:num="1">
            <w:col w:w="10219"/>
          </w:cols>
          <w:pgMar w:left="240" w:top="285" w:right="1440" w:bottom="411" w:gutter="0" w:footer="0" w:header="0"/>
        </w:sectPr>
      </w:pP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411"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740" w:right="1779" w:hanging="205"/>
        <w:spacing w:after="0" w:line="253"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Utilization of the UNIX platform ensures that our BSS customers are able to choose from a variety of hardware vendors, including Compaq, Hewlett Packard, IBM and Sun Microsystems. In implementing solutions for wireline companies, we are also able to employ VMS and hybrid UNIX/VMS platforms. Certain applications can also be deployed on the Windows NT platform. The BSS products utilize, where applicable, Java-based design and programming to augment cross-platform portability.</w:t>
      </w:r>
    </w:p>
    <w:p>
      <w:pPr>
        <w:spacing w:after="0" w:line="103" w:lineRule="exact"/>
        <w:rPr>
          <w:rFonts w:ascii="Courier New" w:cs="Courier New" w:eastAsia="Courier New" w:hAnsi="Courier New"/>
          <w:sz w:val="18"/>
          <w:szCs w:val="18"/>
          <w:color w:val="auto"/>
        </w:rPr>
      </w:pPr>
    </w:p>
    <w:p>
      <w:pPr>
        <w:ind w:left="740" w:right="1779" w:hanging="205"/>
        <w:spacing w:after="0" w:line="249"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Systems. Our BSS products accommodate well-defined APIs with legacy systems and with other third-party software modules or packages. The systems are not dependent on any single hardware vendor, enabling our customers to select among multiple hardware platforms and a variety of network and operating system environments. Similarly, BSS products utilize standard programming languages, such as C++, to ensure compatibility with the operating environments employed in most communications companies. It is also our general policy to deliver to our customers complete copies of all source code, system documentation and other product information, thereby permitting the customer to maintain and further customize our BSS products.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product offerings include an extensive library of BSS software products that we have developed to provide comprehensive information systems functionality for wireline, wireless, broadband, electronic and mobile commerce and IP service providers. Core elements include customer relationship management, order management, call rating, invoice calculation, bill formatting, collections, fraud management and directory publishing services.</w:t>
      </w:r>
    </w:p>
    <w:p>
      <w:pPr>
        <w:spacing w:after="0" w:line="9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Specialized modules are provided to support specific functionalities required in different network environments (e.g.,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communication services. Our systems also support communications providers that offer multiple service packages, commonly referred to as convergent services (combinations of wireline, wireless, cable television, broadband, electronic and mobile commerce and IP services).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configure individual BSS modules into families of products, which serve as marketing packages oriented to the needs of specific customer segments. We provide Ensemble(TM) software, our main CC&amp;B Systems offering, in a number of versions to serve the different needs of communications operators in the various network and business segments, such as wireline, wireless, cable television, broadband and electronic and mobile commerce. As a result of our acquisition of Solect, our CC&amp;B Systems offering also includes the IAF Horizon(TM) product for Internet and electronic and mobile commerce, encompassing functionalities such as Internet-based bill viewing, IP service management, IP provisioning, IP event collection and partner management.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w:t>
      </w:r>
    </w:p>
    <w:p>
      <w:pPr>
        <w:spacing w:after="0" w:line="1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 Care, Billing and Order Management</w:t>
      </w:r>
    </w:p>
    <w:p>
      <w:pPr>
        <w:spacing w:after="0" w:line="201"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Ensemble(TM) suite of products offered by Amdocs encompasses the following key CC&amp;B Systems application areas:</w:t>
      </w:r>
    </w:p>
    <w:p>
      <w:pPr>
        <w:spacing w:after="0" w:line="18" w:lineRule="exact"/>
        <w:rPr>
          <w:sz w:val="20"/>
          <w:szCs w:val="20"/>
          <w:color w:val="auto"/>
        </w:rPr>
      </w:pPr>
    </w:p>
    <w:p>
      <w:pPr>
        <w:ind w:left="740" w:right="2099" w:hanging="205"/>
        <w:spacing w:after="0" w:line="344"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Care -- provides customer account information management and service support, including account initiation, on-line assistance in choosing a price plan, installation scheduling and complaint handling.</w:t>
      </w:r>
    </w:p>
    <w:p>
      <w:pPr>
        <w:spacing w:after="0" w:line="30" w:lineRule="exact"/>
        <w:rPr>
          <w:rFonts w:ascii="Courier New" w:cs="Courier New" w:eastAsia="Courier New" w:hAnsi="Courier New"/>
          <w:sz w:val="16"/>
          <w:szCs w:val="16"/>
          <w:color w:val="auto"/>
        </w:rPr>
      </w:pPr>
    </w:p>
    <w:p>
      <w:pPr>
        <w:ind w:left="740" w:right="1999" w:hanging="205"/>
        <w:spacing w:after="0" w:line="274"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ectPr>
          <w:pgSz w:w="11900" w:h="16838" w:orient="portrait"/>
          <w:cols w:equalWidth="0" w:num="1">
            <w:col w:w="10219"/>
          </w:cols>
          <w:pgMar w:left="240" w:top="285" w:right="1440" w:bottom="1019"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85" w:right="1440" w:bottom="1019"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740" w:right="1779" w:hanging="205"/>
        <w:spacing w:after="0" w:line="289"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Processing -- calculates charges for usage (i.e., event rating) of communications services, such as telephone calls, Internet access and data transfer. Usage of the communications network creates event records, which contain information such as the origin and destination of a telephone call and its duration. This module provides for acquisition and formatting of the raw event data received from a communications switch, and calculates the charges for each event based on the service packages and price plans applicable to each individual user.</w:t>
      </w:r>
    </w:p>
    <w:p>
      <w:pPr>
        <w:spacing w:after="0" w:line="77" w:lineRule="exact"/>
        <w:rPr>
          <w:rFonts w:ascii="Courier New" w:cs="Courier New" w:eastAsia="Courier New" w:hAnsi="Courier New"/>
          <w:sz w:val="16"/>
          <w:szCs w:val="16"/>
          <w:color w:val="auto"/>
        </w:rPr>
      </w:pPr>
    </w:p>
    <w:p>
      <w:pPr>
        <w:ind w:left="740" w:right="1779" w:hanging="205"/>
        <w:spacing w:after="0" w:line="292"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Invoicing -- provides comprehensive functionality for bill preparation (totaling of usage and other charges, application of discounts, taxes and credits) and bill production.</w:t>
      </w:r>
    </w:p>
    <w:p>
      <w:pPr>
        <w:spacing w:after="0" w:line="66" w:lineRule="exact"/>
        <w:rPr>
          <w:rFonts w:ascii="Courier New" w:cs="Courier New" w:eastAsia="Courier New" w:hAnsi="Courier New"/>
          <w:sz w:val="18"/>
          <w:szCs w:val="18"/>
          <w:color w:val="auto"/>
        </w:rPr>
      </w:pPr>
    </w:p>
    <w:p>
      <w:pPr>
        <w:ind w:left="740" w:right="2099" w:hanging="205"/>
        <w:spacing w:after="0" w:line="274"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81"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81" w:lineRule="exact"/>
        <w:rPr>
          <w:rFonts w:ascii="Courier New" w:cs="Courier New" w:eastAsia="Courier New" w:hAnsi="Courier New"/>
          <w:sz w:val="18"/>
          <w:szCs w:val="18"/>
          <w:color w:val="auto"/>
        </w:rPr>
      </w:pPr>
    </w:p>
    <w:p>
      <w:pPr>
        <w:ind w:left="740" w:right="1999" w:hanging="205"/>
        <w:spacing w:after="0" w:line="26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89" w:lineRule="exact"/>
        <w:rPr>
          <w:rFonts w:ascii="Courier New" w:cs="Courier New" w:eastAsia="Courier New" w:hAnsi="Courier New"/>
          <w:sz w:val="18"/>
          <w:szCs w:val="18"/>
          <w:color w:val="auto"/>
        </w:rPr>
      </w:pPr>
    </w:p>
    <w:p>
      <w:pPr>
        <w:jc w:val="both"/>
        <w:ind w:left="740" w:right="1779" w:hanging="205"/>
        <w:spacing w:after="0" w:line="402"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Management -- calculates and manages commissions to be paid by the wireless carrier to its authorized dealers and sales representatives.</w:t>
      </w:r>
    </w:p>
    <w:p>
      <w:pPr>
        <w:ind w:left="740" w:right="1999" w:hanging="205"/>
        <w:spacing w:after="0" w:line="292"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Management -- employs sophisticated data analysis tools and makes use of the integrated user database to detect the fraudulent use of phones and phone numbers.</w:t>
      </w:r>
    </w:p>
    <w:p>
      <w:pPr>
        <w:spacing w:after="0" w:line="66"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 bill presentment and payment -- enables bill view and payment capabilities over the Internet.</w:t>
      </w:r>
    </w:p>
    <w:p>
      <w:pPr>
        <w:spacing w:after="0" w:line="18"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Churn Management -- uses data mining techniques to identify customers with a high probability of switching to another carrier or of disconnecting service.</w:t>
      </w:r>
    </w:p>
    <w:p>
      <w:pPr>
        <w:spacing w:after="0" w:line="66"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Intercarrier Settlement -- calculates, manages and reconciles payments for intercarrier network access, including settlement of roaming charges between cellular carriers.</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IAF Horizon(TM) suite of CC&amp;B Systems products acquired from Solect has helped us to focus on the IP service provider market. By allowing service providers to offer, collect and bill for IP services over packet-switched networks, IAF Horizon(TM) supports innovative new business models, such as virtual Service Providers ("vSPs"), mobile commerce, content aggregation, revenue sharing, sponsorship and hosting packaged applications.</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IAF Horizon(TM) is comprised of the following functional modules:</w:t>
      </w:r>
    </w:p>
    <w:p>
      <w:pPr>
        <w:spacing w:after="0" w:line="201" w:lineRule="exact"/>
        <w:rPr>
          <w:sz w:val="20"/>
          <w:szCs w:val="20"/>
          <w:color w:val="auto"/>
        </w:rPr>
      </w:pPr>
    </w:p>
    <w:p>
      <w:pPr>
        <w:ind w:left="740" w:right="1999" w:hanging="205"/>
        <w:spacing w:after="0" w:line="274"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Management -- provides the functionality for flexibly defining service offerings, real-time provisioning of these services in the network, and collecting usage data for the services so that the service provider can bill for them.</w:t>
      </w:r>
    </w:p>
    <w:p>
      <w:pPr>
        <w:spacing w:after="0" w:line="81" w:lineRule="exact"/>
        <w:rPr>
          <w:rFonts w:ascii="Courier New" w:cs="Courier New" w:eastAsia="Courier New" w:hAnsi="Courier New"/>
          <w:sz w:val="18"/>
          <w:szCs w:val="18"/>
          <w:color w:val="auto"/>
        </w:rPr>
      </w:pPr>
    </w:p>
    <w:p>
      <w:pPr>
        <w:jc w:val="both"/>
        <w:ind w:left="740" w:right="1879" w:hanging="205"/>
        <w:spacing w:after="0" w:line="344"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PDC Service Plug-ins -- Provisioning Data Collectors ("PDCs") operate as a service plug-in, allowing service providers the opportunity to rapidly add new services without costly coding delays or system downtime.</w:t>
      </w:r>
    </w:p>
    <w:p>
      <w:pPr>
        <w:spacing w:after="0" w:line="30" w:lineRule="exact"/>
        <w:rPr>
          <w:rFonts w:ascii="Courier New" w:cs="Courier New" w:eastAsia="Courier New" w:hAnsi="Courier New"/>
          <w:sz w:val="16"/>
          <w:szCs w:val="16"/>
          <w:color w:val="auto"/>
        </w:rPr>
      </w:pPr>
    </w:p>
    <w:p>
      <w:pPr>
        <w:ind w:left="740" w:right="1879" w:hanging="205"/>
        <w:spacing w:after="0" w:line="292"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Console -- allows the service provider's marketing managers to create product offerings, pricing and bundles quickly and easily through a web-based graphical user interface ("GUI").</w:t>
      </w:r>
    </w:p>
    <w:p>
      <w:pPr>
        <w:spacing w:after="0" w:line="66"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Rater -- advanced rule and table-based rating engine, which allows service providers to develop complex rating rules in a simple logical manner via an intuitive HTML-based GUI.</w:t>
      </w:r>
    </w:p>
    <w:p>
      <w:pPr>
        <w:sectPr>
          <w:pgSz w:w="11900" w:h="16838" w:orient="portrait"/>
          <w:cols w:equalWidth="0" w:num="1">
            <w:col w:w="10219"/>
          </w:cols>
          <w:pgMar w:left="240" w:top="285" w:right="1440" w:bottom="613"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85" w:right="1440" w:bottom="613"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740" w:right="2099" w:hanging="205"/>
        <w:spacing w:after="0" w:line="274"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 -- provides comprehensive billing capabilities, generates invoices in multiple formats (electronic and hard-copy), and offers optional credit card billing as well as interfaces to existing billing and invoicing systems.</w:t>
      </w:r>
    </w:p>
    <w:p>
      <w:pPr>
        <w:spacing w:after="0" w:line="81" w:lineRule="exact"/>
        <w:rPr>
          <w:rFonts w:ascii="Courier New" w:cs="Courier New" w:eastAsia="Courier New" w:hAnsi="Courier New"/>
          <w:sz w:val="18"/>
          <w:szCs w:val="18"/>
          <w:color w:val="auto"/>
        </w:rPr>
      </w:pPr>
    </w:p>
    <w:p>
      <w:pPr>
        <w:ind w:left="740" w:right="2199" w:hanging="205"/>
        <w:spacing w:after="0" w:line="318"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Care -- includes a highly configurable HTML template-driven interface for customer service representatives, corporate self-administration and self-care. This module allows IP service providers to create price plans. The templates are fully WAP enabled.</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Directory Publishing</w:t>
      </w:r>
    </w:p>
    <w:p>
      <w:pPr>
        <w:spacing w:after="0" w:line="201"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The ADS(NG)/Family of Products, our main offering in the Directory Systems area, provides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77" w:lineRule="exact"/>
        <w:rPr>
          <w:sz w:val="20"/>
          <w:szCs w:val="20"/>
          <w:color w:val="auto"/>
        </w:rPr>
      </w:pPr>
    </w:p>
    <w:p>
      <w:pPr>
        <w:ind w:left="740" w:right="1779" w:hanging="205"/>
        <w:spacing w:after="0" w:line="252"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98"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89" w:lineRule="exact"/>
        <w:rPr>
          <w:rFonts w:ascii="Courier New" w:cs="Courier New" w:eastAsia="Courier New" w:hAnsi="Courier New"/>
          <w:sz w:val="18"/>
          <w:szCs w:val="18"/>
          <w:color w:val="auto"/>
        </w:rPr>
      </w:pPr>
    </w:p>
    <w:p>
      <w:pPr>
        <w:ind w:left="740" w:right="1779" w:hanging="205"/>
        <w:spacing w:after="0" w:line="252"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98"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89"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66" w:lineRule="exact"/>
        <w:rPr>
          <w:rFonts w:ascii="Courier New" w:cs="Courier New" w:eastAsia="Courier New" w:hAnsi="Courier New"/>
          <w:sz w:val="18"/>
          <w:szCs w:val="18"/>
          <w:color w:val="auto"/>
        </w:rPr>
      </w:pPr>
    </w:p>
    <w:p>
      <w:pPr>
        <w:ind w:left="740" w:right="2419" w:hanging="205"/>
        <w:spacing w:after="0" w:line="402"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98" w:lineRule="exact"/>
        <w:rPr>
          <w:sz w:val="20"/>
          <w:szCs w:val="20"/>
          <w:color w:val="auto"/>
        </w:rPr>
      </w:pPr>
    </w:p>
    <w:p>
      <w:pPr>
        <w:ind w:right="1999" w:firstLine="527"/>
        <w:spacing w:after="0" w:line="244" w:lineRule="auto"/>
        <w:rPr>
          <w:sz w:val="20"/>
          <w:szCs w:val="20"/>
          <w:color w:val="auto"/>
        </w:rPr>
      </w:pPr>
      <w:r>
        <w:rPr>
          <w:rFonts w:ascii="Courier New" w:cs="Courier New" w:eastAsia="Courier New" w:hAnsi="Courier New"/>
          <w:sz w:val="18"/>
          <w:szCs w:val="18"/>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as well as jointly to create specific guidelines for the types of organizational and other changes that may be required for implementation and integration.</w:t>
      </w:r>
    </w:p>
    <w:p>
      <w:pPr>
        <w:spacing w:after="0" w:line="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77"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As part of our effort to provide comprehensive solutions to our customers, we also offer outsourcing services to support the operation of our BSS products for our customers. The outsourcing service we provide generally comprises combinations of functions such as responsibility for the ongoing development and enhancement of BSS systems that we have installed, the purchase and management of all related hardware assets and overall management of the customer's associated data centers.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employ a relatively small and dedicated sales force and maintain sales offices in the United States, the United Kingdom, and several other countries. Our sales activities are supported by marketing efforts, including marketing communications, product management, market research and strategic alliances.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1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management of our operating subsidiaries is closely involved in establishing sales policies and overseeing sales activities. Management's role includes the setting of priorities among the multiple sales</w:t>
      </w:r>
    </w:p>
    <w:p>
      <w:pPr>
        <w:sectPr>
          <w:pgSz w:w="11900" w:h="16838" w:orient="portrait"/>
          <w:cols w:equalWidth="0" w:num="1">
            <w:col w:w="10219"/>
          </w:cols>
          <w:pgMar w:left="240" w:top="285" w:right="1440" w:bottom="816"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85" w:right="1440" w:bottom="816"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opportunities available at any point in time. Management is also responsible for allocating sufficient resources to each project to meet our quality standards while also adhering to the project's cost and schedule parameters.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target market is comprised of 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communications industry and that our BSS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Our customers include global 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BCP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Belgacom</w:t>
      </w:r>
    </w:p>
    <w:p>
      <w:pPr>
        <w:spacing w:after="0" w:line="238" w:lineRule="auto"/>
        <w:rPr>
          <w:sz w:val="20"/>
          <w:szCs w:val="20"/>
          <w:color w:val="auto"/>
        </w:rPr>
      </w:pPr>
      <w:r>
        <w:rPr>
          <w:rFonts w:ascii="Courier New" w:cs="Courier New" w:eastAsia="Courier New" w:hAnsi="Courier New"/>
          <w:sz w:val="18"/>
          <w:szCs w:val="18"/>
          <w:color w:val="auto"/>
        </w:rPr>
        <w:t>BellSouth</w:t>
      </w:r>
    </w:p>
    <w:p>
      <w:pPr>
        <w:spacing w:after="0"/>
        <w:rPr>
          <w:sz w:val="20"/>
          <w:szCs w:val="20"/>
          <w:color w:val="auto"/>
        </w:rPr>
      </w:pPr>
      <w:r>
        <w:rPr>
          <w:rFonts w:ascii="Courier New" w:cs="Courier New" w:eastAsia="Courier New" w:hAnsi="Courier New"/>
          <w:sz w:val="18"/>
          <w:szCs w:val="18"/>
          <w:color w:val="auto"/>
        </w:rPr>
        <w:t>BT</w:t>
      </w:r>
    </w:p>
    <w:p>
      <w:pPr>
        <w:spacing w:after="0" w:line="238" w:lineRule="auto"/>
        <w:rPr>
          <w:sz w:val="20"/>
          <w:szCs w:val="20"/>
          <w:color w:val="auto"/>
        </w:rPr>
      </w:pPr>
      <w:r>
        <w:rPr>
          <w:rFonts w:ascii="Courier New" w:cs="Courier New" w:eastAsia="Courier New" w:hAnsi="Courier New"/>
          <w:sz w:val="18"/>
          <w:szCs w:val="18"/>
          <w:color w:val="auto"/>
        </w:rPr>
        <w:t>Deutsche Telekom</w:t>
      </w:r>
    </w:p>
    <w:p>
      <w:pPr>
        <w:spacing w:after="0"/>
        <w:rPr>
          <w:sz w:val="20"/>
          <w:szCs w:val="20"/>
          <w:color w:val="auto"/>
        </w:rPr>
      </w:pPr>
      <w:r>
        <w:rPr>
          <w:rFonts w:ascii="Courier New" w:cs="Courier New" w:eastAsia="Courier New" w:hAnsi="Courier New"/>
          <w:sz w:val="18"/>
          <w:szCs w:val="18"/>
          <w:color w:val="auto"/>
        </w:rPr>
        <w:t>Eircom PLC</w:t>
      </w:r>
    </w:p>
    <w:p>
      <w:pPr>
        <w:spacing w:after="0" w:line="238" w:lineRule="auto"/>
        <w:rPr>
          <w:sz w:val="20"/>
          <w:szCs w:val="20"/>
          <w:color w:val="auto"/>
        </w:rPr>
      </w:pPr>
      <w:r>
        <w:rPr>
          <w:rFonts w:ascii="Courier New" w:cs="Courier New" w:eastAsia="Courier New" w:hAnsi="Courier New"/>
          <w:sz w:val="18"/>
          <w:szCs w:val="18"/>
          <w:color w:val="auto"/>
        </w:rPr>
        <w:t>GTE International</w:t>
      </w:r>
    </w:p>
    <w:p>
      <w:pPr>
        <w:spacing w:after="0"/>
        <w:rPr>
          <w:sz w:val="20"/>
          <w:szCs w:val="20"/>
          <w:color w:val="auto"/>
        </w:rPr>
      </w:pPr>
      <w:r>
        <w:rPr>
          <w:rFonts w:ascii="Courier New" w:cs="Courier New" w:eastAsia="Courier New" w:hAnsi="Courier New"/>
          <w:sz w:val="18"/>
          <w:szCs w:val="18"/>
          <w:color w:val="auto"/>
        </w:rPr>
        <w:t>Japan Telecom</w:t>
      </w:r>
    </w:p>
    <w:p>
      <w:pPr>
        <w:spacing w:after="0" w:line="238" w:lineRule="auto"/>
        <w:rPr>
          <w:sz w:val="20"/>
          <w:szCs w:val="20"/>
          <w:color w:val="auto"/>
        </w:rPr>
      </w:pPr>
      <w:r>
        <w:rPr>
          <w:rFonts w:ascii="Courier New" w:cs="Courier New" w:eastAsia="Courier New" w:hAnsi="Courier New"/>
          <w:sz w:val="18"/>
          <w:szCs w:val="18"/>
          <w:color w:val="auto"/>
        </w:rPr>
        <w:t>Korean Telecom</w:t>
      </w:r>
    </w:p>
    <w:p>
      <w:pPr>
        <w:spacing w:after="0"/>
        <w:rPr>
          <w:sz w:val="20"/>
          <w:szCs w:val="20"/>
          <w:color w:val="auto"/>
        </w:rPr>
      </w:pPr>
      <w:r>
        <w:rPr>
          <w:rFonts w:ascii="Courier New" w:cs="Courier New" w:eastAsia="Courier New" w:hAnsi="Courier New"/>
          <w:sz w:val="18"/>
          <w:szCs w:val="18"/>
          <w:color w:val="auto"/>
        </w:rPr>
        <w:t>Mannesmann Mobilfunk</w:t>
      </w:r>
    </w:p>
    <w:p>
      <w:pPr>
        <w:spacing w:after="0" w:line="238" w:lineRule="auto"/>
        <w:rPr>
          <w:sz w:val="20"/>
          <w:szCs w:val="20"/>
          <w:color w:val="auto"/>
        </w:rPr>
      </w:pPr>
      <w:r>
        <w:rPr>
          <w:rFonts w:ascii="Courier New" w:cs="Courier New" w:eastAsia="Courier New" w:hAnsi="Courier New"/>
          <w:sz w:val="18"/>
          <w:szCs w:val="18"/>
          <w:color w:val="auto"/>
        </w:rPr>
        <w:t>Netcom</w:t>
      </w:r>
    </w:p>
    <w:p>
      <w:pPr>
        <w:spacing w:after="0"/>
        <w:rPr>
          <w:sz w:val="20"/>
          <w:szCs w:val="20"/>
          <w:color w:val="auto"/>
        </w:rPr>
      </w:pPr>
      <w:r>
        <w:rPr>
          <w:rFonts w:ascii="Courier New" w:cs="Courier New" w:eastAsia="Courier New" w:hAnsi="Courier New"/>
          <w:sz w:val="18"/>
          <w:szCs w:val="18"/>
          <w:color w:val="auto"/>
        </w:rPr>
        <w:t>Nextel</w:t>
      </w:r>
    </w:p>
    <w:p>
      <w:pPr>
        <w:spacing w:after="0" w:line="238" w:lineRule="auto"/>
        <w:rPr>
          <w:sz w:val="20"/>
          <w:szCs w:val="20"/>
          <w:color w:val="auto"/>
        </w:rPr>
      </w:pPr>
      <w:r>
        <w:rPr>
          <w:rFonts w:ascii="Courier New" w:cs="Courier New" w:eastAsia="Courier New" w:hAnsi="Courier New"/>
          <w:sz w:val="18"/>
          <w:szCs w:val="18"/>
          <w:color w:val="auto"/>
        </w:rPr>
        <w:t>PointOne</w:t>
      </w:r>
    </w:p>
    <w:p>
      <w:pPr>
        <w:spacing w:after="0"/>
        <w:rPr>
          <w:sz w:val="20"/>
          <w:szCs w:val="20"/>
          <w:color w:val="auto"/>
        </w:rPr>
      </w:pPr>
      <w:r>
        <w:rPr>
          <w:rFonts w:ascii="Courier New" w:cs="Courier New" w:eastAsia="Courier New" w:hAnsi="Courier New"/>
          <w:sz w:val="18"/>
          <w:szCs w:val="18"/>
          <w:color w:val="auto"/>
        </w:rPr>
        <w:t>Qwest</w:t>
      </w:r>
    </w:p>
    <w:p>
      <w:pPr>
        <w:spacing w:after="0" w:line="238" w:lineRule="auto"/>
        <w:rPr>
          <w:sz w:val="20"/>
          <w:szCs w:val="20"/>
          <w:color w:val="auto"/>
        </w:rPr>
      </w:pPr>
      <w:r>
        <w:rPr>
          <w:rFonts w:ascii="Courier New" w:cs="Courier New" w:eastAsia="Courier New" w:hAnsi="Courier New"/>
          <w:sz w:val="18"/>
          <w:szCs w:val="18"/>
          <w:color w:val="auto"/>
        </w:rPr>
        <w:t>Rogers AT&amp;T</w:t>
      </w:r>
    </w:p>
    <w:p>
      <w:pPr>
        <w:spacing w:after="0"/>
        <w:rPr>
          <w:sz w:val="20"/>
          <w:szCs w:val="20"/>
          <w:color w:val="auto"/>
        </w:rPr>
      </w:pPr>
      <w:r>
        <w:rPr>
          <w:rFonts w:ascii="Courier New" w:cs="Courier New" w:eastAsia="Courier New" w:hAnsi="Courier New"/>
          <w:sz w:val="18"/>
          <w:szCs w:val="18"/>
          <w:color w:val="auto"/>
        </w:rPr>
        <w:t>SEAT</w:t>
      </w:r>
    </w:p>
    <w:p>
      <w:pPr>
        <w:spacing w:after="0" w:line="238" w:lineRule="auto"/>
        <w:rPr>
          <w:sz w:val="20"/>
          <w:szCs w:val="20"/>
          <w:color w:val="auto"/>
        </w:rPr>
      </w:pPr>
      <w:r>
        <w:rPr>
          <w:rFonts w:ascii="Courier New" w:cs="Courier New" w:eastAsia="Courier New" w:hAnsi="Courier New"/>
          <w:sz w:val="18"/>
          <w:szCs w:val="18"/>
          <w:color w:val="auto"/>
        </w:rPr>
        <w:t>Sprint</w:t>
      </w:r>
    </w:p>
    <w:p>
      <w:pPr>
        <w:spacing w:after="0"/>
        <w:rPr>
          <w:sz w:val="20"/>
          <w:szCs w:val="20"/>
          <w:color w:val="auto"/>
        </w:rPr>
      </w:pPr>
      <w:r>
        <w:rPr>
          <w:rFonts w:ascii="Courier New" w:cs="Courier New" w:eastAsia="Courier New" w:hAnsi="Courier New"/>
          <w:sz w:val="18"/>
          <w:szCs w:val="18"/>
          <w:color w:val="auto"/>
        </w:rPr>
        <w:t>Tele Danmark</w:t>
      </w:r>
    </w:p>
    <w:p>
      <w:pPr>
        <w:spacing w:after="0" w:line="238" w:lineRule="auto"/>
        <w:rPr>
          <w:sz w:val="20"/>
          <w:szCs w:val="20"/>
          <w:color w:val="auto"/>
        </w:rPr>
      </w:pPr>
      <w:r>
        <w:rPr>
          <w:rFonts w:ascii="Courier New" w:cs="Courier New" w:eastAsia="Courier New" w:hAnsi="Courier New"/>
          <w:sz w:val="18"/>
          <w:szCs w:val="18"/>
          <w:color w:val="auto"/>
        </w:rPr>
        <w:t>Telecom New Zealand</w:t>
      </w:r>
    </w:p>
    <w:p>
      <w:pPr>
        <w:spacing w:after="0"/>
        <w:rPr>
          <w:sz w:val="20"/>
          <w:szCs w:val="20"/>
          <w:color w:val="auto"/>
        </w:rPr>
      </w:pPr>
      <w:r>
        <w:rPr>
          <w:rFonts w:ascii="Courier New" w:cs="Courier New" w:eastAsia="Courier New" w:hAnsi="Courier New"/>
          <w:sz w:val="18"/>
          <w:szCs w:val="18"/>
          <w:color w:val="auto"/>
        </w:rPr>
        <w:t>Telstra</w:t>
      </w:r>
    </w:p>
    <w:p>
      <w:pPr>
        <w:spacing w:after="0" w:line="238" w:lineRule="auto"/>
        <w:rPr>
          <w:sz w:val="20"/>
          <w:szCs w:val="20"/>
          <w:color w:val="auto"/>
        </w:rPr>
      </w:pPr>
      <w:r>
        <w:rPr>
          <w:rFonts w:ascii="Courier New" w:cs="Courier New" w:eastAsia="Courier New" w:hAnsi="Courier New"/>
          <w:sz w:val="18"/>
          <w:szCs w:val="18"/>
          <w:color w:val="auto"/>
        </w:rPr>
        <w:t>Telus</w:t>
      </w:r>
    </w:p>
    <w:p>
      <w:pPr>
        <w:spacing w:after="0"/>
        <w:rPr>
          <w:sz w:val="20"/>
          <w:szCs w:val="20"/>
          <w:color w:val="auto"/>
        </w:rPr>
      </w:pPr>
      <w:r>
        <w:rPr>
          <w:rFonts w:ascii="Courier New" w:cs="Courier New" w:eastAsia="Courier New" w:hAnsi="Courier New"/>
          <w:sz w:val="18"/>
          <w:szCs w:val="18"/>
          <w:color w:val="auto"/>
        </w:rPr>
        <w:t>Verizon</w:t>
      </w:r>
    </w:p>
    <w:p>
      <w:pPr>
        <w:spacing w:after="0" w:line="238" w:lineRule="auto"/>
        <w:rPr>
          <w:sz w:val="20"/>
          <w:szCs w:val="20"/>
          <w:color w:val="auto"/>
        </w:rPr>
      </w:pPr>
      <w:r>
        <w:rPr>
          <w:rFonts w:ascii="Courier New" w:cs="Courier New" w:eastAsia="Courier New" w:hAnsi="Courier New"/>
          <w:sz w:val="18"/>
          <w:szCs w:val="18"/>
          <w:color w:val="auto"/>
        </w:rPr>
        <w:t>Vodafone Group</w:t>
      </w:r>
    </w:p>
    <w:p>
      <w:pPr>
        <w:spacing w:after="0"/>
        <w:rPr>
          <w:sz w:val="20"/>
          <w:szCs w:val="20"/>
          <w:color w:val="auto"/>
        </w:rPr>
      </w:pPr>
      <w:r>
        <w:rPr>
          <w:rFonts w:ascii="Courier New" w:cs="Courier New" w:eastAsia="Courier New" w:hAnsi="Courier New"/>
          <w:sz w:val="18"/>
          <w:szCs w:val="18"/>
          <w:color w:val="auto"/>
        </w:rPr>
        <w:t>VoiceStream</w:t>
      </w:r>
    </w:p>
    <w:p>
      <w:pPr>
        <w:spacing w:after="0"/>
        <w:rPr>
          <w:sz w:val="20"/>
          <w:szCs w:val="20"/>
          <w:color w:val="auto"/>
        </w:rPr>
      </w:pPr>
      <w:r>
        <w:rPr>
          <w:rFonts w:ascii="Courier New" w:cs="Courier New" w:eastAsia="Courier New" w:hAnsi="Courier New"/>
          <w:sz w:val="18"/>
          <w:szCs w:val="18"/>
          <w:color w:val="auto"/>
        </w:rPr>
        <w:t>Western Wireless</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Our single largest customer group is Vodafone Group, which accounted for 14.4%, 8.0% and 5.4% of our revenue in fiscal 2000, 1999 and 1998, respectively. Our next largest group of customers is SBC and its operating subsidiaries, which accounted for, in the aggregate, 12.6%, 15.9% and 20.8% of our revenue in fiscal 2000, 1999 and 1998, respectively.</w:t>
      </w:r>
    </w:p>
    <w:p>
      <w:pPr>
        <w:spacing w:after="0" w:line="9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Aggregate revenue derived from the multiple business arrangements we have with each of our five largest customers and their affiliates, excluding SBC and its operating subsidiaries, accounted for approximately 39.7%, 33.4% and 39.0% of our revenue in fiscal 2000, 1999 and 1998, respectively.</w:t>
      </w:r>
    </w:p>
    <w:p>
      <w:pPr>
        <w:spacing w:after="0" w:line="82" w:lineRule="exact"/>
        <w:rPr>
          <w:sz w:val="20"/>
          <w:szCs w:val="20"/>
          <w:color w:val="auto"/>
        </w:rPr>
      </w:pPr>
    </w:p>
    <w:p>
      <w:pPr>
        <w:ind w:right="2519" w:firstLine="527"/>
        <w:spacing w:after="0" w:line="420"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1999</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1998</w:t>
            </w:r>
          </w:p>
        </w:tc>
      </w:tr>
      <w:tr>
        <w:trPr>
          <w:trHeight w:val="296"/>
        </w:trPr>
        <w:tc>
          <w:tcPr>
            <w:tcW w:w="632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North America..............................................</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45.6%</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36.1%</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52.2%</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Europe.....................................................</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42.4%</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41.8%</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27.2%</w:t>
            </w:r>
          </w:p>
        </w:tc>
      </w:tr>
      <w:tr>
        <w:trPr>
          <w:trHeight w:val="296"/>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Rest of the World..........................................</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12.0%</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22.1%</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20.6%</w:t>
            </w:r>
          </w:p>
        </w:tc>
      </w:tr>
    </w:tbl>
    <w:p>
      <w:pPr>
        <w:sectPr>
          <w:pgSz w:w="11900" w:h="16838" w:orient="portrait"/>
          <w:cols w:equalWidth="0" w:num="1">
            <w:col w:w="10219"/>
          </w:cols>
          <w:pgMar w:left="240" w:top="285" w:right="1440" w:bottom="0" w:gutter="0" w:footer="0" w:header="0"/>
        </w:sectPr>
      </w:pPr>
    </w:p>
    <w:bookmarkStart w:id="22" w:name="page23"/>
    <w:bookmarkEnd w:id="22"/>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51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many independent providers of information systems and services, including American Management Systems, Convergys, IBM, Kenan Systems (a subsidiary of Lucent Technologies), Geneva Technology, Portal Software Inc., Saville Systems (a subsidiary of ADC Telecommunications, Inc.) and Sema Group, with system integrators, such as EDS, and with internal information systems departments of large communication companies. We expect continued growth and competition in the communications industry and the entrance of new competitors into the software information systems market in the future.</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18"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effectively the timely implementation of products,</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 and</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BSS solutions independent of any specific vendor of network equipment, hardware or software.</w:t>
      </w:r>
    </w:p>
    <w:p>
      <w:pPr>
        <w:spacing w:after="0" w:line="1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ORGANIZATIONAL STRUCTURE</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We are organized under the laws of Guernsey and, as set forth in our Articles of Association, we are a holding company for the various subsidiaries that conduct our business on a worldwide basis. Our principal operating wholly-owned subsidiaries are Amdocs, Inc. (the United States), Amdocs (UK) Limited (the United Kingdom), Amdocs Development Limited (Republic of Cyprus), Amdocs Management Limited (the United Kingdom), Amdocs (Israel) Limited (Israel), Amdocs Software Systems Ltd (Ireland), Interna-</w:t>
      </w:r>
    </w:p>
    <w:p>
      <w:pPr>
        <w:sectPr>
          <w:pgSz w:w="11900" w:h="16838" w:orient="portrait"/>
          <w:cols w:equalWidth="0" w:num="1">
            <w:col w:w="10219"/>
          </w:cols>
          <w:pgMar w:left="240" w:top="285" w:right="1440" w:bottom="1019" w:gutter="0" w:footer="0" w:header="0"/>
        </w:sectPr>
      </w:pP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85" w:right="1440" w:bottom="1019"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tional Telecommunication Data Systems, Inc. (the United States) and Solect Technology Group Inc. (Canada).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lease space in various facilities in Israel, aggregating approximately 890,000 square feet, pursuant to leases expiring on various dates between 2001 and 2016, and we have various options to extend the terms of such leases. In Israel, we currently pay total yearly rental fees of approximately $17.7 million, which are linked, in most cases, to the dollar. Included in these facilities are an aggregate 364,000 square feet in Ra'anana, with the remainder in Ramat-Gan, Hod-Hasharon, Jerusalem and Haifa. Approximately 73,000 square feet of the facilities in Ramat-Gan are owned by related companies that lease these facilities to us. See "Major Shareholders and Related Party Transactions - -- Related Party Transactions".</w:t>
      </w:r>
    </w:p>
    <w:p>
      <w:pPr>
        <w:spacing w:after="0" w:line="104"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Our Israeli subsidiary has committed to rent an additional 215,000 square feet under a seven-year lease (commencing, in stages, in January 2001). The annual rent for the entire space will be approximately $4.1 million.</w:t>
      </w:r>
    </w:p>
    <w:p>
      <w:pPr>
        <w:spacing w:after="0" w:line="31"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Our Amdocs, Inc. subsidiary in the United States rents approximately 170,000 square feet in Chesterfield, Missouri under various leases expiring between 2005 and 2008. The aggregate annual rent for these facilities is approximately $4.2 million.</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ITDS subsidiary rents approximately 81,000 square feet in Stamford, Connecticut under a lease expiring in 2008 and 85,000 square feet in Champaign, Illinois under a lease expiring in 2006. The annual rent for these facilities is approximately $2.2 million and $1.1 million, respectively.</w:t>
      </w:r>
    </w:p>
    <w:p>
      <w:pPr>
        <w:spacing w:after="0" w:line="82"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We also hold a number of other leases in the United States, with an aggregate annual rent of approximately $1.4 million.</w:t>
      </w:r>
    </w:p>
    <w:p>
      <w:pPr>
        <w:spacing w:after="0" w:line="18"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Our Solect subsidiary rents two facilities in Toronto, Canada, aggregating approximately 85,000 square feet, pursuant to leases expiring between 2002 and 2007. The total annual rent for these facilities is approximately $2.2 million.</w:t>
      </w:r>
    </w:p>
    <w:p>
      <w:pPr>
        <w:spacing w:after="0" w:line="3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Our subsidiary in the United Kingdom leases approximately 43,000 square feet in London under a lease expiring in 2007. The annual rent for the facility is approximately $2.2 million.</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Our subsidiary in Cyprus leases approximately 72,000 square feet in various facilities in Limassol at an annual rent of approximately $0.7 million. In addition we entered into a three-year lease for an additional 91,000 square feet that will commence in April 2001. The annual rent will be approximately $1.3 million.</w:t>
      </w:r>
    </w:p>
    <w:p>
      <w:pPr>
        <w:spacing w:after="0" w:line="90"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We lease additional office space in Australia, Brazil, France, Germany, Hong Kong, Ireland, Italy, Japan and Spain.</w:t>
      </w:r>
    </w:p>
    <w:p>
      <w:pPr>
        <w:spacing w:after="0" w:line="1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Our BSS products are developed and, in many cases, operated over a system of UNIX, VMS and Windows NT servers owned by us and manufactured by, among others, Compaq, Hewlett Packard, IBM and Sun Microsystems, which are connected to approximately 8,000 personal computers owned by us.</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These tapes are kept on-site and off-site, as appropriate, to ensure security and integrity, and are connected with a high speed redundant wide area network ("WAN").</w:t>
      </w:r>
    </w:p>
    <w:p>
      <w:pPr>
        <w:spacing w:after="0" w:line="82"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distributed development sites that we operate worldwide are connected by a high speed WAN.</w:t>
      </w:r>
    </w:p>
    <w:p>
      <w:pPr>
        <w:sectPr>
          <w:pgSz w:w="11900" w:h="16838" w:orient="portrait"/>
          <w:cols w:equalWidth="0" w:num="1">
            <w:col w:w="10219"/>
          </w:cols>
          <w:pgMar w:left="240" w:top="285" w:right="1440" w:bottom="1440" w:gutter="0" w:footer="0" w:header="0"/>
        </w:sectPr>
      </w:pP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85"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Some of the information in this section contains forward looking statements that involve substantial risks and uncertainties. You can identify these statements by forward looking words such as "expect", "anticipate", "believe", "seek", "estimate" and similar words. Statements that we make in this section that are not statements of historical fact also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 See "Risk Factors" for more information.</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and its subsidiaries including:</w:t>
      </w:r>
    </w:p>
    <w:p>
      <w:pPr>
        <w:spacing w:after="0" w:line="18"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factors affect our business,</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our revenue and costs were in the fiscal years ended September 30, 2000, 1999 and 1998,</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those revenue and costs were different from year to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our expenditures were in the fiscal years ended September 30, 2000, 1999 and 1998,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In this section, we also analyze and explain the annual changes in the specific line items in our consolidated statements of operations. This section should be read in conjunction with our Consolidated Financial Statements, which are set forth in our Current Report on Form 6-K dated December 29, 2000.</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We are a leading provider of software products and services to the communications industry. Our Business Support Systems ("BSS") consist of families of customized software products and services designed to meet the mission-critical needs of specific communications market sectors. We provide primarily Customer Care, Billing and Order Management Systems ("CC&amp;B Systems") for communications and Internet Protocol ("IP") service providers. Our systems support a wide range of communications services, including wireline, wireless, broadband, electronic and mobile commerce and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1" w:lineRule="exact"/>
        <w:rPr>
          <w:sz w:val="20"/>
          <w:szCs w:val="20"/>
          <w:color w:val="auto"/>
        </w:rPr>
      </w:pPr>
    </w:p>
    <w:p>
      <w:pPr>
        <w:ind w:left="740" w:right="1879" w:hanging="205"/>
        <w:spacing w:after="0" w:line="402"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 of our products and related services, including license fees and customization, implementation and integration services, and</w:t>
      </w:r>
    </w:p>
    <w:p>
      <w:pPr>
        <w:ind w:left="740" w:right="1779" w:hanging="205"/>
        <w:spacing w:after="0" w:line="274"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maintenance, support, outsourcing and other related services provided to our customers and, to a lesser degree, from incremental license fees resulting from increases in a customer's subscribers.</w:t>
      </w:r>
    </w:p>
    <w:p>
      <w:pPr>
        <w:sectPr>
          <w:pgSz w:w="11900" w:h="16838" w:orient="portrait"/>
          <w:cols w:equalWidth="0" w:num="1">
            <w:col w:w="10219"/>
          </w:cols>
          <w:pgMar w:left="240" w:top="285" w:right="1440" w:bottom="411"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85" w:right="1440" w:bottom="411"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License revenue is primarily recognized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revenue from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our percentage of completion accounting method, the size and timing of customer projects and our progress in completing such projects may significantly affect our annual and quarterly operating results.</w:t>
      </w:r>
    </w:p>
    <w:p>
      <w:pPr>
        <w:spacing w:after="0" w:line="11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License and service fee revenue from the sale of CC&amp;B Systems amounted to $986.6 million in the year ended September 30, 2000, representing 88.2% of our revenue for such period, as compared to $468.2 million in fiscal 1999 and $251.8 million in fiscal 1998, where license and service fee revenue from the sale of CC&amp;B Systems represented 74.7% and 62.4%, respectively, of our revenue for such periods.</w:t>
      </w:r>
    </w:p>
    <w:p>
      <w:pPr>
        <w:spacing w:after="0" w:line="93"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believe that the demand for CC&amp;B Systems will continue to increase due to, among other key factors:</w:t>
      </w:r>
    </w:p>
    <w:p>
      <w:pPr>
        <w:spacing w:after="0" w:line="18"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growth and globalization of the communications market,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intensifying competition among communications carriers,</w:t>
      </w:r>
    </w:p>
    <w:p>
      <w:pPr>
        <w:spacing w:after="0" w:line="201"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 technological changes, such as the introduction of wireless Internet services via WAP (Wireless Application Protocol), GPRS (General Packet Radio Services) and UMTS (Universal Mobile Telecommunications System) technology,</w:t>
      </w:r>
    </w:p>
    <w:p>
      <w:pPr>
        <w:spacing w:after="0" w:line="8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proliferation of new communications products and services, especially IP and data services,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shift from in-house management to vendor solutions and outsourcing.</w:t>
      </w:r>
    </w:p>
    <w:p>
      <w:pPr>
        <w:spacing w:after="0" w:line="20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We also believe that a key driver of demand is the continuing trend for communications and IP service providers to offer to their subscribers multiple service packages, commonly referred to as convergent services (combinations of voice, broadband, electronic and mobile commerce and IP services).</w:t>
      </w:r>
    </w:p>
    <w:p>
      <w:pPr>
        <w:spacing w:after="0" w:line="5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Another significant current market trend impacting our business is the growth of the IP services industry and market. The emergence and expansion of IP services creates significant opportunities for companies like us that offer CC&amp;B Systems. Specifically, the development of this market permits us to offer our CC&amp;B Systems to a growing group of new market entrants and to enhance our offerings to existing customers to facilitate their entry into the IP services market.</w:t>
      </w:r>
    </w:p>
    <w:p>
      <w:pPr>
        <w:spacing w:after="0" w:line="9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Although we believe that we are a leading provider of Directory Systems in most of the markets that we serve, revenue from this business is not expected to grow significantly.</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License and service fee revenue from the sale of Directory Systems totaled $131.8 million in the year ended September 30, 2000, accounting for 11.8% of our revenue for such period, as compared to $158.6 million in fiscal 1999 and $151.9 million in fiscal 1998, where license and service fee revenue from the sale of Directory Systems represented 25.3% and 37.6%, respectively, of our revenue for such periods.</w:t>
      </w:r>
    </w:p>
    <w:p>
      <w:pPr>
        <w:spacing w:after="0" w:line="93"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decrease in revenue from Directory Systems primarily reflects a reduction in the volume of Directory Systems services required by our existing customers. We expect that the demand for our Directory Systems will remain relatively stable in future periods and that the contribution to total revenue, as a percentage of revenue, of license and service fees from Directory Systems services will continue to decrease over time.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w:t>
      </w:r>
    </w:p>
    <w:p>
      <w:pPr>
        <w:sectPr>
          <w:pgSz w:w="11900" w:h="16838" w:orient="portrait"/>
          <w:cols w:equalWidth="0" w:num="1">
            <w:col w:w="10219"/>
          </w:cols>
          <w:pgMar w:left="240" w:top="285" w:right="1440" w:bottom="0"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development activities to keep abreast of new technologies in the communications and IP market. Research and development expenditures amounted to $74.9 million, $40.9 million and $25.6 million in fiscal 2000, 1999 and 1998, respectively, representing 6.7%, 6.5% and 6.3%, respectively, of our revenue in these fiscal years. In the next several years, we intend to continue to make substantial investments in our research and development activities and anticipate a significant increase in absolute dollar terms in research and development expenditures.</w:t>
      </w:r>
    </w:p>
    <w:p>
      <w:pPr>
        <w:spacing w:after="0" w:line="104"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products.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On November 30, 1999, we completed the purchase of International Telecommunication Data Systems, Inc. ("ITDS") in a stock-for-stock transaction. The acquisition of ITDS, a leading provider of solutions to communications companies for outsourcing of billing operations, has expanded the scope of our CC&amp;B Systems offering and, we believe, has further established our leadership in providing total solutions to the communications industry. In connection with the consummation of this transaction, we issued 6,461,376 ordinary shares and granted 1,102,955 options to purchase ordinary shares. The total purchase price of $189.0 million included issuance of ordinary shares, the grant of options and transaction costs. The acquisition was accounted for using the purchase method of accounting. The fair market value of ITDS' assets and liabilities has been included in our balance sheet as of the acquisition date. An acquired technology valuation, which was determined by an independent specialist, included both existing technology and in-process research and development. The valuation of these items was made by applying the income forecast method, which considered the present value of cash flows by product lines. The fair value of existing technology products was valued at $12.3 million and is being amortized over five years. In-process research and development, valued at $19.9 million, was charged as an expense immediately following the completion of the acquisition since this technology had not reached technological feasibility and has no alternative use. Additional development, coding and testing efforts were required before technological feasibility could be determined. The fair value of customer base was valued at $0.6 million and the fair value of workforce-in-place was valued at $5.4 million, both of which are being amortized over five years. The excess of the purchase price over the net assets acquired, or goodwill, of $71.2 million is being amortized over 15 years.</w:t>
      </w:r>
    </w:p>
    <w:p>
      <w:pPr>
        <w:spacing w:after="0" w:line="200" w:lineRule="exact"/>
        <w:rPr>
          <w:sz w:val="20"/>
          <w:szCs w:val="20"/>
          <w:color w:val="auto"/>
        </w:rPr>
      </w:pPr>
    </w:p>
    <w:p>
      <w:pPr>
        <w:spacing w:after="0" w:line="303"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April 5, 2000, we completed the purchase of Solect Technology Group Inc. ("Solect"), in a stock-for-stock transaction. The acquisition of Solect, a leading provider of billing and customer care software to IP service providers, including wireless and application service providers ("ASPs"), has expanded our IP service provider customer base for CC&amp;B Systems. Under the terms of our combination agreement with Solect, all then outstanding Solect common shares were exchanged for shares of a newly issued class of exchangeable shares of Solect. The Solect exchangeable shares entitle holders to dividends and other rights economically equivalent to our ordinary shares, including the right, through a voting trust, to vote at our shareholder meetings, and are exchangeable at the option of the holders into our ordinary shares on a one-for-one basis. The total purchase price of $1,087.7 million included the issuance of 13,846,302 exchangeable shares, the grant of options to purchase 1,653,662 ordinary shares and transaction costs. An aggregate 1,170,000 of the exchangeable shares issued in the transaction have been placed in escrow until April 2001 to indemnify us against any breaches of representations or warranties under the combination agreement. The acquisition was accounted for using the purchase method of accounting. The fair market value of Solect's assets and liabilities has been included in our balance sheet as of the acquisition date. An acquired technology valuation, which was determined by an independent specialist, included both existing technology and in-process research and development. The valuation of these items was made by applying the income forecast method, which considered the present value of cash flows by product lines. The fair value of existing technology products was</w:t>
      </w:r>
    </w:p>
    <w:p>
      <w:pPr>
        <w:sectPr>
          <w:pgSz w:w="11900" w:h="16838" w:orient="portrait"/>
          <w:cols w:equalWidth="0" w:num="1">
            <w:col w:w="10219"/>
          </w:cols>
          <w:pgMar w:left="240" w:top="285" w:right="1440" w:bottom="411" w:gutter="0" w:footer="0" w:header="0"/>
        </w:sectPr>
      </w:pP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85" w:right="1440" w:bottom="411"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valued at $18.3 million and is being amortized over two years. In-process research and development, valued at $50.4 million, was charged as an expense immediately following the completion of the acquisition since this technology had not reached technological feasibility and has no alternative use. Additional development, coding and testing efforts were required before technological feasibility could be determined. The fair value of customer base was valued at $1.2 million and the fair value of workforce-in-place was valued at $3.3 million, both of which are being amortized over three years. The excess of the purchase price over the net assets acquired, or goodwill, of $986.3 million is being amortized over five years.</w:t>
      </w:r>
    </w:p>
    <w:p>
      <w:pPr>
        <w:spacing w:after="0" w:line="1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the future, we may consider additional acquisitions in order to acquire new products or services or otherwise enhance our market position or strategic strength.</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following table sets forth for the fiscal years ended September 30, 2000, 1999 and 1998, certain items in our consolidated statements of operations reflected as a percentage of total revenue: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34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YEAR ENDED SEPTEMBER 30,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4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242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w w:val="89"/>
              </w:rPr>
              <w:t>--------------------</w:t>
            </w:r>
            <w:r>
              <w:rPr>
                <w:rFonts w:ascii="Courier New" w:cs="Courier New" w:eastAsia="Courier New" w:hAnsi="Courier New"/>
                <w:sz w:val="35"/>
                <w:szCs w:val="35"/>
                <w:color w:val="auto"/>
                <w:w w:val="89"/>
                <w:vertAlign w:val="subscript"/>
              </w:rPr>
              <w:t>PRO</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AS</w:t>
            </w: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FORMA(*)</w:t>
            </w:r>
          </w:p>
        </w:tc>
        <w:tc>
          <w:tcPr>
            <w:tcW w:w="10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REPORTED</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11.2%</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11.2%</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11.9%</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10.6%</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License........................................</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88.8</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89.4</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96"/>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expenses:</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vMerge w:val="continue"/>
          </w:tcPr>
          <w:p>
            <w:pPr>
              <w:spacing w:after="0"/>
              <w:rPr>
                <w:sz w:val="9"/>
                <w:szCs w:val="9"/>
                <w:color w:val="auto"/>
              </w:rPr>
            </w:pP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0.5</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0.5</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0.9</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Cost of license................................</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Cost of service................................</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57.2</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57.3</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Research and development.......................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purchased</w:t>
            </w: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9.9</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 and development and other</w:t>
            </w: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6.8</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indirect acquisition-related costs..........</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w:t>
            </w:r>
          </w:p>
        </w:tc>
        <w:tc>
          <w:tcPr>
            <w:tcW w:w="0" w:type="dxa"/>
            <w:vAlign w:val="bottom"/>
          </w:tcPr>
          <w:p>
            <w:pPr>
              <w:spacing w:after="0"/>
              <w:rPr>
                <w:sz w:val="1"/>
                <w:szCs w:val="1"/>
                <w:color w:val="auto"/>
              </w:rPr>
            </w:pPr>
          </w:p>
        </w:tc>
      </w:tr>
      <w:tr>
        <w:trPr>
          <w:trHeight w:val="203"/>
        </w:trPr>
        <w:tc>
          <w:tcPr>
            <w:tcW w:w="5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Operating income.................................</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5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Income before income taxes.......................</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principles, net.............................</w:t>
            </w:r>
          </w:p>
        </w:tc>
        <w:tc>
          <w:tcPr>
            <w:tcW w:w="13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7"/>
              </w:rPr>
              <w:t>Net income.......................................</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540" w:right="1779" w:hanging="532"/>
        <w:spacing w:after="0" w:line="26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financial information excludes purchased in-process research and development charges and other indirect acquisition-related costs, amortization of goodwill and purchased intangible assets (collectively, the "ITDS and Solect acquisition-related charges") and related tax effects attributable to the ITDS and Solect transactions.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SEPTEMBER 30, 2000 AND 1999</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Revenue. Revenue for the year ended September 30, 2000 was $1,118.3 million, an increase of $491.5 million, or 78.4%, compared to fiscal 1999. Over 70% of the increase in revenue was due to the</w:t>
      </w:r>
    </w:p>
    <w:p>
      <w:pPr>
        <w:sectPr>
          <w:pgSz w:w="11900" w:h="16838" w:orient="portrait"/>
          <w:cols w:equalWidth="0" w:num="1">
            <w:col w:w="10219"/>
          </w:cols>
          <w:pgMar w:left="240" w:top="285" w:right="1440" w:bottom="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85" w:right="1440" w:bottom="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continued growth in the demand for our CC&amp;B Systems in our traditional target markets of high-end and mid-tier communications companies and less than 30% was attributable to our acquisitions of ITDS and Solect. Demand for customer care, billing and order management systems is diverse, as reflected by the broad cross section of new projects we were awarded in fiscal 2000. These projects covered customers in, among other locations, North America, Europe and Latin America, working within a wide range of operating environments, including wireline, wireless and IP. In many cases, we expanded our ongoing relationships with existing customers. In fiscal 2000,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w:t>
      </w:r>
    </w:p>
    <w:p>
      <w:pPr>
        <w:spacing w:after="0" w:line="10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License revenue increased from $74.4 million in fiscal 1999 to $124.8 million in the year ended September 30, 2000, an increase of 67.8%. Service revenue increased from $552.5 million in fiscal 1999 to $993.5 million in fiscal 2000, an increase of $441.0 million, or 79.8%.</w:t>
      </w:r>
    </w:p>
    <w:p>
      <w:pPr>
        <w:spacing w:after="0" w:line="82"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Total CC&amp;B Systems revenue for the year ended September 30, 2000 was $986.6 million, an increase of $518.3 million, or 110.7%, compared to fiscal 1999.</w:t>
      </w:r>
    </w:p>
    <w:p>
      <w:pPr>
        <w:spacing w:after="0" w:line="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Revenue from Directory Systems decreased to $131.8 million for the year ended September 30, 2000, from $158.6 million for the prior fiscal year. The decrease in revenue from Directory Systems reflects a reduction in the volume of Directory Systems services required by our existing customers.</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the year ended September 30, 2000, revenue from customers in North America, Europe and the rest of the world accounted for 45.6%, 42.4% and 12.0%, respectively, compared to 36.1%, 41.8% and 22.1%, respectively, in the year ended September 30, 1999. The growth in North America was primarily attributable to revenue we gained from existing ITDS customers and to our forming or expanding relationships with new or existing customers in North America in fiscal 2000.</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Cost of License. Cost of license for fiscal 2000 was $5.6 million, an increase of $0.1 million from cost of license for the prior fiscal year. Cost of license includes amortization of purchased computer software and intellectual property rights. The increase in cost of license for fiscal 2000 was primarily attributable to new purchases of computer software in fiscal 2000 and the related amortization.</w:t>
      </w:r>
    </w:p>
    <w:p>
      <w:pPr>
        <w:spacing w:after="0" w:line="93"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Cost of Service. Cost of service for fiscal 2000 was $639.9 million, an increase of $282.1 million, or 78.8%, compared to cost of service of $357.8 million for the year ended September 30, 1999. Cost of service is predominantly related to salary and employee related expenses. The absolute increase in cost of service is consistent with the increase in revenue for fiscal 2000, and reflects increased employment levels required to support our continued growth.</w:t>
      </w:r>
    </w:p>
    <w:p>
      <w:pPr>
        <w:spacing w:after="0" w:line="6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Research and Development. Research and development expense is primarily comprised of compensation expense attributed to research and development activities, either in conjunction with customer projects or as part of our product development programs. In fiscal 2000, research and development expense was $74.9 million, or 6.7% of revenue, compared with $40.9 million, or 6.5% of revenue, in the previous fiscal year. The bulk of the increase in research and development expense represents ongoing expenditures primarily for CC&amp;B Systems, with the balance attributable to Directory Systems.</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is primarily comprised of compensation expense and increased by 81.1% to $137.0 million, or 12.3% of revenue, in fiscal 2000, from $75.7 million, or</w:t>
      </w:r>
    </w:p>
    <w:p>
      <w:pPr>
        <w:spacing w:after="0" w:line="3"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12.1% of revenue, in the year ended September 30, 1999. The increase in selling, general and administrative expense is consistent with the increase in our revenue for fiscal 2000 and with our acquisitions of ITDS and Solect.</w:t>
      </w:r>
    </w:p>
    <w:p>
      <w:pPr>
        <w:spacing w:after="0" w:line="8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Amortization of Goodwill and Purchased Intangible Assets. Amortization of goodwill and purchased intangible assets in the year ended September 30, 2000 relates to the ITDS and Solect transactions.</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In-process Research and Development and Other Indirect Acquisition-Related Costs. In-process research and development and other indirect acquisition-related costs in the year ended September 30, 2000</w:t>
      </w:r>
    </w:p>
    <w:p>
      <w:pPr>
        <w:sectPr>
          <w:pgSz w:w="11900" w:h="16838" w:orient="portrait"/>
          <w:cols w:equalWidth="0" w:num="1">
            <w:col w:w="10219"/>
          </w:cols>
          <w:pgMar w:left="240" w:top="285" w:right="1440" w:bottom="613"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85" w:right="1440" w:bottom="613"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consisted primarily of one-time charges related to the ITDS and Solect transactions of $19.9 million and $50.4 million, respectively, for write-offs of purchased in-process research and development.</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Operating Income. Operating income for the year ended September 30, 2000 was $74.1 million, as compared with $147.0 million for the previous fiscal year, a decrease of 49.6%, primarily due to the ITDS and Solect acquisition-related charges. Pro forma operating income for the year ended September 30, 2000, excluding the ITDS and Solect acquisition-related charges, was $260.9 million, or 23.3% of revenue, as compared with $147.0 million, or 23.4% of revenue, in the year ended September 30, 1999, an increase of 77.5%.</w:t>
      </w:r>
    </w:p>
    <w:p>
      <w:pPr>
        <w:spacing w:after="0" w:line="9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Other Income (Expense), Net. Other income (expense), net consists primarily of interest income. In the year ended September 30, 2000, other income, net was $10.7 million, an increase of $16.9 million from other expense, net of $6.2 million in the prior fiscal year. The increase in other income (expense), net is primarily attributed to increases in interest earned on cash equivalents and short-term interest-bearing investments.</w:t>
      </w:r>
    </w:p>
    <w:p>
      <w:pPr>
        <w:spacing w:after="0" w:line="93"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Income Taxes. Income taxes in fiscal 2000 were $78.9 million on income before income taxes of $84.9 million. Our effective tax rate in fiscal 2000 (calculated based on the income taxes out of the income before income taxes, excluding non recurring charges for write-offs of purchased in-process research and development and other indirect acquisition-related costs) was 49%, resulting from the non-cash amortization of goodwill related to the acquisitions of ITDS and Solect, much of which is not tax deductible. The pro forma effective tax rate for the year ended September 30, 2000, excluding the ITDS and Solect acquisition-related charges, was 30%. Income taxes were $42.2 million on income before income taxes of $140.8 million in fiscal 1999. Our effective tax rate in fiscal 1999 was 30%. See discussion below -- "Effective Tax Rate".</w:t>
      </w:r>
    </w:p>
    <w:p>
      <w:pPr>
        <w:spacing w:after="0" w:line="8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Net Income. Net income was $6.0 million in the year ended September 30, 2000, as compared to $98.5 million for the previous fiscal year. Net income was 0.5% of revenue for fiscal 2000, as compared to 15.7% for fiscal 1999. Pro forma net income in fiscal 2000, excluding the ITDS and Solect acquisition-related charges, increased by 93.0% from fiscal 1999, reaching $190.1 million, representing 17.0% of revenue.</w:t>
      </w:r>
    </w:p>
    <w:p>
      <w:pPr>
        <w:spacing w:after="0" w:line="93"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Diluted Earnings per Share. Diluted earnings per share was $0.03 for the year ended September 30, 2000, as compared with $0.49 in fiscal 1999. Pro forma diluted earnings per share in the year ended September 30, 2000, excluding the ITDS and Solect acquisition-related charges, increased by 79.6% from the year ended September 30, 1999, reaching $0.88 per diluted share.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SEPTEMBER 30, 1999 AND 1998</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Revenue. Revenue for the year ended September 30, 1999 was $626.9 million, an increase of $223.1 million, or 55.3%, compared to fiscal 1998. The increase in revenue was primarily due to the growth in the demand for our CC&amp;B Systems solutions in our traditional target markets of high-end and mid-tier communications companies. In fiscal 1999,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services.</w:t>
      </w:r>
    </w:p>
    <w:p>
      <w:pPr>
        <w:spacing w:after="0" w:line="99"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License revenue increased from $42.9 million in fiscal 1998 to $74.4 million in the year ended September 30, 1999, an increase of 73.4%. Service revenue increased by $191.6 million, or 53.1%, in fiscal 1999, from $360.9 million in fiscal 1998 to $552.5 million.</w:t>
      </w:r>
    </w:p>
    <w:p>
      <w:pPr>
        <w:spacing w:after="0" w:line="82"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Total CC&amp;B Systems revenue for the year ended September 30, 1999 was $468.2 million, an increase of $216.4 million, or 85.9%, compared to fiscal 1998.</w:t>
      </w:r>
    </w:p>
    <w:p>
      <w:pPr>
        <w:spacing w:after="0" w:line="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Revenue from Directory Systems grew to $158.6 million for the year ended September 30, 1999, from $151.9 million for the prior fiscal year.</w:t>
      </w:r>
    </w:p>
    <w:p>
      <w:pPr>
        <w:spacing w:after="0" w:line="18" w:lineRule="exact"/>
        <w:rPr>
          <w:sz w:val="20"/>
          <w:szCs w:val="20"/>
          <w:color w:val="auto"/>
        </w:rPr>
      </w:pPr>
    </w:p>
    <w:p>
      <w:pPr>
        <w:ind w:right="2099" w:firstLine="527"/>
        <w:spacing w:after="0" w:line="278" w:lineRule="auto"/>
        <w:rPr>
          <w:sz w:val="20"/>
          <w:szCs w:val="20"/>
          <w:color w:val="auto"/>
        </w:rPr>
      </w:pPr>
      <w:r>
        <w:rPr>
          <w:rFonts w:ascii="Courier New" w:cs="Courier New" w:eastAsia="Courier New" w:hAnsi="Courier New"/>
          <w:sz w:val="16"/>
          <w:szCs w:val="16"/>
          <w:color w:val="auto"/>
        </w:rPr>
        <w:t>In the year ended September 30, 1999, revenue from customers in Europe, North America and the rest of the world accounted for 41.8%, 36.1% and 22.1%, respectively, compared to 27.2%, 52.2% and 20.6%, respectively, in the year ended September 30, 1998. The growth in revenue from customers in Europe was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964"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primarily attributable to increased competition among communications companies within Europe and deregulation of the European market.</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Cost of License. Cost of license for fiscal 1999 was $5.5 million, a decrease of $5.2 million, from cost of license for the prior fiscal year. Cost of license included amortization of purchased computer software and intellectual property rights. The decrease in cost of license for fiscal 1999 was attributable primarily to reductions in the required amortization of certain purchased computer software.</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Cost of Service. Cost of service for fiscal 1999 was $357.8 million, an increase of $126.4 million, or 54.7%, compared to cost of service of $231.4 million for the year ended September 30, 1998. Cost of service was predominantly related to salary and employee related expenses. The absolute increase in cost of service was consistent with the increase in revenue for the year ended September 30, 1999.</w:t>
      </w:r>
    </w:p>
    <w:p>
      <w:pPr>
        <w:spacing w:after="0" w:line="9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Research and Development. Research and development expense was primarily comprised of compensation expense attributed to research and development activities, either in conjunction with customer projects or as part of our product development programs. In fiscal 1999, research and development expense was $40.9 million, or 6.5% of revenue, compared with $25.6 million, or 6.3% of revenue, in the previous fiscal year. The increase in research and development expense represented ongoing expenditures primarily for CC&amp;B Systems and also for Directory Systems.</w:t>
      </w:r>
    </w:p>
    <w:p>
      <w:pPr>
        <w:spacing w:after="0" w:line="104" w:lineRule="exact"/>
        <w:rPr>
          <w:sz w:val="20"/>
          <w:szCs w:val="20"/>
          <w:color w:val="auto"/>
        </w:rPr>
      </w:pPr>
    </w:p>
    <w:p>
      <w:pPr>
        <w:jc w:val="both"/>
        <w:ind w:right="1999" w:firstLine="527"/>
        <w:spacing w:after="0" w:line="282"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was primarily comprised of compensation expense and increased by 47.9% to $75.7 million, or 12.1% of revenue, in fiscal 1999, from $51.2 million, or</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12.7% of revenue, in the year ended September 30, 1998. The absolute increase in selling, general and administrative expense was consistent with the increase in our revenue for fiscal 1999.</w:t>
      </w:r>
    </w:p>
    <w:p>
      <w:pPr>
        <w:spacing w:after="0" w:line="8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Operating Income. Operating income in the year ended September 30, 1999 was $147.0 million, as compared with $84.9 million in the previous fiscal year, an increase of 73.1%. Operating income was 23.4% of revenue for fiscal 1999, as compared to 21.0% for fiscal 1998.</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Other Income (Expense), Net. Other income (expense), net consisted primarily of interest expense. In the year ended September 30, 1999, other expense, net was $6.2 million, a decrease of $17.9 million from the prior fiscal year. The decrease was primarily attributed to reductions in our bank debt through the use of cash from operations and the proceeds from our initial public offering in June 1998. Interest expense in fiscal 1998 related primarily to senior bank debt and subordinated debt.</w:t>
      </w:r>
    </w:p>
    <w:p>
      <w:pPr>
        <w:spacing w:after="0" w:line="98" w:lineRule="exact"/>
        <w:rPr>
          <w:sz w:val="20"/>
          <w:szCs w:val="20"/>
          <w:color w:val="auto"/>
        </w:rPr>
      </w:pPr>
    </w:p>
    <w:p>
      <w:pPr>
        <w:jc w:val="both"/>
        <w:ind w:right="2099" w:firstLine="527"/>
        <w:spacing w:after="0" w:line="256" w:lineRule="auto"/>
        <w:rPr>
          <w:sz w:val="20"/>
          <w:szCs w:val="20"/>
          <w:color w:val="auto"/>
        </w:rPr>
      </w:pPr>
      <w:r>
        <w:rPr>
          <w:rFonts w:ascii="Courier New" w:cs="Courier New" w:eastAsia="Courier New" w:hAnsi="Courier New"/>
          <w:sz w:val="18"/>
          <w:szCs w:val="18"/>
          <w:color w:val="auto"/>
        </w:rPr>
        <w:t>Income Taxes. Income taxes in fiscal 1999 were $42.2 million on income before income taxes of $140.8 million, representing an overall effective tax rate of 30%. In fiscal 1998, income taxes were $30.4 million on income before income taxes of $60.8 million, representing an overall effective tax rate of 50%. This higher tax rate resulted from significant interest expense in a tax jurisdiction where we were tax exempt, giving us no tax benefit to offset the tax incurred by us in other jurisdictions.</w:t>
      </w:r>
    </w:p>
    <w:p>
      <w:pPr>
        <w:spacing w:after="0" w:line="98"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Net Income.</w:t>
      </w:r>
      <w:r>
        <w:rPr>
          <w:sz w:val="20"/>
          <w:szCs w:val="20"/>
          <w:color w:val="auto"/>
        </w:rPr>
        <w:tab/>
      </w:r>
      <w:r>
        <w:rPr>
          <w:rFonts w:ascii="Courier New" w:cs="Courier New" w:eastAsia="Courier New" w:hAnsi="Courier New"/>
          <w:sz w:val="16"/>
          <w:szCs w:val="16"/>
          <w:color w:val="auto"/>
        </w:rPr>
        <w:t>Net income was $98.5 million in the year ended September 30,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compared to $30.1 million for the previous fiscal year. Net income was</w:t>
      </w:r>
    </w:p>
    <w:p>
      <w:pPr>
        <w:spacing w:after="0"/>
        <w:rPr>
          <w:sz w:val="20"/>
          <w:szCs w:val="20"/>
          <w:color w:val="auto"/>
        </w:rPr>
      </w:pPr>
      <w:r>
        <w:rPr>
          <w:rFonts w:ascii="Courier New" w:cs="Courier New" w:eastAsia="Courier New" w:hAnsi="Courier New"/>
          <w:sz w:val="18"/>
          <w:szCs w:val="18"/>
          <w:color w:val="auto"/>
        </w:rPr>
        <w:t>15.7% of revenue for fiscal 1999, as compared to 7.5% for fiscal 1998.</w:t>
      </w:r>
    </w:p>
    <w:p>
      <w:pPr>
        <w:spacing w:after="0" w:line="169"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Diluted Earnings per Share. Diluted earnings per share increased from $0.19 in the year ended September 30, 1998 to $0.49 in fiscal 1999.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Cash and cash equivalents totaled $402.3 million as of September 30, 2000, compared to $85.2 million as of September 30, 1999. The increase in cash and cash equivalents is primarily attributable to cash flows from operations and, to a lesser degree, to cash balances of $31.9 million and $35.9 million we acquired as part of our acquisitions of ITDS and Solect, respectively, and to the exercise of employee stock options. Net cash provided by operating activities amounted to $287.6 million and $152.3 million for the years ended September 30, 2000 and 1999, respectively. A significant portion of our cash flow from operations during the year ended September 30, 2000 was used to invest in cash equivalents. We currently intend to retain our future earnings to support the further expansion of our business.</w:t>
      </w:r>
    </w:p>
    <w:p>
      <w:pPr>
        <w:sectPr>
          <w:pgSz w:w="11900" w:h="16838" w:orient="portrait"/>
          <w:cols w:equalWidth="0" w:num="1">
            <w:col w:w="10219"/>
          </w:cols>
          <w:pgMar w:left="240" w:top="285" w:right="1440" w:bottom="379" w:gutter="0" w:footer="0" w:header="0"/>
        </w:sectPr>
      </w:pP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85" w:right="1440" w:bottom="379"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As of September 30, 2000, we had short-term revolving lines of credit totaling $140.0 million from various banks or bank groups, of which $20.0 million was outstanding.</w:t>
      </w:r>
    </w:p>
    <w:p>
      <w:pPr>
        <w:spacing w:after="0" w:line="66"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As of September 30, 2000, we also had utilized approximately $19.3 million of revolving credit facilities to support outstanding letters of credit or bank guarantees.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As of September 30, 2000, we had positive working capital of $319.0 million, as compared to positive working capital of $35.9 million as of September 30, 1999. The increase in working capital is primarily attributable to cash generated from operating activities and to the cash obtained from our acquisitions of ITDS and Solect. In our opinion, current cash balances, cash generated from operations and our current lines of credit will provide sufficient resources to meet our near-term requirements.</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September 30, 2000, we had long-term obligations outstanding of $32.1 million in connection with leasing arrangements. 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DEFERRED TAX ASSETS</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As of September 30, 2000, deferred tax assets of $16.7 million, derived primarily from carry-forward net operating losses relating to Solect pre-acquisition losses, were offset by valuation allowances due to the uncertainty of realizing any tax benefit for such losses. Upon the subsequent realization of any such net operating losses, the valuation allowance will be released, resulting in an offsetting reduction of the goodwill recorded in the Solect acquisition.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Our overall effective tax rate has historically been approximately 30% due to the various corporate income tax rates in the countries in which we operate and the relative magnitude of our business in those countries. Our consolidated effective tax rate (calculated based on the income taxes out of the income before income taxes, excluding non recurring charges for write-offs of purchased in-process research and development and other indirect acquisition-related costs) for the year ended September 30, 2000 was 49%, compared to 30% in the year ended September 30, 1999. This higher effective tax rate was attributable to amortization of goodwill related to our acquisitions of ITDS and Solect, much of which is not tax deductible. Excluding the impact of the ITDS and Solect acquisition-related charges, the effective tax rate for the year ended September 30, 2000 was 30%.</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We rely on the executive officers of our principal operating subsidiaries, including Amdocs, Inc. (the United States), Amdocs (UK) Limited (the United Kingdom), Amdocs Development Limited (Republic of Cyprus), Amdocs Management Limited (the United Kingdom), Amdocs (Israel) Limited (Israel), Amdocs Software Systems Ltd. (Ireland), International Telecommunication Data Systems, Inc. (the United States) and Solect Technology Group Inc. (Canada), to manage our business. In addition, Amdocs Management Limited, our management subsidiary, performs certain executive coordination functions for all of our operating subsidiaries.</w:t>
      </w:r>
    </w:p>
    <w:p>
      <w:pPr>
        <w:spacing w:after="0" w:line="9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As of December 22, 2000, our directors, senior managers and key employees upon whose work we are dependent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3840" w:type="dxa"/>
            <w:vAlign w:val="bottom"/>
          </w:tcPr>
          <w:p>
            <w:pPr>
              <w:jc w:val="right"/>
              <w:ind w:right="2272"/>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AGE</w:t>
            </w:r>
          </w:p>
        </w:tc>
        <w:tc>
          <w:tcPr>
            <w:tcW w:w="3940" w:type="dxa"/>
            <w:vAlign w:val="bottom"/>
          </w:tcPr>
          <w:p>
            <w:pPr>
              <w:ind w:left="160"/>
              <w:spacing w:after="0"/>
              <w:rPr>
                <w:sz w:val="20"/>
                <w:szCs w:val="20"/>
                <w:color w:val="auto"/>
              </w:rPr>
            </w:pPr>
            <w:r>
              <w:rPr>
                <w:rFonts w:ascii="Courier New" w:cs="Courier New" w:eastAsia="Courier New" w:hAnsi="Courier New"/>
                <w:sz w:val="18"/>
                <w:szCs w:val="18"/>
                <w:color w:val="auto"/>
              </w:rPr>
              <w:t>POSITION</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3840" w:type="dxa"/>
            <w:vAlign w:val="bottom"/>
          </w:tcPr>
          <w:p>
            <w:pPr>
              <w:jc w:val="right"/>
              <w:ind w:right="22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Bruce K. Anderson(1)(2)......................</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w:t>
            </w:r>
          </w:p>
        </w:tc>
        <w:tc>
          <w:tcPr>
            <w:tcW w:w="394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 Board and Chief</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Robert A. Minicucci(1)(2)</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48</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Director and Chief Financial Officer</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Avinoam Naor(2)..............................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Director; Chief Executive Officer of</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Dov Baharav</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Amdocs Management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and Chief</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Financial Officer, Amdocs Management</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Nehemia Lemelbaum</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57</w:t>
            </w:r>
          </w:p>
        </w:tc>
        <w:tc>
          <w:tcPr>
            <w:tcW w:w="3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Mario Segal</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53</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and Chief</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Operating Officer, Amdocs Management</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Eli Gelman</w:t>
            </w:r>
          </w:p>
        </w:tc>
        <w:tc>
          <w:tcPr>
            <w:tcW w:w="3840" w:type="dxa"/>
            <w:vAlign w:val="bottom"/>
          </w:tcPr>
          <w:p>
            <w:pPr>
              <w:spacing w:after="0"/>
              <w:rPr>
                <w:sz w:val="17"/>
                <w:szCs w:val="17"/>
                <w:color w:val="auto"/>
              </w:rPr>
            </w:pP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3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3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Paul Atkinson</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36</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Shlomo Baleli</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Thomas G. O'Brien</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and Secretary</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Simon Cassif.................................</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Amdocs (UK)</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Melinos Pissourios</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w:t>
            </w:r>
          </w:p>
        </w:tc>
        <w:tc>
          <w:tcPr>
            <w:tcW w:w="3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General Manager, Amdocs Development</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Kevin Picker</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3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Director and General Manager, Amdocs</w:t>
            </w:r>
          </w:p>
        </w:tc>
        <w:tc>
          <w:tcPr>
            <w:tcW w:w="0" w:type="dxa"/>
            <w:vAlign w:val="bottom"/>
          </w:tcPr>
          <w:p>
            <w:pPr>
              <w:spacing w:after="0"/>
              <w:rPr>
                <w:sz w:val="1"/>
                <w:szCs w:val="1"/>
                <w:color w:val="auto"/>
              </w:rPr>
            </w:pPr>
          </w:p>
        </w:tc>
      </w:tr>
      <w:tr>
        <w:trPr>
          <w:trHeight w:val="203"/>
        </w:trPr>
        <w:tc>
          <w:tcPr>
            <w:tcW w:w="4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Adrian Gardner(1)(2)(3)</w:t>
            </w: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38</w:t>
            </w:r>
          </w:p>
        </w:tc>
        <w:tc>
          <w:tcPr>
            <w:tcW w:w="3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(UK) Limited</w:t>
            </w:r>
          </w:p>
        </w:tc>
        <w:tc>
          <w:tcPr>
            <w:tcW w:w="0" w:type="dxa"/>
            <w:vAlign w:val="bottom"/>
          </w:tcPr>
          <w:p>
            <w:pPr>
              <w:spacing w:after="0"/>
              <w:rPr>
                <w:sz w:val="1"/>
                <w:szCs w:val="1"/>
                <w:color w:val="auto"/>
              </w:rPr>
            </w:pPr>
          </w:p>
        </w:tc>
      </w:tr>
      <w:tr>
        <w:trPr>
          <w:trHeight w:val="203"/>
        </w:trPr>
        <w:tc>
          <w:tcPr>
            <w:tcW w:w="4900" w:type="dxa"/>
            <w:vAlign w:val="bottom"/>
            <w:gridSpan w:val="2"/>
            <w:vMerge w:val="continue"/>
          </w:tcPr>
          <w:p>
            <w:pPr>
              <w:jc w:val="right"/>
              <w:ind w:right="72"/>
              <w:spacing w:after="0" w:line="178" w:lineRule="exact"/>
              <w:rPr>
                <w:sz w:val="20"/>
                <w:szCs w:val="20"/>
                <w:color w:val="auto"/>
              </w:rPr>
            </w:pPr>
            <w:r>
              <w:rPr>
                <w:rFonts w:ascii="Courier New" w:cs="Courier New" w:eastAsia="Courier New" w:hAnsi="Courier New"/>
                <w:sz w:val="18"/>
                <w:szCs w:val="18"/>
                <w:color w:val="auto"/>
              </w:rPr>
              <w:t>......................</w:t>
            </w:r>
          </w:p>
        </w:tc>
        <w:tc>
          <w:tcPr>
            <w:tcW w:w="640" w:type="dxa"/>
            <w:vAlign w:val="bottom"/>
            <w:vMerge w:val="continue"/>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James S. Kahan(1)(2).........................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T. McLennan(3)..........................</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Lawrence Perlman(3)..........................</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J. Price.............................</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Modi Rosen</w:t>
            </w:r>
          </w:p>
        </w:tc>
        <w:tc>
          <w:tcPr>
            <w:tcW w:w="3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Ron Zuckerman................................</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39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608"/>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ind w:left="540"/>
              <w:spacing w:after="0"/>
              <w:rPr>
                <w:sz w:val="20"/>
                <w:szCs w:val="20"/>
                <w:color w:val="auto"/>
              </w:rPr>
            </w:pPr>
            <w:r>
              <w:rPr>
                <w:rFonts w:ascii="Courier New" w:cs="Courier New" w:eastAsia="Courier New" w:hAnsi="Courier New"/>
                <w:sz w:val="18"/>
                <w:szCs w:val="18"/>
                <w:color w:val="auto"/>
              </w:rPr>
              <w:t>(1)</w:t>
            </w:r>
          </w:p>
        </w:tc>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Member of the Compensation Committee</w:t>
            </w: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ind w:left="540"/>
              <w:spacing w:after="0"/>
              <w:rPr>
                <w:sz w:val="20"/>
                <w:szCs w:val="20"/>
                <w:color w:val="auto"/>
              </w:rPr>
            </w:pPr>
            <w:r>
              <w:rPr>
                <w:rFonts w:ascii="Courier New" w:cs="Courier New" w:eastAsia="Courier New" w:hAnsi="Courier New"/>
                <w:sz w:val="18"/>
                <w:szCs w:val="18"/>
                <w:color w:val="auto"/>
              </w:rPr>
              <w:t>(2)</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Member of Executive Committee</w:t>
            </w: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ind w:left="540"/>
              <w:spacing w:after="0"/>
              <w:rPr>
                <w:sz w:val="20"/>
                <w:szCs w:val="20"/>
                <w:color w:val="auto"/>
              </w:rPr>
            </w:pPr>
            <w:r>
              <w:rPr>
                <w:rFonts w:ascii="Courier New" w:cs="Courier New" w:eastAsia="Courier New" w:hAnsi="Courier New"/>
                <w:sz w:val="18"/>
                <w:szCs w:val="18"/>
                <w:color w:val="auto"/>
              </w:rPr>
              <w:t>(3)</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Member of the Audit Committee</w:t>
            </w: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Bruce K. Anderson has been Chief Executive Officer and Chairman of the Board of Amdocs since September 1997. Since August 1978, he has been a general partner of WCAS, an investment firm that</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85" w:right="1440"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specializes in the acquisition of companies in the information services, communications and health care industries. Investment partnerships affiliated with WCAS are collectively one of our largest shareholders. Mr. Anderson served for nine years with Automated Data Processing, Inc. ("ADP") until his resignation as Executive Vice President and a director of ADP, and President of ADP International, effective August 1978. Mr. Anderson serves on the board of Bridge Information Systems, Inc.</w:t>
      </w:r>
    </w:p>
    <w:p>
      <w:pPr>
        <w:spacing w:after="0" w:line="98"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 including Global Knowledge Networks, Inc., Alliance Data Systems, Inc., Headstrong, Inc. and Attachmate, Inc.</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Avinoam Naor has been a director of Amdocs Limited since January 1999 and is Chief Executive Officer of Amdocs Management Limited, having overall coordination responsibility for the operations and activities of our operating subsidiaries. Mr. Naor was a member of the team that founded Amdocs in 1982 and initially served as a Senior Vice President. He has been involved with software development for 28 years, working on projects for the development of application and infrastructure software for communications systems and developing and marketing directory assistance systems. Mr. Naor was also a member of the team that established the computerized system for Golden Pages, the Israeli yellow pages company.</w:t>
      </w:r>
    </w:p>
    <w:p>
      <w:pPr>
        <w:spacing w:after="0" w:line="1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first as Vice President and then as President of Amdocs, Inc., our principal U.S. subsidiary. Prior to joining Amdocs, Mr. Baharav served as Chief Operating Officer of Optrotech Ltd., a publicly held company that develops, manufactures and markets electro-optical devices.</w:t>
      </w:r>
    </w:p>
    <w:p>
      <w:pPr>
        <w:spacing w:after="0" w:line="104"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company, first as a senior consultant, and later as Managing Director. From 1967 to 1976, Mr. Lemelbaum was employed by the Ministry of Communications of Israel (in effect the organization that eventually became Bezeq, the Israel Telecommunication Corp. Ltd.), with responsibility for computer technology in the area of business data processing.</w:t>
      </w:r>
    </w:p>
    <w:p>
      <w:pPr>
        <w:spacing w:after="0" w:line="29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Ensemble(TM)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Eli Gelman is a Senior Vice President of Amdocs Management Limited, with responsibility for sales and strategic alliances. He has over 20 years of experience in the software industry, including over 10 years with Amdocs. Prior to his current position, he was a division president. He headed Amdocs' United States sales and marketing operations and helped spearhead our entry into the CC&amp;B Systems market. Mr. Gelman was an account manager for our major European and North American installations, and has also led several major software development projects. Before joining Amdocs, Mr. Gelman was involved in the development of real-time software systems for communications networks.</w:t>
      </w:r>
    </w:p>
    <w:p>
      <w:pPr>
        <w:spacing w:after="0" w:line="9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Paul Atkinson has been a Senior Vice President of Amdocs Management Limited since October 2000, having overall responsibility for the Product Marketing and Marketing Communications</w:t>
      </w:r>
    </w:p>
    <w:p>
      <w:pPr>
        <w:sectPr>
          <w:pgSz w:w="11900" w:h="16838" w:orient="portrait"/>
          <w:cols w:equalWidth="0" w:num="1">
            <w:col w:w="10219"/>
          </w:cols>
          <w:pgMar w:left="240" w:top="285" w:right="1440" w:bottom="411"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85" w:right="1440" w:bottom="411"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departments. Mr. Atkinson served as Chief Executive Officer of Solect from 1994 until the acquisition of Solect by Amdocs in April 2000. Prior to joining Solect, Mr. Atkinson was the President and co-founder of Southwest Sun, the independent representative of Sun Microsystems in central Canada.</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Shlomo Baleli joined Amdocs in 1982 and has been a Senior Vice President of Amdocs Management Limited since October 2000. He has over 20 years experience in software engineering and in the development of software applications and infrastructure for communications systems and directory systems. Prior to joining Amdocs, he was a member of the team that established the computerized system for Golden Pages, the Israeli yellow pages company.</w:t>
      </w:r>
    </w:p>
    <w:p>
      <w:pPr>
        <w:spacing w:after="0" w:line="9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w:t>
      </w:r>
    </w:p>
    <w:p>
      <w:pPr>
        <w:spacing w:after="0" w:line="104"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billing and order management systems. Prior to joining Amdocs, Mr. Cassif was Chief Information Officer and Vice President, Systems and Computers at Bezeq, the Israel Telecommunication Corp. Ltd. Mr. Cassif held this position for twelve years, with full responsibility for Bezeq's information technology strategy, systems development, maintenance and operations.</w:t>
      </w:r>
    </w:p>
    <w:p>
      <w:pPr>
        <w:spacing w:after="0" w:line="286"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Kevin Picker has been a director and the General Manager of Amdocs (UK) Limited since October 1999. He joined the Amdocs group in 1997 as the financial director of Directory Technology (PTY) Ltd. From May 1992 Mr. Picker was the general manager of Myers Tyres in Australia and prior to that financial director of KM Printing and Publishing. Mr. Picker is a member of the Institute of Chartered Accountants in Australia (1994), the Israeli Institute of Certified Public Accountants (1995) and the South African Institute of Chartered Accountants (1980).</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Adrian Gardner has been a director of Amdocs since April 1998. Mr. Gardner is a Managing Director of Lazard LLC, based in London, and works with technology and telecommunications-related companies. Prior to joining Lazard in 1989, Mr. Gardner qualified as a chartered accountant with Price Waterhouse (now PricewaterhouseCoopers). Mr. Gardner is a member of the Institute of Chartered Accountants in England &amp; Wales and a member of The Securities Institute in the United Kingdom.</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James S. Kahan has been a director of Amdocs since April 1998. Mr. Kahan has worked at SBC since 1983, and currently serves as its Senior Executive Vice President-Corporate Development, a position he has held since 1992. Prior to joining SBC, Mr. Kahan held various positions at several telecommunications companies, including Western Electric, Bell Laboratories, South Central Bell and AT&amp;T. SBCI, a wholly-owned subsidiary of SBC, is one of our largest shareholders.</w:t>
      </w:r>
    </w:p>
    <w:p>
      <w:pPr>
        <w:spacing w:after="0" w:line="9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John T. McLennan has been a director of Amdocs since November 1999. Since May 1999, he has served as Vice-Chair and Chief Executive Officer of AT&amp;T Canada. Mr. McLennan founded and was the President of Jenmark Consulting Inc. from 1997 until May 1999. From 1994 to 1997, Mr. McLennan served as the President and Chief Executive Officer of Bell Canada. Prior to that, he held various positions at several telecommunications companies, including BCE Mobile Communications and Cantel Inc. Mr. McLennan</w:t>
      </w:r>
    </w:p>
    <w:p>
      <w:pPr>
        <w:sectPr>
          <w:pgSz w:w="11900" w:h="16838" w:orient="portrait"/>
          <w:cols w:equalWidth="0" w:num="1">
            <w:col w:w="10219"/>
          </w:cols>
          <w:pgMar w:left="240" w:top="285" w:right="1440" w:bottom="816" w:gutter="0" w:footer="0" w:header="0"/>
        </w:sectPr>
      </w:pP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85" w:right="1440" w:bottom="816"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currently serves on the board of directors of Hummingbird Corporation and several other private software and communication companies.</w:t>
      </w:r>
    </w:p>
    <w:p>
      <w:pPr>
        <w:spacing w:after="0" w:line="1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Lawrence Perlman has been a director of Amdocs since April 1998. He was Chairman of Ceridian Corporation from 1992 through 1999, and its Chief Executive Officer from 1990 through 1999.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77"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Michael J. Price has been a director of Amdocs since January 1998. He is co-Chairman of FirstMark Communications International LLC, a broadband communications company in Europe. Prior to that, he worked at Lazard Freres &amp; Co. L.L.C., starting in 1987, serving first as a Vice President and then as a Managing Director, where he led its technology and telecommunications group. He is also a director of SpectraSite, a leading tower management company, and PeoplePC.</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Modi Rosen has been a director of Amdocs since December 2000. He founded and has been a co-manager of Magnum Communications Fund, a venture capital fund specializing in the Israeli telecommunications industry, since 1999. From 1997 to 1999, he was a Vice-President of Monitor Company, an international consulting group, where he advised European wireless and wireline companies, including Siemens. From 1991 to 1997, Mr. Rosen was a managing partner at Shaldor, an Israeli consultancy firm.</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Ron Zuckerman has been a director of Amdocs since December 2000. He founded and has been Chairman of the Board of Precise Software Solutions, a Nasdaq-listed company and a provider of information technology infrastructure performance management software, since 1991. He also founded Sapiens International, a Nasdaq-listed company and global e-business solutions provider, where he has served as Chairman since 1998, and EC-Gate, a solutions provider for e-marketplaces, where he has served as Chairman since 1996.</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Our directors who are not employees or affiliates of either the Company or any of our major shareholders have the choice of receiving as compensation either (i) an annual cash payment of $30,000 or (ii)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We reimburse all of our directors for their reasonable travel expenses incurred in connection with attending meetings of the board of directors or committees thereof.</w:t>
      </w:r>
    </w:p>
    <w:p>
      <w:pPr>
        <w:spacing w:after="0" w:line="104"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A total of 20 persons who served either as directors of Amdocs or members of its administrative, supervisory or management bodies during fiscal 2000 received remuneration from Amdocs. The aggregate remuneration paid by us to such persons was approximately $7.1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a former executive officer and to three former members of our board of directors.</w:t>
      </w:r>
    </w:p>
    <w:p>
      <w:pPr>
        <w:spacing w:after="0" w:line="75"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During fiscal 2000, directors or members of our administrative, supervisory or management bodies were granted options to purchase a total of 21,112 ordinary shares at an average price of $43.45 per share, with vesting over three to four year terms. All options were issued pursuant to our 1998 Stock Option and Incentive Plan, as amended (the "Option Plan"). See "Employee Stock Option and Incentive Plan".</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ectPr>
          <w:pgSz w:w="11900" w:h="16838" w:orient="portrait"/>
          <w:cols w:equalWidth="0" w:num="1">
            <w:col w:w="10219"/>
          </w:cols>
          <w:pgMar w:left="240" w:top="285" w:right="1440" w:bottom="411"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85" w:right="1440" w:bottom="411"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9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Other than an employment agreement between us and Mr. Naor, which provides that Mr. Naor shall be paid a cash severance upon termination of his employment, there are no service contracts between us and any of our directors providing for benefits upon termination of their employment.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Our Audit Committee consists of Messrs. Gardner, McLennan and Perlman, all of whom are independent directors, as required by the rules of the New York Stock Exchange, Inc. ("NYSE").</w:t>
      </w:r>
    </w:p>
    <w:p>
      <w:pPr>
        <w:spacing w:after="0" w:line="72"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 Our Compensation Committee consists of Messrs. Anderson, Gardner, Kahan and Minicucci. None of the members of the Committee was an employee of ours at any time during fiscal 2000.</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have also established an Executive Committee that may act from time to time instead of the full board of directors and has such responsibilities as may be delegated to it by the board from time to time. Our Executive Committee consists of Messrs. Anderson, Gardner, Kahan, Miniccuci and Naor.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As of September 30, 2000, we employed on a full-time basis approximately 7,400 software and information technology specialists, engaged in research, development, maintenance and support activities, and approximately 1,000 managers and administrative professionals. We employ approximately 4,000 and 2,200 software and information technology specialists in Israel and North America, respectively, with the remaining principally located in Europe and the Asia-Pacific region. We often maintain teams of employees at a customer's premises to work on specific projects.</w:t>
      </w:r>
    </w:p>
    <w:p>
      <w:pPr>
        <w:spacing w:after="0" w:line="104"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As of September 30, 1999, we employed on a full-time basis approximately 4,400 software and information technology specialists, engaged in research, development, maintenance and support activities, and approximately 600 managers and administrative professionals. We employed over 3,000 and 780 software and information technology specialists in Israel and North America, respectively, with the remaining located in Europe and the Asia-Pacific region.</w:t>
      </w:r>
    </w:p>
    <w:p>
      <w:pPr>
        <w:spacing w:after="0" w:line="68"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As of September 30, 1998, we employed on a full-time basis approximately 2,900 software and information technology specialists, engaged in research, development, maintenance and support activities, and approximately 375 managers and administrative professionals. We employed over 2,100 and 500 software and information technology specialists in Israel and North America, respectively, with the remaining located in Europe and the Asia-Pacific region.</w:t>
      </w:r>
    </w:p>
    <w:p>
      <w:pPr>
        <w:spacing w:after="0" w:line="6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have to comply with various labor and immigration laws throughout the world, including laws and regulations in Australia, Brazil, Canada, Europe, Israel, Japan and the United States. To date, compliance with such laws has not been a material burden for us. As the number of our employees increases over time, our compliance with such regulations could become more burdensome.</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w:t>
      </w:r>
    </w:p>
    <w:p>
      <w:pPr>
        <w:sectPr>
          <w:pgSz w:w="11900" w:h="16838" w:orient="portrait"/>
          <w:cols w:equalWidth="0" w:num="1">
            <w:col w:w="10219"/>
          </w:cols>
          <w:pgMar w:left="240" w:top="285" w:right="1440" w:bottom="0" w:gutter="0" w:footer="0" w:header="0"/>
        </w:sectPr>
      </w:pP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85" w:right="1440" w:bottom="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employees by virtue of expansion orders of the Israeli Ministry of Labor and Welfare. A significant provision applicable to all employees in Israel under collective bargaining agreements and expansion orders is the automatic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the government thresholds and overtime pay.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1" w:lineRule="exact"/>
        <w:rPr>
          <w:sz w:val="20"/>
          <w:szCs w:val="20"/>
          <w:color w:val="auto"/>
        </w:rPr>
      </w:pPr>
    </w:p>
    <w:p>
      <w:pPr>
        <w:ind w:right="2739" w:firstLine="211"/>
        <w:spacing w:after="0" w:line="347" w:lineRule="auto"/>
        <w:rPr>
          <w:sz w:val="20"/>
          <w:szCs w:val="20"/>
          <w:color w:val="auto"/>
        </w:rPr>
      </w:pPr>
      <w:r>
        <w:rPr>
          <w:rFonts w:ascii="Courier New" w:cs="Courier New" w:eastAsia="Courier New" w:hAnsi="Courier New"/>
          <w:sz w:val="18"/>
          <w:szCs w:val="18"/>
          <w:color w:val="auto"/>
        </w:rPr>
        <w:t>SECURITY OWNERSHIP OF DIRECTORS AND SENIOR MANAGEMENT AND CERTAIN KEY EMPLOYEES</w:t>
      </w:r>
    </w:p>
    <w:p>
      <w:pPr>
        <w:spacing w:after="0" w:line="1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As of December 1, 2000, the aggregate number of our voting ordinary shares beneficially owned by our directors, senior managers and certain key employees was 68,369,254 shares. This number includes voting ordinary shares held by SBCI and WCAS since affiliates of SBCI and WCAS serve on our board of directors and, accordingly, such designees may be deemed to be the beneficial owners of the voting ordinary shares held by such entities. Each such designee disclaims beneficial ownership of such shares. The number also includes voting ordinary shares held by Amdocs International Limited ("AIL"), affiliates of which were on our board of directors at December 1, 2000 but have since resigned. See "Major Shareholders and Related Party Transactions -- Major Shareholders".</w:t>
      </w:r>
    </w:p>
    <w:p>
      <w:pPr>
        <w:spacing w:after="0" w:line="7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Beneficial ownership by a person assumes the exercise of all options and warrants held by such person that are currently exercisable or are exercisable within 60 days of such date.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STOCK OPTION AND INCENTIVE PLAN</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Option Plan provides for the grant by Amdocs of restricted shares or stock options to our directors, employees (including officers) and consultants. Of the 13,300,000 ordinary shares originally available for issuance under the Option Plan, options to purchase 10,427,565 ordinary shares have been granted as of December 1, 2000, and 2,872,435 ordinary shares remain available for future grants. The board of directors has authorized an increase of 19,000,000 ordinary shares to the Option Plan, subject to shareholder approval at our next general meeting of shareholders. The purpose of the Option Plan is to enable us to attract and retain qualified personnel and to motivate such persons by providing them with an equity participation in the Company.</w:t>
      </w:r>
    </w:p>
    <w:p>
      <w:pPr>
        <w:spacing w:after="0" w:line="7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104"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Option Plan is administered by the Compensation Committee, which determines all the terms of the awards (subject to the above), including which employees are granted awards. The board of directors may amend or terminate the Option Plan, provided that stockholder approval is required to increase the number of ordinary shares available under the Option Plan, to decrease the basis upon which the minimum exercise price of options is determined or to extend the term of an individual option or the period in which awards may be granted. Ordinary shares acquired upon exercise of an award are subject to certain restrictions on sale, transfer or hypothecation.</w:t>
      </w:r>
    </w:p>
    <w:p>
      <w:pPr>
        <w:spacing w:after="0" w:line="9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As of December 1, 2000, there were outstanding options to purchase an aggregate 9,261,093 ordinary shares at exercise prices ranging from $1.92 to $77.25 per share and no restricted shares had been awarded.</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As a result of the ITDS and Solect transactions, as of December 1, 2000, we are obligated to issue (and have reserved for issuance) an additional 566,592 and 1,087,337 ordinary shares, respectively, upon exercise of options that had previously been granted under the ITDS and Solect option plans. These options vest over a period of 3.5 years and have exercise prices ranging from $0.001 to $74.79 per share. No additional options have been or will be granted under these plans.</w:t>
      </w:r>
    </w:p>
    <w:p>
      <w:pPr>
        <w:sectPr>
          <w:pgSz w:w="11900" w:h="16838" w:orient="portrait"/>
          <w:cols w:equalWidth="0" w:num="1">
            <w:col w:w="10219"/>
          </w:cols>
          <w:pgMar w:left="240" w:top="285" w:right="1440" w:bottom="0" w:gutter="0" w:footer="0" w:header="0"/>
        </w:sectPr>
      </w:pPr>
    </w:p>
    <w:bookmarkStart w:id="40" w:name="page41"/>
    <w:bookmarkEnd w:id="40"/>
    <w:p>
      <w:pPr>
        <w:ind w:left="29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Our voting ordinary shares are owned 13.8% by AXA Financial, Inc. and its affiliates, 10.4% by SBCI, 9.4% by Amdocs International Limited ("AIL"), a private company beneficially owned by Morris S. Kahn and 8.4% by Welsh, Carson, Anderson &amp; Stowe ("WCAS"), a private investment firm, and its affiliates.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As</w:t>
            </w:r>
          </w:p>
        </w:tc>
        <w:tc>
          <w:tcPr>
            <w:tcW w:w="3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a result of the concentration of</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9"/>
              </w:rPr>
              <w:t>ownership of our</w:t>
            </w:r>
          </w:p>
        </w:tc>
        <w:tc>
          <w:tcPr>
            <w:tcW w:w="2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ordinary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some shareholders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may be able to</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exercise control</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over matters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requiring</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approval,</w:t>
            </w:r>
          </w:p>
        </w:tc>
        <w:tc>
          <w:tcPr>
            <w:tcW w:w="3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including the election of directors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approval</w:t>
            </w:r>
          </w:p>
        </w:tc>
        <w:tc>
          <w:tcPr>
            <w:tcW w:w="1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significant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corporate</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transactions. This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control may have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effect of delaying</w:t>
            </w:r>
          </w:p>
        </w:tc>
      </w:tr>
      <w:tr>
        <w:trPr>
          <w:trHeight w:val="296"/>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or preventing a change in</w:t>
            </w:r>
          </w:p>
        </w:tc>
        <w:tc>
          <w:tcPr>
            <w:tcW w:w="33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w w:val="98"/>
              </w:rPr>
              <w:t>control of Amdocs.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09"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as of December 1, 2000 of any person known by us to be the beneficial owner of more than 5% of our outstanding voting ordinary shares.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5"/>
              </w:rPr>
              <w:t>SHARES</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PERCENTAGE</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8"/>
              </w:rPr>
              <w:t>NAME AND ADDRESS</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OWNED(1)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OWNERSHIP(2)</w:t>
            </w:r>
          </w:p>
        </w:tc>
        <w:tc>
          <w:tcPr>
            <w:tcW w:w="0" w:type="dxa"/>
            <w:vAlign w:val="bottom"/>
          </w:tcPr>
          <w:p>
            <w:pPr>
              <w:spacing w:after="0"/>
              <w:rPr>
                <w:sz w:val="1"/>
                <w:szCs w:val="1"/>
                <w:color w:val="auto"/>
              </w:rPr>
            </w:pPr>
          </w:p>
        </w:tc>
      </w:tr>
      <w:tr>
        <w:trPr>
          <w:trHeight w:val="296"/>
        </w:trPr>
        <w:tc>
          <w:tcPr>
            <w:tcW w:w="64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AXA Financial, Inc.(3)......................................</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8"/>
              </w:rPr>
              <w:t>27,453,122</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13.8%</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1290 Avenue of the Americas</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10104</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20,654,138</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10.4%</w:t>
            </w:r>
          </w:p>
        </w:tc>
        <w:tc>
          <w:tcPr>
            <w:tcW w:w="0" w:type="dxa"/>
            <w:vAlign w:val="bottom"/>
          </w:tcPr>
          <w:p>
            <w:pPr>
              <w:spacing w:after="0"/>
              <w:rPr>
                <w:sz w:val="1"/>
                <w:szCs w:val="1"/>
                <w:color w:val="auto"/>
              </w:rPr>
            </w:pPr>
          </w:p>
        </w:tc>
      </w:tr>
      <w:tr>
        <w:trPr>
          <w:trHeight w:val="203"/>
        </w:trPr>
        <w:tc>
          <w:tcPr>
            <w:tcW w:w="6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SBC International Inc.(4)...................................</w:t>
            </w: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175 E. Houston Street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Antonio, Texas 78205-2233</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18,744,442</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9.4%</w:t>
            </w:r>
          </w:p>
        </w:tc>
        <w:tc>
          <w:tcPr>
            <w:tcW w:w="0" w:type="dxa"/>
            <w:vAlign w:val="bottom"/>
          </w:tcPr>
          <w:p>
            <w:pPr>
              <w:spacing w:after="0"/>
              <w:rPr>
                <w:sz w:val="1"/>
                <w:szCs w:val="1"/>
                <w:color w:val="auto"/>
              </w:rPr>
            </w:pPr>
          </w:p>
        </w:tc>
      </w:tr>
      <w:tr>
        <w:trPr>
          <w:trHeight w:val="203"/>
        </w:trPr>
        <w:tc>
          <w:tcPr>
            <w:tcW w:w="6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Amdocs International Limited(5).............................</w:t>
            </w: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Suite 5, Tower Hill House</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 Bordage, St. Peter Port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Guernsey GY1 3QT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Channel Islands</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16,752,911</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8.4%</w:t>
            </w:r>
          </w:p>
        </w:tc>
        <w:tc>
          <w:tcPr>
            <w:tcW w:w="0" w:type="dxa"/>
            <w:vAlign w:val="bottom"/>
          </w:tcPr>
          <w:p>
            <w:pPr>
              <w:spacing w:after="0"/>
              <w:rPr>
                <w:sz w:val="1"/>
                <w:szCs w:val="1"/>
                <w:color w:val="auto"/>
              </w:rPr>
            </w:pPr>
          </w:p>
        </w:tc>
      </w:tr>
      <w:tr>
        <w:trPr>
          <w:trHeight w:val="203"/>
        </w:trPr>
        <w:tc>
          <w:tcPr>
            <w:tcW w:w="6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Welsh, Carson, Anderson &amp; Stowe(6)..........................</w:t>
            </w: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320 Park Avenue, Suite 2500</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ind w:left="220"/>
              <w:spacing w:after="0"/>
              <w:rPr>
                <w:sz w:val="20"/>
                <w:szCs w:val="20"/>
                <w:color w:val="auto"/>
              </w:rPr>
            </w:pPr>
            <w:r>
              <w:rPr>
                <w:rFonts w:ascii="Courier New" w:cs="Courier New" w:eastAsia="Courier New" w:hAnsi="Courier New"/>
                <w:sz w:val="18"/>
                <w:szCs w:val="18"/>
                <w:color w:val="auto"/>
              </w:rPr>
              <w:t>New York, New York 10022</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779" w:hanging="412"/>
        <w:spacing w:after="0" w:line="262"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identified in this table have sole voting and investment power with respect to all voting ordinary shares shown as beneficially owned by them, subject to community property laws, where applicable.</w:t>
      </w:r>
    </w:p>
    <w:p>
      <w:pPr>
        <w:spacing w:after="0" w:line="90" w:lineRule="exact"/>
        <w:rPr>
          <w:rFonts w:ascii="Courier New" w:cs="Courier New" w:eastAsia="Courier New" w:hAnsi="Courier New"/>
          <w:sz w:val="18"/>
          <w:szCs w:val="18"/>
          <w:color w:val="auto"/>
        </w:rPr>
      </w:pPr>
    </w:p>
    <w:p>
      <w:pPr>
        <w:ind w:left="420" w:right="2519" w:hanging="412"/>
        <w:spacing w:after="0" w:line="34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198,370,603 voting ordinary shares outstanding on December 1, 2000.</w:t>
      </w:r>
    </w:p>
    <w:p>
      <w:pPr>
        <w:spacing w:after="0" w:line="18" w:lineRule="exact"/>
        <w:rPr>
          <w:rFonts w:ascii="Courier New" w:cs="Courier New" w:eastAsia="Courier New" w:hAnsi="Courier New"/>
          <w:sz w:val="18"/>
          <w:szCs w:val="18"/>
          <w:color w:val="auto"/>
        </w:rPr>
      </w:pPr>
    </w:p>
    <w:p>
      <w:pPr>
        <w:ind w:left="420" w:right="1999" w:hanging="412"/>
        <w:spacing w:after="0" w:line="274"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26,911,722 shares held indirectly through AXA Financial's majority-owned subsidiary Alliance Capital Management L.P. and 541,400 shares held indirectly through AXA Financial's wholly-owned subsidiary the Equitable Life Assurance Society of the United States.</w:t>
      </w:r>
    </w:p>
    <w:p>
      <w:pPr>
        <w:spacing w:after="0" w:line="81" w:lineRule="exact"/>
        <w:rPr>
          <w:rFonts w:ascii="Courier New" w:cs="Courier New" w:eastAsia="Courier New" w:hAnsi="Courier New"/>
          <w:sz w:val="18"/>
          <w:szCs w:val="18"/>
          <w:color w:val="auto"/>
        </w:rPr>
      </w:pPr>
    </w:p>
    <w:p>
      <w:pPr>
        <w:ind w:left="420" w:right="1879" w:hanging="412"/>
        <w:spacing w:after="0" w:line="256"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is a wholly-owned subsidiary of SBC, a company whose shares are publicly traded on the NYSE. SBCI also owns 22,864,373 non-voting ordinary shares, which, together with its voting ordinary shares, represent 19.7% of our aggregate outstanding shares as of December 1, 2000. SBCI is the only shareholder that holds our non-voting ordinary shares. James S. Kahan, Senior Executive Vice President-Corporate Development of SBC, serves on our board of directors.</w:t>
      </w:r>
    </w:p>
    <w:p>
      <w:pPr>
        <w:spacing w:after="0" w:line="98" w:lineRule="exact"/>
        <w:rPr>
          <w:rFonts w:ascii="Courier New" w:cs="Courier New" w:eastAsia="Courier New" w:hAnsi="Courier New"/>
          <w:sz w:val="18"/>
          <w:szCs w:val="18"/>
          <w:color w:val="auto"/>
        </w:rPr>
      </w:pPr>
    </w:p>
    <w:p>
      <w:pPr>
        <w:ind w:left="420" w:right="1779" w:hanging="412"/>
        <w:spacing w:after="0" w:line="298" w:lineRule="auto"/>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shown as beneficially owned by AIL includes 10,000,000 voting ordinary shares that AIL may be required to deliver to the Amdocs Automatic Common Exchange Security Trust (the "TRACES Trust") upon the exchange of Automatic Common Exchange Securities that were issued and sold by the TRACES Trust in June 1999. The exchange date for the Automatic Common Exchange Securities will occur no earlier than June 11, 2002.</w:t>
      </w:r>
    </w:p>
    <w:p>
      <w:pPr>
        <w:sectPr>
          <w:pgSz w:w="11900" w:h="16838" w:orient="portrait"/>
          <w:cols w:equalWidth="0" w:num="1">
            <w:col w:w="10219"/>
          </w:cols>
          <w:pgMar w:left="240" w:top="285" w:right="1440" w:bottom="1019" w:gutter="0" w:footer="0" w:header="0"/>
        </w:sectPr>
      </w:pP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85" w:right="1440" w:bottom="1019"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420" w:right="1779" w:hanging="412"/>
        <w:spacing w:after="0" w:line="256"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10,857,994 voting ordinary shares held by Welsh, Carson, Anderson &amp; Stowe VII, L.P., 3,107,681 voting ordinary shares held by Welsh, Carson, Anderson &amp; Stowe VI, L.P. and 2,787,236 voting ordinary shares held by WCAS Capital Partners III, L.P. Bruce K. Anderson and Robert A. Minicucci, principals of the various WCAS entities, serve on our board of directors and as Chairman of the Board and Chief Executive Officer of Amdocs, and Chief Financial Officer of Amdocs, respectively.</w:t>
      </w:r>
    </w:p>
    <w:p>
      <w:pPr>
        <w:spacing w:after="0" w:line="98"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Pursuant to a call option agreement entered into in September 1997 among various of our shareholders as of that date, a call option was exercised in November 1999, without the payment of any consideration, as a result of certain revenue and cash flow targets having been met by us, which resulted in the relative ownership of certain of our shareholders increasing or decreasing with no change in the aggregate number of our outstanding ordinary shares.</w:t>
      </w:r>
    </w:p>
    <w:p>
      <w:pPr>
        <w:spacing w:after="0" w:line="6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As of December 1, 2000, our ordinary shares were held by approximately 274 recordholders. Based on a review of the information provided to us by our transfer agent, 180 recordholders, holding approximately 83.0% of our outstanding ordinary shares, were residents of the United States.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 AGREEMENTS</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September 1997, Amdocs and affiliates of WCAS and certain other investors (the "WCAS Investors") entered into a Share Subscription Agreement under which the WCAS Investors acquired from us on September 22, 1997, $3.27 million principal amount of junior promissory notes and ordinary shares issued by us representing 8.7% of our then outstanding equity for $61.2 million. On that date, Amdocs and the WCAS Investors also entered into a Conditional Investment Agreement, under which the WCAS Investors agreed, subject to the satisfaction of specific revenue and cash flow targets through November 30, 1997, to acquire additional shares of Amdocs which, when added to the shares acquired under the Share Subscription Agreement, would constitute 35.0% of our outstanding equity as of September 22, 1997. Concurrently with the signing of the Conditional Investment Agreement, a subsidiary of Amdocs, European Software Marketing Ltd. ("ESM"), entered into a Note Purchase Agreement with WCAS Capital Partners III, L.P., an investment partnership affiliated with WCAS, and several other investors, providing for the issuance of up to $125.0 million principal amount of 10% subordinated notes of ESM, subject to the satisfaction of the same financial targets set forth in the Conditional Investment Agreement. In January 1998, with the financial targets having been met, ESM sold $123.5 million principal amount of subordinated notes under the Note Purchase Agreement for a purchase price equal to their principal amount. On March 30, 1998, we completed the transactions contemplated by the Conditional Investment Agreement by issuing and selling to the WCAS Investors 51,507,716 ordinary shares for $95.83 million in cash and the surrender of the $3.27 million principal amount of junior promissory notes issued by us in September 1997.</w:t>
      </w:r>
    </w:p>
    <w:p>
      <w:pPr>
        <w:spacing w:after="0" w:line="200" w:lineRule="exact"/>
        <w:rPr>
          <w:sz w:val="20"/>
          <w:szCs w:val="20"/>
          <w:color w:val="auto"/>
        </w:rPr>
      </w:pPr>
    </w:p>
    <w:p>
      <w:pPr>
        <w:spacing w:after="0" w:line="29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proceeds of the equity and subordinated debt investments made under the Share Subscription Agreement, the Conditional Investment Agreement and the Note Purchase Agreement were used, together with the proceeds of a senior bank debt financing and internally generated funds, to acquire for $40.0 million certain intellectual property rights from operating subsidiaries of SBC and to fund an internal corporate reorganization. Following the reorganization, $478.7 million in dividends were paid to our shareholders, including a total of $39.9 million to the WCAS Investors.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SHAREHOLDERS AGREEMENTS</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In connection with the Share Subscription Agreement and Conditional Investment Agreement, SBCI, WCAS (on behalf of the WCAS Investors), AIL and Amdocs, entered into a Shareholders Agreement, under</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85"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which these shareholders have certain rights to have their shares registered for sale to the public under the Securities Act of 1933, as amended.</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Pursuant to separate Shareholders Agreements entered into in 1995 among various of our shareholders as of that date, the parties thereto have, subject to the occurrence of specified events, call and put rights with respect to certain shares held by the parties. These rights expire ratably over time and fully expire in 2002. The exercise of such rights will not affect the number of our outstanding ordinary shares.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RELATIONSHIP WITH SBC</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SBC and some of its operating subsidiaries are also significant customers of ours. During fiscal 2000, 1999 and 1998, SBC and those subsidiaries accounted for approximately 12.6%, 15.9% and 20.8%, respectively, of our revenue.</w:t>
      </w:r>
    </w:p>
    <w:p>
      <w:pPr>
        <w:spacing w:after="0" w:line="3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March 1999, we entered into an agreement with a subsidiary of SBC, under which SBC has agreed that the level of support and development services that we provide to SBC and its subsidiaries over the subsequent three years will be at least equal to a substantial portion of the services we provided to SBC as of such date.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RELATIONSHIPS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Since fiscal 1997, we have provided a CC&amp;B Systems and related customization and implementation services to GoldenLines Limited, a provider of international telephone service for calls to and from Israel. SBC and Morris S. Kahn have a significant beneficial interest in GoldenLines.</w:t>
      </w:r>
    </w:p>
    <w:p>
      <w:pPr>
        <w:spacing w:after="0" w:line="8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SBC and Mr. Kahn also are the beneficial owners of a company that leases certain office facilities and provides certain miscellaneous support services to us in Israel.</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Our Consolidated Financial Statements are set forth in our Current Report on Form 6-K dated December 29, 2000, which is incorporated herein by reference.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not involved in any material 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did not pay any cash dividends on our ordinary shares in fiscal 2000 or 1999. We paid cash dividends totaling $478.7 million, $19.3 million and $37.9 million on our ordinary shares in each of fiscal 1998, 1997 and 1996, respectively. After the payment of the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our existing debt and any additional debt that may be incurred by us may effectively limit our ability to pay dividends.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annual high and low reported sale prices for the ordinary shares were $96.00 and $19.81, respectively, for fiscal 2000 and were $30.25 and $8.75, respectively, for fiscal 1999. Through November 30, 2000, the high and low reported sale prices for the ordinary shares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7"/>
              </w:rPr>
              <w:t>HIGH</w:t>
            </w:r>
          </w:p>
        </w:tc>
        <w:tc>
          <w:tcPr>
            <w:tcW w:w="280" w:type="dxa"/>
            <w:vAlign w:val="bottom"/>
          </w:tcPr>
          <w:p>
            <w:pPr>
              <w:spacing w:after="0"/>
              <w:rPr>
                <w:sz w:val="17"/>
                <w:szCs w:val="17"/>
                <w:color w:val="auto"/>
              </w:rPr>
            </w:pP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6"/>
              </w:rPr>
              <w:t>LOW</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Fiscal Year ending September 30, 1998:</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$16.50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14.00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 (since June 19, 1998).......................</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$16.38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ending September 30, 1999:</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$17.50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8.75</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$26.38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13.50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$29.69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18.38</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$30.25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ending September 30, 2000:</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$37.94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19.81</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$96.00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32.44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$88.75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49.00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$88.75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59.38</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Most recent six months:</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$81.50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62.50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June, 2000................................................</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July, 2000................................................</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$88.75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66.13</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August, 2000..............................................</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$73.38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59.38</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September, 2000...........................................</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$72.75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60.00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October, 2000.............................................</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$67.38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53.88</w:t>
            </w:r>
          </w:p>
        </w:tc>
        <w:tc>
          <w:tcPr>
            <w:tcW w:w="0" w:type="dxa"/>
            <w:vAlign w:val="bottom"/>
          </w:tcPr>
          <w:p>
            <w:pPr>
              <w:spacing w:after="0"/>
              <w:rPr>
                <w:sz w:val="1"/>
                <w:szCs w:val="1"/>
                <w:color w:val="auto"/>
              </w:rPr>
            </w:pPr>
          </w:p>
        </w:tc>
      </w:tr>
      <w:tr>
        <w:trPr>
          <w:trHeight w:val="296"/>
        </w:trPr>
        <w:tc>
          <w:tcPr>
            <w:tcW w:w="6440" w:type="dxa"/>
            <w:vAlign w:val="bottom"/>
          </w:tcPr>
          <w:p>
            <w:pPr>
              <w:ind w:left="220"/>
              <w:spacing w:after="0"/>
              <w:rPr>
                <w:sz w:val="20"/>
                <w:szCs w:val="20"/>
                <w:color w:val="auto"/>
              </w:rPr>
            </w:pPr>
            <w:r>
              <w:rPr>
                <w:rFonts w:ascii="Courier New" w:cs="Courier New" w:eastAsia="Courier New" w:hAnsi="Courier New"/>
                <w:sz w:val="18"/>
                <w:szCs w:val="18"/>
                <w:color w:val="auto"/>
                <w:w w:val="98"/>
              </w:rPr>
              <w:t>November, 2000............................................</w:t>
            </w: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8"/>
              </w:rPr>
              <w:t>$73.50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51.63</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90"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and are set forth in detail at Clause 3(1) to</w:t>
      </w:r>
    </w:p>
    <w:p>
      <w:pPr>
        <w:spacing w:after="0" w:line="1" w:lineRule="exact"/>
        <w:rPr>
          <w:sz w:val="20"/>
          <w:szCs w:val="20"/>
          <w:color w:val="auto"/>
        </w:rPr>
      </w:pPr>
    </w:p>
    <w:p>
      <w:pPr>
        <w:ind w:right="2619" w:firstLine="8"/>
        <w:spacing w:after="0" w:line="309"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Memorandum of Association of the Company (the "Memorandum of Association").</w:t>
      </w:r>
    </w:p>
    <w:p>
      <w:pPr>
        <w:spacing w:after="0" w:line="5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 themselves or any members of their body under any circumstances.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ectPr>
          <w:pgSz w:w="11900" w:h="16838" w:orient="portrait"/>
          <w:cols w:equalWidth="0" w:num="1">
            <w:col w:w="10219"/>
          </w:cols>
          <w:pgMar w:left="240" w:top="285" w:right="1440" w:bottom="1440" w:gutter="0" w:footer="0" w:header="0"/>
        </w:sectPr>
      </w:pP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85"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1" w:lineRule="exact"/>
        <w:rPr>
          <w:sz w:val="20"/>
          <w:szCs w:val="20"/>
          <w:color w:val="auto"/>
        </w:rPr>
      </w:pPr>
    </w:p>
    <w:p>
      <w:pPr>
        <w:ind w:left="740" w:right="1999" w:hanging="205"/>
        <w:spacing w:after="0" w:line="34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18" w:lineRule="exact"/>
        <w:rPr>
          <w:rFonts w:ascii="Courier New" w:cs="Courier New" w:eastAsia="Courier New" w:hAnsi="Courier New"/>
          <w:sz w:val="18"/>
          <w:szCs w:val="18"/>
          <w:color w:val="auto"/>
        </w:rPr>
      </w:pPr>
    </w:p>
    <w:p>
      <w:pPr>
        <w:ind w:left="740" w:right="1879" w:hanging="205"/>
        <w:spacing w:after="0" w:line="306"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60"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81"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04"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66" w:lineRule="exact"/>
        <w:rPr>
          <w:sz w:val="20"/>
          <w:szCs w:val="20"/>
          <w:color w:val="auto"/>
        </w:rPr>
      </w:pPr>
    </w:p>
    <w:p>
      <w:pPr>
        <w:ind w:left="740" w:right="1779" w:hanging="205"/>
        <w:spacing w:after="0" w:line="260"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92"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92" w:lineRule="exact"/>
        <w:rPr>
          <w:rFonts w:ascii="Courier New" w:cs="Courier New" w:eastAsia="Courier New" w:hAnsi="Courier New"/>
          <w:sz w:val="18"/>
          <w:szCs w:val="18"/>
          <w:color w:val="auto"/>
        </w:rPr>
      </w:pPr>
    </w:p>
    <w:p>
      <w:pPr>
        <w:ind w:left="740" w:right="2199" w:hanging="205"/>
        <w:spacing w:after="0" w:line="26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89" w:lineRule="exact"/>
        <w:rPr>
          <w:rFonts w:ascii="Courier New" w:cs="Courier New" w:eastAsia="Courier New" w:hAnsi="Courier New"/>
          <w:sz w:val="18"/>
          <w:szCs w:val="18"/>
          <w:color w:val="auto"/>
        </w:rPr>
      </w:pPr>
    </w:p>
    <w:p>
      <w:pPr>
        <w:ind w:left="740" w:right="2099" w:hanging="205"/>
        <w:spacing w:after="0" w:line="344"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30" w:lineRule="exact"/>
        <w:rPr>
          <w:rFonts w:ascii="Courier New" w:cs="Courier New" w:eastAsia="Courier New" w:hAnsi="Courier New"/>
          <w:sz w:val="16"/>
          <w:szCs w:val="16"/>
          <w:color w:val="auto"/>
        </w:rPr>
      </w:pPr>
    </w:p>
    <w:p>
      <w:pPr>
        <w:ind w:left="740" w:right="1779" w:hanging="205"/>
        <w:spacing w:after="0" w:line="274"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except for liquidation preference, the voting ordinary shares and non-voting ordinary shares are subject to all the powers, rights, privileges, preferences and priorities of the preferred shares as are set out in the Articles of Association.</w:t>
      </w:r>
    </w:p>
    <w:p>
      <w:pPr>
        <w:sectPr>
          <w:pgSz w:w="11900" w:h="16838" w:orient="portrait"/>
          <w:cols w:equalWidth="0" w:num="1">
            <w:col w:w="10219"/>
          </w:cols>
          <w:pgMar w:left="240" w:top="285" w:right="1440" w:bottom="208"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85" w:right="1440" w:bottom="208"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3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66" w:lineRule="exact"/>
        <w:rPr>
          <w:sz w:val="20"/>
          <w:szCs w:val="20"/>
          <w:color w:val="auto"/>
        </w:rPr>
      </w:pPr>
    </w:p>
    <w:p>
      <w:pPr>
        <w:ind w:left="740" w:right="1779" w:hanging="205"/>
        <w:spacing w:after="0" w:line="318"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52" w:lineRule="exact"/>
        <w:rPr>
          <w:rFonts w:ascii="Courier New" w:cs="Courier New" w:eastAsia="Courier New" w:hAnsi="Courier New"/>
          <w:sz w:val="16"/>
          <w:szCs w:val="16"/>
          <w:color w:val="auto"/>
        </w:rPr>
      </w:pPr>
    </w:p>
    <w:p>
      <w:pPr>
        <w:ind w:left="740" w:right="1779" w:hanging="205"/>
        <w:spacing w:after="0" w:line="260"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93"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6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Provisions in respect of the holding of general meetings and extraordinary general meetings are set out at Articles 14, 15 and 16 of the Articles of Association. The Articles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00" w:lineRule="exact"/>
        <w:rPr>
          <w:sz w:val="20"/>
          <w:szCs w:val="20"/>
          <w:color w:val="auto"/>
        </w:rPr>
      </w:pPr>
    </w:p>
    <w:p>
      <w:pPr>
        <w:spacing w:after="0" w:line="306"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90"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disclose such ownership. In addition, holders of more than 5% of a registered equity security must disclose such ownership.</w:t>
      </w:r>
    </w:p>
    <w:p>
      <w:pPr>
        <w:spacing w:after="0" w:line="7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and the</w:t>
      </w:r>
    </w:p>
    <w:p>
      <w:pPr>
        <w:sectPr>
          <w:pgSz w:w="11900" w:h="16838" w:orient="portrait"/>
          <w:cols w:equalWidth="0" w:num="1">
            <w:col w:w="10219"/>
          </w:cols>
          <w:pgMar w:left="240" w:top="285" w:right="1440" w:bottom="0" w:gutter="0" w:footer="0" w:header="0"/>
        </w:sectPr>
      </w:pP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85" w:right="1440" w:bottom="0"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Other than the ITDS and Solect acquisition transaction agreements and related documents, in the past two years we have not entered into any material contracts other than contracts entered into in the ordinary course of our business. See "Information on the Company -- History and Development of Amdocs".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CONTROLS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Our overall effective tax rate has historically been approximately 30% due to the various corporate income tax rates in the countries in which we operate and the relative magnitude of our activities in those countries. Our consolidated effective tax rate (calculated based on the income taxes out of the income before income taxes, excluding nonrecurring charges for write-offs of purchased in-process research and development and other indirect acquisition-related costs) for fiscal 2000 was 49%. This higher effective tax rate was attributable to amortization of goodwill related to our acquisitions of ITDS and Solect, much of which is not tax deductible. Excluding the impact of the ITDS and Solect acquisition-related charges, the effective tax rate for fiscal 2000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Ireland and Israel. The loss of any such tax benefits could have an adverse effect on our effective tax rate.</w:t>
      </w:r>
    </w:p>
    <w:p>
      <w:pPr>
        <w:spacing w:after="0" w:line="1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Cyprus Tax Considerations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conducted by it are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ectPr>
          <w:pgSz w:w="11900" w:h="16838" w:orient="portrait"/>
          <w:cols w:equalWidth="0" w:num="1">
            <w:col w:w="10219"/>
          </w:cols>
          <w:pgMar w:left="240" w:top="285" w:right="1440" w:bottom="1440" w:gutter="0" w:footer="0" w:header="0"/>
        </w:sectPr>
      </w:pP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85" w:right="1440" w:bottom="1440"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Irish Tax Considerations</w:t>
      </w:r>
    </w:p>
    <w:p>
      <w:pPr>
        <w:spacing w:after="0" w:line="201"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Our Irish subsidiary, Amdocs Software Systems Ltd., operates a development center. The corporation tax rate on its trading activities is 24% for 2000 and will decline to 20% in 2001 and to 16% in 2002, and finally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is subject to a corporation tax rate in Ireland of 10% with respect to its manufacturing activities. This tax rate on manufacturing activities will be available to our Irish subsidiary until December 31, 2002. As of January 1, 2003, our Irish subsidiary will be subject to a single corporation tax rate of 12.5% on all of its trading and manufacturing activities.</w:t>
      </w:r>
    </w:p>
    <w:p>
      <w:pPr>
        <w:spacing w:after="0" w:line="2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1"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our Israeli subsidiary.</w:t>
      </w:r>
    </w:p>
    <w:p>
      <w:pPr>
        <w:spacing w:after="0" w:line="66"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60"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75"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18" w:lineRule="exact"/>
        <w:rPr>
          <w:sz w:val="20"/>
          <w:szCs w:val="20"/>
          <w:color w:val="auto"/>
        </w:rPr>
      </w:pPr>
    </w:p>
    <w:p>
      <w:pPr>
        <w:ind w:left="740" w:right="1779" w:hanging="205"/>
        <w:spacing w:after="0" w:line="292"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w:t>
      </w:r>
    </w:p>
    <w:p>
      <w:pPr>
        <w:spacing w:after="0" w:line="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w:t>
      </w:r>
    </w:p>
    <w:p>
      <w:pPr>
        <w:sectPr>
          <w:pgSz w:w="11900" w:h="16838" w:orient="portrait"/>
          <w:cols w:equalWidth="0" w:num="1">
            <w:col w:w="10219"/>
          </w:cols>
          <w:pgMar w:left="240" w:top="285" w:right="1440" w:bottom="379" w:gutter="0" w:footer="0" w:header="0"/>
        </w:sectPr>
      </w:pP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85" w:right="1440" w:bottom="379"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8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1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1" w:lineRule="exact"/>
        <w:rPr>
          <w:sz w:val="20"/>
          <w:szCs w:val="20"/>
          <w:color w:val="auto"/>
        </w:rPr>
      </w:pPr>
    </w:p>
    <w:p>
      <w:pPr>
        <w:ind w:right="2419" w:firstLine="527"/>
        <w:spacing w:after="0" w:line="402" w:lineRule="auto"/>
        <w:rPr>
          <w:sz w:val="20"/>
          <w:szCs w:val="20"/>
          <w:color w:val="auto"/>
        </w:rPr>
      </w:pPr>
      <w:r>
        <w:rPr>
          <w:rFonts w:ascii="Courier New" w:cs="Courier New" w:eastAsia="Courier New" w:hAnsi="Courier New"/>
          <w:sz w:val="16"/>
          <w:szCs w:val="16"/>
          <w:color w:val="auto"/>
        </w:rPr>
        <w:t>The following discussion describes the material United States federal income tax consequences to a holder of our ordinary shares that is</w:t>
      </w:r>
    </w:p>
    <w:p>
      <w:pPr>
        <w:spacing w:after="0" w:line="1" w:lineRule="exact"/>
        <w:rPr>
          <w:sz w:val="20"/>
          <w:szCs w:val="20"/>
          <w:color w:val="auto"/>
        </w:rPr>
      </w:pPr>
    </w:p>
    <w:p>
      <w:pPr>
        <w:ind w:left="1160" w:hanging="625"/>
        <w:spacing w:after="0"/>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1" w:lineRule="exact"/>
        <w:rPr>
          <w:rFonts w:ascii="Courier New" w:cs="Courier New" w:eastAsia="Courier New" w:hAnsi="Courier New"/>
          <w:sz w:val="18"/>
          <w:szCs w:val="18"/>
          <w:color w:val="auto"/>
        </w:rPr>
      </w:pPr>
    </w:p>
    <w:p>
      <w:pPr>
        <w:ind w:left="1160" w:right="2319" w:hanging="625"/>
        <w:spacing w:after="0" w:line="347" w:lineRule="auto"/>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18" w:lineRule="exact"/>
        <w:rPr>
          <w:rFonts w:ascii="Courier New" w:cs="Courier New" w:eastAsia="Courier New" w:hAnsi="Courier New"/>
          <w:sz w:val="18"/>
          <w:szCs w:val="18"/>
          <w:color w:val="auto"/>
        </w:rPr>
      </w:pPr>
    </w:p>
    <w:p>
      <w:pPr>
        <w:ind w:left="1160" w:right="1999" w:hanging="625"/>
        <w:spacing w:after="0" w:line="292" w:lineRule="auto"/>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includable in gross income for United States federal income tax purposes regardless of its source, or</w:t>
      </w:r>
    </w:p>
    <w:p>
      <w:pPr>
        <w:spacing w:after="0" w:line="66" w:lineRule="exact"/>
        <w:rPr>
          <w:rFonts w:ascii="Courier New" w:cs="Courier New" w:eastAsia="Courier New" w:hAnsi="Courier New"/>
          <w:sz w:val="18"/>
          <w:szCs w:val="18"/>
          <w:color w:val="auto"/>
        </w:rPr>
      </w:pPr>
    </w:p>
    <w:p>
      <w:pPr>
        <w:ind w:left="1060" w:right="2099" w:hanging="525"/>
        <w:spacing w:after="0" w:line="274"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ectPr>
          <w:pgSz w:w="11900" w:h="16838" w:orient="portrait"/>
          <w:cols w:equalWidth="0" w:num="1">
            <w:col w:w="10219"/>
          </w:cols>
          <w:pgMar w:left="240" w:top="285" w:right="1440" w:bottom="1019"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85" w:right="1440" w:bottom="1019"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8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08"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99"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0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9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ectPr>
          <w:pgSz w:w="11900" w:h="16838" w:orient="portrait"/>
          <w:cols w:equalWidth="0" w:num="1">
            <w:col w:w="10219"/>
          </w:cols>
          <w:pgMar w:left="240" w:top="285" w:right="1440" w:bottom="411"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85" w:right="1440" w:bottom="411"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98"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1"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Approximately 89% of our revenue is in dollars or linked to the dollar and therefore the dollar is our functional currency. Approximately 58% of our operating expenses are paid in dollars or are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September 30, 2000, we had hedged most of our significant exposures in currencies other than the dollar.</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285"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1" w:lineRule="exact"/>
        <w:rPr>
          <w:sz w:val="20"/>
          <w:szCs w:val="20"/>
          <w:color w:val="auto"/>
        </w:rPr>
      </w:pPr>
    </w:p>
    <w:p>
      <w:pPr>
        <w:ind w:right="2000" w:firstLine="527"/>
        <w:spacing w:after="0" w:line="246" w:lineRule="auto"/>
        <w:rPr>
          <w:sz w:val="20"/>
          <w:szCs w:val="20"/>
          <w:color w:val="auto"/>
        </w:rPr>
      </w:pPr>
      <w:r>
        <w:rPr>
          <w:rFonts w:ascii="Courier New" w:cs="Courier New" w:eastAsia="Courier New" w:hAnsi="Courier New"/>
          <w:sz w:val="18"/>
          <w:szCs w:val="18"/>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20 to our Consolidated Financial Statements, set forth in our Current Report on Form 6-K dated December 29, 2000. The following table summarizes our foreign currency forward exchange agreements as of September 30, 2000. The table (all dollar amounts in millions) presents the notional amounts, weighted average exchange rates by expected (contractual) maturity dates, and fair value of the total derivative instruments as of September 30, 2000. Notional values and average contract rates are calculated based on forward rates as of September 30, 2000, dollar translated.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740" w:type="dxa"/>
            <w:vAlign w:val="bottom"/>
            <w:gridSpan w:val="5"/>
            <w:vMerge w:val="restart"/>
          </w:tcPr>
          <w:p>
            <w:pPr>
              <w:ind w:left="100"/>
              <w:spacing w:after="0"/>
              <w:rPr>
                <w:sz w:val="20"/>
                <w:szCs w:val="20"/>
                <w:color w:val="auto"/>
              </w:rPr>
            </w:pPr>
            <w:r>
              <w:rPr>
                <w:rFonts w:ascii="Courier New" w:cs="Courier New" w:eastAsia="Courier New" w:hAnsi="Courier New"/>
                <w:sz w:val="18"/>
                <w:szCs w:val="18"/>
                <w:color w:val="auto"/>
              </w:rPr>
              <w:t>FOR THE YEAR ENDED SEPTEMBER 30,</w:t>
            </w:r>
          </w:p>
        </w:tc>
        <w:tc>
          <w:tcPr>
            <w:tcW w:w="80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AS OF</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3740" w:type="dxa"/>
            <w:vAlign w:val="bottom"/>
            <w:gridSpan w:val="5"/>
            <w:vMerge w:val="continue"/>
          </w:tcPr>
          <w:p>
            <w:pPr>
              <w:spacing w:after="0"/>
              <w:rPr>
                <w:sz w:val="17"/>
                <w:szCs w:val="17"/>
                <w:color w:val="auto"/>
              </w:rPr>
            </w:pPr>
          </w:p>
        </w:tc>
        <w:tc>
          <w:tcPr>
            <w:tcW w:w="2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SEPTEMBER 30, 2000</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2"/>
                <w:szCs w:val="2"/>
                <w:color w:val="auto"/>
                <w:w w:val="75"/>
              </w:rPr>
              <w:t>---------------------------------</w:t>
            </w:r>
          </w:p>
        </w:tc>
        <w:tc>
          <w:tcPr>
            <w:tcW w:w="9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2"/>
              </w:rPr>
              <w:t>2001</w:t>
            </w:r>
          </w:p>
        </w:tc>
        <w:tc>
          <w:tcPr>
            <w:tcW w:w="360" w:type="dxa"/>
            <w:vAlign w:val="bottom"/>
          </w:tcPr>
          <w:p>
            <w:pPr>
              <w:spacing w:after="0"/>
              <w:rPr>
                <w:sz w:val="17"/>
                <w:szCs w:val="17"/>
                <w:color w:val="auto"/>
              </w:rPr>
            </w:pPr>
          </w:p>
        </w:tc>
        <w:tc>
          <w:tcPr>
            <w:tcW w:w="9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2"/>
              </w:rPr>
              <w:t>2002</w:t>
            </w: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2003</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FAIR VALUE OF</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DERIVATIVE</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860" w:type="dxa"/>
            <w:vAlign w:val="bottom"/>
            <w:gridSpan w:val="3"/>
          </w:tcPr>
          <w:p>
            <w:pPr>
              <w:spacing w:after="0"/>
              <w:rPr>
                <w:sz w:val="20"/>
                <w:szCs w:val="20"/>
                <w:color w:val="auto"/>
              </w:rPr>
            </w:pPr>
            <w:r>
              <w:rPr>
                <w:rFonts w:ascii="Courier New" w:cs="Courier New" w:eastAsia="Courier New" w:hAnsi="Courier New"/>
                <w:sz w:val="18"/>
                <w:szCs w:val="18"/>
                <w:color w:val="auto"/>
              </w:rPr>
              <w:t>Forward contracts to sell foreign currency in dollars: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British Pounds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19.35</w:t>
            </w:r>
          </w:p>
        </w:tc>
        <w:tc>
          <w:tcPr>
            <w:tcW w:w="360" w:type="dxa"/>
            <w:vAlign w:val="bottom"/>
          </w:tcPr>
          <w:p>
            <w:pPr>
              <w:spacing w:after="0"/>
              <w:rPr>
                <w:sz w:val="17"/>
                <w:szCs w:val="17"/>
                <w:color w:val="auto"/>
              </w:rPr>
            </w:pP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(1.10)</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Notional value...........................</w:t>
            </w: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Average contract rate....................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Canadian Dollars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6.37</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(0.17)</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Notional value...........................</w:t>
            </w: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Average contract rate....................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 (Deutsche Marks)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0.18</w:t>
            </w:r>
          </w:p>
        </w:tc>
        <w:tc>
          <w:tcPr>
            <w:tcW w:w="360" w:type="dxa"/>
            <w:vAlign w:val="bottom"/>
          </w:tcPr>
          <w:p>
            <w:pPr>
              <w:spacing w:after="0"/>
              <w:rPr>
                <w:sz w:val="17"/>
                <w:szCs w:val="17"/>
                <w:color w:val="auto"/>
              </w:rPr>
            </w:pP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Notional value...........................</w:t>
            </w: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Average contract rate....................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Forward contracts to buy foreign currency for dollars: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Australian Dollars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11.54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6.00</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4.70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3.05</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Notional value...........................</w:t>
            </w: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Average contract rate....................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0.65</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Israeli Shekels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5"/>
              </w:rPr>
              <w:t>196.70</w:t>
            </w:r>
          </w:p>
        </w:tc>
        <w:tc>
          <w:tcPr>
            <w:tcW w:w="360" w:type="dxa"/>
            <w:vAlign w:val="bottom"/>
          </w:tcPr>
          <w:p>
            <w:pPr>
              <w:spacing w:after="0"/>
              <w:rPr>
                <w:sz w:val="17"/>
                <w:szCs w:val="17"/>
                <w:color w:val="auto"/>
              </w:rPr>
            </w:pP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(4.79)</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Notional value...........................</w:t>
            </w: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w w:val="99"/>
              </w:rPr>
              <w:t>Average contract rate....................</w:t>
            </w:r>
          </w:p>
        </w:tc>
        <w:tc>
          <w:tcPr>
            <w:tcW w:w="3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4.15</w:t>
            </w:r>
          </w:p>
        </w:tc>
        <w:tc>
          <w:tcPr>
            <w:tcW w:w="3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ind w:left="540"/>
              <w:spacing w:after="0"/>
              <w:rPr>
                <w:sz w:val="20"/>
                <w:szCs w:val="20"/>
                <w:color w:val="auto"/>
              </w:rPr>
            </w:pPr>
            <w:r>
              <w:rPr>
                <w:rFonts w:ascii="Courier New" w:cs="Courier New" w:eastAsia="Courier New" w:hAnsi="Courier New"/>
                <w:sz w:val="18"/>
                <w:szCs w:val="18"/>
                <w:color w:val="auto"/>
              </w:rPr>
              <w:t>(*)  Less than $100,000</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INTEREST RATE RISK</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000" w:firstLine="527"/>
        <w:spacing w:after="0" w:line="252" w:lineRule="auto"/>
        <w:rPr>
          <w:sz w:val="20"/>
          <w:szCs w:val="20"/>
          <w:color w:val="auto"/>
        </w:rPr>
      </w:pPr>
      <w:r>
        <w:rPr>
          <w:rFonts w:ascii="Courier New" w:cs="Courier New" w:eastAsia="Courier New" w:hAnsi="Courier New"/>
          <w:sz w:val="18"/>
          <w:szCs w:val="18"/>
          <w:color w:val="auto"/>
        </w:rPr>
        <w:t>Our interest expenses and income are sensitive to changes in interest rates, as all of our cash reserves and borrowings are subject to interest rate changes. Excess liquidity is invested in short-term interest-bearing investments. Such short-term interest-bearing investments consist primarily of United States governmental securities and commercial paper and currently bear minimal interest rate risk. As of September 30, 2000, we had approximately $20.0 million outstanding on our revolving line of credit and short-term credit agreements and $32.1 million recorded as long-term lease obligations, which in the aggregate bear minimal interest rate risk.</w:t>
      </w:r>
    </w:p>
    <w:p>
      <w:pPr>
        <w:spacing w:after="0" w:line="9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440"/>
          </w:cols>
          <w:pgMar w:left="240" w:top="285" w:right="1219" w:bottom="1440" w:gutter="0" w:footer="0" w:header="0"/>
        </w:sect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440"/>
          </w:cols>
          <w:pgMar w:left="240" w:top="285" w:right="1219"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209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Our Consolidated Financial Statements and related schedule are set forth in our Current Report on Form 6-K dated December 29, 2000, which is incorporated herein by reference.</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947"/>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 and Articles of Association of Amdocs Limited</w:t>
      </w:r>
    </w:p>
    <w:p>
      <w:pPr>
        <w:spacing w:after="0" w:line="31" w:lineRule="exact"/>
        <w:rPr>
          <w:sz w:val="20"/>
          <w:szCs w:val="20"/>
          <w:color w:val="auto"/>
        </w:rPr>
      </w:pPr>
    </w:p>
    <w:p>
      <w:pPr>
        <w:ind w:left="1060" w:right="3039"/>
        <w:spacing w:after="0" w:line="268" w:lineRule="auto"/>
        <w:rPr>
          <w:sz w:val="20"/>
          <w:szCs w:val="20"/>
          <w:color w:val="auto"/>
        </w:rPr>
      </w:pPr>
      <w:r>
        <w:rPr>
          <w:rFonts w:ascii="Courier New" w:cs="Courier New" w:eastAsia="Courier New" w:hAnsi="Courier New"/>
          <w:sz w:val="16"/>
          <w:szCs w:val="16"/>
          <w:color w:val="auto"/>
        </w:rPr>
        <w:t>(Exhibits 3.1 and 3.2 to Amdocs' Registration Statement on Form F-1 dated June 19, 1998; Registration No. 333-8826)</w:t>
      </w:r>
    </w:p>
    <w:p>
      <w:pPr>
        <w:jc w:val="both"/>
        <w:ind w:left="1060" w:right="3259" w:hanging="947"/>
        <w:spacing w:after="0" w:line="268"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Exchange Trust Agreement dated as of April 5, 2000 among Amdocs Limited, Amdocs (Denmark) ApS., Amdocs Holdings ULC, Solect Technology Group Inc. and The Trust</w:t>
      </w:r>
    </w:p>
    <w:p>
      <w:pPr>
        <w:ind w:left="1060"/>
        <w:spacing w:after="0"/>
        <w:rPr>
          <w:sz w:val="20"/>
          <w:szCs w:val="20"/>
          <w:color w:val="auto"/>
        </w:rPr>
      </w:pPr>
      <w:r>
        <w:rPr>
          <w:rFonts w:ascii="Courier New" w:cs="Courier New" w:eastAsia="Courier New" w:hAnsi="Courier New"/>
          <w:sz w:val="18"/>
          <w:szCs w:val="18"/>
          <w:color w:val="auto"/>
        </w:rPr>
        <w:t>Company of Bank of Montreal</w:t>
      </w:r>
    </w:p>
    <w:p>
      <w:pPr>
        <w:ind w:left="1060" w:right="2939" w:hanging="947"/>
        <w:spacing w:after="0" w:line="238" w:lineRule="auto"/>
        <w:tabs>
          <w:tab w:leader="none" w:pos="1040" w:val="left"/>
        </w:tabs>
        <w:rPr>
          <w:sz w:val="20"/>
          <w:szCs w:val="20"/>
          <w:color w:val="auto"/>
        </w:rPr>
      </w:pPr>
      <w:r>
        <w:rPr>
          <w:rFonts w:ascii="Courier New" w:cs="Courier New" w:eastAsia="Courier New" w:hAnsi="Courier New"/>
          <w:sz w:val="18"/>
          <w:szCs w:val="18"/>
          <w:color w:val="auto"/>
        </w:rPr>
        <w:t>4.a.1</w:t>
      </w:r>
      <w:r>
        <w:rPr>
          <w:sz w:val="20"/>
          <w:szCs w:val="20"/>
          <w:color w:val="auto"/>
        </w:rPr>
        <w:tab/>
      </w:r>
      <w:r>
        <w:rPr>
          <w:rFonts w:ascii="Courier New" w:cs="Courier New" w:eastAsia="Courier New" w:hAnsi="Courier New"/>
          <w:sz w:val="18"/>
          <w:szCs w:val="18"/>
          <w:color w:val="auto"/>
        </w:rPr>
        <w:t>Agreement and Plan of Merger dated as of September 3, 1999 among Amdocs Limited, Ivan Acquisition Corp. and International Telecommunication Data Systems, Inc. (Exhibit 2.1 to Amdocs' Current Report on Form 6-K dated September 10, 1999)</w:t>
      </w:r>
    </w:p>
    <w:p>
      <w:pPr>
        <w:spacing w:after="0" w:line="2" w:lineRule="exact"/>
        <w:rPr>
          <w:sz w:val="20"/>
          <w:szCs w:val="20"/>
          <w:color w:val="auto"/>
        </w:rPr>
      </w:pPr>
    </w:p>
    <w:p>
      <w:pPr>
        <w:ind w:left="1060" w:right="3159" w:hanging="947"/>
        <w:spacing w:after="0" w:line="268" w:lineRule="auto"/>
        <w:tabs>
          <w:tab w:leader="none" w:pos="1040" w:val="left"/>
        </w:tabs>
        <w:rPr>
          <w:sz w:val="20"/>
          <w:szCs w:val="20"/>
          <w:color w:val="auto"/>
        </w:rPr>
      </w:pPr>
      <w:r>
        <w:rPr>
          <w:rFonts w:ascii="Courier New" w:cs="Courier New" w:eastAsia="Courier New" w:hAnsi="Courier New"/>
          <w:sz w:val="18"/>
          <w:szCs w:val="18"/>
          <w:color w:val="auto"/>
        </w:rPr>
        <w:t>4.a.2</w:t>
      </w:r>
      <w:r>
        <w:rPr>
          <w:sz w:val="20"/>
          <w:szCs w:val="20"/>
          <w:color w:val="auto"/>
        </w:rPr>
        <w:tab/>
      </w:r>
      <w:r>
        <w:rPr>
          <w:rFonts w:ascii="Courier New" w:cs="Courier New" w:eastAsia="Courier New" w:hAnsi="Courier New"/>
          <w:sz w:val="16"/>
          <w:szCs w:val="16"/>
          <w:color w:val="auto"/>
        </w:rPr>
        <w:t>Combination Agreement dated as of February 28, 2000 among Amdocs Limited, Solect Technology Group Inc., Amdocs (Denmark) ApS. and Amdocs Holdings ULC (Exhibit 2.1 to Amdocs' Current Report on Form 6-K dated March 3, 2000)</w:t>
      </w:r>
    </w:p>
    <w:p>
      <w:pPr>
        <w:ind w:left="1060" w:hanging="947"/>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of Amdocs Limited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10.a.1</w:t>
      </w:r>
      <w:r>
        <w:rPr>
          <w:rFonts w:ascii="Courier New" w:cs="Courier New" w:eastAsia="Courier New" w:hAnsi="Courier New"/>
          <w:sz w:val="16"/>
          <w:szCs w:val="16"/>
          <w:color w:val="auto"/>
        </w:rPr>
        <w:t>Consent of Ernst &amp; Young LLP</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285"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U.S. Representative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4, 2001</w:t>
      </w:r>
    </w:p>
    <w:p>
      <w:pPr>
        <w:sectPr>
          <w:pgSz w:w="11900" w:h="16838" w:orient="portrait"/>
          <w:cols w:equalWidth="0" w:num="1">
            <w:col w:w="10219"/>
          </w:cols>
          <w:pgMar w:left="240" w:top="28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1680" w:type="dxa"/>
            <w:vAlign w:val="bottom"/>
          </w:tcPr>
          <w:p>
            <w:pPr>
              <w:spacing w:after="0"/>
              <w:rPr>
                <w:sz w:val="24"/>
                <w:szCs w:val="24"/>
                <w:color w:val="auto"/>
              </w:rPr>
            </w:pPr>
          </w:p>
        </w:tc>
        <w:tc>
          <w:tcPr>
            <w:tcW w:w="4000" w:type="dxa"/>
            <w:vAlign w:val="bottom"/>
          </w:tcPr>
          <w:p>
            <w:pPr>
              <w:ind w:left="94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717"/>
        </w:trPr>
        <w:tc>
          <w:tcPr>
            <w:tcW w:w="168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5"/>
              </w:rPr>
              <w:t>EXHIBIT</w:t>
            </w:r>
          </w:p>
        </w:tc>
        <w:tc>
          <w:tcPr>
            <w:tcW w:w="4000" w:type="dxa"/>
            <w:vAlign w:val="bottom"/>
            <w:vMerge w:val="restart"/>
          </w:tcPr>
          <w:p>
            <w:pPr>
              <w:ind w:left="2840"/>
              <w:spacing w:after="0"/>
              <w:rPr>
                <w:sz w:val="20"/>
                <w:szCs w:val="20"/>
                <w:color w:val="auto"/>
              </w:rPr>
            </w:pPr>
            <w:r>
              <w:rPr>
                <w:rFonts w:ascii="Courier New" w:cs="Courier New" w:eastAsia="Courier New" w:hAnsi="Courier New"/>
                <w:sz w:val="18"/>
                <w:szCs w:val="18"/>
                <w:color w:val="auto"/>
                <w:w w:val="95"/>
              </w:rPr>
              <w:t>DESCRIPTION</w:t>
            </w:r>
          </w:p>
        </w:tc>
        <w:tc>
          <w:tcPr>
            <w:tcW w:w="0" w:type="dxa"/>
            <w:vAlign w:val="bottom"/>
          </w:tcPr>
          <w:p>
            <w:pPr>
              <w:spacing w:after="0"/>
              <w:rPr>
                <w:sz w:val="1"/>
                <w:szCs w:val="1"/>
                <w:color w:val="auto"/>
              </w:rPr>
            </w:pPr>
          </w:p>
        </w:tc>
      </w:tr>
      <w:tr>
        <w:trPr>
          <w:trHeight w:val="203"/>
        </w:trPr>
        <w:tc>
          <w:tcPr>
            <w:tcW w:w="168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8"/>
              </w:rPr>
              <w:t>NO.</w:t>
            </w: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68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5"/>
              </w:rPr>
              <w:t>-------</w:t>
            </w:r>
          </w:p>
        </w:tc>
        <w:tc>
          <w:tcPr>
            <w:tcW w:w="4000" w:type="dxa"/>
            <w:vAlign w:val="bottom"/>
          </w:tcPr>
          <w:p>
            <w:pPr>
              <w:ind w:left="284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540" w:right="1259" w:hanging="1693"/>
        <w:spacing w:after="0" w:line="282" w:lineRule="auto"/>
        <w:tabs>
          <w:tab w:leader="none" w:pos="2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Memorandum and Articles of Association of Amdocs Limited (Exhibits 3.1 and 3.2 to Amdocs' Registration Statement on Form F-1 dated June 19, 1998; Registration No. 333-8826)</w:t>
      </w:r>
    </w:p>
    <w:p>
      <w:pPr>
        <w:spacing w:after="0" w:line="1" w:lineRule="exact"/>
        <w:rPr>
          <w:sz w:val="20"/>
          <w:szCs w:val="20"/>
          <w:color w:val="auto"/>
        </w:rPr>
      </w:pPr>
    </w:p>
    <w:p>
      <w:pPr>
        <w:jc w:val="both"/>
        <w:ind w:left="2540" w:right="1459" w:hanging="1693"/>
        <w:spacing w:after="0" w:line="268" w:lineRule="auto"/>
        <w:tabs>
          <w:tab w:leader="none" w:pos="25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Exchange Trust Agreement dated as of April 5, 2000 among Amdocs Limited, Amdocs (Denmark) ApS., Amdocs</w:t>
      </w:r>
    </w:p>
    <w:tbl>
      <w:tblPr>
        <w:tblLayout w:type="fixed"/>
        <w:tblInd w:w="84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6780" w:type="dxa"/>
            <w:vAlign w:val="bottom"/>
            <w:gridSpan w:val="2"/>
          </w:tcPr>
          <w:p>
            <w:pPr>
              <w:ind w:left="580"/>
              <w:spacing w:after="0" w:line="171" w:lineRule="exact"/>
              <w:rPr>
                <w:sz w:val="20"/>
                <w:szCs w:val="20"/>
                <w:color w:val="auto"/>
              </w:rPr>
            </w:pPr>
            <w:r>
              <w:rPr>
                <w:rFonts w:ascii="Courier New" w:cs="Courier New" w:eastAsia="Courier New" w:hAnsi="Courier New"/>
                <w:sz w:val="18"/>
                <w:szCs w:val="18"/>
                <w:color w:val="auto"/>
              </w:rPr>
              <w:t>Holdings ULC, Solect Technology Group Inc. and The Trust</w:t>
            </w:r>
          </w:p>
        </w:tc>
        <w:tc>
          <w:tcPr>
            <w:tcW w:w="0" w:type="dxa"/>
            <w:vAlign w:val="bottom"/>
          </w:tcPr>
          <w:p>
            <w:pPr>
              <w:spacing w:after="0"/>
              <w:rPr>
                <w:sz w:val="1"/>
                <w:szCs w:val="1"/>
                <w:color w:val="auto"/>
              </w:rPr>
            </w:pPr>
          </w:p>
        </w:tc>
      </w:tr>
      <w:tr>
        <w:trPr>
          <w:trHeight w:val="203"/>
        </w:trPr>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rPr>
              <w:t>4.a.1</w:t>
            </w: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Company of Bank of Montreal</w:t>
            </w:r>
          </w:p>
        </w:tc>
        <w:tc>
          <w:tcPr>
            <w:tcW w:w="0" w:type="dxa"/>
            <w:vAlign w:val="bottom"/>
          </w:tcPr>
          <w:p>
            <w:pPr>
              <w:spacing w:after="0"/>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Agreement and Plan of Merger dated as of September 3, 1999</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among Amdocs Limited, Ivan Acquisition Corp. and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International Telecommunication Data Systems, Inc. (Exhibit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2.1 to Amdocs' Current Report on Form 6-K dated September</w:t>
            </w:r>
          </w:p>
        </w:tc>
        <w:tc>
          <w:tcPr>
            <w:tcW w:w="0" w:type="dxa"/>
            <w:vAlign w:val="bottom"/>
          </w:tcPr>
          <w:p>
            <w:pPr>
              <w:spacing w:after="0"/>
              <w:rPr>
                <w:sz w:val="1"/>
                <w:szCs w:val="1"/>
                <w:color w:val="auto"/>
              </w:rPr>
            </w:pPr>
          </w:p>
        </w:tc>
      </w:tr>
      <w:tr>
        <w:trPr>
          <w:trHeight w:val="203"/>
        </w:trPr>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rPr>
              <w:t>4.a.2</w:t>
            </w: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w:t>
            </w:r>
          </w:p>
        </w:tc>
        <w:tc>
          <w:tcPr>
            <w:tcW w:w="5840" w:type="dxa"/>
            <w:vAlign w:val="bottom"/>
          </w:tcPr>
          <w:p>
            <w:pPr>
              <w:jc w:val="right"/>
              <w:ind w:right="517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Combination Agreement dated as of February 28, 2000 among</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Amdocs Limited, Solect Technology Group Inc., Amdocs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(Denmark) ApS. and Amdocs Holdings ULC (Exhibit 2.1 to</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67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Amdocs' Current Report on Form 6-K dated March 3, 2000)</w:t>
            </w:r>
          </w:p>
        </w:tc>
        <w:tc>
          <w:tcPr>
            <w:tcW w:w="0" w:type="dxa"/>
            <w:vAlign w:val="bottom"/>
          </w:tcPr>
          <w:p>
            <w:pPr>
              <w:spacing w:after="0"/>
              <w:rPr>
                <w:sz w:val="1"/>
                <w:szCs w:val="1"/>
                <w:color w:val="auto"/>
              </w:rPr>
            </w:pPr>
          </w:p>
        </w:tc>
      </w:tr>
    </w:tbl>
    <w:p>
      <w:pPr>
        <w:ind w:left="2540" w:hanging="1693"/>
        <w:spacing w:after="0" w:line="238" w:lineRule="auto"/>
        <w:tabs>
          <w:tab w:leader="none" w:pos="2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of Amdocs Limited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10.a.1</w:t>
      </w:r>
      <w:r>
        <w:rPr>
          <w:sz w:val="20"/>
          <w:szCs w:val="20"/>
          <w:color w:val="auto"/>
        </w:rPr>
        <w:tab/>
      </w:r>
      <w:r>
        <w:rPr>
          <w:rFonts w:ascii="Courier New" w:cs="Courier New" w:eastAsia="Courier New" w:hAnsi="Courier New"/>
          <w:sz w:val="16"/>
          <w:szCs w:val="16"/>
          <w:color w:val="auto"/>
        </w:rPr>
        <w:t>Consent of Ernst &amp; Young LLP</w:t>
      </w:r>
    </w:p>
    <w:p>
      <w:pPr>
        <w:sectPr>
          <w:pgSz w:w="11900" w:h="16838" w:orient="portrait"/>
          <w:cols w:equalWidth="0" w:num="1">
            <w:col w:w="9899"/>
          </w:cols>
          <w:pgMar w:left="560" w:top="285"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3</w:t>
      </w:r>
    </w:p>
    <w:p>
      <w:pPr>
        <w:spacing w:after="0" w:line="37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VOTING AND EXCHANGE TRUST AGREEMENT</w:t>
      </w:r>
    </w:p>
    <w:p>
      <w:pPr>
        <w:spacing w:after="0" w:line="201" w:lineRule="exact"/>
        <w:rPr>
          <w:sz w:val="20"/>
          <w:szCs w:val="20"/>
          <w:color w:val="auto"/>
        </w:rPr>
      </w:pPr>
    </w:p>
    <w:p>
      <w:pPr>
        <w:ind w:right="1999" w:firstLine="1896"/>
        <w:spacing w:after="0" w:line="293" w:lineRule="auto"/>
        <w:rPr>
          <w:sz w:val="20"/>
          <w:szCs w:val="20"/>
          <w:color w:val="auto"/>
        </w:rPr>
      </w:pPr>
      <w:r>
        <w:rPr>
          <w:rFonts w:ascii="Courier New" w:cs="Courier New" w:eastAsia="Courier New" w:hAnsi="Courier New"/>
          <w:sz w:val="16"/>
          <w:szCs w:val="16"/>
          <w:color w:val="auto"/>
        </w:rPr>
        <w:t>AGREEMENT dated as of April 5, 2000, among Amdocs Limited, a corporation existing under the laws of Guernsey ("Amdocs"), Amdocs (Denmark) ApS., a corporation existing under the laws of Denmark ("Parentco"), Amdocs Holdings ULC, an unlimited liability company formed under the laws of Nova Scotia ("Holdco"), Solect Technology Group Inc., a corporation existing under the laws of New Brunswick (the "Company") and The Trust Company of Bank of Montreal, a trust company existing under the laws of Canada (the "Trustee").</w:t>
      </w:r>
    </w:p>
    <w:p>
      <w:pPr>
        <w:spacing w:after="0" w:line="72"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WHEREAS, pursuant to a Combination Agreement dated as of February 28, 2000 (such agreement, as it may be amended or restated, is hereinafter referred to as the "Combination Agreement"), among Amdocs, Parentco, Holdco and the Company, such parties agreed that on the Effective Date (as defined in the Combination Agreement), they would execute and deliver a Voting and Exchange Trust Agreement substantially in the form of Exhibit 6.2(b)(ii) thereto together with such other terms and conditions as may be agreed to by such parties acting reasonably;</w:t>
      </w:r>
    </w:p>
    <w:p>
      <w:pPr>
        <w:spacing w:after="0" w:line="104" w:lineRule="exact"/>
        <w:rPr>
          <w:sz w:val="20"/>
          <w:szCs w:val="20"/>
          <w:color w:val="auto"/>
        </w:rPr>
      </w:pPr>
    </w:p>
    <w:p>
      <w:pPr>
        <w:ind w:right="1879" w:firstLine="1896"/>
        <w:spacing w:after="0" w:line="287" w:lineRule="auto"/>
        <w:rPr>
          <w:sz w:val="20"/>
          <w:szCs w:val="20"/>
          <w:color w:val="auto"/>
        </w:rPr>
      </w:pPr>
      <w:r>
        <w:rPr>
          <w:rFonts w:ascii="Courier New" w:cs="Courier New" w:eastAsia="Courier New" w:hAnsi="Courier New"/>
          <w:sz w:val="16"/>
          <w:szCs w:val="16"/>
          <w:color w:val="auto"/>
        </w:rPr>
        <w:t>WHEREAS, pursuant to the share restructuring plan (the "Share Restructuring") effected by articles of amendment (the "Articles of Amendment") giving effect to the share restructuring plan (the "Share Restructuring Plan") filed pursuant to the New Brunswick Business Corporations Act, as amended, each issued and outstanding common share of the Company (a "Company Common Share") was exchanged for .57281 issued and outstanding Exchangeable Non-Voting Shares of the Company (the "Exchangeable Shares"), and thereafter, the Company's sole issued and outstanding Class A Preferred Share was exchanged by the holder thereof for one issued and outstanding Company Common Share;</w:t>
      </w:r>
    </w:p>
    <w:p>
      <w:pPr>
        <w:spacing w:after="0" w:line="75"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WHEREAS, the above-mentioned Articles of Amendment set forth the rights, privileges, restrictions and conditions (collectively, the "Exchangeable Share Provisions") attaching to the Exchangeable Shares; and</w:t>
      </w:r>
    </w:p>
    <w:p>
      <w:pPr>
        <w:spacing w:after="0" w:line="66"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WHEREAS, Amdocs is to provide voting rights in Amdocs to each holder (other than Amdocs, its subsidiaries and Affiliates) from time to time of Exchangeable Shares, such voting rights attaching to each Exchangeable Share to be equivalent to the voting rights attaching to each ordinary voting share of Amdocs share capital (collectively, "Amdocs Ordinary Shares");</w:t>
      </w:r>
    </w:p>
    <w:p>
      <w:pPr>
        <w:spacing w:after="0" w:line="90" w:lineRule="exact"/>
        <w:rPr>
          <w:sz w:val="20"/>
          <w:szCs w:val="20"/>
          <w:color w:val="auto"/>
        </w:rPr>
      </w:pPr>
    </w:p>
    <w:p>
      <w:pPr>
        <w:ind w:right="2199" w:firstLine="1896"/>
        <w:spacing w:after="0" w:line="292" w:lineRule="auto"/>
        <w:rPr>
          <w:sz w:val="20"/>
          <w:szCs w:val="20"/>
          <w:color w:val="auto"/>
        </w:rPr>
      </w:pPr>
      <w:r>
        <w:rPr>
          <w:rFonts w:ascii="Courier New" w:cs="Courier New" w:eastAsia="Courier New" w:hAnsi="Courier New"/>
          <w:sz w:val="18"/>
          <w:szCs w:val="18"/>
          <w:color w:val="auto"/>
        </w:rPr>
        <w:t>WHEREAS, Holdco is to grant to and in favor of the holders (other than Amdocs, its subsidiaries and Affiliates) from time to time of Exchangeable Shares the right, in</w:t>
      </w:r>
    </w:p>
    <w:p>
      <w:pPr>
        <w:sectPr>
          <w:pgSz w:w="11900" w:h="16838" w:orient="portrait"/>
          <w:cols w:equalWidth="0" w:num="1">
            <w:col w:w="10219"/>
          </w:cols>
          <w:pgMar w:left="240" w:top="110"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the circumstances set forth herein, to require Holdco to purchase from each such holder all or any part of the Exchangeable Shares held by the holder;</w:t>
      </w:r>
    </w:p>
    <w:p>
      <w:pPr>
        <w:spacing w:after="0" w:line="51"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WHEREAS, the parties desire to make appropriate provision and to establish a procedure whereby voting rights in Amdocs shall be exercisable by holders (other than Amdocs, its subsidiaries and Affiliates) from time to time of Exchangeable Shares by and through the Trustee, which will hold legal title to one Special Voting Share, L0.01 par value (the "Amdocs Special Voting Share"), of Amdocs to which voting rights attach for the benefit of the holders of Exchangeable Shares of the Company and whereby the rights to require Holdco to purchase Exchangeable Shares from the holders thereof (other than Amdocs, its subsidiaries and Affiliates) shall be exercisable by such holders from time to time of Exchangeable Shares by and through the Trustee, which will hold legal title to such rights for the benefit of such holders; and</w:t>
      </w:r>
    </w:p>
    <w:p>
      <w:pPr>
        <w:spacing w:after="0" w:line="294" w:lineRule="exact"/>
        <w:rPr>
          <w:sz w:val="20"/>
          <w:szCs w:val="20"/>
          <w:color w:val="auto"/>
        </w:rPr>
      </w:pPr>
    </w:p>
    <w:p>
      <w:pPr>
        <w:ind w:right="2199" w:firstLine="1896"/>
        <w:spacing w:after="0" w:line="402" w:lineRule="auto"/>
        <w:rPr>
          <w:sz w:val="20"/>
          <w:szCs w:val="20"/>
          <w:color w:val="auto"/>
        </w:rPr>
      </w:pPr>
      <w:r>
        <w:rPr>
          <w:rFonts w:ascii="Courier New" w:cs="Courier New" w:eastAsia="Courier New" w:hAnsi="Courier New"/>
          <w:sz w:val="16"/>
          <w:szCs w:val="16"/>
          <w:color w:val="auto"/>
        </w:rPr>
        <w:t>WHEREAS, these recitals and any statements of fact in this Agreement are made by the other parties hereto and not by the Trustee;</w:t>
      </w:r>
    </w:p>
    <w:p>
      <w:pPr>
        <w:spacing w:after="0" w:line="1"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NOW, THEREFORE, in consideration of the respective covenants and agreements provided in this Agreement and for other good and valuable consideration (the receipt and sufficiency of which are hereby acknowledged), the parties agree as follows:</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DEFINITIONS AND INTERPRETATION</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right="2739" w:firstLine="1896"/>
        <w:spacing w:after="0" w:line="347" w:lineRule="auto"/>
        <w:rPr>
          <w:sz w:val="20"/>
          <w:szCs w:val="20"/>
          <w:color w:val="auto"/>
        </w:rPr>
      </w:pPr>
      <w:r>
        <w:rPr>
          <w:rFonts w:ascii="Courier New" w:cs="Courier New" w:eastAsia="Courier New" w:hAnsi="Courier New"/>
          <w:sz w:val="18"/>
          <w:szCs w:val="18"/>
          <w:color w:val="auto"/>
        </w:rPr>
        <w:t>In this Agreement, the following terms shall have the following meanings:</w:t>
      </w:r>
    </w:p>
    <w:p>
      <w:pPr>
        <w:spacing w:after="0" w:line="18" w:lineRule="exact"/>
        <w:rPr>
          <w:sz w:val="20"/>
          <w:szCs w:val="20"/>
          <w:color w:val="auto"/>
        </w:rPr>
      </w:pPr>
    </w:p>
    <w:p>
      <w:pPr>
        <w:ind w:right="1999" w:firstLine="1896"/>
        <w:spacing w:after="0" w:line="253" w:lineRule="auto"/>
        <w:rPr>
          <w:sz w:val="20"/>
          <w:szCs w:val="20"/>
          <w:color w:val="auto"/>
        </w:rPr>
      </w:pPr>
      <w:r>
        <w:rPr>
          <w:rFonts w:ascii="Courier New" w:cs="Courier New" w:eastAsia="Courier New" w:hAnsi="Courier New"/>
          <w:sz w:val="18"/>
          <w:szCs w:val="18"/>
          <w:color w:val="auto"/>
        </w:rPr>
        <w:t>"AFFILIATE" of any person means any other person directly or indirectly controlled by, or under common control of, that person. For the purposes of this definition, "control" (including, with correlative meanings, the terms "controlled by" and "under common control of"), as applied to any person, means the possession by another person, directly or indirectly, of the power to direct or cause the direction of the management and policies of that first mentioned person, whether through the ownership of voting securities, by contract or otherwise.</w:t>
      </w:r>
    </w:p>
    <w:p>
      <w:pPr>
        <w:spacing w:after="0" w:line="104"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"AMDOCS ORDINARY SHARES" has the meaning ascribed thereto in the recitals hereto.</w:t>
      </w:r>
    </w:p>
    <w:p>
      <w:pPr>
        <w:spacing w:after="0" w:line="1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"AMDOCS CONSENT" has the meaning ascribed thereto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hereof.</w:t>
      </w:r>
    </w:p>
    <w:p>
      <w:pPr>
        <w:spacing w:after="0" w:line="16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"AMDOCS MEETING" has the meaning ascribed thereto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hereof.</w:t>
      </w:r>
    </w:p>
    <w:p>
      <w:pPr>
        <w:spacing w:after="0" w:line="169"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"AMDOCS SPECIAL VOTING SHARE" has the meaning ascribed thereto in the recitals hereto.</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"AMDOCS SUCCESSOR" has the meaning ascribed thereto in Section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11.1(a) hereof.</w:t>
      </w:r>
    </w:p>
    <w:p>
      <w:pPr>
        <w:spacing w:after="0" w:line="169"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"AUTOMATIC EXCHANGE RIGHTS" means the benefit of the obligation of Holdco to effect the automatic exchange of Amdocs Ordinary Shares for Exchangeable Shares pursuant to Section 5.12 hereof.</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"BOARD OF DIRECTORS" means the Board of Directors of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"BUSINESS DAY" means a day other than a Saturday, a Sunday or a statutory holiday in Toronto, Ontario or New York, New York.</w:t>
      </w:r>
    </w:p>
    <w:p>
      <w:pPr>
        <w:spacing w:after="0" w:line="18"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"CANADIAN DOLLAR EQUIVALENT" means in respect of an amount expressed in a foreign currency (the "Foreign Currency Amount") at any date the product obtained by multiplying (a) the Foreign Currency Amount by (b) the noon spot exchange rate on such date for such foreign currency expressed in Canadian dollars as reported by the Bank of Canada or, in the event such spot exchange rate is not available, such exchange rate on such date for such foreign currency expressed in Canadian dollars as may be deemed by the Board of Directors to be appropriate for such purpose.</w:t>
      </w:r>
    </w:p>
    <w:p>
      <w:pPr>
        <w:spacing w:after="0" w:line="104"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"COMPANY COMMON SHARES" has the meaning ascribed thereto in the recitals hereto.</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"COURT" means the Court of Queen's Bench of New Brunswick.</w:t>
      </w:r>
    </w:p>
    <w:p>
      <w:pPr>
        <w:spacing w:after="0" w:line="201"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"CURRENT MARKET PRICE" means, in respect of an Amdocs Ordinary Share on any date, the Canadian Dollar Equivalent of the average closing price (computed and rounded to the third decimal point) of Amdocs Ordinary Shares during a period of 20 consecutive trading days ending not more than three trading days before such date on the New York Stock Exchange, or, if Amdocs Ordinary Shares are not then listed on the New York Stock Exchange, on such other stock exchange or automated quotation system on which Amdocs Ordinary Shares are listed or quoted, as the case may be, as may be selected by the Board of Directors for such purpose; provided, however, that if in the opinion of the Board of Directors the public distribution or trading activity of Amdocs Ordinary Shares during such period does not create a market which reflects the fair market value of an Amdocs Ordinary Share, then the Current Market Price of an Amdocs Ordinary Share shall be determined by the Board of Directors based upon the advice of such qualified independent financial advisors as the Board of Directors may deem to be appropriate, and provided further that any such selection, opinion or determination by the Board of Directors shall be conclusive and binding.</w:t>
      </w:r>
    </w:p>
    <w:p>
      <w:pPr>
        <w:spacing w:after="0" w:line="10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"EXCHANGE RIGHT" has the meaning ascribed thereto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 hereof.</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879" w:firstLine="1896"/>
        <w:spacing w:after="0" w:line="309" w:lineRule="auto"/>
        <w:rPr>
          <w:sz w:val="20"/>
          <w:szCs w:val="20"/>
          <w:color w:val="auto"/>
        </w:rPr>
      </w:pPr>
      <w:r>
        <w:rPr>
          <w:rFonts w:ascii="Courier New" w:cs="Courier New" w:eastAsia="Courier New" w:hAnsi="Courier New"/>
          <w:sz w:val="18"/>
          <w:szCs w:val="18"/>
          <w:color w:val="auto"/>
        </w:rPr>
        <w:t>"EXCHANGEABLE SHARE PROVISIONS" means the rights, privileges, restrictions and conditions attaching to the Exchangeable Shares.</w:t>
      </w:r>
    </w:p>
    <w:p>
      <w:pPr>
        <w:spacing w:after="0" w:line="5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"EXCHANGEABLE SHARES" has the meaning ascribed thereto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 hereto.</w:t>
      </w:r>
    </w:p>
    <w:p>
      <w:pPr>
        <w:spacing w:after="0" w:line="16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"HOLDER VOTES" has the meaning ascribed thereto in Section 4.2</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"HOLDERS" means the registered holders from time to time of Exchangeable Shares, other than Amdocs and its Affiliates.</w:t>
      </w:r>
    </w:p>
    <w:p>
      <w:pPr>
        <w:spacing w:after="0" w:line="18"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"INSOLVENCY EVENT" means the institution by the Company of any proceeding to be adjudicated a bankrupt or insolvent or to be dissolved or wound up, or the consent of the Company to the institution of bankruptcy, insolvency, dissolution or winding up proceedings against it, or the filing of a petition, answer or consent seeking dissolution or winding up under any bankruptcy, insolvency or analogous laws, including without limitation the Companies Creditors' Arrangement Act (Canada) and the Bankruptcy and Insolvency Act (Canada), and the failure by the Company to contest in good faith any such proceedings commenced in respect of the Company within 30 days of becoming aware thereof, or the consent by the Company to the filing of any such petition or to the appointment of a receiver, or the making by the Company of a general assignment for the benefit of creditors, or the admission in writing by the Company of its inability to pay its debts generally as they become due, or the Company not being permitted, pursuant to solvency requirements of applicable law, to redeem any Retracted Shares pursuant to Section 6.6 of the Exchangeable Share Provisions.</w:t>
      </w:r>
    </w:p>
    <w:p>
      <w:pPr>
        <w:spacing w:after="0" w:line="11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"ITA" means the Income Tax Act (Canada), as amended.</w:t>
      </w:r>
    </w:p>
    <w:p>
      <w:pPr>
        <w:spacing w:after="0" w:line="201"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"LIQUIDATION CALL RIGHT" has the meaning ascribed thereto in Section 1.1 of the Share Restructuring Plan.</w:t>
      </w:r>
    </w:p>
    <w:p>
      <w:pPr>
        <w:spacing w:after="0" w:line="18" w:lineRule="exact"/>
        <w:rPr>
          <w:sz w:val="20"/>
          <w:szCs w:val="20"/>
          <w:color w:val="auto"/>
        </w:rPr>
      </w:pPr>
    </w:p>
    <w:p>
      <w:pPr>
        <w:ind w:right="2519" w:firstLine="1896"/>
        <w:spacing w:after="0" w:line="347" w:lineRule="auto"/>
        <w:rPr>
          <w:sz w:val="20"/>
          <w:szCs w:val="20"/>
          <w:color w:val="auto"/>
        </w:rPr>
      </w:pPr>
      <w:r>
        <w:rPr>
          <w:rFonts w:ascii="Courier New" w:cs="Courier New" w:eastAsia="Courier New" w:hAnsi="Courier New"/>
          <w:sz w:val="18"/>
          <w:szCs w:val="18"/>
          <w:color w:val="auto"/>
        </w:rPr>
        <w:t>"LIQUIDATION EVENT" has the meaning ascribed thereto in Section 5.12(b) hereof.</w:t>
      </w:r>
    </w:p>
    <w:p>
      <w:pPr>
        <w:spacing w:after="0" w:line="18"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"LIQUIDATION EVENT EFFECTIVE DATE" has the meaning ascribed thereto in Section 5.12(c) hereof.</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"LIST" has the meaning ascribed thereto in Section 4.6 hereof.</w:t>
      </w:r>
    </w:p>
    <w:p>
      <w:pPr>
        <w:spacing w:after="0" w:line="22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"NBBCA" means the New Brunswick Business Corporations Act, 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w:t>
      </w:r>
    </w:p>
    <w:p>
      <w:pPr>
        <w:spacing w:after="0" w:line="169"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"OFFICER'S CERTIFICATE" means, with respect to Amdocs or the Company, as the case may be, a certificate signed by any one of the Chairman of the Board, the Vice-Chairman of the Board, the President, any Vice-President or any other senior officer of Amdocs or the Company, as the case may be.</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jc w:val="both"/>
        <w:ind w:right="2199" w:firstLine="1896"/>
        <w:spacing w:after="0" w:line="323" w:lineRule="auto"/>
        <w:rPr>
          <w:sz w:val="20"/>
          <w:szCs w:val="20"/>
          <w:color w:val="auto"/>
        </w:rPr>
      </w:pPr>
      <w:r>
        <w:rPr>
          <w:rFonts w:ascii="Courier New" w:cs="Courier New" w:eastAsia="Courier New" w:hAnsi="Courier New"/>
          <w:sz w:val="16"/>
          <w:szCs w:val="16"/>
          <w:color w:val="auto"/>
        </w:rPr>
        <w:t>"PERSON" includes an individual, partnership, corporation, company, unincorporated syndicate or organization, trust, trustee, executor, administrator and other legal representative or legal entity.</w:t>
      </w:r>
    </w:p>
    <w:p>
      <w:pPr>
        <w:spacing w:after="0" w:line="47"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"REDEMPTION CALL RIGHT" has the meaning ascribed thereto in Section 1.1 of the Exchangeable Share Provisions.</w:t>
      </w:r>
    </w:p>
    <w:p>
      <w:pPr>
        <w:spacing w:after="0" w:line="1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"RETRACTED SHARES" has the meaning ascribed thereto in Section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 hereof.</w:t>
      </w:r>
    </w:p>
    <w:p>
      <w:pPr>
        <w:spacing w:after="0" w:line="169"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"RETRACTION CALL RIGHT" has the meaning ascribed thereto in Section 6.1 of the Exchangeable Share Provisions.</w:t>
      </w:r>
    </w:p>
    <w:p>
      <w:pPr>
        <w:spacing w:after="0" w:line="1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"SHARE RESTRUCTURING" has the meaning ascribed thereto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 hereto.</w:t>
      </w:r>
    </w:p>
    <w:p>
      <w:pPr>
        <w:spacing w:after="0" w:line="169"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"SHARE RESTRUCTURING PLAN" has the meaning ascribed thereto in the recitals hereto.</w:t>
      </w:r>
    </w:p>
    <w:p>
      <w:pPr>
        <w:spacing w:after="0" w:line="18"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"SUPPORT AGREEMENT" means that certain Support Agreement dated as of the date hereof among the Company, Amdocs, Parentco and Holdco.</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"TRUST" means the trust created by this agreement.</w:t>
      </w:r>
    </w:p>
    <w:p>
      <w:pPr>
        <w:spacing w:after="0" w:line="201"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"TRUST ESTATE" means the Voting Share, any other securities, the Exchange Right, the Automatic Exchange Rights and any money or other property which may be held by the Trustee from time to time pursuant to this Agreement.</w:t>
      </w:r>
    </w:p>
    <w:p>
      <w:pPr>
        <w:spacing w:after="0" w:line="82"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"TRUSTEE" means The Trust Company of Bank of Montreal and, subject to the provisions of Article 10 hereof, includes any successor trustee or permitted assigns.</w:t>
      </w:r>
    </w:p>
    <w:p>
      <w:pPr>
        <w:spacing w:after="0" w:line="6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"VOTING RIGHTS" means the voting rights attached to the Voting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169"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"VOTING SHARE" means the one Amdocs Special Voting Share issued by Amdocs to and deposited with the Trustee, which entitles the holder of record to a number of votes at meetings of holders of Amdocs Ordinary Shares equal to the number of Exchangeable Shares outstanding from time to time other than Exchangeable Shares held by Amdocs, its direct or indirect subsidiaries and its Affiliates.</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INTERPRETATION NOT AFFECTED BY HEADINGS, ETC.</w:t>
      </w:r>
    </w:p>
    <w:p>
      <w:pPr>
        <w:spacing w:after="0" w:line="201"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The division of this Agreement into articles, sections and paragraphs and the insertion of headings are for convenience of reference only and shall not affect the construction or interpretation of this Agreement.</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NUMBER, GENDER, ETC.</w:t>
      </w:r>
    </w:p>
    <w:p>
      <w:pPr>
        <w:spacing w:after="0" w:line="169"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Words importing the singular number only shall include the plural and vice versa. Words importing the use of any gender shall include all genders.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DATE FOR ANY ACTION</w:t>
      </w:r>
    </w:p>
    <w:p>
      <w:pPr>
        <w:spacing w:after="0" w:line="201"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If any date on which any action is required to be taken under this Agreement is not a Business Day, such action shall be required to be taken on the next succeeding Business Day.</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2</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PURPOSE OF AGREEMENT</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ESTABLISHMENT OF TRUST</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The purpose of this Agreement is to create the Trust for the benefit of the Holders, as herein provided. The Trustee will hold the Voting Share in order to enable the Trustee to exercise the Voting Rights and will hold the Exchange Right and the Automatic Exchange Rights in order to enable the Trustee to exercise such rights, and any money or other property comprising the Trust Estate, in each case as trustee for and on behalf of the Holders as provided in this Agreement.</w:t>
      </w:r>
    </w:p>
    <w:p>
      <w:pPr>
        <w:spacing w:after="0" w:line="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3</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VOTING SHARE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ISSUE AND OWNERSHIP OF THE VOTING SHARE</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Amdocs hereby issues to and deposits with the Trustee the Voting Share to be hereafter held of record by the Trustee as trustee for and on behalf of, and for the use and benefit of, the Holders and in accordance with the provisions of this Agreement. Amdocs hereby acknowledges receipt from the Trustee as trustee for and on behalf of the Holders of good and valuable consideration (and the adequacy thereof) for the issuance of the Voting Share by Amdocs to the Trustee. During the term of the Trust and subject to the terms and conditions of this Agreement, the Trustee shall possess and be vested with full legal ownership of the Voting Share and shall be entitled to exercise all of the rights and powers of an owner with respect to the Voting Share, provided that the Trustee shall:</w:t>
      </w:r>
    </w:p>
    <w:p>
      <w:pPr>
        <w:spacing w:after="0" w:line="104" w:lineRule="exact"/>
        <w:rPr>
          <w:sz w:val="20"/>
          <w:szCs w:val="20"/>
          <w:color w:val="auto"/>
        </w:rPr>
      </w:pPr>
    </w:p>
    <w:p>
      <w:pPr>
        <w:ind w:left="1900" w:right="1999" w:hanging="944"/>
        <w:spacing w:after="0" w:line="292" w:lineRule="auto"/>
        <w:tabs>
          <w:tab w:leader="none" w:pos="19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the Voting Share and the legal title thereto as trustee solely for the use and benefit of the Holders in accordance with the provisions of this Agreement; and</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1900" w:right="1879" w:hanging="944"/>
        <w:spacing w:after="0" w:line="252" w:lineRule="auto"/>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authorized by this Agreement, have no power or authority to sell, transfer, vote or otherwise deal in or with the Voting Share and the Voting Share shall not be used or disposed of by the Trustee for any purpose other than the purposes for which the Trust is created pursuant to this Agreement.</w:t>
      </w:r>
    </w:p>
    <w:p>
      <w:pPr>
        <w:spacing w:after="0" w:line="1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LEGENDED SHARE CERTIFICATES</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The Company will cause each certificate representing Exchangeable Shares to bear an appropriate legend notifying the Holders of their right to instruct the Trustee with respect to the exercise of the Voting Rights with respect to the Exchangeable Shares held by a Holder.</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SAFE KEEPING OF CERTIFICATE</w:t>
      </w:r>
    </w:p>
    <w:p>
      <w:pPr>
        <w:spacing w:after="0" w:line="201"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The certificate representing the Voting Share shall at all times be held in safe keeping by the Trustee.</w:t>
      </w:r>
    </w:p>
    <w:p>
      <w:pPr>
        <w:spacing w:after="0" w:line="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EXERCISE OF VOTING RIGHTS</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VOTING RIGHTS</w:t>
      </w:r>
    </w:p>
    <w:p>
      <w:pPr>
        <w:spacing w:after="0" w:line="201"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The Trustee, as the holder of record of the Voting Share, shall be entitled to all of the Voting Rights, including the right to consent to or to vote in person or by proxy the Voting Share, on any matter, question, proposal or proposition whatsoever that may properly come before the shareholders of Amdocs at an Amdocs Meeting or in connection with an Amdocs Consent. The Voting Rights shall be and remain vested in and exercised by the Trustee. Subject to Section 7.15 hereof, the Trustee shall exercise the Voting Rights only on the basis of instructions received pursuant to this Article 4 from Holders entitled to instruct the Trustee as to the voting thereof at the time at which an Amdocs Consent is sought or an Amdocs Meeting is held. To the extent that no instructions are received from a Holder with respect to the Voting Rights to which such Holder is entitled, the Trustee shall not exercise or permit the exercise of such Holder's Voting Rights.</w:t>
      </w:r>
    </w:p>
    <w:p>
      <w:pPr>
        <w:spacing w:after="0" w:line="1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NUMBER OF VOTES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With respect to all meetings of shareholders of Amdocs at which holders of Amdocs Ordinary Shares are entitled to vote (an "Amdocs Meeting") and with respect to all written consents sought by Amdocs from its shareholders including the holders of shares of Amdocs Ordinary Shares (an "Amdocs Consent"), each Holder shall be entitled to instruct the Trustee to cast and exercise, in the manner instructed, one of the votes comprised in the Voting Rights for each Exchangeable Share owned of record by such Holder on the record date established by Amdocs or by applicable law for such Amdocs Meeting or Amdocs Consent, as</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the case may be (the "Holder Votes") in respect of each matter, question, proposal or proposition to be voted on at such Amdocs Meeting or to be consented to in connection with such Amdocs Consent.</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MAILINGS TO SHAREHOLDERS</w:t>
      </w:r>
    </w:p>
    <w:p>
      <w:pPr>
        <w:spacing w:after="0" w:line="20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With respect to each Amdocs Meeting and Amdocs Consent, the Trustee will mail or cause to be mailed (or otherwise communicate in the same manner as Amdocs utilizes in communications to holders of Amdocs Ordinary Shares) to each of the Holders named in the List on the same day as the initial mailing or notice (or other communication) with respect thereto is given by Amdocs to its shareholders:</w:t>
      </w:r>
    </w:p>
    <w:p>
      <w:pPr>
        <w:spacing w:after="0" w:line="93" w:lineRule="exact"/>
        <w:rPr>
          <w:sz w:val="20"/>
          <w:szCs w:val="20"/>
          <w:color w:val="auto"/>
        </w:rPr>
      </w:pPr>
    </w:p>
    <w:p>
      <w:pPr>
        <w:ind w:left="1900" w:right="1779" w:hanging="944"/>
        <w:spacing w:after="0" w:line="292"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such notice, together with any proxy or information statement and related materials to be provided to shareholders of Amdocs;</w:t>
      </w:r>
    </w:p>
    <w:p>
      <w:pPr>
        <w:spacing w:after="0" w:line="66" w:lineRule="exact"/>
        <w:rPr>
          <w:rFonts w:ascii="Courier New" w:cs="Courier New" w:eastAsia="Courier New" w:hAnsi="Courier New"/>
          <w:sz w:val="18"/>
          <w:szCs w:val="18"/>
          <w:color w:val="auto"/>
        </w:rPr>
      </w:pPr>
    </w:p>
    <w:p>
      <w:pPr>
        <w:ind w:left="1900" w:right="1779" w:hanging="944"/>
        <w:spacing w:after="0" w:line="306" w:lineRule="auto"/>
        <w:tabs>
          <w:tab w:leader="none" w:pos="19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such Holder is entitled to instruct the Trustee as to the exercise of the Holder Votes with respect to such Amdocs Meeting or Amdocs Consent, as the case may be, or, pursuant to Section 4.7 hereof, to attend such Amdocs Meeting and to exercise personally the Holder Votes thereat;</w:t>
      </w:r>
    </w:p>
    <w:p>
      <w:pPr>
        <w:spacing w:after="0" w:line="60" w:lineRule="exact"/>
        <w:rPr>
          <w:rFonts w:ascii="Courier New" w:cs="Courier New" w:eastAsia="Courier New" w:hAnsi="Courier New"/>
          <w:sz w:val="16"/>
          <w:szCs w:val="16"/>
          <w:color w:val="auto"/>
        </w:rPr>
      </w:pPr>
    </w:p>
    <w:p>
      <w:pPr>
        <w:ind w:left="1900" w:right="1779" w:hanging="944"/>
        <w:spacing w:after="0" w:line="292"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the manner in which such instructions may be given to the Trustee, including an express indication that instructions may be given to the Trustee to give:</w:t>
      </w:r>
    </w:p>
    <w:p>
      <w:pPr>
        <w:spacing w:after="0" w:line="66" w:lineRule="exact"/>
        <w:rPr>
          <w:rFonts w:ascii="Courier New" w:cs="Courier New" w:eastAsia="Courier New" w:hAnsi="Courier New"/>
          <w:sz w:val="18"/>
          <w:szCs w:val="18"/>
          <w:color w:val="auto"/>
        </w:rPr>
      </w:pPr>
    </w:p>
    <w:p>
      <w:pPr>
        <w:ind w:left="2860" w:right="2099" w:hanging="956"/>
        <w:spacing w:after="0" w:line="34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proxy to such Holder or his designee to exercise personally the Holder Votes; or</w:t>
      </w:r>
    </w:p>
    <w:p>
      <w:pPr>
        <w:spacing w:after="0" w:line="18" w:lineRule="exact"/>
        <w:rPr>
          <w:rFonts w:ascii="Courier New" w:cs="Courier New" w:eastAsia="Courier New" w:hAnsi="Courier New"/>
          <w:sz w:val="18"/>
          <w:szCs w:val="18"/>
          <w:color w:val="auto"/>
        </w:rPr>
      </w:pPr>
    </w:p>
    <w:p>
      <w:pPr>
        <w:ind w:left="2860" w:right="1779" w:hanging="956"/>
        <w:spacing w:after="0" w:line="292"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proxy to a designated agent or other representative of the management of Amdocs to exercise such Holder Votes;</w:t>
      </w:r>
    </w:p>
    <w:p>
      <w:pPr>
        <w:spacing w:after="0" w:line="66" w:lineRule="exact"/>
        <w:rPr>
          <w:rFonts w:ascii="Courier New" w:cs="Courier New" w:eastAsia="Courier New" w:hAnsi="Courier New"/>
          <w:sz w:val="18"/>
          <w:szCs w:val="18"/>
          <w:color w:val="auto"/>
        </w:rPr>
      </w:pPr>
    </w:p>
    <w:p>
      <w:pPr>
        <w:jc w:val="both"/>
        <w:ind w:left="1900" w:right="1779" w:hanging="944"/>
        <w:spacing w:after="0" w:line="292"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if no such instructions are received from the Holder, the Holder Votes to which such Holder is entitled will not be exercised;</w:t>
      </w:r>
    </w:p>
    <w:p>
      <w:pPr>
        <w:spacing w:after="0" w:line="66" w:lineRule="exact"/>
        <w:rPr>
          <w:rFonts w:ascii="Courier New" w:cs="Courier New" w:eastAsia="Courier New" w:hAnsi="Courier New"/>
          <w:sz w:val="18"/>
          <w:szCs w:val="18"/>
          <w:color w:val="auto"/>
        </w:rPr>
      </w:pPr>
    </w:p>
    <w:p>
      <w:pPr>
        <w:ind w:left="1900" w:right="2419" w:hanging="944"/>
        <w:spacing w:after="0" w:line="347"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form of direction whereby the Holder may so direct and instruct the Trustee as contemplated herein; and</w:t>
      </w:r>
    </w:p>
    <w:p>
      <w:pPr>
        <w:spacing w:after="0" w:line="18" w:lineRule="exact"/>
        <w:rPr>
          <w:rFonts w:ascii="Courier New" w:cs="Courier New" w:eastAsia="Courier New" w:hAnsi="Courier New"/>
          <w:sz w:val="18"/>
          <w:szCs w:val="18"/>
          <w:color w:val="auto"/>
        </w:rPr>
      </w:pPr>
    </w:p>
    <w:p>
      <w:pPr>
        <w:ind w:left="1900" w:right="1879" w:hanging="944"/>
        <w:spacing w:after="0" w:line="260"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of (i) the time and date by which such instructions must be received by the Trustee in order to be binding upon it, which in the case of an Amdocs Meeting shall not be earlier than the close of business on the second Business Day prior to such meeting, and (ii) the method for revoking or amending such instructions.</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right="1779"/>
        <w:spacing w:after="0" w:line="277" w:lineRule="auto"/>
        <w:rPr>
          <w:sz w:val="20"/>
          <w:szCs w:val="20"/>
          <w:color w:val="auto"/>
        </w:rPr>
      </w:pPr>
      <w:r>
        <w:rPr>
          <w:rFonts w:ascii="Courier New" w:cs="Courier New" w:eastAsia="Courier New" w:hAnsi="Courier New"/>
          <w:sz w:val="16"/>
          <w:szCs w:val="16"/>
          <w:color w:val="auto"/>
        </w:rPr>
        <w:t>The materials referred to above are to be provided by Amdocs to the Trustee, but shall be subject to review and comment by the Trustee. For the purpose of determining Holder Votes to which a Holder is entitled in respect of any such Amdocs Meeting or Amdocs Consent, the number of Exchangeable Shares owned of record by the Holder shall be determined at the close of business on the record date established by Amdocs or by applicable law for purposes of determining shareholders entitled to vote at such Amdocs Meeting or to give written consent in connection with such Amdocs Consent. Amdocs will notify the Trustee in writing of any decision of the Board of Directors of Amdocs with respect to the calling of any such Amdocs Meeting or the seeking of any such Amdocs Consent and shall provide all necessary information and materials to the Trustee in each case promptly and in any event in sufficient time to enable the Trustee to perform its obligations contemplated by this Section 4.3.</w:t>
      </w: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COPIES OF SHAREHOLDER INFORMATION</w:t>
      </w:r>
    </w:p>
    <w:p>
      <w:pPr>
        <w:spacing w:after="0" w:line="201"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Amdocs will deliver to the Trustee copies of all proxy materials, (including notices of Amdocs Meetings but excluding proxies to vote Amdocs Ordinary Shares), information statements, reports (including without limitation all interim and annual financial statements) and other written communications that, in each case, are to be distributed from time to time to holders of Amdocs Ordinary Shares in sufficient quantities and in sufficient time so as to enable the Trustee to send those materials to each Holder at the same time as such materials are first sent to holders of Amdocs Ordinary Shares. The Trustee will mail or otherwise send to each Holder, at the expense of Amdocs, copies of all such materials (and all materials specifically directed to the Holders or to the Trustee for the benefit of the Holders by Amdocs) received by the Trustee from Amdocs at the same time as such materials are first sent to holders of Amdocs Ordinary Shares. The Trustee will also make available for inspection by any Holder at the Trustee's principal office in the city of Toronto, Ontario all proxy materials, information statements, reports and other written communications that are:</w:t>
      </w:r>
    </w:p>
    <w:p>
      <w:pPr>
        <w:spacing w:after="0" w:line="113" w:lineRule="exact"/>
        <w:rPr>
          <w:sz w:val="20"/>
          <w:szCs w:val="20"/>
          <w:color w:val="auto"/>
        </w:rPr>
      </w:pPr>
    </w:p>
    <w:p>
      <w:pPr>
        <w:jc w:val="both"/>
        <w:ind w:left="1900" w:right="1779" w:hanging="944"/>
        <w:spacing w:after="0" w:line="292"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the Trustee as the registered holder of the Voting Share and made available by Amdocs generally to the holders of Amdocs Ordinary Shares; or</w:t>
      </w:r>
    </w:p>
    <w:p>
      <w:pPr>
        <w:spacing w:after="0" w:line="66" w:lineRule="exact"/>
        <w:rPr>
          <w:rFonts w:ascii="Courier New" w:cs="Courier New" w:eastAsia="Courier New" w:hAnsi="Courier New"/>
          <w:sz w:val="18"/>
          <w:szCs w:val="18"/>
          <w:color w:val="auto"/>
        </w:rPr>
      </w:pPr>
    </w:p>
    <w:p>
      <w:pPr>
        <w:ind w:left="1900" w:right="2419" w:hanging="944"/>
        <w:spacing w:after="0" w:line="34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specifically directed by Amdocs to the Holders or to the Trustee for the benefit of the Holders.</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OTHER MATERIALS</w:t>
      </w:r>
    </w:p>
    <w:p>
      <w:pPr>
        <w:spacing w:after="0" w:line="201"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Immediately after receipt by Amdocs or any shareholder of Amdocs of any material sent or given generally to the holders of Amdocs Ordinary Shares by or on behalf of a third party, including without limitation dissident proxy and information circulars (and related information and material) and tender and exchange offer circulars (and related information and material), Amdocs shall use its best efforts to obtain and deliver to the Trustee copies thereof in sufficient quantities so as to enable the Trustee to forward such material (unless the same has</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been provided directly to Holders by such third party) to each Holder as soon as possible thereafter. As soon as practicable after receipt thereof, the Trustee will mail or otherwise send to each Holder, at the expense of Amdocs, copies of all such materials received by the Trustee from Amdocs. The Trustee will also make copies of all such materials available for inspection by any Holder at the Trustee's principal office in the city of Toronto, Ontario.</w:t>
      </w:r>
    </w:p>
    <w:p>
      <w:pPr>
        <w:spacing w:after="0" w:line="1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LIST OF PERSONS ENTITLED TO VOTE</w:t>
      </w:r>
    </w:p>
    <w:p>
      <w:pPr>
        <w:spacing w:after="0" w:line="201"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The Company shall, (a) prior to each annual, general and special Amdocs Meeting or the seeking of any Amdocs Consent and (b) forthwith upon each request made at any time by the Trustee in writing, prepare or cause to be prepared a list (a "List") of the names and addresses of the Holders arranged in alphabetical order and showing the number of Exchangeable Shares held of record by each such Holder, in each case at the close of business on the date specified by the Trustee in such request or, in the case of a List prepared in connection with an Amdocs Meeting or an Amdocs Consent, at the close of business on the record date established by Amdocs or pursuant to applicable law for determining the holders of Amdocs Ordinary Shares entitled to receive notice of and/or to vote at such Amdocs Meeting or to give consent in connection with such Amdocs Consent. Each such List shall be delivered to the Trustee promptly after receipt by the Company of such request or after the record date for such meeting or seeking of consent, as the case may be, is set and in any event within sufficient time as to enable the Trustee to perform its obligations under this Agreement. Amdocs agrees to give the Company written notice (with a copy to the Trustee) of the calling of any Amdocs Meeting or the seeking of any Amdocs Consent, together with the record dates therefor, sufficiently prior to the date of the calling of such meeting or seeking of such consent so as to enable the Company to perform its obligations under this Section 4.6.</w:t>
      </w: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ENTITLEMENT TO DIRECT VOTES</w:t>
      </w:r>
    </w:p>
    <w:p>
      <w:pPr>
        <w:spacing w:after="0" w:line="201"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Any Holder named in a List prepared in connection with any Amdocs Meeting or any Amdocs Consent will be entitled (a) to instruct the Trustee in the manner described in Section 4.3 hereof with respect to the exercise of the Holder Votes to which such Holder is entitled or (b) to attend such meeting and personally to exercise thereat (or to exercise with respect to any written consent), as the proxy of the Trustee, the Holder Votes to which such Holder is entitled.</w:t>
      </w:r>
    </w:p>
    <w:p>
      <w:pPr>
        <w:spacing w:after="0" w:line="98" w:lineRule="exact"/>
        <w:rPr>
          <w:sz w:val="20"/>
          <w:szCs w:val="20"/>
          <w:color w:val="auto"/>
        </w:rPr>
      </w:pPr>
    </w:p>
    <w:p>
      <w:pPr>
        <w:ind w:left="960" w:right="251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VOTING BY TRUSTEE, AND ATTENDANCE OF TRUSTEE REPRESENTATIVE AT A MEETING</w:t>
      </w:r>
    </w:p>
    <w:p>
      <w:pPr>
        <w:spacing w:after="0" w:line="18" w:lineRule="exact"/>
        <w:rPr>
          <w:sz w:val="20"/>
          <w:szCs w:val="20"/>
          <w:color w:val="auto"/>
        </w:rPr>
      </w:pPr>
    </w:p>
    <w:p>
      <w:pPr>
        <w:ind w:left="1900" w:right="1779" w:hanging="944"/>
        <w:spacing w:after="0" w:line="256"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each Amdocs Meeting and Amdocs Consent, the Trustee shall exercise, either in person or by proxy, in accordance with the instructions received from a Holder pursuant to Section 4.3 hereof, the Holder Votes as to which such Holder is entitled to direct the vote (or any lesser number thereof as may be set forth in the instructions); provided, however, that such written instructions are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left="1900" w:right="1879"/>
        <w:spacing w:after="0" w:line="262" w:lineRule="auto"/>
        <w:rPr>
          <w:sz w:val="20"/>
          <w:szCs w:val="20"/>
          <w:color w:val="auto"/>
        </w:rPr>
      </w:pPr>
      <w:r>
        <w:rPr>
          <w:rFonts w:ascii="Courier New" w:cs="Courier New" w:eastAsia="Courier New" w:hAnsi="Courier New"/>
          <w:sz w:val="18"/>
          <w:szCs w:val="18"/>
          <w:color w:val="auto"/>
        </w:rPr>
        <w:t>received by the Trustee from the Holder prior to the time and date fixed by it for receipt of such instructions in the notice given by the Trustee to the Holder pursuant to Section 4.3 hereof.</w:t>
      </w:r>
    </w:p>
    <w:p>
      <w:pPr>
        <w:spacing w:after="0" w:line="90" w:lineRule="exact"/>
        <w:rPr>
          <w:sz w:val="20"/>
          <w:szCs w:val="20"/>
          <w:color w:val="auto"/>
        </w:rPr>
      </w:pPr>
    </w:p>
    <w:p>
      <w:pPr>
        <w:ind w:left="1900" w:right="1779" w:hanging="944"/>
        <w:spacing w:after="0" w:line="276" w:lineRule="auto"/>
        <w:tabs>
          <w:tab w:leader="none" w:pos="19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cause such representatives as are empowered by it to sign and deliver, on behalf of the Trustee, proxies for Voting Rights to attend each Amdocs Meeting. Upon submission by a Holder (or its designee) of identification satisfactory to the Trustee's representatives, and at the Holder's request, such representatives shall sign and deliver to such Holder (or its designee) a proxy to exercise personally the Holder Votes as to which such Holder is otherwise entitled hereunder to direct the vote, if such Holder either (i) has not previously given the Trustee instructions pursuant to Section 4.3 hereof in respect of such meeting, or (ii) submits to the Trustee's representatives written revocation of any such previous instructions. At such meeting, the Holder exercising such Holder Votes shall have the same rights as the Trustee to speak at the meeting in respect of any matter, question or proposition, to vote by way of ballot at the meeting in respect of any matter, question or proposition and to vote at such meeting by way of a show of hands in respect of any matter, question or proposition.</w:t>
      </w:r>
    </w:p>
    <w:p>
      <w:pPr>
        <w:spacing w:after="0" w:line="200" w:lineRule="exact"/>
        <w:rPr>
          <w:sz w:val="20"/>
          <w:szCs w:val="20"/>
          <w:color w:val="auto"/>
        </w:rPr>
      </w:pPr>
    </w:p>
    <w:p>
      <w:pPr>
        <w:spacing w:after="0" w:line="3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DISTRIBUTION OF WRITTEN MATERIALS</w:t>
      </w:r>
    </w:p>
    <w:p>
      <w:pPr>
        <w:spacing w:after="0" w:line="201"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Any written materials distributed by the Trustee to the Holders pursuant to this Agreement shall be delivered or sent by mail (or otherwise communicated in the same manner as Amdocs utilizes in communications to holders of Amdocs Ordinary Shares) to each Holder at its address as shown on the books of the Company. The Company shall provide or cause to be provided to the Trustee for this purpose, on a timely basis and without charge or other expense:</w:t>
      </w:r>
    </w:p>
    <w:p>
      <w:pPr>
        <w:spacing w:after="0" w:line="98" w:lineRule="exact"/>
        <w:rPr>
          <w:sz w:val="20"/>
          <w:szCs w:val="20"/>
          <w:color w:val="auto"/>
        </w:rPr>
      </w:pPr>
    </w:p>
    <w:p>
      <w:pPr>
        <w:ind w:left="1900" w:hanging="944"/>
        <w:spacing w:after="0"/>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List; and</w:t>
      </w:r>
    </w:p>
    <w:p>
      <w:pPr>
        <w:spacing w:after="0" w:line="201" w:lineRule="exact"/>
        <w:rPr>
          <w:rFonts w:ascii="Courier New" w:cs="Courier New" w:eastAsia="Courier New" w:hAnsi="Courier New"/>
          <w:sz w:val="18"/>
          <w:szCs w:val="18"/>
          <w:color w:val="auto"/>
        </w:rPr>
      </w:pPr>
    </w:p>
    <w:p>
      <w:pPr>
        <w:ind w:left="1900" w:right="1879" w:hanging="944"/>
        <w:spacing w:after="0" w:line="347"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the Trustee, mailing labels to enable the Trustee to carry out its duties under this Agreement.</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6"/>
          <w:szCs w:val="16"/>
          <w:color w:val="auto"/>
        </w:rPr>
        <w:t>TERMINATION OF VOTING RIGHTS</w:t>
      </w:r>
    </w:p>
    <w:p>
      <w:pPr>
        <w:spacing w:after="0" w:line="20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The rights of a Holder with respect to the Holder Votes exercisable in respect of the Exchangeable Shares held by such Holder, including the right to instruct the Trustee as to the voting of or to vote personally such Holder Votes, shall be deemed to be surrendered by the Holder to Amdocs or Holdco, as the case may be, and such Holder Votes and the Voting Rights represented thereby shall cease immediately upon the delivery by such holder to the Trustee of the certificates representing such Exchangeable Shares in connection with the exercise by the Holder of the Exchange Right or the occurrence of the automatic exchange of Exchangeable Shares for Amdocs Ordinary Shares, as specified in Article 5 hereof (unless, in either case,</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Holdco shall not have delivered the requisite Amdocs Ordinary Shares issuable in exchange therefor to the Trustee for delivery to the Holders), or upon the retraction or redemption of Exchangeable Shares pursuant to Article 6 or Article 7 of the Exchangeable Share Provisions, or upon the effective date of the liquidation, dissolution or winding-up of the Company pursuant to Article 5 of the Exchangeable Share Provisions, or upon the purchase of Exchangeable Shares from the holder thereof by Holdco (or Amdocs or Parentco) pursuant to the exercise by such person of the Retraction Call Right, the Redemption Call Right or the Liquidation Call Right.</w:t>
      </w:r>
    </w:p>
    <w:p>
      <w:pPr>
        <w:spacing w:after="0" w:line="1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EXCHANGE RIGHT AND AUTOMATIC EXCHANGE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GRANT AND OWNERSHIP OF THE EXCHANGE RIGHT</w:t>
      </w:r>
    </w:p>
    <w:p>
      <w:pPr>
        <w:spacing w:after="0" w:line="20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Holdco hereby grants to the Trustee as trustee for and on behalf of, and for the use and benefit of, the Holders (a) the right (the "Exchange Right"), upon the occurrence and during the continuance of an Insolvency Event, to require Holdco to purchase from each or any Holder all or any part of the Exchangeable Shares held by the Holder and (b) the Automatic Exchange Rights, all in accordance with the provisions of this Agreement. Holdco hereby acknowledges receipt from the Trustee as trustee for and on behalf of the Holders of good and valuable consideration (and the adequacy thereof) for the grant of the Exchange Right and the Automatic Exchange Rights by Holdco to the Trustee. During the term of the Trust and subject to the terms and conditions of this Agreement, the Trustee shall possess and be vested with full legal ownership of the Exchange Right and the Automatic Exchange Rights and shall be entitled to exercise all of the rights and powers of an owner with respect to the Exchange Right and the Automatic Exchange Rights, provided that the Trustee shall:</w:t>
      </w:r>
    </w:p>
    <w:p>
      <w:pPr>
        <w:spacing w:after="0" w:line="106" w:lineRule="exact"/>
        <w:rPr>
          <w:sz w:val="20"/>
          <w:szCs w:val="20"/>
          <w:color w:val="auto"/>
        </w:rPr>
      </w:pPr>
    </w:p>
    <w:p>
      <w:pPr>
        <w:ind w:left="1900" w:right="1879" w:hanging="944"/>
        <w:spacing w:after="0" w:line="274" w:lineRule="auto"/>
        <w:tabs>
          <w:tab w:leader="none" w:pos="19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the Exchange Right and the Automatic Exchange Rights and the legal title thereto as trustee solely for the use and benefit of the Holders in accordance with the provisions of this Agreement; and</w:t>
      </w:r>
    </w:p>
    <w:p>
      <w:pPr>
        <w:spacing w:after="0" w:line="81" w:lineRule="exact"/>
        <w:rPr>
          <w:rFonts w:ascii="Courier New" w:cs="Courier New" w:eastAsia="Courier New" w:hAnsi="Courier New"/>
          <w:sz w:val="18"/>
          <w:szCs w:val="18"/>
          <w:color w:val="auto"/>
        </w:rPr>
      </w:pPr>
    </w:p>
    <w:p>
      <w:pPr>
        <w:ind w:left="1900" w:right="1999" w:hanging="944"/>
        <w:spacing w:after="0" w:line="260" w:lineRule="auto"/>
        <w:tabs>
          <w:tab w:leader="none" w:pos="19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authorized by this Agreement, have no power or authority to exercise or otherwise deal in or with the Exchange Right or the Automatic Exchange Rights, and the Trustee shall not exercise any such rights for any purpose other than the purposes for which this Trust is created pursuant to this Agreement.</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LEGENDED SHARE CERTIFICATES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will cause each certificate representing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Exchangeable Shares to bear an appropriate legend notifying the Holders of:</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left="1900" w:right="1879" w:hanging="944"/>
        <w:spacing w:after="0" w:line="273"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their right to instruct the Trustee with respect to the exercise of the Exchange Right in respect of the Exchangeable Shares held by a Holder; and</w:t>
      </w:r>
    </w:p>
    <w:p>
      <w:pPr>
        <w:spacing w:after="0" w:line="8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Automatic Exchange Rights.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GENERAL EXERCISE OF EXCHANGE RIGHTS</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The Exchange Right shall be and remain vested in and exercised by the Trustee. Subject to Section 7.15 hereof, the Trustee shall exercise the Exchange Right only on the basis of instructions received pursuant to this Article 5 from Holders entitled to instruct the Trustee as to the exercise thereof. To the extent that no instructions are received from a Holder with respect to the Exchange Right, the Trustee shall not exercise or permit the exercise of the Exchange Right.</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PURCHASE PRICE</w:t>
      </w:r>
    </w:p>
    <w:p>
      <w:pPr>
        <w:spacing w:after="0" w:line="201"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The purchase price payable by Holdco for each Exchangeable Share to be purchased by Holdco under the Exchange Right shall be an amount per share equal to (a) the Current Market Price of an Amdocs Ordinary Share on the last Business Day prior to the day of closing of the purchase and sale of such Exchangeable Share under the Exchange Right plus (b) an additional amount equivalent to the full amount of all dividends declared and unpaid on each such Exchangeable Share (provided that if the record date for any such declared and unpaid dividends occurs on or after the day of closing of such purchase and sale the purchase price shall not include such additional amount equivalent to the declared and unpaid dividends). In connection with each exercise of the Exchange Right, Holdco will provide to the Trustee an Officer's Certificate setting forth the calculation of the purchase price for each Exchangeable Share. The purchase price for each such Exchangeable Share so purchased may be satisfied only by Amdocs issuing and delivering or causing to be delivered to the Trustee, on behalf of the relevant Holder, one Amdocs Ordinary Share and a check for the balance, if any, of the purchase price without interest (but less any amounts withheld pursuant to Section 5.13).</w:t>
      </w:r>
    </w:p>
    <w:p>
      <w:pPr>
        <w:spacing w:after="0" w:line="1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EXERCISE INSTRUCTIONS</w:t>
      </w:r>
    </w:p>
    <w:p>
      <w:pPr>
        <w:spacing w:after="0" w:line="201"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Subject to the terms and conditions herein set forth, a Holder shall be entitled, upon the occurrence and during the continuance of an Insolvency Event, to instruct the Trustee to exercise the Exchange Right with respect to all or any part of the Exchangeable Shares registered in the name of such Holder on the books of the Company. To cause the exercise of the Exchange Right by the Trustee, the Holder shall deliver to the Trustee, in person or by mail, at its principal office in Toronto, Ontario or at such other places in Canada as the Trustee may from time to time designate by written notice to the Holders, the certificates representing the Exchangeable Shares which such Holder desires Holdco to purchase, duly endorsed in blank, and accompanied by such other documents and instruments as may be required to effect a transfer of Exchangeable Shares under the NBBCA and the by-laws of the Company and such additional documents and</w:t>
      </w: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instruments as the Trustee may reasonably require together with (a) a duly completed form of notice of exercise of the Exchange Right, contained on the reverse of or attached to the Exchangeable Share certificates, stating (i) that the Holder thereby instructs the Trustee to exercise the Exchange Right so as to require Holdco to purchase from the Holder the number of Exchangeable Shares specified therein, (ii) that such Holder has good title to and owns all such Exchangeable Shares to be acquired by Holdco free and clear of all liens, claims and encumbrances, (iii) the names in which the certificates representing Amdocs Ordinary Shares issuable in connection with the exercise of the Exchange Right are to be issued and (iv) the names and addresses of the persons to whom such new certificates should be delivered and (b) payment (or evidence satisfactory to the Trustee, the Company, Amdocs and Holdco of payment) of the taxes (if any) payable as contemplated by Section 5.8 of this Agreement. If only a part of the Exchangeable Shares represented by any certificate or certificates delivered to the Trustee are to be purchased by Holdco under the Exchange Right, a new certificate for the balance of such Exchangeable Shares shall be issued by Amdocs to the holder at the expense of the Company.</w:t>
      </w:r>
    </w:p>
    <w:p>
      <w:pPr>
        <w:spacing w:after="0" w:line="2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DELIVERY OF AMDOCS ORDINARY SHARES; EFFECT OF EXERCISE</w:t>
      </w:r>
    </w:p>
    <w:p>
      <w:pPr>
        <w:spacing w:after="0" w:line="201"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Promptly after receipt of the certificates representing the Exchangeable Shares which the Holder desires Holdco to purchase under the Exchange Right (together with such documents and instruments of transfer and a duly completed form of notice of exercise of the Exchange Right (and payment of taxes, if any, payable as contemplated in Section 5.8 hereof or evidence thereof)), duly endorsed in blank, the Trustee shall notify Holdco, Amdocs and the Company of its receipt of the same, which notice to Holdco, Amdocs and the Company shall constitute exercise of the Exchange Right by the Trustee on behalf of the holder of such Exchangeable Shares, and Holdco shall immediately thereafter deliver or cause to be delivered to the Trustee, for delivery to the Holder of such Exchangeable Shares (or to such other persons, if any, properly designated by such Holder), the certificates for the number of Amdocs Ordinary Shares issuable in connection with the exercise of the Exchange Right, which shares shall be duly issued and fully paid and non-assessable and shall be free and clear of any lien, claim or encumbrance, and checks for the balance, if any, of the total purchase price therefor without interest, but less any amounts withheld pursuant to Section 5.13 hereof; provided, however, that no such delivery shall be made unless and until the Holder requesting the same shall have paid (or provided evidence satisfactory to the Trustee, the Company, Amdocs and Holdco of the payment of) the taxes (if any) payable as contemplated by Section 5.8 of this Agreement. Immediately upon the giving of notice by the Trustee to Holdco, Amdocs and the Company of the exercise of the Exchange Right, as provided in this Section 5.6, the closing of the transaction of purchase and sale contemplated by the Exchange Right shall be deemed to have occurred, and the Holder of such Exchangeable Shares shall be deemed to have transferred to Holdco all of its right, title and interest in and to such Exchangeable Shares and in the related interest in the Trust Estate and shall cease to be a holder of such Exchangeable Shares and shall not be entitled to exercise any of the rights of a holder in respect thereof, other than the right to receive his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proportionate part of the total purchase price therefor, unless the requisite number of Amdocs Ordinary Shares (together with a check for the balance, if any, of the total purchase price therefor without interest) is not allotted and delivered by Holdco to the Trustee, for delivery to such Holder (or to such other persons, if any, properly designated by such Holder), within five Business Days of the date of the giving of such notice by the Trustee, in which case the rights of the Holder shall remain unaffected until such Amdocs Ordinary Shares are so allotted and delivered by Holdco and any such check is so delivered and paid. Upon delivery by Holdco to the Trustee of such Amdocs Ordinary Shares, the Trustee shall deliver such Amdocs Ordinary Shares to such Holder (or to such other persons, if any, properly designated by such Holder). Concurrently with such Holder ceasing to be a holder of Exchangeable Shares, the Holder shall be considered and deemed for all purposes to be the holder of the Amdocs Ordinary Shares delivered to it pursuant to the Exchange Right.</w:t>
      </w:r>
    </w:p>
    <w:p>
      <w:pPr>
        <w:spacing w:after="0" w:line="1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EXERCISE OF EXCHANGE RIGHT SUBSEQUENT TO RETRACTION</w:t>
      </w:r>
    </w:p>
    <w:p>
      <w:pPr>
        <w:spacing w:after="0" w:line="201" w:lineRule="exact"/>
        <w:rPr>
          <w:sz w:val="20"/>
          <w:szCs w:val="20"/>
          <w:color w:val="auto"/>
        </w:rPr>
      </w:pPr>
    </w:p>
    <w:p>
      <w:pPr>
        <w:ind w:right="1779" w:firstLine="1896"/>
        <w:spacing w:after="0" w:line="277" w:lineRule="auto"/>
        <w:rPr>
          <w:sz w:val="20"/>
          <w:szCs w:val="20"/>
          <w:color w:val="auto"/>
        </w:rPr>
      </w:pPr>
      <w:r>
        <w:rPr>
          <w:rFonts w:ascii="Courier New" w:cs="Courier New" w:eastAsia="Courier New" w:hAnsi="Courier New"/>
          <w:sz w:val="16"/>
          <w:szCs w:val="16"/>
          <w:color w:val="auto"/>
        </w:rPr>
        <w:t>In the event that a Holder has exercised its right under Article 6 of the Exchangeable Share Provisions to require the Company to redeem any or all of the Exchangeable Shares held by the Holder (the "Retracted Shares") and is notified by the Company pursuant to Section 6.7 of the Exchangeable Share Provisions that the Company will not be permitted as a result of solvency requirements of applicable law to redeem all such Retracted Shares, provided that Holdco shall not have exercised the Retraction Call Right with respect to the Retracted Shares and that the Holder has not revoked the retraction request delivered by the Holder to the Company pursuant to Section</w:t>
      </w:r>
    </w:p>
    <w:p>
      <w:pPr>
        <w:spacing w:after="0" w:line="182"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6.1 of the Exchangeable Share Provisions, the retraction request will constitute and will be deemed to constitute notice from the Holder to the Trustee instructing the Trustee to exercise the Exchange Right with respect to those Retracted Shares which the Company is unable to redeem. In any such event, the Company hereby agrees with the Trustee and in favor of the Holder immediately to notify the Trustee of such prohibition against the Company redeeming all of the Retracted Shares and immediately to forward or cause to be forwarded to the Trustee all relevant materials delivered by the Holder to the Company or to the transfer agent of the Exchangeable Shares (including without limitation a copy of the retraction request delivered pursuant to Section 6.1 of the Exchangeable Share Provisions) in connection with such proposed redemption of the Retracted Shares and the Trustee will thereupon exercise the Exchange Right with respect to the Retracted Shares that the Company is not permitted to redeem and will require Holdco to purchase such shares in accordance with the provisions of this Article 5.</w:t>
      </w:r>
    </w:p>
    <w:p>
      <w:pPr>
        <w:spacing w:after="0" w:line="1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STAMP OR OTHER TRANSFER TAXES</w:t>
      </w:r>
    </w:p>
    <w:p>
      <w:pPr>
        <w:spacing w:after="0" w:line="20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Upon any sale of Exchangeable Shares to Holdco pursuant to the Exchange Right or the Automatic Exchange Rights, the share certificate or certificates representing Amdocs Ordinary Shares to be delivered in connection with the payment of the total purchase price therefor shall be issued in the name of the Holder of the Exchangeable Shares so sold or in such</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names as such Holder may otherwise direct in writing without charge to the holder of the Exchangeable Shares so sold, provided, however, that such Holder</w:t>
      </w:r>
    </w:p>
    <w:p>
      <w:pPr>
        <w:ind w:right="1879" w:firstLine="8"/>
        <w:spacing w:after="0" w:line="252"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pay (and neither Holdco, Amdocs, the Company nor the Trustee shall be required to pay) any documentary, stamp, transfer or other similar taxes that may be payable in respect of any transfer involved in the issuance or delivery of such shares to a person other than such Holder or (b) shall have established to the satisfaction of the Trustee, Amdocs, Holdco and the Company that such taxes, if any, have been paid.</w:t>
      </w:r>
    </w:p>
    <w:p>
      <w:pPr>
        <w:spacing w:after="0" w:line="1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NOTICE OF INSOLVENCY EVENT</w:t>
      </w:r>
    </w:p>
    <w:p>
      <w:pPr>
        <w:spacing w:after="0" w:line="201"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Immediately upon the occurrence of an Insolvency Event or any event which with the giving of notice or the passage of time or both would be an Insolvency Event, the Company and Amdocs shall give written notice thereof to the Trustee. As soon as practicable after receiving notice from the Company and Amdocs or from any other person of the occurrence of an Insolvency Event, the Trustee will mail to each Holder, at the expense of Amdocs, a notice of such Insolvency Event in the form provided by Amdocs, which notice shall contain a brief statement of the right of the Holders with respect to the Exchange Right.</w:t>
      </w:r>
    </w:p>
    <w:p>
      <w:pPr>
        <w:spacing w:after="0" w:line="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QUALIFICATION OF AMDOCS ORDINARY SHARES</w:t>
      </w:r>
    </w:p>
    <w:p>
      <w:pPr>
        <w:spacing w:after="0" w:line="201"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Amdocs covenants that if any Amdocs Ordinary Shares to be issued and delivered pursuant to the Exchange Right or the Automatic Exchange Rights require registration or qualification with or approval of or the filing of any document including any prospectus or similar document or the taking of any proceeding with or the obtaining of any order, ruling or consent from any governmental or regulatory authority under any Canadian or United States federal, provincial or state law or regulation or pursuant to the rules and regulations of any regulatory authority or the fulfillment of any other Canadian or United States federal, provincial or state legal requirement (collectively, the "Applicable Laws") before such shares may be delivered by Holdco to the initial Holder thereof, Amdocs will in good faith expeditiously take all such actions and do all such things as are necessary or desirable to cause such shares of Amdocs Ordinary Shares to be and remain duly registered, qualified or approved. Amdocs will in good faith expeditiously take all such actions and do all such things as are reasonably necessary or desirable, pursuant to the terms of the Combination Agreement to cause all shares of Amdocs Ordinary Shares to be delivered pursuant to the Exchange Right or the Automatic Exchange Rights to be listed, quoted or posted for trading on all stock exchanges and quotation systems on which such shares have been listed by Amdocs and remain listed, quoted or posted for trading at such time.</w:t>
      </w:r>
    </w:p>
    <w:p>
      <w:pPr>
        <w:spacing w:after="0" w:line="1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RESERVATION OF AMDOCS ORDINARY SHARES</w:t>
      </w:r>
    </w:p>
    <w:p>
      <w:pPr>
        <w:spacing w:after="0" w:line="201" w:lineRule="exact"/>
        <w:rPr>
          <w:sz w:val="20"/>
          <w:szCs w:val="20"/>
          <w:color w:val="auto"/>
        </w:rPr>
      </w:pPr>
    </w:p>
    <w:p>
      <w:pPr>
        <w:jc w:val="both"/>
        <w:ind w:right="2419" w:firstLine="1896"/>
        <w:spacing w:after="0" w:line="292" w:lineRule="auto"/>
        <w:rPr>
          <w:sz w:val="20"/>
          <w:szCs w:val="20"/>
          <w:color w:val="auto"/>
        </w:rPr>
      </w:pPr>
      <w:r>
        <w:rPr>
          <w:rFonts w:ascii="Courier New" w:cs="Courier New" w:eastAsia="Courier New" w:hAnsi="Courier New"/>
          <w:sz w:val="18"/>
          <w:szCs w:val="18"/>
          <w:color w:val="auto"/>
        </w:rPr>
        <w:t>Amdocs hereby represents, warrants and covenants for the benefit of the holders of the Exchangeable Shares that it has irrevocably reserved for issuance and will at all times keep</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17</w:t>
      </w:r>
    </w:p>
    <w:p>
      <w:pPr>
        <w:spacing w:after="0" w:line="31" w:lineRule="exact"/>
        <w:rPr>
          <w:sz w:val="20"/>
          <w:szCs w:val="20"/>
          <w:color w:val="auto"/>
        </w:rPr>
      </w:pPr>
    </w:p>
    <w:p>
      <w:pPr>
        <w:ind w:right="1879"/>
        <w:spacing w:after="0" w:line="280" w:lineRule="auto"/>
        <w:rPr>
          <w:sz w:val="20"/>
          <w:szCs w:val="20"/>
          <w:color w:val="auto"/>
        </w:rPr>
      </w:pPr>
      <w:r>
        <w:rPr>
          <w:rFonts w:ascii="Courier New" w:cs="Courier New" w:eastAsia="Courier New" w:hAnsi="Courier New"/>
          <w:sz w:val="16"/>
          <w:szCs w:val="16"/>
          <w:color w:val="auto"/>
        </w:rPr>
        <w:t>available, free from pre-emptive and other rights, out of its authorized and unissued capital stock such number of Amdocs Ordinary Shares (a) as is equal to the sum of (i) the number of Exchangeable Shares issued and outstanding from time to time and (ii) the number of Exchangeable Shares issuable upon the exercise of all rights to acquire Exchangeable Shares outstanding from time to time and (b) as are now and may hereafter be required to enable and permit the Company and Holdco to meet their respective obligations hereunder, under the Support Agreement, under the Exchangeable Share Provisions and under any other security or commitment pursuant to which Amdocs or Holdco may now or hereafter be required to issue or deliver Amdocs Ordinary Shares to Holders.</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AUTOMATIC EXCHANGE ON LIQUIDATION OF PARENT</w:t>
      </w:r>
    </w:p>
    <w:p>
      <w:pPr>
        <w:spacing w:after="0" w:line="201" w:lineRule="exact"/>
        <w:rPr>
          <w:sz w:val="20"/>
          <w:szCs w:val="20"/>
          <w:color w:val="auto"/>
        </w:rPr>
      </w:pPr>
    </w:p>
    <w:p>
      <w:pPr>
        <w:ind w:left="1900" w:right="2199" w:hanging="944"/>
        <w:spacing w:after="0" w:line="347"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will give the Trustee written notice of each of the following events at the time set forth below:</w:t>
      </w:r>
    </w:p>
    <w:p>
      <w:pPr>
        <w:spacing w:after="0" w:line="18" w:lineRule="exact"/>
        <w:rPr>
          <w:rFonts w:ascii="Courier New" w:cs="Courier New" w:eastAsia="Courier New" w:hAnsi="Courier New"/>
          <w:sz w:val="18"/>
          <w:szCs w:val="18"/>
          <w:color w:val="auto"/>
        </w:rPr>
      </w:pPr>
    </w:p>
    <w:p>
      <w:pPr>
        <w:ind w:left="2860" w:right="2099" w:hanging="956"/>
        <w:spacing w:after="0" w:line="287" w:lineRule="auto"/>
        <w:tabs>
          <w:tab w:leader="none" w:pos="286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determination by the Board of Directors of Amdocs to institute voluntary liquidation, dissolution or winding-up proceedings with respect to Amdocs or to effect any other distribution of assets of Amdocs among its shareholders for the purpose of winding up its affairs, at least 60 days prior to the proposed effective date of such liquidation, dissolution, winding-up or other distribution; and</w:t>
      </w:r>
    </w:p>
    <w:p>
      <w:pPr>
        <w:spacing w:after="0" w:line="75" w:lineRule="exact"/>
        <w:rPr>
          <w:rFonts w:ascii="Courier New" w:cs="Courier New" w:eastAsia="Courier New" w:hAnsi="Courier New"/>
          <w:sz w:val="16"/>
          <w:szCs w:val="16"/>
          <w:color w:val="auto"/>
        </w:rPr>
      </w:pPr>
    </w:p>
    <w:p>
      <w:pPr>
        <w:ind w:left="2860" w:right="1779" w:hanging="956"/>
        <w:spacing w:after="0" w:line="283" w:lineRule="auto"/>
        <w:tabs>
          <w:tab w:leader="none" w:pos="286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following the earlier of (A) receipt by Amdocs of notice of, and (B) Amdocs otherwise becoming aware of any threatened or instituted claim, suit, petition or other proceedings with respect to the involuntary liquidation, dissolution or winding up of Amdocs or to effect any other distribution of assets of Amdocs among its shareholders for the purpose of winding up its affairs, in each case where Amdocs has failed to contest in good faith any such proceeding within 30 days of becoming aware thereof.</w:t>
      </w:r>
    </w:p>
    <w:p>
      <w:pPr>
        <w:spacing w:after="0" w:line="293" w:lineRule="exact"/>
        <w:rPr>
          <w:rFonts w:ascii="Courier New" w:cs="Courier New" w:eastAsia="Courier New" w:hAnsi="Courier New"/>
          <w:sz w:val="16"/>
          <w:szCs w:val="16"/>
          <w:color w:val="auto"/>
        </w:rPr>
      </w:pPr>
    </w:p>
    <w:p>
      <w:pPr>
        <w:ind w:left="1900" w:right="1779" w:hanging="944"/>
        <w:spacing w:after="0" w:line="256"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receipt by the Trustee from Amdocs of notice of any event (a "Liquidation Event") contemplated by Section 5.12(a)(i) or 5.12(a)(ii) above, the Trustee will give notice thereof to the Holders. Such notice shall include a brief description of the automatic exchange of Exchangeable Shares for Amdocs Ordinary Shares provided for in Section 5.12(c) below.</w:t>
      </w:r>
    </w:p>
    <w:p>
      <w:pPr>
        <w:spacing w:after="0" w:line="98" w:lineRule="exact"/>
        <w:rPr>
          <w:rFonts w:ascii="Courier New" w:cs="Courier New" w:eastAsia="Courier New" w:hAnsi="Courier New"/>
          <w:sz w:val="18"/>
          <w:szCs w:val="18"/>
          <w:color w:val="auto"/>
        </w:rPr>
      </w:pPr>
    </w:p>
    <w:p>
      <w:pPr>
        <w:ind w:left="1900" w:right="1779" w:hanging="944"/>
        <w:spacing w:after="0" w:line="256"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that the Holders will be able to participate on a pro rata basis with the holders of Amdocs Ordinary Shares in the distribution of assets of Amdocs in connection with a Liquidation Event, on the fifth Business Day prior to the effective date (the "Liquidation Event Effective Date") of a Liquidation Event all of the then outstanding Exchangeable Shares shall be automatically exchanged for</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ind w:left="1580" w:right="1779"/>
        <w:spacing w:after="0" w:line="273" w:lineRule="auto"/>
        <w:rPr>
          <w:sz w:val="20"/>
          <w:szCs w:val="20"/>
          <w:color w:val="auto"/>
        </w:rPr>
      </w:pPr>
      <w:r>
        <w:rPr>
          <w:rFonts w:ascii="Courier New" w:cs="Courier New" w:eastAsia="Courier New" w:hAnsi="Courier New"/>
          <w:sz w:val="16"/>
          <w:szCs w:val="16"/>
          <w:color w:val="auto"/>
        </w:rPr>
        <w:t>Amdocs Ordinary Shares. To effect such automatic exchange, Holdco shall purchase each Exchangeable Share outstanding on the fifth Business Day prior to the Liquidation Event Effective Date and held by Holders, and each Holder shall sell the Exchangeable Shares held by it at such time, for a purchase price per share equal to (a) the Current Market Price of an Amdocs Ordinary Share on the fifth Business Day prior to the Liquidation Event Effective Date, which shall be satisfied in full by Holdco issuing to the Holder one Amdocs Ordinary Share, plus (b) to the extent not paid by the Company, an additional amount equivalent to the full amount of all dividends declared and unpaid on each such Exchangeable Share and all dividends declared on Amdocs Ordinary Shares that have not been declared on such Exchangeable Shares in accordance with Section 3.1 of the Exchangeable Share Provisions (provided that if the record date for any such declared and unpaid dividends occurs on or after the day of closing of such purchase and sale, the purchase price shall not include such additional amounts equivalent to such declared and unpaid dividends). In connection with such automatic exchange, Holdco will provide to the Trustee an Officer's Certificate setting forth the calculation of the purchase price for each Exchangeable Share.</w:t>
      </w:r>
    </w:p>
    <w:p>
      <w:pPr>
        <w:spacing w:after="0" w:line="200" w:lineRule="exact"/>
        <w:rPr>
          <w:sz w:val="20"/>
          <w:szCs w:val="20"/>
          <w:color w:val="auto"/>
        </w:rPr>
      </w:pPr>
    </w:p>
    <w:p>
      <w:pPr>
        <w:spacing w:after="0" w:line="300" w:lineRule="exact"/>
        <w:rPr>
          <w:sz w:val="20"/>
          <w:szCs w:val="20"/>
          <w:color w:val="auto"/>
        </w:rPr>
      </w:pPr>
    </w:p>
    <w:p>
      <w:pPr>
        <w:ind w:left="1580" w:right="1779" w:hanging="944"/>
        <w:spacing w:after="0" w:line="273"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fifth Business Day prior to the Liquidation Event Effective Date, the closing of the transaction of purchase and sale contemplated by the automatic exchange of Exchangeable Shares for Amdocs Ordinary Shares shall be deemed to have occurred, and each Holder of Exchangeable Shares shall be deemed to have transferred to Holdco all of the Holder's right, title and interest in and to such Exchangeable Shares and the related interest in the Trust Estate and shall cease to be a holder of such Exchangeable Shares and Holdco shall deliver to the Holder the Amdocs Ordinary Shares issuable upon the automatic exchange of Exchangeable Shares for Amdocs Ordinary Shares and on the applicable payment date shall deliver to the Trustee for delivery to the Holder a check for the balance, if any, of the total purchase price for such Exchangeable Shares without interest, but less any amounts withheld pursuant to Section 5.13 hereof. Concurrently with such Holder ceasing to be a holder of Exchangeable Shares, the Holder shall be considered and deemed for all purposes to be the holder of the Amdocs Ordinary Shares issued to it pursuant to the automatic exchange of Exchangeable Shares for Amdocs Ordinary Shares and the certificates held by the Holder previously representing the Exchangeable Shares exchanged by the Holder with Holdco pursuant to such automatic exchange shall thereafter be deemed to represent the Amdocs Ordinary Shares delivered to the Holder by Holdco pursuant to such automatic exchange. Upon the request of a Holder and the surrender by the Holder of Exchangeable Share certificates deemed to represent shares of Amdocs Ordinary Shares, duly endorsed in blank and accompanied by such instruments of transfer as Amdocs and Holdco may reasonably require, Holdco shall deliver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285"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19</w:t>
      </w:r>
    </w:p>
    <w:p>
      <w:pPr>
        <w:spacing w:after="0" w:line="31" w:lineRule="exact"/>
        <w:rPr>
          <w:sz w:val="20"/>
          <w:szCs w:val="20"/>
          <w:color w:val="auto"/>
        </w:rPr>
      </w:pPr>
    </w:p>
    <w:p>
      <w:pPr>
        <w:jc w:val="both"/>
        <w:ind w:left="1900" w:right="1879"/>
        <w:spacing w:after="0" w:line="378" w:lineRule="auto"/>
        <w:rPr>
          <w:sz w:val="20"/>
          <w:szCs w:val="20"/>
          <w:color w:val="auto"/>
        </w:rPr>
      </w:pPr>
      <w:r>
        <w:rPr>
          <w:rFonts w:ascii="Courier New" w:cs="Courier New" w:eastAsia="Courier New" w:hAnsi="Courier New"/>
          <w:sz w:val="16"/>
          <w:szCs w:val="16"/>
          <w:color w:val="auto"/>
        </w:rPr>
        <w:t>cause to be delivered to the Holder certificates representing the Amdocs Ordinary Shares of which the Holder is the holder.</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WITHHOLDING RIGHTS</w:t>
      </w:r>
    </w:p>
    <w:p>
      <w:pPr>
        <w:spacing w:after="0" w:line="201" w:lineRule="exact"/>
        <w:rPr>
          <w:sz w:val="20"/>
          <w:szCs w:val="20"/>
          <w:color w:val="auto"/>
        </w:rPr>
      </w:pPr>
    </w:p>
    <w:p>
      <w:pPr>
        <w:ind w:right="2419" w:firstLine="1896"/>
        <w:spacing w:after="0" w:line="292" w:lineRule="auto"/>
        <w:rPr>
          <w:sz w:val="20"/>
          <w:szCs w:val="20"/>
          <w:color w:val="auto"/>
        </w:rPr>
      </w:pPr>
      <w:r>
        <w:rPr>
          <w:rFonts w:ascii="Courier New" w:cs="Courier New" w:eastAsia="Courier New" w:hAnsi="Courier New"/>
          <w:sz w:val="18"/>
          <w:szCs w:val="18"/>
          <w:color w:val="auto"/>
        </w:rPr>
        <w:t>Prior to the exchange or disposition of any Exchangeable Shares in accordance with this Article, each Holder shall deliver to the purchaser, at or before such time:</w:t>
      </w:r>
    </w:p>
    <w:p>
      <w:pPr>
        <w:spacing w:after="0" w:line="66" w:lineRule="exact"/>
        <w:rPr>
          <w:sz w:val="20"/>
          <w:szCs w:val="20"/>
          <w:color w:val="auto"/>
        </w:rPr>
      </w:pPr>
    </w:p>
    <w:p>
      <w:pPr>
        <w:ind w:left="1900" w:right="2199" w:hanging="944"/>
        <w:spacing w:after="0" w:line="347" w:lineRule="auto"/>
        <w:tabs>
          <w:tab w:leader="none" w:pos="19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confirming that such Holder is a resident of Canada for the purposes of the ITA; or</w:t>
      </w:r>
    </w:p>
    <w:p>
      <w:pPr>
        <w:spacing w:after="0" w:line="18" w:lineRule="exact"/>
        <w:rPr>
          <w:rFonts w:ascii="Courier New" w:cs="Courier New" w:eastAsia="Courier New" w:hAnsi="Courier New"/>
          <w:sz w:val="18"/>
          <w:szCs w:val="18"/>
          <w:color w:val="auto"/>
        </w:rPr>
      </w:pPr>
    </w:p>
    <w:p>
      <w:pPr>
        <w:ind w:left="1900" w:right="1779" w:hanging="944"/>
        <w:spacing w:after="0" w:line="282" w:lineRule="auto"/>
        <w:tabs>
          <w:tab w:leader="none" w:pos="19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Holder who is a non-resident of Canada for the purposes of the ITA: (i) a certificate satisfactory to the purchaser acting reasonably, issued pursuant to subsection 116(2) or 116(4) of the ITA, with respect to the Exchangeable Shares, and having, in the case of a certificate under subsection 116(2) as the "certificate limit", as defined in subsection 116(2) of the ITA, an amount no less than the cost to the purchaser of the Exchangeable Shares, as the case may be; and (ii) if applicable, a certificate reasonably satisfactory to the purchaser issued pursuant to Section 1098 of the Taxation Act (Quebec) or any other analogous certificate required by any other provincial taxing authority.</w:t>
      </w:r>
    </w:p>
    <w:p>
      <w:pPr>
        <w:spacing w:after="0" w:line="29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In the case of a Holder who is a partnership, the Holder shall also provide a certificate confirming the name and address of each member thereof and the percentage of partnership interest held by each member (which partners and percentages are clearly contemplated in the applicable certificate).</w:t>
      </w:r>
    </w:p>
    <w:p>
      <w:pPr>
        <w:spacing w:after="0" w:line="90"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In the event that a Holder fails to deliver the requisite certificates described above at or before the exchange or disposition of such shares, the purchaser of the Exchangeable Shares shall be entitled to deduct and withhold from any consideration otherwise payable to any Holder such amounts as the purchaser is required or permitted to deduct and withhold with respect to such payment under the ITA or any provision of provincial or governmental tax law, in each case, as amended or succeeded, provided that such withheld amount shall not be remitted prior to two business days prior to the date such amount is required by law to be remitted (the "Remittance Date") and where such certificate is delivered prior to such Remittance Date, such withheld amount shall be released. To the extent that amounts are so withheld, such withheld amounts shall be treated for all purposes hereof as having been paid to the Holder in respect of which such deduction and withholding was made, provided that such withheld amounts are actually remitted to the appropriate taxing authority. To the extent that the amount so required or permitted to be deducted or withheld from any payment to a Holder exceeds the cash portion of the consideration otherwise payable to the Holder, the purchaser, as agent of such Holder, is hereby authorized to sell or otherwise dispose of such portion of the consideration as is necessary to provide sufficient funds to the purchaser to enable it to comply with such deduction or</w:t>
      </w: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20</w:t>
      </w:r>
    </w:p>
    <w:p>
      <w:pPr>
        <w:spacing w:after="0" w:line="3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withholding requirement and the purchaser shall notify the Holder thereof and remit to such Holder any unapplied balance of the net proceeds of such sale. If the proceeds of such sale are insufficient to fund the required withholding, the Holder shall forthwith pay to the purchaser or remit to the applicable taxing authority the deficiency. The Holder shall bear all reasonable costs and expense associated with such sale by purchaser pursuant to the two immediately preceding sentences.</w:t>
      </w:r>
    </w:p>
    <w:p>
      <w:pPr>
        <w:spacing w:after="0" w:line="1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6"/>
          <w:szCs w:val="16"/>
          <w:color w:val="auto"/>
        </w:rPr>
        <w:t>OTHER</w:t>
      </w:r>
    </w:p>
    <w:p>
      <w:pPr>
        <w:spacing w:after="0" w:line="201"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At the option of Amdocs, the Exchange Right and the Automatic Exchange Rights may be satisfied by Amdocs or Parentco.</w:t>
      </w:r>
    </w:p>
    <w:p>
      <w:pPr>
        <w:spacing w:after="0" w:line="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RESTRICTIONS ON ISSUE OF ADDITIONAL AMDOCS SPECIAL VOTING SHARES</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ISSUE OF ADDITIONAL SHARES</w:t>
      </w:r>
    </w:p>
    <w:p>
      <w:pPr>
        <w:spacing w:after="0" w:line="200" w:lineRule="exact"/>
        <w:rPr>
          <w:sz w:val="20"/>
          <w:szCs w:val="20"/>
          <w:color w:val="auto"/>
        </w:rPr>
      </w:pPr>
    </w:p>
    <w:p>
      <w:pPr>
        <w:spacing w:after="0" w:line="204"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During the term of this Agreement, Amdocs will not, without the consent of the Holders, given in accordance with Section 10.2 of the Exchangeable Share Provisions, issue any Amdocs Special Voting Shares in addition to the Voting Share.</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7</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CONCERNING THE TRUSTEE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POWERS AND DUTIES OF THE TRUSTEE</w:t>
      </w:r>
    </w:p>
    <w:p>
      <w:pPr>
        <w:spacing w:after="0" w:line="201"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The rights, powers and authorities of the Trustee under this Agreement, in its capacity as trustee of the Trust, shall include, without limitation:</w:t>
      </w:r>
    </w:p>
    <w:p>
      <w:pPr>
        <w:spacing w:after="0" w:line="66" w:lineRule="exact"/>
        <w:rPr>
          <w:sz w:val="20"/>
          <w:szCs w:val="20"/>
          <w:color w:val="auto"/>
        </w:rPr>
      </w:pPr>
    </w:p>
    <w:p>
      <w:pPr>
        <w:ind w:left="1900" w:right="1779" w:hanging="944"/>
        <w:spacing w:after="0" w:line="292"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deposit of the Voting Share from Amdocs as trustee for and on behalf of the Holders in accordance with the provisions of this Agreement;</w:t>
      </w:r>
    </w:p>
    <w:p>
      <w:pPr>
        <w:spacing w:after="0" w:line="66" w:lineRule="exact"/>
        <w:rPr>
          <w:rFonts w:ascii="Courier New" w:cs="Courier New" w:eastAsia="Courier New" w:hAnsi="Courier New"/>
          <w:sz w:val="18"/>
          <w:szCs w:val="18"/>
          <w:color w:val="auto"/>
        </w:rPr>
      </w:pPr>
    </w:p>
    <w:p>
      <w:pPr>
        <w:ind w:left="1900" w:right="2319" w:hanging="944"/>
        <w:spacing w:after="0" w:line="347"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granting proxies and distributing materials to Holders as provided in this Agreement;</w:t>
      </w:r>
    </w:p>
    <w:p>
      <w:pPr>
        <w:spacing w:after="0" w:line="18" w:lineRule="exact"/>
        <w:rPr>
          <w:rFonts w:ascii="Courier New" w:cs="Courier New" w:eastAsia="Courier New" w:hAnsi="Courier New"/>
          <w:sz w:val="18"/>
          <w:szCs w:val="18"/>
          <w:color w:val="auto"/>
        </w:rPr>
      </w:pPr>
    </w:p>
    <w:p>
      <w:pPr>
        <w:ind w:left="1900" w:right="1999" w:hanging="944"/>
        <w:spacing w:after="0" w:line="347"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the Holder Votes in accordance with the provisions of this Agreement;</w:t>
      </w:r>
    </w:p>
    <w:p>
      <w:pPr>
        <w:spacing w:after="0" w:line="18" w:lineRule="exact"/>
        <w:rPr>
          <w:rFonts w:ascii="Courier New" w:cs="Courier New" w:eastAsia="Courier New" w:hAnsi="Courier New"/>
          <w:sz w:val="18"/>
          <w:szCs w:val="18"/>
          <w:color w:val="auto"/>
        </w:rPr>
      </w:pPr>
    </w:p>
    <w:p>
      <w:pPr>
        <w:ind w:left="1900" w:right="2099" w:hanging="944"/>
        <w:spacing w:after="0" w:line="274"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receiving the grant of the Exchange Right and the Automatic Exchange Rights from Holdco as trustee for and on behalf of the Holders in accordance with the provisions of this Agreement;</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ind w:left="1900" w:right="1779" w:hanging="944"/>
        <w:spacing w:after="0" w:line="283" w:lineRule="auto"/>
        <w:tabs>
          <w:tab w:leader="none" w:pos="19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exercising the Exchange Right and enforcing the benefit of the Automatic Exchange Rights, in each case in accordance with the provisions of this Agreement, and in connection therewith receiving from Holders Exchangeable Shares and other requisite documents and distributing to such Holders the Amdocs Ordinary Shares and checks, if any, to which such Holders are entitled upon the exercise of the Exchange Right or pursuant to the Automatic Exchange Rights, as the case may be;</w:t>
      </w:r>
    </w:p>
    <w:p>
      <w:pPr>
        <w:spacing w:after="0" w:line="81"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title to the Trust Estate;</w:t>
      </w:r>
    </w:p>
    <w:p>
      <w:pPr>
        <w:spacing w:after="0" w:line="201" w:lineRule="exact"/>
        <w:rPr>
          <w:rFonts w:ascii="Courier New" w:cs="Courier New" w:eastAsia="Courier New" w:hAnsi="Courier New"/>
          <w:sz w:val="18"/>
          <w:szCs w:val="18"/>
          <w:color w:val="auto"/>
        </w:rPr>
      </w:pPr>
    </w:p>
    <w:p>
      <w:pPr>
        <w:ind w:left="1900" w:right="1779" w:hanging="944"/>
        <w:spacing w:after="0" w:line="347" w:lineRule="auto"/>
        <w:tabs>
          <w:tab w:leader="none" w:pos="19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investing any moneys forming, from time to time, a part of the Trust Estate as provided in this Agreement;</w:t>
      </w:r>
    </w:p>
    <w:p>
      <w:pPr>
        <w:spacing w:after="0" w:line="18" w:lineRule="exact"/>
        <w:rPr>
          <w:rFonts w:ascii="Courier New" w:cs="Courier New" w:eastAsia="Courier New" w:hAnsi="Courier New"/>
          <w:sz w:val="18"/>
          <w:szCs w:val="18"/>
          <w:color w:val="auto"/>
        </w:rPr>
      </w:pPr>
    </w:p>
    <w:p>
      <w:pPr>
        <w:ind w:left="1900" w:right="1779" w:hanging="944"/>
        <w:spacing w:after="0" w:line="292" w:lineRule="auto"/>
        <w:tabs>
          <w:tab w:leader="none" w:pos="19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taking action on its own initiative or at the direction of a Holder or Holders to enforce the obligations hereunder of each other party hereto; and</w:t>
      </w:r>
    </w:p>
    <w:p>
      <w:pPr>
        <w:spacing w:after="0" w:line="66" w:lineRule="exact"/>
        <w:rPr>
          <w:rFonts w:ascii="Courier New" w:cs="Courier New" w:eastAsia="Courier New" w:hAnsi="Courier New"/>
          <w:sz w:val="18"/>
          <w:szCs w:val="18"/>
          <w:color w:val="auto"/>
        </w:rPr>
      </w:pPr>
    </w:p>
    <w:p>
      <w:pPr>
        <w:ind w:left="1900" w:right="1999" w:hanging="944"/>
        <w:spacing w:after="0" w:line="347" w:lineRule="auto"/>
        <w:tabs>
          <w:tab w:leader="none" w:pos="19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taking such other actions and doing such other things as are specifically provided in this Agreement.</w:t>
      </w:r>
    </w:p>
    <w:p>
      <w:pPr>
        <w:spacing w:after="0" w:line="221"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In the exercise of such rights, powers and authorities the Trustee shall have (and is granted) such incidental and additional rights, powers and authority not in conflict with any of the provisions of this Agreement as the Trustee, acting in good faith and in the reasonable exercise of its discretion, may deem necessary, appropriate or desirable to effect the purpose of the Trust. Any exercise of such discretionary rights, powers and authorities by the Trustee shall be final, conclusive and binding upon all persons.</w:t>
      </w:r>
    </w:p>
    <w:p>
      <w:pPr>
        <w:spacing w:after="0" w:line="104"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The Trustee in exercising its rights, powers, duties and authorities hereunder shall act honestly and in good faith with a view to the best interests of the Holders and shall exercise the care, diligence and skill that a reasonably prudent trustee would exercise in comparable circumstances.</w:t>
      </w:r>
    </w:p>
    <w:p>
      <w:pPr>
        <w:spacing w:after="0" w:line="5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 CONFLICT OF INTEREST</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The Trustee represents to each other party hereto that at the date of execution and delivery of this Agreement there exists no material conflict of interest in the role of the Trustee as a fiduciary hereunder and the role of the Trustee in any other capacity. The Trustee shall, within 90 days after it becomes aware that such a material conflict of interest exists, either eliminate such material conflict of interest or resign in the manner and with the effect specified in Article 10 hereof. If, notwithstanding the foregoing provisions of this Section 7.2, the Trustee has such a material conflict of interest, the validity and enforceability of this Agreement shall not be affected in any manner whatsoever by reason only of the existence of such material conflict of</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22</w:t>
      </w:r>
    </w:p>
    <w:p>
      <w:pPr>
        <w:spacing w:after="0" w:line="31"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8"/>
          <w:szCs w:val="18"/>
          <w:color w:val="auto"/>
        </w:rPr>
        <w:t>interest. If the Trustee contravenes the foregoing provisions of this Section 7.2, any interested party may apply to the for an order that the Trustee be replaced as trustee hereunder.</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DEALINGS WITH TRANSFER AGENTS, REGISTRARS, ETC.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The Company and Amdocs irrevocably authorize the Trustee, from</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to time, to:</w:t>
      </w:r>
    </w:p>
    <w:p>
      <w:pPr>
        <w:spacing w:after="0" w:line="169" w:lineRule="exact"/>
        <w:rPr>
          <w:sz w:val="20"/>
          <w:szCs w:val="20"/>
          <w:color w:val="auto"/>
        </w:rPr>
      </w:pPr>
    </w:p>
    <w:p>
      <w:pPr>
        <w:ind w:left="1900" w:right="1999" w:hanging="944"/>
        <w:spacing w:after="0" w:line="274"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 communicate and otherwise deal with the respective registrars and transfer agents, and with any such subsequent registrar or transfer agent, of the Exchangeable Shares and the Amdocs Ordinary Shares; and</w:t>
      </w:r>
    </w:p>
    <w:p>
      <w:pPr>
        <w:spacing w:after="0" w:line="81" w:lineRule="exact"/>
        <w:rPr>
          <w:rFonts w:ascii="Courier New" w:cs="Courier New" w:eastAsia="Courier New" w:hAnsi="Courier New"/>
          <w:sz w:val="18"/>
          <w:szCs w:val="18"/>
          <w:color w:val="auto"/>
        </w:rPr>
      </w:pPr>
    </w:p>
    <w:p>
      <w:pPr>
        <w:ind w:left="1900" w:right="1779" w:hanging="944"/>
        <w:spacing w:after="0" w:line="250" w:lineRule="auto"/>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requisition, from time to time, (i) from any such registrar or transfer agent any information readily available from the records maintained by it which the Trustee may reasonably require for the discharge of its duties and responsibilities under this Agreement and (ii) from the transfer agent of the Amdocs Ordinary Shares, and any subsequent transfer agent of such shares, the share certificates issuable upon the exercise from time to time of the Exchange Right and pursuant to the Automatic Exchange Rights in the manner specified in Article 5 hereof.</w:t>
      </w:r>
    </w:p>
    <w:p>
      <w:pPr>
        <w:spacing w:after="0" w:line="104"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The Company and Amdocs shall irrevocably authorize their respective registrars and transfer agents to comply with all such requests. Amdocs covenants that it will supply its transfer agent with duly executed share certificates for the purpose of completing the exercise from time to time of the Exchange Right and the Automatic Exchange Rights, in each case pursuant to Article 5 hereof.</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BOOKS AND RECORDS</w:t>
      </w:r>
    </w:p>
    <w:p>
      <w:pPr>
        <w:spacing w:after="0" w:line="201"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The Trustee shall keep available for inspection by Amdocs, Parentco, Holdco and the Company, at the Trustee's principal office in Toronto, Ontario correct and complete books and records of account relating to the Trustee's actions under this Agreement, including without limitation, all relevant data relating to mailings and instructions to and from Holders and all transactions pursuant to the Voting Rights, the Exchange Right and the Automatic Exchange Rights for the term of this Agreement. On or before June 30, 2000, and on or before June 30 in every year thereafter, so long as the Voting Share is on deposit with the Trustee, the Trustee shall transmit to Amdocs and the Company a brief report, dated as of the preceding March 31, with respect to:</w:t>
      </w:r>
    </w:p>
    <w:p>
      <w:pPr>
        <w:spacing w:after="0" w:line="291" w:lineRule="exact"/>
        <w:rPr>
          <w:sz w:val="20"/>
          <w:szCs w:val="20"/>
          <w:color w:val="auto"/>
        </w:rPr>
      </w:pPr>
    </w:p>
    <w:p>
      <w:pPr>
        <w:ind w:left="1900" w:right="1879" w:hanging="944"/>
        <w:spacing w:after="0" w:line="347" w:lineRule="auto"/>
        <w:tabs>
          <w:tab w:leader="none" w:pos="19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and funds comprising the Trust Estate as of that date;</w:t>
      </w:r>
    </w:p>
    <w:p>
      <w:pPr>
        <w:spacing w:after="0" w:line="18" w:lineRule="exact"/>
        <w:rPr>
          <w:rFonts w:ascii="Courier New" w:cs="Courier New" w:eastAsia="Courier New" w:hAnsi="Courier New"/>
          <w:sz w:val="18"/>
          <w:szCs w:val="18"/>
          <w:color w:val="auto"/>
        </w:rPr>
      </w:pPr>
    </w:p>
    <w:p>
      <w:pPr>
        <w:ind w:left="1900" w:right="1779" w:hanging="944"/>
        <w:spacing w:after="0" w:line="292" w:lineRule="auto"/>
        <w:tabs>
          <w:tab w:leader="none" w:pos="19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exercises of the Exchange Right, if any, and the aggregate number of Exchangeable Shares received by the Trustee on behalf of Holders in</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ind w:left="1900" w:right="1779"/>
        <w:spacing w:after="0" w:line="273" w:lineRule="auto"/>
        <w:rPr>
          <w:sz w:val="20"/>
          <w:szCs w:val="20"/>
          <w:color w:val="auto"/>
        </w:rPr>
      </w:pPr>
      <w:r>
        <w:rPr>
          <w:rFonts w:ascii="Courier New" w:cs="Courier New" w:eastAsia="Courier New" w:hAnsi="Courier New"/>
          <w:sz w:val="18"/>
          <w:szCs w:val="18"/>
          <w:color w:val="auto"/>
        </w:rPr>
        <w:t>consideration of the delivery by Amdocs, Parentco or Holdco of Amdocs Ordinary Shares in connection with the Exchange Right, during the calendar year ended on such date; and</w:t>
      </w:r>
    </w:p>
    <w:p>
      <w:pPr>
        <w:spacing w:after="0" w:line="82" w:lineRule="exact"/>
        <w:rPr>
          <w:sz w:val="20"/>
          <w:szCs w:val="20"/>
          <w:color w:val="auto"/>
        </w:rPr>
      </w:pPr>
    </w:p>
    <w:p>
      <w:pPr>
        <w:ind w:left="1900" w:right="1999" w:hanging="944"/>
        <w:spacing w:after="0" w:line="274" w:lineRule="auto"/>
        <w:tabs>
          <w:tab w:leader="none" w:pos="19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actions taken by the Trustee in the performance of its duties under this Agreement which it had not previously reported and which, in the Trustee's opinion, materially affects the Trust Estate.</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INCOME TAX RETURN AND REPORTS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Trustee shall, to the extent necessary, prepare and file on behalf of the Trust appropriate United States and Canadian income tax returns and any other returns or reports as may be required by applicable law or pursuant to the rules and regulations of any securities exchange or other trading system through which the Exchangeable Shares are traded and, in connection therewith, may obtain the advice and assistance of such experts as the Trustee may consider necessary or advisable. If requested by the Trustee, Amdocs shall retain such experts for purposes of providing such advice and assistance.</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INDEMNIFICATION PRIOR TO CERTAIN ACTIONS BY TRUSTEE</w:t>
      </w:r>
    </w:p>
    <w:p>
      <w:pPr>
        <w:spacing w:after="0" w:line="201"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The Trustee shall exercise any or all of the rights, duties, powers or authorities vested in it by this Agreement at the request, order or direction of any Holder upon such Holder furnishing to the Trustee reasonable funding, security and indemnity against the costs, expenses and liabilities which may be incurred by the Trustee therein or thereby, provided that no Holder shall be obligated to furnish to the Trustee any such funding, security or indemnity in connection with the exercise by the Trustee of any of its rights, duties, powers and authorities with respect to the Voting Share pursuant to Article 4 hereof, subject to Section 7.15 hereof, and with respect to the Exchange Right pursuant to Article 5 hereof, subject to Section 7.15 hereof, and with respect to the Automatic Exchange Rights pursuant to Article 5 hereof.</w:t>
      </w:r>
    </w:p>
    <w:p>
      <w:pPr>
        <w:spacing w:after="0" w:line="294"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None of the provisions contained in this Agreement shall require the Trustee to expend or risk its own funds or otherwise incur financial liability in the exercise of any of its rights, powers, duties or authorities unless funded, given funds, security and indemnified as aforesaid.</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ACTIONS BY HOLDERS</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No Holder shall have the right to institute any action, suit or proceeding or to exercise any other remedy authorized by this Agreement for the purpose of enforcing any of its rights or for the execution of any trust or power hereunder unless the Holder has requested the Trustee to take or institute such action, suit or proceeding and furnished the Trustee with the funding, security and indemnity referred to in Section 7.6 hereof and the Trustee shall have failed</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24</w:t>
      </w:r>
    </w:p>
    <w:p>
      <w:pPr>
        <w:spacing w:after="0" w:line="3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to act within a reasonable time thereafter. In such case, but not otherwise, the Holder shall be entitled to take proceedings in any court of competent jurisdiction such as the Trustee might have taken; it being understood and intended that no one or more Holders shall have any right in any manner whatsoever to affect, disturb or prejudice the rights hereby created by any such action, or to enforce any right hereunder or under the Voting Rights, the Exchange Right or the Automatic Exchange Rights, except subject to the conditions and in the manner herein provided, and that all powers and trusts hereunder shall be exercised and all proceedings at law shall be instituted, had and maintained by the Trustee, except only as herein provided, and in any event for the equal benefit of all Holders.</w:t>
      </w:r>
    </w:p>
    <w:p>
      <w:pPr>
        <w:spacing w:after="0" w:line="1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RELIANCE UPON DECLARATIONS</w:t>
      </w:r>
    </w:p>
    <w:p>
      <w:pPr>
        <w:spacing w:after="0" w:line="201"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The Trustee shall not be considered to be in contravention of any of its rights, powers, duties and authorities hereunder if, when required, it acts and relies in good faith upon statutory declarations, certificates, opinions or reports furnished pursuant to the provisions hereof or required by the Trustee to be furnished to it in the exercise of its rights, powers, duties and authorities hereunder if such statutory declarations, certificates, opinions or reports comply with the provisions of Section 7.9 hereof, if applicable, and with any other applicable provisions of this Agreement.</w:t>
      </w:r>
    </w:p>
    <w:p>
      <w:pPr>
        <w:spacing w:after="0" w:line="2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EVIDENCE AND AUTHORITY TO TRUSTEE</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Company, Holdco, Parentco and/or Amdocs shall furnish to the Trustee evidence of compliance with the conditions provided for in this Agreement relating to any action or step required or permitted to be taken by the Company, Holdco, Parentco and/or Amdocs or the Trustee under this Agreement or as a result of any obligation imposed under this Agreement, including, without limitation, in respect of the Voting Rights or the Exchange Right or the Automatic Exchange Rights and the taking of any other action to be taken by the Trustee at the request of or on the application of the Company, Holdco, Parentco and/or Amdocs forthwith if and when:</w:t>
      </w:r>
    </w:p>
    <w:p>
      <w:pPr>
        <w:spacing w:after="0" w:line="99" w:lineRule="exact"/>
        <w:rPr>
          <w:sz w:val="20"/>
          <w:szCs w:val="20"/>
          <w:color w:val="auto"/>
        </w:rPr>
      </w:pPr>
    </w:p>
    <w:p>
      <w:pPr>
        <w:ind w:left="1900" w:right="2099" w:hanging="944"/>
        <w:spacing w:after="0" w:line="292" w:lineRule="auto"/>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evidence is required by any other section of this Agreement to be furnished to the Trustee in accordance with the terms of this Section 7.9; or</w:t>
      </w:r>
    </w:p>
    <w:p>
      <w:pPr>
        <w:spacing w:after="0" w:line="66" w:lineRule="exact"/>
        <w:rPr>
          <w:rFonts w:ascii="Courier New" w:cs="Courier New" w:eastAsia="Courier New" w:hAnsi="Courier New"/>
          <w:sz w:val="18"/>
          <w:szCs w:val="18"/>
          <w:color w:val="auto"/>
        </w:rPr>
      </w:pPr>
    </w:p>
    <w:p>
      <w:pPr>
        <w:ind w:left="1900" w:right="1779" w:hanging="944"/>
        <w:spacing w:after="0" w:line="265" w:lineRule="auto"/>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in the exercise of its rights, powers, duties and authorities under this Agreement, gives the Company, Holdco, Parentco and/or Amdocs written notice requiring it to furnish such evidence in relation to any particular action or obligation specified in such notice.</w:t>
      </w:r>
    </w:p>
    <w:p>
      <w:pPr>
        <w:spacing w:after="0" w:line="90"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Such evidence shall consist of an Officer's Certificate of the Company, Holdco, Parentco and/or Amdocs or a statutory declaration or a certificate made by persons entitled to sign an Officer's Certificate stating that any such condition has been complied with in accordance with the terms of this Agreement.</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25</w:t>
      </w:r>
    </w:p>
    <w:p>
      <w:pPr>
        <w:spacing w:after="0" w:line="31" w:lineRule="exact"/>
        <w:rPr>
          <w:sz w:val="20"/>
          <w:szCs w:val="20"/>
          <w:color w:val="auto"/>
        </w:rPr>
      </w:pPr>
    </w:p>
    <w:p>
      <w:pPr>
        <w:ind w:right="1779" w:firstLine="1896"/>
        <w:spacing w:after="0" w:line="280" w:lineRule="auto"/>
        <w:rPr>
          <w:sz w:val="20"/>
          <w:szCs w:val="20"/>
          <w:color w:val="auto"/>
        </w:rPr>
      </w:pPr>
      <w:r>
        <w:rPr>
          <w:rFonts w:ascii="Courier New" w:cs="Courier New" w:eastAsia="Courier New" w:hAnsi="Courier New"/>
          <w:sz w:val="16"/>
          <w:szCs w:val="16"/>
          <w:color w:val="auto"/>
        </w:rPr>
        <w:t>Whenever such evidence relates to a matter other than the Voting Rights or the Exchange Right or the Automatic Exchange Rights or, the taking of any other action to be taken by the Trustee at the request or on the application of the Company, Holdco, Parentco and/or Amdocs, and except as otherwise specifically provided herein, such evidence may consist of a report or opinion of any solicitor, auditor, accountant, appraiser, valuer, engineer or other expert or any other person whose qualifications give authority to a statement made by him, provided that if such report or opinion is furnished by a director, officer or employee of the Company, Holdco, Parentco and/or Amdocs it shall be in the form of an Officer's Certificate or a statutory declaration.</w:t>
      </w:r>
    </w:p>
    <w:p>
      <w:pPr>
        <w:spacing w:after="0" w:line="82"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Each statutory declaration, Officer's Certificate, opinion or report furnished to the Trustee as evidence of compliance with a condition provided for in this Agreement shall include a statement by the person giving the evidence:</w:t>
      </w:r>
    </w:p>
    <w:p>
      <w:pPr>
        <w:spacing w:after="0" w:line="82" w:lineRule="exact"/>
        <w:rPr>
          <w:sz w:val="20"/>
          <w:szCs w:val="20"/>
          <w:color w:val="auto"/>
        </w:rPr>
      </w:pPr>
    </w:p>
    <w:p>
      <w:pPr>
        <w:ind w:left="1900" w:right="1999" w:hanging="944"/>
        <w:spacing w:after="0" w:line="402" w:lineRule="auto"/>
        <w:tabs>
          <w:tab w:leader="none" w:pos="19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declaring that he has read and understands the provisions of this trust agreement relating to the condition in question:</w:t>
      </w:r>
    </w:p>
    <w:p>
      <w:pPr>
        <w:ind w:left="1900" w:right="1999" w:hanging="944"/>
        <w:spacing w:after="0" w:line="292"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describing the nature and scope of the examination or investigation upon which he based the statutory declaration, certificate, statement or opinion; and</w:t>
      </w:r>
    </w:p>
    <w:p>
      <w:pPr>
        <w:spacing w:after="0" w:line="66" w:lineRule="exact"/>
        <w:rPr>
          <w:rFonts w:ascii="Courier New" w:cs="Courier New" w:eastAsia="Courier New" w:hAnsi="Courier New"/>
          <w:sz w:val="18"/>
          <w:szCs w:val="18"/>
          <w:color w:val="auto"/>
        </w:rPr>
      </w:pPr>
    </w:p>
    <w:p>
      <w:pPr>
        <w:ind w:left="1900" w:right="1999" w:hanging="944"/>
        <w:spacing w:after="0" w:line="274"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that he has made such examination or investigation as he believes is necessary to enable him to make the statements or give the opinions contained or expressed therein.</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6"/>
          <w:szCs w:val="16"/>
          <w:color w:val="auto"/>
        </w:rPr>
        <w:t>EXPERTS, ADVISERS AND AGENTS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Trustee may:</w:t>
      </w:r>
    </w:p>
    <w:p>
      <w:pPr>
        <w:spacing w:after="0" w:line="201" w:lineRule="exact"/>
        <w:rPr>
          <w:sz w:val="20"/>
          <w:szCs w:val="20"/>
          <w:color w:val="auto"/>
        </w:rPr>
      </w:pPr>
    </w:p>
    <w:p>
      <w:pPr>
        <w:ind w:left="1900" w:right="1779" w:hanging="944"/>
        <w:spacing w:after="0" w:line="288" w:lineRule="auto"/>
        <w:tabs>
          <w:tab w:leader="none" w:pos="19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relation to these presents act and rely on the opinion or advice of or information obtained from or prepared by any solicitor, auditor, accountant, appraiser, valuer, engineer or other expert, whether retained by the Trustee or by the Company and/or Amdocs or otherwise, and may employ such assistants as may be necessary to the proper discharge of its powers and duties and determination of its rights hereunder and may pay proper and reasonable compensation for all such legal and other advice or assistance as aforesaid; and</w:t>
      </w:r>
    </w:p>
    <w:p>
      <w:pPr>
        <w:spacing w:after="0" w:line="285" w:lineRule="exact"/>
        <w:rPr>
          <w:rFonts w:ascii="Courier New" w:cs="Courier New" w:eastAsia="Courier New" w:hAnsi="Courier New"/>
          <w:sz w:val="16"/>
          <w:szCs w:val="16"/>
          <w:color w:val="auto"/>
        </w:rPr>
      </w:pPr>
    </w:p>
    <w:p>
      <w:pPr>
        <w:ind w:left="1900" w:right="1999" w:hanging="944"/>
        <w:spacing w:after="0" w:line="293" w:lineRule="auto"/>
        <w:tabs>
          <w:tab w:leader="none" w:pos="19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 such agents and other assistants as it may reasonably require for the proper discharge of its powers and duties hereunder, and may pay reasonable remuneration for all services performed for it (and shall be entitled to receive reasonable remuneration for all services performed by it) in the discharge of the trusts hereof and compensation for all disbursements, costs and expenses made or</w:t>
      </w: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26</w:t>
      </w:r>
    </w:p>
    <w:p>
      <w:pPr>
        <w:spacing w:after="0" w:line="31" w:lineRule="exact"/>
        <w:rPr>
          <w:sz w:val="20"/>
          <w:szCs w:val="20"/>
          <w:color w:val="auto"/>
        </w:rPr>
      </w:pPr>
    </w:p>
    <w:p>
      <w:pPr>
        <w:ind w:left="1900" w:right="1779"/>
        <w:spacing w:after="0" w:line="309" w:lineRule="auto"/>
        <w:rPr>
          <w:sz w:val="20"/>
          <w:szCs w:val="20"/>
          <w:color w:val="auto"/>
        </w:rPr>
      </w:pPr>
      <w:r>
        <w:rPr>
          <w:rFonts w:ascii="Courier New" w:cs="Courier New" w:eastAsia="Courier New" w:hAnsi="Courier New"/>
          <w:sz w:val="18"/>
          <w:szCs w:val="18"/>
          <w:color w:val="auto"/>
        </w:rPr>
        <w:t>incurred by it in the discharge of its duties hereunder and in the management of the Trust.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INVESTMENT OF MONEYS HELD BY TRUSTEE</w:t>
      </w:r>
    </w:p>
    <w:p>
      <w:pPr>
        <w:spacing w:after="0" w:line="20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Unless otherwise provided in this Agreement, any moneys held by or on behalf of the Trustee which under the terms of this Agreement may or ought to be invested or which may be on deposit with the Trustee or which may be in the hands of the Trustee may be invested and reinvested in the name or under the control of the Trustee in securities in which, under the laws of the Province of Ontario, trustees are authorized to invest trust moneys, provided that such securities are stated to mature within two years after their purchase by the Trustee, and the Trustee shall so invest such moneys on the written direction of the Company. Pending the investment of any moneys as hereinbefore provided, such moneys may be deposited in the name of the Trustee in any chartered bank in Canada or, with the consent of the Company, in the deposit department of the Trustee or any other loan or trust company authorized to accept deposits under the laws of Canada or any province thereof at the rate of interest then current on similar deposits.</w:t>
      </w:r>
    </w:p>
    <w:p>
      <w:pPr>
        <w:spacing w:after="0" w:line="1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TRUSTEE NOT REQUIRED TO GIVE SECURITY</w:t>
      </w:r>
    </w:p>
    <w:p>
      <w:pPr>
        <w:spacing w:after="0" w:line="201"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The Trustee shall not be required to give any bond or security in respect of the execution of the trusts, rights, duties, powers and authorities of this Agreement or otherwise in respect of the premises.</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7.13</w:t>
      </w:r>
      <w:r>
        <w:rPr>
          <w:sz w:val="20"/>
          <w:szCs w:val="20"/>
          <w:color w:val="auto"/>
        </w:rPr>
        <w:tab/>
      </w:r>
      <w:r>
        <w:rPr>
          <w:rFonts w:ascii="Courier New" w:cs="Courier New" w:eastAsia="Courier New" w:hAnsi="Courier New"/>
          <w:sz w:val="16"/>
          <w:szCs w:val="16"/>
          <w:color w:val="auto"/>
        </w:rPr>
        <w:t>TRUSTEE NOT BOUND TO ACT ON COMPANY'S REQUEST</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Except as in this Agreement otherwise specifically provided, the Trustee shall not be bound to act in accordance with any direction or request of the Company, Holdco, Parentco and/or Amdocs or of the directors thereof until a duly authenticated copy of the instrument or resolution containing such direction or request shall have been delivered to the Trustee, and the Trustee shall be empowered to act and rely upon any such copy purporting to be authenticated and believed by the Trustee to be genuine.</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6"/>
          <w:szCs w:val="16"/>
          <w:color w:val="auto"/>
        </w:rPr>
        <w:t>AUTHORITY TO CARRY ON BUSINESS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Trustee represents to the Company, Holdco, Parentco and Amdocs that at the date of execution and delivery by it of this Agreement it is authorized to carry on the business of a trust company in all the provinces of Canada but if, notwithstanding the provisions of this Section 7.14, it ceases to be so authorized to carry on business, the validity and enforceability of this Agreement and the Voting Rights, the Exchange Right and the Automatic Exchange Rights shall not be affected in any manner whatsoever by reason only of such event but the Trustee shall, within 90 days after ceasing to be authorized to carry on the business of a trust company in</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27</w:t>
      </w:r>
    </w:p>
    <w:p>
      <w:pPr>
        <w:spacing w:after="0" w:line="31"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the Province of Ontario, either become so authorized or resign in the manner and with the effect specified in Article 10 hereof.</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7.15</w:t>
      </w:r>
      <w:r>
        <w:rPr>
          <w:sz w:val="20"/>
          <w:szCs w:val="20"/>
          <w:color w:val="auto"/>
        </w:rPr>
        <w:tab/>
      </w:r>
      <w:r>
        <w:rPr>
          <w:rFonts w:ascii="Courier New" w:cs="Courier New" w:eastAsia="Courier New" w:hAnsi="Courier New"/>
          <w:sz w:val="16"/>
          <w:szCs w:val="16"/>
          <w:color w:val="auto"/>
        </w:rPr>
        <w:t>CONFLICTING CLAIMS</w:t>
      </w:r>
    </w:p>
    <w:p>
      <w:pPr>
        <w:spacing w:after="0" w:line="201" w:lineRule="exact"/>
        <w:rPr>
          <w:sz w:val="20"/>
          <w:szCs w:val="20"/>
          <w:color w:val="auto"/>
        </w:rPr>
      </w:pPr>
    </w:p>
    <w:p>
      <w:pPr>
        <w:ind w:right="1879" w:firstLine="1896"/>
        <w:spacing w:after="0" w:line="281" w:lineRule="auto"/>
        <w:rPr>
          <w:sz w:val="20"/>
          <w:szCs w:val="20"/>
          <w:color w:val="auto"/>
        </w:rPr>
      </w:pPr>
      <w:r>
        <w:rPr>
          <w:rFonts w:ascii="Courier New" w:cs="Courier New" w:eastAsia="Courier New" w:hAnsi="Courier New"/>
          <w:sz w:val="16"/>
          <w:szCs w:val="16"/>
          <w:color w:val="auto"/>
        </w:rPr>
        <w:t>If conflicting claims or demands are made or asserted with respect to any interest of any Holder in any Exchangeable Shares, including any disagreement between the heirs, representatives, successors or assigns succeeding to all or any part of the interest of any Holder in any Exchangeable Shares resulting in conflicting claims or demands being made in connection with such interest, then the Trustee shall be entitled, at its sole discretion, to refuse to recognize or to comply with any such claim or demand. In so refusing, the Trustee may elect not to exercise any Voting Rights, Exchange Right or Automatic Exchange Rights subject to such conflicting claims or demands and, in so doing, the Trustee shall not be or become liable to any person on account of such election or its failure or refusal to comply with any such conflicting claims or demands. The Trustee shall be entitled to continue to refrain from acting and to refuse to act until:</w:t>
      </w:r>
    </w:p>
    <w:p>
      <w:pPr>
        <w:spacing w:after="0" w:line="290" w:lineRule="exact"/>
        <w:rPr>
          <w:sz w:val="20"/>
          <w:szCs w:val="20"/>
          <w:color w:val="auto"/>
        </w:rPr>
      </w:pPr>
    </w:p>
    <w:p>
      <w:pPr>
        <w:ind w:left="1900" w:right="1779" w:hanging="944"/>
        <w:spacing w:after="0" w:line="318" w:lineRule="auto"/>
        <w:tabs>
          <w:tab w:leader="none" w:pos="19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all adverse claimants with respect to the Voting Rights, Exchange Right or Automatic Exchange Rights subject to such conflicting claims or demands have been adjudicated by a final judgment of a court of competent jurisdiction; or</w:t>
      </w:r>
    </w:p>
    <w:p>
      <w:pPr>
        <w:spacing w:after="0" w:line="52" w:lineRule="exact"/>
        <w:rPr>
          <w:rFonts w:ascii="Courier New" w:cs="Courier New" w:eastAsia="Courier New" w:hAnsi="Courier New"/>
          <w:sz w:val="16"/>
          <w:szCs w:val="16"/>
          <w:color w:val="auto"/>
        </w:rPr>
      </w:pPr>
    </w:p>
    <w:p>
      <w:pPr>
        <w:ind w:left="1900" w:right="1779" w:hanging="944"/>
        <w:spacing w:after="0" w:line="260" w:lineRule="auto"/>
        <w:tabs>
          <w:tab w:leader="none" w:pos="19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differences with respect to the Voting Rights, Exchange Right or Automatic Exchange Rights subject to such conflicting claims or demands have been conclusively settled by a valid written agreement binding on all such adverse claimants, and the Trustee shall have been furnished with an executed copy of such agreement.</w:t>
      </w:r>
    </w:p>
    <w:p>
      <w:pPr>
        <w:spacing w:after="0" w:line="93"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If the Trustee elects to recognize any claim or comply with any demand made by any such adverse claimant, it may in its discretion require such claimant to furnish such surety bond or other security satisfactory to the Trustee as it shall deem appropriate fully to indemnify it as between all conflicting claims or demands.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7.16</w:t>
      </w:r>
      <w:r>
        <w:rPr>
          <w:sz w:val="20"/>
          <w:szCs w:val="20"/>
          <w:color w:val="auto"/>
        </w:rPr>
        <w:tab/>
      </w:r>
      <w:r>
        <w:rPr>
          <w:rFonts w:ascii="Courier New" w:cs="Courier New" w:eastAsia="Courier New" w:hAnsi="Courier New"/>
          <w:sz w:val="16"/>
          <w:szCs w:val="16"/>
          <w:color w:val="auto"/>
        </w:rPr>
        <w:t>ACCEPTANCE OF TRUST</w:t>
      </w:r>
    </w:p>
    <w:p>
      <w:pPr>
        <w:spacing w:after="0" w:line="201"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The Trustee hereby accepts the Trust created and provided for by and in this Agreement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6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28</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COMPENSATION</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FEES AND EXPENSES OF THE TRUSTEE</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The Company shall pay to the Trustee reasonable compensation for all of the services rendered by it under this Agreement and will reimburse the Trustee for all reasonable expenses (including but not limited to taxes, compensation paid to experts, agents and advisors and travel expenses) and disbursements, including the cost and expense of any suit or litigation of any character and any proceedings before any governmental agency reasonably incurred by the Trustee in connection with its rights and duties under this Agreement; provided that the Company shall have no obligation to reimburse the Trustee for any expenses or disbursements paid, incurred or suffered by the Trustee in any suit or litigation in which the Trustee is determined to have acted in bad faith or with negligence, recklessness or willful misconduct.</w:t>
      </w:r>
    </w:p>
    <w:p>
      <w:pPr>
        <w:spacing w:after="0" w:line="1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9</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 AND LIMITATION OF LIABILITY</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INDEMNIFICATION OF THE TRUSTEE</w:t>
      </w:r>
    </w:p>
    <w:p>
      <w:pPr>
        <w:spacing w:after="0" w:line="201"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The Company shall indemnify and hold harmless the Trustee and each of its directors, officers, employees and agents appointed and acting in accordance with this Agreement (collectively, the "Indemnified Parties") against all claims, losses, damages, costs, penalties, fines and reasonable expenses (including reasonable expenses of the Trustee's legal counsel) which, without fraud, negligence, recklessness, willful misconduct or bad faith on the part of such Indemnified Party, may be paid, incurred or suffered by the Indemnified Party by reason of or as a result of the Trustee's acceptance or administration of the Trust, its compliance with its duties set forth in this Agreement, or any written or oral instructions delivered to the Trustee by Amdocs or the Company pursuant hereto. In no case shall the Company be liable under this indemnity for any claim against any of the Indemnified Parties unless the Company shall be notified by the Trustee of the written assertion of a claim or of any action commenced against the Indemnified Parties, promptly after any of the Indemnified Parties shall have received any such written assertion of a claim or shall have been served with a summons or other first legal process giving information as to the nature and basis of the claim. Subject to (ii), below, the Company shall be entitled to participate at its own expense in the defense and, if the Company so elects at any time after receipt of such notice, it may assume the defense of any suit brought to enforce any such claim. The Trustee shall have the right to employ separate counsel in any such suit and participate in the defense thereof but the fees and expenses of such counsel shall be at the expense of the Trustee unless: (i) the employment of such counsel has been authorized by the Company, such authorization not to be unreasonably withheld; or (ii) the named parties to any such suit include both the Trustee and Amdocs or the Company and the Trustee shall have been advised by counsel acceptable to the Company that there may be one or more legal defenses available to the Trustee that are different from or in addition to those</w:t>
      </w: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29</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available to Amdocs or the Company and that an actual or potential conflict of interest exists (in which case the Company shall not have the right to assume the defense of such suit on behalf of the Trustee but shall be liable to pay the reasonable fees and expenses of counsel for the Trustee).</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LIMITATION OF LIABILITY</w:t>
      </w:r>
    </w:p>
    <w:p>
      <w:pPr>
        <w:spacing w:after="0" w:line="201"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The Trustee shall not be held liable for any loss which may occur by reason of depreciation of the value of any part of the Trust Estate or any loss incurred on any investment of funds pursuant to this Agreement, except to the extent that such loss is attributable to the fraud, negligence, willful misconduct or bad faith on the part of the Trustee.</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CHANGE OF TRUSTEE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RESIGNATION</w:t>
      </w:r>
    </w:p>
    <w:p>
      <w:pPr>
        <w:spacing w:after="0" w:line="201"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The Trustee, or any trustee hereafter appointed, may at any time resign by giving written notice of such resignation to Amdocs and the Company specifying the date on which it desires to resign, provided that such notice shall never be given less than 60 days before such desired resignation date unless Amdocs and the Company otherwise agree and provided further that such resignation shall not take effect until the date of the appointment of a successor trustee and the acceptance of such appointment by the successor trustee. Upon receiving such notice of resignation, Amdocs and the Company shall promptly appoint a successor trustee by written instrument in duplicate, one copy of which shall be delivered to the resigning trustee and one copy to the successor trustee. Failing acceptance by a successor trustee, a successor trustee may be appointed by an order of the Court upon application of one or more of the parties hereto.</w:t>
      </w:r>
    </w:p>
    <w:p>
      <w:pPr>
        <w:spacing w:after="0" w:line="3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REMOVAL</w:t>
      </w:r>
    </w:p>
    <w:p>
      <w:pPr>
        <w:spacing w:after="0" w:line="201"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The Trustee, or any trustee hereafter appointed, may be removed with or without cause, at any time on 30 days' prior notice by written instrument executed by Amdocs and the Company, in duplicate, one copy of which shall be delivered to the trustee so removed and one copy to the successor trustee.</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SUCCESSOR TRUSTEE</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Any successor trustee appointed as provided under this Agreement shall execute, acknowledge and deliver to Amdocs, Parentco, Holdco and the Company and to its predecessor trustee an instrument accepting such appointment. Thereupon the resignation or removal of the predecessor trustee shall become effective and such successor trustee, without any further act, deed or conveyance, shall become vested with all the rights, powers, duties and obligations of its</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30</w:t>
      </w:r>
    </w:p>
    <w:p>
      <w:pPr>
        <w:spacing w:after="0" w:line="3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predecessor under this Agreement, with like effect as if originally named as trustee in this Agreement. However, on the written request of Amdocs, Parentco, Holdco and the Company or of the successor trustee, the trustee ceasing to act shall, upon payment of any amounts then due it pursuant to the provisions of this Agreement, execute and deliver an instrument transferring to such successor trustee all the rights and powers of the trustee so ceasing to act. Upon the request of any such successor trustee, Amdocs, Parentco, Holdco, the Company and such predecessor trustee shall execute any and all instruments in writing for more fully and certainly vesting in and confirming to such successor trustee all such rights and powers.</w:t>
      </w:r>
    </w:p>
    <w:p>
      <w:pPr>
        <w:spacing w:after="0" w:line="1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NOTICE OF SUCCESSOR TRUSTEE</w:t>
      </w:r>
    </w:p>
    <w:p>
      <w:pPr>
        <w:spacing w:after="0" w:line="201" w:lineRule="exact"/>
        <w:rPr>
          <w:sz w:val="20"/>
          <w:szCs w:val="20"/>
          <w:color w:val="auto"/>
        </w:rPr>
      </w:pPr>
    </w:p>
    <w:p>
      <w:pPr>
        <w:ind w:right="1999" w:firstLine="1896"/>
        <w:spacing w:after="0" w:line="298" w:lineRule="auto"/>
        <w:rPr>
          <w:sz w:val="20"/>
          <w:szCs w:val="20"/>
          <w:color w:val="auto"/>
        </w:rPr>
      </w:pPr>
      <w:r>
        <w:rPr>
          <w:rFonts w:ascii="Courier New" w:cs="Courier New" w:eastAsia="Courier New" w:hAnsi="Courier New"/>
          <w:sz w:val="16"/>
          <w:szCs w:val="16"/>
          <w:color w:val="auto"/>
        </w:rPr>
        <w:t>Upon acceptance of appointment by a successor trustee as provided herein, Amdocs and the Company shall cause to be mailed notice of the succession of such trustee hereunder to each Holder specified in a List. If Amdocs or the Company shall fail to cause such notice to be mailed within 10 days after acceptance of appointment by the successor trustee, the successor trustee shall cause such notice to be mailed at the expense of the Company.</w:t>
      </w:r>
    </w:p>
    <w:p>
      <w:pPr>
        <w:spacing w:after="0" w:line="6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AMDOCS SUCCESSORS</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CERTAIN REQUIREMENTS IN RESPECT OF COMBINATION, ETC.</w:t>
      </w:r>
    </w:p>
    <w:p>
      <w:pPr>
        <w:spacing w:after="0" w:line="20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Amdocs, directly or indirectly, shall not consummate any transaction (whether by way of reconstruction, reorganization, consolidation, merger, transfer, sale, lease or otherwise) whereby all or substantially all of its undertaking, property and assets would become the property of any other person or, in the case of a merger, of the continuing corporation resulting therefrom unless, but may do so if:</w:t>
      </w:r>
    </w:p>
    <w:p>
      <w:pPr>
        <w:spacing w:after="0" w:line="295" w:lineRule="exact"/>
        <w:rPr>
          <w:sz w:val="20"/>
          <w:szCs w:val="20"/>
          <w:color w:val="auto"/>
        </w:rPr>
      </w:pPr>
    </w:p>
    <w:p>
      <w:pPr>
        <w:ind w:left="1900" w:right="1779" w:hanging="944"/>
        <w:spacing w:after="0" w:line="280" w:lineRule="auto"/>
        <w:tabs>
          <w:tab w:leader="none" w:pos="19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person or continuing corporation (herein called the "Amdocs Successor"), by operation of law, becomes, without more, bound by the terms and provisions of this Agreement or, if not so bound, executes, prior to or contemporaneously with the consummation of such transaction an agreement supplemental hereto and such other instruments (if any) as are reasonably satisfactory to the Trustee and in the opinion of legal counsel to the Trustee are reasonably necessary or advisable to evidence the assumption by the Amdocs Successor of Amdocs' liability for all moneys payable and property deliverable by Amdocs hereunder and the covenant of such Amdocs Successor to pay and deliver or cause to be delivered the same and its agreement to observe and perform all the covenants and obligations of Amdocs under this Agreement; and</w:t>
      </w:r>
    </w:p>
    <w:p>
      <w:pPr>
        <w:spacing w:after="0" w:line="289" w:lineRule="exact"/>
        <w:rPr>
          <w:rFonts w:ascii="Courier New" w:cs="Courier New" w:eastAsia="Courier New" w:hAnsi="Courier New"/>
          <w:sz w:val="16"/>
          <w:szCs w:val="16"/>
          <w:color w:val="auto"/>
        </w:rPr>
      </w:pPr>
    </w:p>
    <w:p>
      <w:pPr>
        <w:ind w:left="1900" w:right="1779" w:hanging="944"/>
        <w:spacing w:after="0" w:line="292" w:lineRule="auto"/>
        <w:tabs>
          <w:tab w:leader="none" w:pos="19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transaction shall, to the reasonable satisfaction of the Trustee and in the opinion of legal counsel to the Trustee, be upon such terms so as to substantially</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31</w:t>
      </w:r>
    </w:p>
    <w:p>
      <w:pPr>
        <w:spacing w:after="0" w:line="31" w:lineRule="exact"/>
        <w:rPr>
          <w:sz w:val="20"/>
          <w:szCs w:val="20"/>
          <w:color w:val="auto"/>
        </w:rPr>
      </w:pPr>
    </w:p>
    <w:p>
      <w:pPr>
        <w:ind w:left="1900" w:right="1879"/>
        <w:spacing w:after="0" w:line="273" w:lineRule="auto"/>
        <w:rPr>
          <w:sz w:val="20"/>
          <w:szCs w:val="20"/>
          <w:color w:val="auto"/>
        </w:rPr>
      </w:pPr>
      <w:r>
        <w:rPr>
          <w:rFonts w:ascii="Courier New" w:cs="Courier New" w:eastAsia="Courier New" w:hAnsi="Courier New"/>
          <w:sz w:val="18"/>
          <w:szCs w:val="18"/>
          <w:color w:val="auto"/>
        </w:rPr>
        <w:t>preserve and not to impair in any material respect any of the rights, interests, duties, powers and authorities of the Trustee or of the Holders hereunder.</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VESTING OF POWERS IN SUCCESSOR</w:t>
      </w:r>
    </w:p>
    <w:p>
      <w:pPr>
        <w:spacing w:after="0" w:line="20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Whenever the conditions of Section 11.1 hereof have been duly observed and performed, the Amdocs Successor and the parties hereto, if required by Section 11.1 hereof, shall execute and deliver the supplemental agreement provided for in Section 12.5 hereof and thereupon Amdocs Successor shall possess and from time to time may exercise each and every right and power of Amdocs under this Agreement in the name of Amdocs or otherwise and any act or proceeding by any provision of this Agreement required to be done or performed by the Board of Directors of Amdocs or any officers of Amdocs may be done and performed with like force and effect by the directors or officers of such Amdocs Successor.</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WHOLLY-OWNED SUBSIDIARIES</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Nothing herein shall be construed as preventing the amalgamation, merger or other combination of any wholly-owned direct or indirect subsidiary of Amdocs with or into Amdocs or the winding-up, liquidation or dissolution of any wholly-owned subsidiary of Amdocs provided that all of the assets of such subsidiary are transferred to Amdocs or another wholly-owned subsidiary of Amdocs, and any such transactions are expressly permitted by this Article 11.</w:t>
      </w:r>
    </w:p>
    <w:p>
      <w:pPr>
        <w:spacing w:after="0" w:line="3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12</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AMENDMENTS AND SUPPLEMENTAL TRUST AGREEMENTS</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AMENDMENTS, MODIFICATIONS, ETC.</w:t>
      </w:r>
    </w:p>
    <w:p>
      <w:pPr>
        <w:spacing w:after="0" w:line="201"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This Agreement may not be amended or modified except by an agreement in writing executed by the Company, Amdocs, Parentco, Holdco and the Trustee and approved by the Holders in accordance with Section 10.2 of the Exchangeable Share Provisions.</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ADMINISTRATIVE AMENDMENTS</w:t>
      </w:r>
    </w:p>
    <w:p>
      <w:pPr>
        <w:spacing w:after="0" w:line="201" w:lineRule="exact"/>
        <w:rPr>
          <w:sz w:val="20"/>
          <w:szCs w:val="20"/>
          <w:color w:val="auto"/>
        </w:rPr>
      </w:pPr>
    </w:p>
    <w:p>
      <w:pPr>
        <w:ind w:right="2199" w:firstLine="1896"/>
        <w:spacing w:after="0" w:line="274" w:lineRule="auto"/>
        <w:rPr>
          <w:sz w:val="20"/>
          <w:szCs w:val="20"/>
          <w:color w:val="auto"/>
        </w:rPr>
      </w:pPr>
      <w:r>
        <w:rPr>
          <w:rFonts w:ascii="Courier New" w:cs="Courier New" w:eastAsia="Courier New" w:hAnsi="Courier New"/>
          <w:sz w:val="18"/>
          <w:szCs w:val="18"/>
          <w:color w:val="auto"/>
        </w:rPr>
        <w:t>Notwithstanding the provisions of Section 12.1 hereof, the parties to this Agreement may in writing, at any time and from time to time, without the approval of the Holders, amend or modify this Agreement for the purposes of:</w:t>
      </w:r>
    </w:p>
    <w:p>
      <w:pPr>
        <w:spacing w:after="0" w:line="82" w:lineRule="exact"/>
        <w:rPr>
          <w:sz w:val="20"/>
          <w:szCs w:val="20"/>
          <w:color w:val="auto"/>
        </w:rPr>
      </w:pPr>
    </w:p>
    <w:p>
      <w:pPr>
        <w:ind w:left="1900" w:right="1779" w:hanging="944"/>
        <w:spacing w:after="0" w:line="265" w:lineRule="auto"/>
        <w:tabs>
          <w:tab w:leader="none" w:pos="19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the covenants of any or all parties hereto for the protection of the Holders hereunder provided that the Board of Directors of each of the Company and Amdocs shall be of the good faith opinion that such additions will not be prejudicial to the rights or interests of the Holders;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32</w:t>
      </w:r>
    </w:p>
    <w:p>
      <w:pPr>
        <w:spacing w:after="0" w:line="31" w:lineRule="exact"/>
        <w:rPr>
          <w:sz w:val="20"/>
          <w:szCs w:val="20"/>
          <w:color w:val="auto"/>
        </w:rPr>
      </w:pPr>
    </w:p>
    <w:p>
      <w:pPr>
        <w:ind w:left="1900" w:right="1879" w:hanging="944"/>
        <w:spacing w:after="0" w:line="280" w:lineRule="auto"/>
        <w:tabs>
          <w:tab w:leader="none" w:pos="19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such amendments or modifications not inconsistent with this Agreement as may be necessary or desirable with respect to matters or questions which, in the good faith opinion of the Board of Directors of each of Amdocs and Company and in the good faith opinion of the Trustee and its counsel, having in mind the best interests of the Holders as a whole, it may be expedient to make, provided that such boards of directors and the Trustee and its counsel shall be of the good faith opinion that such amendments and modifications will not be prejudicial to the interests of the Holders as a whole; or</w:t>
      </w:r>
    </w:p>
    <w:p>
      <w:pPr>
        <w:spacing w:after="0" w:line="81" w:lineRule="exact"/>
        <w:rPr>
          <w:rFonts w:ascii="Courier New" w:cs="Courier New" w:eastAsia="Courier New" w:hAnsi="Courier New"/>
          <w:sz w:val="16"/>
          <w:szCs w:val="16"/>
          <w:color w:val="auto"/>
        </w:rPr>
      </w:pPr>
    </w:p>
    <w:p>
      <w:pPr>
        <w:ind w:left="1900" w:right="1779" w:hanging="944"/>
        <w:spacing w:after="0" w:line="252"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such changes or corrections which, on the advice of counsel to the Company, Amdocs and the Trustee, are required for the purpose of curing or correcting any ambiguity or defect or inconsistent provision or clerical omission or mistake or manifest error, provided that the Trustee and its counsel and the Board of Directors of each of the Company and Amdocs shall be of the good faith opinion that such changes or corrections will not be prejudicial to the interests of the Holders as a whole.</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MEETING TO CONSIDER AMENDMENTS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Company, at the request of Amdocs, shall call a meeting or meetings of the Holders for the purpose of considering any proposed amendment or modification requiring approval pursuant hereto. Holders may also approve any proposed amendment or modification by written consent of Holders holding not less than the minimum number of Exchangeable Shares that would be necessary to authorize or take such action at a meeting of Holders called for such purpose. Any such meeting or meetings shall be called and held, or written consent given shall be given in accordance with the by-laws of the Company, the Exchangeable Share Provisions and all applicable laws.</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6"/>
          <w:szCs w:val="16"/>
          <w:color w:val="auto"/>
        </w:rPr>
        <w:t>CHANGES IN CAPITAL OF AMDOCS AND THE COMPANY</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At all times after the occurrence of any event effected pursuant to Section 2.7 or Section 2.8 of the Support Agreement or otherwise, as a result of which either Amdocs Ordinary Shares or the Exchangeable Shares or both are in any way changed, this Agreement shall forthwith be amended and modified as necessary in order that it shall apply with full force and effect, mutatis mutandis, to all new securities into which the Amdocs Ordinary Shares or the Exchangeable Shares or both are so changed and the parties hereto shall execute and deliver a supplemental agreement giving effect to and evidencing such necessary amendments and modifications.</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EXECUTION OF SUPPLEMENTAL AGREEMENTS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ind w:right="1999" w:firstLine="1896"/>
        <w:spacing w:after="0" w:line="248" w:lineRule="auto"/>
        <w:rPr>
          <w:sz w:val="20"/>
          <w:szCs w:val="20"/>
          <w:color w:val="auto"/>
        </w:rPr>
      </w:pPr>
      <w:r>
        <w:rPr>
          <w:rFonts w:ascii="Courier New" w:cs="Courier New" w:eastAsia="Courier New" w:hAnsi="Courier New"/>
          <w:sz w:val="18"/>
          <w:szCs w:val="18"/>
          <w:color w:val="auto"/>
        </w:rPr>
        <w:t>No amendment to or modification or waiver of any of the provisions of this Agreement otherwise permitted hereunder shall be effective unless made in writing and signed by all of the parties hereto. From time to time the Company, Amdocs, Parentco, Holdco and the Trustee may, subject to the provisions of these presents, and they shall, when so directed by these presents, execute and deliver by their proper officers, agreements or other instruments supplemental hereto, which thereafter shall form part hereof, for any one or more of the following purposes:</w:t>
      </w:r>
    </w:p>
    <w:p>
      <w:pPr>
        <w:spacing w:after="0" w:line="106" w:lineRule="exact"/>
        <w:rPr>
          <w:sz w:val="20"/>
          <w:szCs w:val="20"/>
          <w:color w:val="auto"/>
        </w:rPr>
      </w:pPr>
    </w:p>
    <w:p>
      <w:pPr>
        <w:ind w:left="1900" w:right="1879" w:hanging="944"/>
        <w:spacing w:after="0" w:line="265" w:lineRule="auto"/>
        <w:tabs>
          <w:tab w:leader="none" w:pos="19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evidencing the succession of Amdocs Successors to Amdocs and the covenants of and obligations assumed by each such Amdocs Successor in accordance with the provisions of Article 11 and the successor of any successor trustee in accordance with the provisions of Article 10;</w:t>
      </w:r>
    </w:p>
    <w:p>
      <w:pPr>
        <w:spacing w:after="0" w:line="89" w:lineRule="exact"/>
        <w:rPr>
          <w:rFonts w:ascii="Courier New" w:cs="Courier New" w:eastAsia="Courier New" w:hAnsi="Courier New"/>
          <w:sz w:val="18"/>
          <w:szCs w:val="18"/>
          <w:color w:val="auto"/>
        </w:rPr>
      </w:pPr>
    </w:p>
    <w:p>
      <w:pPr>
        <w:ind w:left="1900" w:right="1779" w:hanging="944"/>
        <w:spacing w:after="0" w:line="288" w:lineRule="auto"/>
        <w:tabs>
          <w:tab w:leader="none" w:pos="19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any additions to, deletions from or alterations of the provisions of this Agreement or the Voting Rights, the Exchange Right or the Automatic Exchange Rights which, in the opinion of the Trustee and its counsel, will not be prejudicial to the interests of the Holders as a whole or are in the opinion of counsel to the Trustee necessary or advisable in order to incorporate, reflect or comply with any legislation the provisions of which apply to Amdocs, Parentco, Holdco, the Company, the Trustee or this Agreement; and</w:t>
      </w:r>
    </w:p>
    <w:p>
      <w:pPr>
        <w:spacing w:after="0" w:line="285" w:lineRule="exact"/>
        <w:rPr>
          <w:rFonts w:ascii="Courier New" w:cs="Courier New" w:eastAsia="Courier New" w:hAnsi="Courier New"/>
          <w:sz w:val="16"/>
          <w:szCs w:val="16"/>
          <w:color w:val="auto"/>
        </w:rPr>
      </w:pPr>
    </w:p>
    <w:p>
      <w:pPr>
        <w:ind w:left="1900" w:right="1779" w:hanging="944"/>
        <w:spacing w:after="0" w:line="298" w:lineRule="auto"/>
        <w:tabs>
          <w:tab w:leader="none" w:pos="19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other purposes not inconsistent with the provisions of this trust agreement, including without limitation to make or evidence any amendment or modification to this agreement as contemplated hereby, provided that, in the opinion of the Trustee and its counsel, the rights of the Trustee and the Holders as a whole will not be prejudiced thereby.</w:t>
      </w:r>
    </w:p>
    <w:p>
      <w:pPr>
        <w:spacing w:after="0" w:line="6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13</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TERMINATION</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TERM</w:t>
      </w:r>
    </w:p>
    <w:p>
      <w:pPr>
        <w:spacing w:after="0" w:line="201"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The Trust created by this Agreement shall continue until the earliest to occur of the following events:</w:t>
      </w:r>
    </w:p>
    <w:p>
      <w:pPr>
        <w:spacing w:after="0" w:line="18" w:lineRule="exact"/>
        <w:rPr>
          <w:sz w:val="20"/>
          <w:szCs w:val="20"/>
          <w:color w:val="auto"/>
        </w:rPr>
      </w:pPr>
    </w:p>
    <w:p>
      <w:pPr>
        <w:ind w:left="1900" w:right="1779" w:hanging="944"/>
        <w:spacing w:after="0" w:line="347"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outstanding Exchangeable Shares are held by a Holder (other than Amdocs and its Affiliates);</w:t>
      </w:r>
    </w:p>
    <w:p>
      <w:pPr>
        <w:spacing w:after="0" w:line="18" w:lineRule="exact"/>
        <w:rPr>
          <w:rFonts w:ascii="Courier New" w:cs="Courier New" w:eastAsia="Courier New" w:hAnsi="Courier New"/>
          <w:sz w:val="18"/>
          <w:szCs w:val="18"/>
          <w:color w:val="auto"/>
        </w:rPr>
      </w:pPr>
    </w:p>
    <w:p>
      <w:pPr>
        <w:ind w:left="1900" w:right="1779" w:hanging="944"/>
        <w:spacing w:after="0" w:line="274"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Amdocs elects in writing to terminate the Trust and such termination is approved by the Holders of the Exchangeable Shares in accordance with Section 10.2 of the Exchangeable Share Provisions; and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34</w:t>
      </w:r>
    </w:p>
    <w:p>
      <w:pPr>
        <w:spacing w:after="0" w:line="31" w:lineRule="exact"/>
        <w:rPr>
          <w:sz w:val="20"/>
          <w:szCs w:val="20"/>
          <w:color w:val="auto"/>
        </w:rPr>
      </w:pPr>
    </w:p>
    <w:p>
      <w:pPr>
        <w:ind w:left="1900" w:hanging="944"/>
        <w:spacing w:after="0"/>
        <w:tabs>
          <w:tab w:leader="none" w:pos="19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years from the date of this Agreement.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13.2</w:t>
      </w:r>
      <w:r>
        <w:rPr>
          <w:rFonts w:ascii="Courier New" w:cs="Courier New" w:eastAsia="Courier New" w:hAnsi="Courier New"/>
          <w:sz w:val="16"/>
          <w:szCs w:val="16"/>
          <w:color w:val="auto"/>
        </w:rPr>
        <w:t>SURVIVAL OF AGREEMENT</w:t>
      </w:r>
    </w:p>
    <w:p>
      <w:pPr>
        <w:spacing w:after="0" w:line="201"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This Agreement shall survive any termination of the Trust and shall continue until there are no Exchangeable Shares outstanding held by a Holder; provided, however, that the provisions of Articles 8 and 9 hereof shall survive any such termination of this Agreement.</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14</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SEVERABILITY</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3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INUREMENT</w:t>
      </w:r>
    </w:p>
    <w:p>
      <w:pPr>
        <w:spacing w:after="0" w:line="201"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This Agreement shall be binding upon and inure to the benefit of the parties hereto, the holders of the Exchangeable Shares and their respective successors and permitted assigns, as well as to their respective heirs, executors, trustees, administrators and other personal representatives.</w:t>
      </w:r>
    </w:p>
    <w:p>
      <w:pPr>
        <w:spacing w:after="0" w:line="5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NOTICES TO PARTIES</w:t>
      </w:r>
    </w:p>
    <w:p>
      <w:pPr>
        <w:spacing w:after="0" w:line="201"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All notices and other communications between the parties hereunder shall be in writing and shall be deemed to have been given if delivered personally or by overnight courier service, transmitted by facsimile or mailed by registered or certified mail, postage prepaid to the parties at the following addresses (or at such other address for such party as shall be specified in like notice):</w:t>
      </w:r>
    </w:p>
    <w:p>
      <w:pPr>
        <w:spacing w:after="0" w:line="93" w:lineRule="exact"/>
        <w:rPr>
          <w:sz w:val="20"/>
          <w:szCs w:val="20"/>
          <w:color w:val="auto"/>
        </w:rPr>
      </w:pPr>
    </w:p>
    <w:p>
      <w:pPr>
        <w:ind w:left="1900" w:hanging="944"/>
        <w:spacing w:after="0"/>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Amdocs, Parentco or Holdco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 Amdocs Management Limited</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Grand Buildings</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35</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1-3 Strand</w:t>
      </w:r>
    </w:p>
    <w:p>
      <w:pPr>
        <w:ind w:left="2540"/>
        <w:spacing w:after="0" w:line="238" w:lineRule="auto"/>
        <w:rPr>
          <w:sz w:val="20"/>
          <w:szCs w:val="20"/>
          <w:color w:val="auto"/>
        </w:rPr>
      </w:pPr>
      <w:r>
        <w:rPr>
          <w:rFonts w:ascii="Courier New" w:cs="Courier New" w:eastAsia="Courier New" w:hAnsi="Courier New"/>
          <w:sz w:val="18"/>
          <w:szCs w:val="18"/>
          <w:color w:val="auto"/>
        </w:rPr>
        <w:t>London WCZN5EJ</w:t>
      </w:r>
    </w:p>
    <w:p>
      <w:pPr>
        <w:ind w:left="2540"/>
        <w:spacing w:after="0"/>
        <w:rPr>
          <w:sz w:val="20"/>
          <w:szCs w:val="20"/>
          <w:color w:val="auto"/>
        </w:rPr>
      </w:pPr>
      <w:r>
        <w:rPr>
          <w:rFonts w:ascii="Courier New" w:cs="Courier New" w:eastAsia="Courier New" w:hAnsi="Courier New"/>
          <w:sz w:val="18"/>
          <w:szCs w:val="18"/>
          <w:color w:val="auto"/>
        </w:rPr>
        <w:t>Facsimile No.: 44-171-930-2321</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Reboul, MacMurray, Hewitt, Maynard</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&amp; Kristol</w:t>
      </w:r>
    </w:p>
    <w:p>
      <w:pPr>
        <w:ind w:left="2540"/>
        <w:spacing w:after="0" w:line="238" w:lineRule="auto"/>
        <w:rPr>
          <w:sz w:val="20"/>
          <w:szCs w:val="20"/>
          <w:color w:val="auto"/>
        </w:rPr>
      </w:pPr>
      <w:r>
        <w:rPr>
          <w:rFonts w:ascii="Courier New" w:cs="Courier New" w:eastAsia="Courier New" w:hAnsi="Courier New"/>
          <w:sz w:val="18"/>
          <w:szCs w:val="18"/>
          <w:color w:val="auto"/>
        </w:rPr>
        <w:t>45 Rockefeller Plaza</w:t>
      </w:r>
    </w:p>
    <w:p>
      <w:pPr>
        <w:ind w:left="2540"/>
        <w:spacing w:after="0"/>
        <w:tabs>
          <w:tab w:leader="none" w:pos="462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10111</w:t>
      </w:r>
    </w:p>
    <w:p>
      <w:pPr>
        <w:ind w:left="2540"/>
        <w:spacing w:after="0" w:line="238" w:lineRule="auto"/>
        <w:tabs>
          <w:tab w:leader="none" w:pos="3780" w:val="left"/>
        </w:tabs>
        <w:rPr>
          <w:sz w:val="20"/>
          <w:szCs w:val="20"/>
          <w:color w:val="auto"/>
        </w:rPr>
      </w:pPr>
      <w:r>
        <w:rPr>
          <w:rFonts w:ascii="Courier New" w:cs="Courier New" w:eastAsia="Courier New" w:hAnsi="Courier New"/>
          <w:sz w:val="18"/>
          <w:szCs w:val="18"/>
          <w:color w:val="auto"/>
        </w:rPr>
        <w:t>Attention:</w:t>
        <w:tab/>
        <w:t>Robert A. Schwed</w:t>
      </w:r>
    </w:p>
    <w:p>
      <w:pPr>
        <w:ind w:left="2540"/>
        <w:spacing w:after="0"/>
        <w:rPr>
          <w:sz w:val="20"/>
          <w:szCs w:val="20"/>
          <w:color w:val="auto"/>
        </w:rPr>
      </w:pPr>
      <w:r>
        <w:rPr>
          <w:rFonts w:ascii="Courier New" w:cs="Courier New" w:eastAsia="Courier New" w:hAnsi="Courier New"/>
          <w:sz w:val="18"/>
          <w:szCs w:val="18"/>
          <w:color w:val="auto"/>
        </w:rPr>
        <w:t>Facsimile No.: (212) 841-5725</w:t>
      </w:r>
    </w:p>
    <w:p>
      <w:pPr>
        <w:spacing w:after="0" w:line="169" w:lineRule="exact"/>
        <w:rPr>
          <w:sz w:val="20"/>
          <w:szCs w:val="20"/>
          <w:color w:val="auto"/>
        </w:rPr>
      </w:pPr>
    </w:p>
    <w:p>
      <w:pPr>
        <w:ind w:left="1580" w:hanging="944"/>
        <w:spacing w:after="0"/>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Solect Technology Group Inc.</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55 University Avenue</w:t>
      </w:r>
    </w:p>
    <w:p>
      <w:pPr>
        <w:ind w:left="2540"/>
        <w:spacing w:after="0"/>
        <w:tabs>
          <w:tab w:leader="none" w:pos="4400" w:val="left"/>
        </w:tabs>
        <w:rPr>
          <w:sz w:val="20"/>
          <w:szCs w:val="20"/>
          <w:color w:val="auto"/>
        </w:rPr>
      </w:pPr>
      <w:r>
        <w:rPr>
          <w:rFonts w:ascii="Courier New" w:cs="Courier New" w:eastAsia="Courier New" w:hAnsi="Courier New"/>
          <w:sz w:val="18"/>
          <w:szCs w:val="18"/>
          <w:color w:val="auto"/>
        </w:rPr>
        <w:t>Toronto, Ontario</w:t>
      </w:r>
      <w:r>
        <w:rPr>
          <w:sz w:val="20"/>
          <w:szCs w:val="20"/>
          <w:color w:val="auto"/>
        </w:rPr>
        <w:tab/>
      </w:r>
      <w:r>
        <w:rPr>
          <w:rFonts w:ascii="Courier New" w:cs="Courier New" w:eastAsia="Courier New" w:hAnsi="Courier New"/>
          <w:sz w:val="16"/>
          <w:szCs w:val="16"/>
          <w:color w:val="auto"/>
        </w:rPr>
        <w:t>M5J 2H7</w:t>
      </w:r>
    </w:p>
    <w:p>
      <w:pPr>
        <w:ind w:left="2540"/>
        <w:spacing w:after="0"/>
        <w:rPr>
          <w:sz w:val="20"/>
          <w:szCs w:val="20"/>
          <w:color w:val="auto"/>
        </w:rPr>
      </w:pPr>
      <w:r>
        <w:rPr>
          <w:rFonts w:ascii="Courier New" w:cs="Courier New" w:eastAsia="Courier New" w:hAnsi="Courier New"/>
          <w:sz w:val="18"/>
          <w:szCs w:val="18"/>
          <w:color w:val="auto"/>
        </w:rPr>
        <w:t>Attention: President</w:t>
      </w:r>
    </w:p>
    <w:p>
      <w:pPr>
        <w:ind w:left="2540"/>
        <w:spacing w:after="0"/>
        <w:rPr>
          <w:sz w:val="20"/>
          <w:szCs w:val="20"/>
          <w:color w:val="auto"/>
        </w:rPr>
      </w:pPr>
      <w:r>
        <w:rPr>
          <w:rFonts w:ascii="Courier New" w:cs="Courier New" w:eastAsia="Courier New" w:hAnsi="Courier New"/>
          <w:sz w:val="18"/>
          <w:szCs w:val="18"/>
          <w:color w:val="auto"/>
        </w:rPr>
        <w:t>Facsimile No.: (416) 216-6351</w:t>
      </w:r>
    </w:p>
    <w:p>
      <w:pPr>
        <w:spacing w:after="0" w:line="37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Fasken Martineau DuMoulin LLP</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Toronto Dominion Centre</w:t>
      </w:r>
    </w:p>
    <w:p>
      <w:pPr>
        <w:ind w:left="2540"/>
        <w:spacing w:after="0" w:line="238" w:lineRule="auto"/>
        <w:rPr>
          <w:sz w:val="20"/>
          <w:szCs w:val="20"/>
          <w:color w:val="auto"/>
        </w:rPr>
      </w:pPr>
      <w:r>
        <w:rPr>
          <w:rFonts w:ascii="Courier New" w:cs="Courier New" w:eastAsia="Courier New" w:hAnsi="Courier New"/>
          <w:sz w:val="18"/>
          <w:szCs w:val="18"/>
          <w:color w:val="auto"/>
        </w:rPr>
        <w:t>Toronto Dominion Bank Tower</w:t>
      </w:r>
    </w:p>
    <w:p>
      <w:pPr>
        <w:ind w:left="2540"/>
        <w:spacing w:after="0"/>
        <w:rPr>
          <w:sz w:val="20"/>
          <w:szCs w:val="20"/>
          <w:color w:val="auto"/>
        </w:rPr>
      </w:pPr>
      <w:r>
        <w:rPr>
          <w:rFonts w:ascii="Courier New" w:cs="Courier New" w:eastAsia="Courier New" w:hAnsi="Courier New"/>
          <w:sz w:val="18"/>
          <w:szCs w:val="18"/>
          <w:color w:val="auto"/>
        </w:rPr>
        <w:t>Suite 3600</w:t>
      </w:r>
    </w:p>
    <w:p>
      <w:pPr>
        <w:ind w:left="2540"/>
        <w:spacing w:after="0" w:line="238" w:lineRule="auto"/>
        <w:rPr>
          <w:sz w:val="20"/>
          <w:szCs w:val="20"/>
          <w:color w:val="auto"/>
        </w:rPr>
      </w:pPr>
      <w:r>
        <w:rPr>
          <w:rFonts w:ascii="Courier New" w:cs="Courier New" w:eastAsia="Courier New" w:hAnsi="Courier New"/>
          <w:sz w:val="18"/>
          <w:szCs w:val="18"/>
          <w:color w:val="auto"/>
        </w:rPr>
        <w:t>Toronto Ontario</w:t>
      </w:r>
    </w:p>
    <w:p>
      <w:pPr>
        <w:ind w:left="2540"/>
        <w:spacing w:after="0"/>
        <w:rPr>
          <w:sz w:val="20"/>
          <w:szCs w:val="20"/>
          <w:color w:val="auto"/>
        </w:rPr>
      </w:pPr>
      <w:r>
        <w:rPr>
          <w:rFonts w:ascii="Courier New" w:cs="Courier New" w:eastAsia="Courier New" w:hAnsi="Courier New"/>
          <w:sz w:val="18"/>
          <w:szCs w:val="18"/>
          <w:color w:val="auto"/>
        </w:rPr>
        <w:t>M5K 1N6</w:t>
      </w:r>
    </w:p>
    <w:p>
      <w:pPr>
        <w:ind w:left="2540"/>
        <w:spacing w:after="0" w:line="238" w:lineRule="auto"/>
        <w:rPr>
          <w:sz w:val="20"/>
          <w:szCs w:val="20"/>
          <w:color w:val="auto"/>
        </w:rPr>
      </w:pPr>
      <w:r>
        <w:rPr>
          <w:rFonts w:ascii="Courier New" w:cs="Courier New" w:eastAsia="Courier New" w:hAnsi="Courier New"/>
          <w:sz w:val="18"/>
          <w:szCs w:val="18"/>
          <w:color w:val="auto"/>
        </w:rPr>
        <w:t>Attention: Constance L. Sugiyama</w:t>
      </w:r>
    </w:p>
    <w:p>
      <w:pPr>
        <w:ind w:left="2540"/>
        <w:spacing w:after="0"/>
        <w:tabs>
          <w:tab w:leader="none" w:pos="3780" w:val="left"/>
        </w:tabs>
        <w:rPr>
          <w:sz w:val="20"/>
          <w:szCs w:val="20"/>
          <w:color w:val="auto"/>
        </w:rPr>
      </w:pPr>
      <w:r>
        <w:rPr>
          <w:rFonts w:ascii="Courier New" w:cs="Courier New" w:eastAsia="Courier New" w:hAnsi="Courier New"/>
          <w:sz w:val="18"/>
          <w:szCs w:val="18"/>
          <w:color w:val="auto"/>
        </w:rPr>
        <w:t>Facsimile:</w:t>
        <w:tab/>
        <w:t>(416) 364-7813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and to: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5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Suite 1820 North Tower</w:t>
      </w:r>
    </w:p>
    <w:p>
      <w:pPr>
        <w:ind w:left="2540"/>
        <w:spacing w:after="0" w:line="238" w:lineRule="auto"/>
        <w:rPr>
          <w:sz w:val="20"/>
          <w:szCs w:val="20"/>
          <w:color w:val="auto"/>
        </w:rPr>
      </w:pPr>
      <w:r>
        <w:rPr>
          <w:rFonts w:ascii="Courier New" w:cs="Courier New" w:eastAsia="Courier New" w:hAnsi="Courier New"/>
          <w:sz w:val="18"/>
          <w:szCs w:val="18"/>
          <w:color w:val="auto"/>
        </w:rPr>
        <w:t>Royal Bank Plaza</w:t>
      </w:r>
    </w:p>
    <w:p>
      <w:pPr>
        <w:ind w:left="2540"/>
        <w:spacing w:after="0"/>
        <w:rPr>
          <w:sz w:val="20"/>
          <w:szCs w:val="20"/>
          <w:color w:val="auto"/>
        </w:rPr>
      </w:pPr>
      <w:r>
        <w:rPr>
          <w:rFonts w:ascii="Courier New" w:cs="Courier New" w:eastAsia="Courier New" w:hAnsi="Courier New"/>
          <w:sz w:val="18"/>
          <w:szCs w:val="18"/>
          <w:color w:val="auto"/>
        </w:rPr>
        <w:t>Toronto, Ontario</w:t>
      </w:r>
    </w:p>
    <w:p>
      <w:pPr>
        <w:ind w:left="2540"/>
        <w:spacing w:after="0" w:line="238" w:lineRule="auto"/>
        <w:rPr>
          <w:sz w:val="20"/>
          <w:szCs w:val="20"/>
          <w:color w:val="auto"/>
        </w:rPr>
      </w:pPr>
      <w:r>
        <w:rPr>
          <w:rFonts w:ascii="Courier New" w:cs="Courier New" w:eastAsia="Courier New" w:hAnsi="Courier New"/>
          <w:sz w:val="18"/>
          <w:szCs w:val="18"/>
          <w:color w:val="auto"/>
        </w:rPr>
        <w:t>M5J 254</w:t>
      </w:r>
    </w:p>
    <w:p>
      <w:pPr>
        <w:ind w:left="2540"/>
        <w:spacing w:after="0"/>
        <w:rPr>
          <w:sz w:val="20"/>
          <w:szCs w:val="20"/>
          <w:color w:val="auto"/>
        </w:rPr>
      </w:pPr>
      <w:r>
        <w:rPr>
          <w:rFonts w:ascii="Courier New" w:cs="Courier New" w:eastAsia="Courier New" w:hAnsi="Courier New"/>
          <w:sz w:val="18"/>
          <w:szCs w:val="18"/>
          <w:color w:val="auto"/>
        </w:rPr>
        <w:t>Attention: Christopher W. Morgan</w:t>
      </w:r>
    </w:p>
    <w:p>
      <w:pPr>
        <w:ind w:left="2540"/>
        <w:spacing w:after="0"/>
        <w:rPr>
          <w:sz w:val="20"/>
          <w:szCs w:val="20"/>
          <w:color w:val="auto"/>
        </w:rPr>
      </w:pPr>
      <w:r>
        <w:rPr>
          <w:rFonts w:ascii="Courier New" w:cs="Courier New" w:eastAsia="Courier New" w:hAnsi="Courier New"/>
          <w:sz w:val="18"/>
          <w:szCs w:val="18"/>
          <w:color w:val="auto"/>
        </w:rPr>
        <w:t>Facsimile: (416) 322-0088</w:t>
      </w: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899"/>
          </w:cols>
          <w:pgMar w:left="560" w:top="285"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36</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 to:</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Reboul, MacMurray, Hewitt, Maynard</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&amp; Kristol</w:t>
      </w:r>
    </w:p>
    <w:p>
      <w:pPr>
        <w:ind w:left="2860"/>
        <w:spacing w:after="0" w:line="238" w:lineRule="auto"/>
        <w:rPr>
          <w:sz w:val="20"/>
          <w:szCs w:val="20"/>
          <w:color w:val="auto"/>
        </w:rPr>
      </w:pPr>
      <w:r>
        <w:rPr>
          <w:rFonts w:ascii="Courier New" w:cs="Courier New" w:eastAsia="Courier New" w:hAnsi="Courier New"/>
          <w:sz w:val="18"/>
          <w:szCs w:val="18"/>
          <w:color w:val="auto"/>
        </w:rPr>
        <w:t>45 Rockefeller Plaza</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10111</w:t>
      </w:r>
    </w:p>
    <w:p>
      <w:pPr>
        <w:ind w:left="2860"/>
        <w:spacing w:after="0" w:line="238" w:lineRule="auto"/>
        <w:tabs>
          <w:tab w:leader="none" w:pos="4100" w:val="left"/>
        </w:tabs>
        <w:rPr>
          <w:sz w:val="20"/>
          <w:szCs w:val="20"/>
          <w:color w:val="auto"/>
        </w:rPr>
      </w:pPr>
      <w:r>
        <w:rPr>
          <w:rFonts w:ascii="Courier New" w:cs="Courier New" w:eastAsia="Courier New" w:hAnsi="Courier New"/>
          <w:sz w:val="18"/>
          <w:szCs w:val="18"/>
          <w:color w:val="auto"/>
        </w:rPr>
        <w:t>Attention:</w:t>
        <w:tab/>
        <w:t>Robert A. Schwed</w:t>
      </w:r>
    </w:p>
    <w:p>
      <w:pPr>
        <w:ind w:left="2860"/>
        <w:spacing w:after="0"/>
        <w:rPr>
          <w:sz w:val="20"/>
          <w:szCs w:val="20"/>
          <w:color w:val="auto"/>
        </w:rPr>
      </w:pPr>
      <w:r>
        <w:rPr>
          <w:rFonts w:ascii="Courier New" w:cs="Courier New" w:eastAsia="Courier New" w:hAnsi="Courier New"/>
          <w:sz w:val="18"/>
          <w:szCs w:val="18"/>
          <w:color w:val="auto"/>
        </w:rPr>
        <w:t>Facsimile No.: (212) 841-5725</w:t>
      </w:r>
    </w:p>
    <w:p>
      <w:pPr>
        <w:spacing w:after="0" w:line="372" w:lineRule="exact"/>
        <w:rPr>
          <w:sz w:val="20"/>
          <w:szCs w:val="20"/>
          <w:color w:val="auto"/>
        </w:rPr>
      </w:pPr>
    </w:p>
    <w:p>
      <w:pPr>
        <w:ind w:left="1900" w:hanging="944"/>
        <w:spacing w:after="0"/>
        <w:tabs>
          <w:tab w:leader="none" w:pos="190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Trustee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Trust Company of Bank of Montreal</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Suite 5104</w:t>
      </w:r>
    </w:p>
    <w:p>
      <w:pPr>
        <w:ind w:left="2860"/>
        <w:spacing w:after="0" w:line="238" w:lineRule="auto"/>
        <w:rPr>
          <w:sz w:val="20"/>
          <w:szCs w:val="20"/>
          <w:color w:val="auto"/>
        </w:rPr>
      </w:pPr>
      <w:r>
        <w:rPr>
          <w:rFonts w:ascii="Courier New" w:cs="Courier New" w:eastAsia="Courier New" w:hAnsi="Courier New"/>
          <w:sz w:val="18"/>
          <w:szCs w:val="18"/>
          <w:color w:val="auto"/>
        </w:rPr>
        <w:t>1 First Canadian Place</w:t>
      </w:r>
    </w:p>
    <w:p>
      <w:pPr>
        <w:ind w:left="2860"/>
        <w:spacing w:after="0"/>
        <w:rPr>
          <w:sz w:val="20"/>
          <w:szCs w:val="20"/>
          <w:color w:val="auto"/>
        </w:rPr>
      </w:pPr>
      <w:r>
        <w:rPr>
          <w:rFonts w:ascii="Courier New" w:cs="Courier New" w:eastAsia="Courier New" w:hAnsi="Courier New"/>
          <w:sz w:val="18"/>
          <w:szCs w:val="18"/>
          <w:color w:val="auto"/>
        </w:rPr>
        <w:t>Toronto, Ontrio</w:t>
      </w:r>
    </w:p>
    <w:p>
      <w:pPr>
        <w:ind w:left="2860"/>
        <w:spacing w:after="0" w:line="238" w:lineRule="auto"/>
        <w:rPr>
          <w:sz w:val="20"/>
          <w:szCs w:val="20"/>
          <w:color w:val="auto"/>
        </w:rPr>
      </w:pPr>
      <w:r>
        <w:rPr>
          <w:rFonts w:ascii="Courier New" w:cs="Courier New" w:eastAsia="Courier New" w:hAnsi="Courier New"/>
          <w:sz w:val="18"/>
          <w:szCs w:val="18"/>
          <w:color w:val="auto"/>
        </w:rPr>
        <w:t>M5X 1A1</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Senior Trust Officer</w:t>
      </w:r>
    </w:p>
    <w:p>
      <w:pPr>
        <w:ind w:left="2860"/>
        <w:spacing w:after="0"/>
        <w:rPr>
          <w:sz w:val="20"/>
          <w:szCs w:val="20"/>
          <w:color w:val="auto"/>
        </w:rPr>
      </w:pPr>
      <w:r>
        <w:rPr>
          <w:rFonts w:ascii="Courier New" w:cs="Courier New" w:eastAsia="Courier New" w:hAnsi="Courier New"/>
          <w:sz w:val="18"/>
          <w:szCs w:val="18"/>
          <w:color w:val="auto"/>
        </w:rPr>
        <w:t>Fax: (416) 867-6264</w:t>
      </w:r>
    </w:p>
    <w:p>
      <w:pPr>
        <w:spacing w:after="0" w:line="200" w:lineRule="exact"/>
        <w:rPr>
          <w:sz w:val="20"/>
          <w:szCs w:val="20"/>
          <w:color w:val="auto"/>
        </w:rPr>
      </w:pPr>
    </w:p>
    <w:p>
      <w:pPr>
        <w:spacing w:after="0" w:line="374"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Any notice or other communication given in accordance herewith shall be deemed to have been given and received upon receipt thereof unless such day is not a Business Day in which case it shall be deemed to have been given and received upon the immediately following Business Day.</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6"/>
          <w:szCs w:val="16"/>
          <w:color w:val="auto"/>
        </w:rPr>
        <w:t>NOTICE OF HOLDERS</w:t>
      </w:r>
    </w:p>
    <w:p>
      <w:pPr>
        <w:spacing w:after="0" w:line="201" w:lineRule="exact"/>
        <w:rPr>
          <w:sz w:val="20"/>
          <w:szCs w:val="20"/>
          <w:color w:val="auto"/>
        </w:rPr>
      </w:pPr>
    </w:p>
    <w:p>
      <w:pPr>
        <w:ind w:right="1999" w:firstLine="1896"/>
        <w:spacing w:after="0" w:line="253" w:lineRule="auto"/>
        <w:rPr>
          <w:sz w:val="20"/>
          <w:szCs w:val="20"/>
          <w:color w:val="auto"/>
        </w:rPr>
      </w:pPr>
      <w:r>
        <w:rPr>
          <w:rFonts w:ascii="Courier New" w:cs="Courier New" w:eastAsia="Courier New" w:hAnsi="Courier New"/>
          <w:sz w:val="18"/>
          <w:szCs w:val="18"/>
          <w:color w:val="auto"/>
        </w:rPr>
        <w:t>Any and all notices to be given and any documents to be sent to any Holders may be given or sent to the address of such holder shown on the register of holders of Exchangeable Shares in any manner permitted by the by-laws of the Company from time to time in force in respect of notices to shareholders and shall be deemed to be received (if given or sent in such manner) at the time specified in such by-laws, the provisions of which by-laws shall apply mutatis mutandis to notices or documents as aforesaid sent to such Holders.</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RISK OF PAYMENTS BY POST</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Whenever payments are to be made or documents are to be sent to any Holder by the Trustee or by the Company, or by such Holder to the Trustee or to Amdocs or the Company, the making of such payment or sending of such document sent through the post shall be at the</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37</w:t>
      </w:r>
    </w:p>
    <w:p>
      <w:pPr>
        <w:spacing w:after="0" w:line="31"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8"/>
          <w:szCs w:val="18"/>
          <w:color w:val="auto"/>
        </w:rPr>
        <w:t>risk of the Company, in the case of payments made or documents sent by the Trustee or the Company, and the Holder, in the case of payments made or documents sent by the Holder.</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COUNTERPARTS</w:t>
      </w:r>
    </w:p>
    <w:p>
      <w:pPr>
        <w:spacing w:after="0" w:line="201"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This Agreement may be executed in counterparts, each of which shall be deemed an original, but all of which taken together shall constitute one and the same instrument.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JURISDICTION</w:t>
      </w:r>
    </w:p>
    <w:p>
      <w:pPr>
        <w:spacing w:after="0" w:line="201"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This Agreement shall be construed and enforced in accordance with the laws of the Province of Ontario and the laws of Canada applicable therein.</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6"/>
          <w:szCs w:val="16"/>
          <w:color w:val="auto"/>
        </w:rPr>
        <w:t>ATTORNMENT</w:t>
      </w:r>
    </w:p>
    <w:p>
      <w:pPr>
        <w:spacing w:after="0" w:line="20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Each of Amdocs, Parentco, Holdco and the Company agrees that any action or proceeding arising out of or relating to this Agreement may be instituted in the courts of Ontario, waives any objection which it may have now or hereafter to the venue of any such action or proceeding, irrevocably submits to the jurisdiction of the said courts in any such action or proceeding, agrees to be bound by any judgment of the said courts and agrees not to seek, and hereby waives, any review of the merits of any such judgment by the courts of any other jurisdiction and each such party (other than the Company) hereby appoints the Company at its registered office in the Province of Ontario as such party's attorney for service of process.</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38</w:t>
      </w:r>
    </w:p>
    <w:p>
      <w:pPr>
        <w:spacing w:after="0" w:line="31" w:lineRule="exact"/>
        <w:rPr>
          <w:sz w:val="20"/>
          <w:szCs w:val="20"/>
          <w:color w:val="auto"/>
        </w:rPr>
      </w:pPr>
    </w:p>
    <w:p>
      <w:pPr>
        <w:ind w:right="2519" w:firstLine="1896"/>
        <w:spacing w:after="0" w:line="309"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above written.</w:t>
      </w:r>
    </w:p>
    <w:p>
      <w:pPr>
        <w:spacing w:after="0" w:line="25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tabs>
          <w:tab w:leader="none" w:pos="5460" w:val="left"/>
          <w:tab w:leader="none" w:pos="60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G. O'BRIEN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Name: Thomas G. O'Brien</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AMDOCS (DENMARK) APS.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tabs>
          <w:tab w:leader="none" w:pos="5460" w:val="left"/>
          <w:tab w:leader="none" w:pos="60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G. O'BRIEN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Name: Thomas G. O'Brien</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AMDOCS HOLDINGS ULC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tabs>
          <w:tab w:leader="none" w:pos="5460" w:val="left"/>
          <w:tab w:leader="none" w:pos="60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THOMAS G. O'BRIEN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Name: Thomas G. O'Brien</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285"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39</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SOLECT TECHNOLOGY GROUP INC.</w:t>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PAUL ATKINSON</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Paul Atkinson</w:t>
      </w:r>
    </w:p>
    <w:p>
      <w:pPr>
        <w:ind w:left="50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TRUST COMPANY OF BANK OF</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MONTREAL</w:t>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LIONEL PETERS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Lionel Peters</w:t>
      </w:r>
    </w:p>
    <w:p>
      <w:pPr>
        <w:ind w:left="5060"/>
        <w:spacing w:after="0"/>
        <w:rPr>
          <w:sz w:val="20"/>
          <w:szCs w:val="20"/>
          <w:color w:val="auto"/>
        </w:rPr>
      </w:pPr>
      <w:r>
        <w:rPr>
          <w:rFonts w:ascii="Courier New" w:cs="Courier New" w:eastAsia="Courier New" w:hAnsi="Courier New"/>
          <w:sz w:val="18"/>
          <w:szCs w:val="18"/>
          <w:color w:val="auto"/>
        </w:rPr>
        <w:t>Title: Trust Officer</w:t>
      </w:r>
    </w:p>
    <w:p>
      <w:pPr>
        <w:sectPr>
          <w:pgSz w:w="11900" w:h="16838" w:orient="portrait"/>
          <w:cols w:equalWidth="0" w:num="1">
            <w:col w:w="9899"/>
          </w:cols>
          <w:pgMar w:left="560" w:top="285"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jc w:val="center"/>
        <w:ind w:right="840"/>
        <w:spacing w:after="0"/>
        <w:tabs>
          <w:tab w:leader="none" w:pos="1460" w:val="left"/>
          <w:tab w:leader="none" w:pos="2100" w:val="left"/>
        </w:tabs>
        <w:rPr>
          <w:sz w:val="20"/>
          <w:szCs w:val="20"/>
          <w:color w:val="auto"/>
        </w:rPr>
      </w:pPr>
      <w:r>
        <w:rPr>
          <w:rFonts w:ascii="Courier New" w:cs="Courier New" w:eastAsia="Courier New" w:hAnsi="Courier New"/>
          <w:sz w:val="18"/>
          <w:szCs w:val="18"/>
          <w:color w:val="auto"/>
        </w:rPr>
        <w:t>LIST OF THE SUBSIDIARIES</w:t>
      </w:r>
      <w:r>
        <w:rPr>
          <w:sz w:val="20"/>
          <w:szCs w:val="20"/>
          <w:color w:val="auto"/>
        </w:rPr>
        <w:tab/>
      </w: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6"/>
          <w:szCs w:val="16"/>
          <w:color w:val="auto"/>
        </w:rPr>
        <w:t>BUSINESS NAME</w:t>
      </w:r>
    </w:p>
    <w:p>
      <w:pPr>
        <w:jc w:val="center"/>
        <w:ind w:right="200"/>
        <w:spacing w:after="0" w:line="238" w:lineRule="auto"/>
        <w:rPr>
          <w:sz w:val="20"/>
          <w:szCs w:val="20"/>
          <w:color w:val="auto"/>
        </w:rPr>
      </w:pPr>
      <w:r>
        <w:rPr>
          <w:rFonts w:ascii="Courier New" w:cs="Courier New" w:eastAsia="Courier New" w:hAnsi="Courier New"/>
          <w:sz w:val="18"/>
          <w:szCs w:val="18"/>
          <w:color w:val="auto"/>
        </w:rPr>
        <w:t>INCORPORATION OR</w:t>
      </w:r>
    </w:p>
    <w:p>
      <w:pPr>
        <w:jc w:val="center"/>
        <w:ind w:right="200"/>
        <w:spacing w:after="0"/>
        <w:rPr>
          <w:sz w:val="20"/>
          <w:szCs w:val="20"/>
          <w:color w:val="auto"/>
        </w:rPr>
      </w:pPr>
      <w:r>
        <w:rPr>
          <w:rFonts w:ascii="Courier New" w:cs="Courier New" w:eastAsia="Courier New" w:hAnsi="Courier New"/>
          <w:sz w:val="18"/>
          <w:szCs w:val="18"/>
          <w:color w:val="auto"/>
        </w:rPr>
        <w:t>ORGANIZATION</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(USA),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(USA),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European Software Marketing Ltd.</w:t>
      </w:r>
      <w:r>
        <w:rPr>
          <w:sz w:val="20"/>
          <w:szCs w:val="20"/>
          <w:color w:val="auto"/>
        </w:rPr>
        <w:tab/>
      </w:r>
      <w:r>
        <w:rPr>
          <w:rFonts w:ascii="Courier New" w:cs="Courier New" w:eastAsia="Courier New" w:hAnsi="Courier New"/>
          <w:sz w:val="18"/>
          <w:szCs w:val="18"/>
          <w:color w:val="auto"/>
        </w:rPr>
        <w:t>Island of Guernsey,</w:t>
      </w:r>
      <w:r>
        <w:rPr>
          <w:sz w:val="20"/>
          <w:szCs w:val="20"/>
          <w:color w:val="auto"/>
        </w:rPr>
        <w:tab/>
      </w:r>
      <w:r>
        <w:rPr>
          <w:rFonts w:ascii="Courier New" w:cs="Courier New" w:eastAsia="Courier New" w:hAnsi="Courier New"/>
          <w:sz w:val="16"/>
          <w:szCs w:val="16"/>
          <w:color w:val="auto"/>
        </w:rPr>
        <w:t>European Software Marketing Ltd.</w:t>
      </w:r>
    </w:p>
    <w:p>
      <w:pPr>
        <w:ind w:left="4020"/>
        <w:spacing w:after="0" w:line="238" w:lineRule="auto"/>
        <w:rPr>
          <w:sz w:val="20"/>
          <w:szCs w:val="20"/>
          <w:color w:val="auto"/>
        </w:rPr>
      </w:pPr>
      <w:r>
        <w:rPr>
          <w:rFonts w:ascii="Courier New" w:cs="Courier New" w:eastAsia="Courier New" w:hAnsi="Courier New"/>
          <w:sz w:val="18"/>
          <w:szCs w:val="18"/>
          <w:color w:val="auto"/>
        </w:rPr>
        <w:t>Channel Islands</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(UK)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(UK)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European Support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European Support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(Brazil) Limitada</w:t>
      </w:r>
      <w:r>
        <w:rPr>
          <w:sz w:val="20"/>
          <w:szCs w:val="20"/>
          <w:color w:val="auto"/>
        </w:rPr>
        <w:tab/>
      </w:r>
      <w:r>
        <w:rPr>
          <w:rFonts w:ascii="Courier New" w:cs="Courier New" w:eastAsia="Courier New" w:hAnsi="Courier New"/>
          <w:sz w:val="18"/>
          <w:szCs w:val="18"/>
          <w:color w:val="auto"/>
        </w:rPr>
        <w:t>Brazil</w:t>
      </w:r>
      <w:r>
        <w:rPr>
          <w:sz w:val="20"/>
          <w:szCs w:val="20"/>
          <w:color w:val="auto"/>
        </w:rPr>
        <w:tab/>
      </w:r>
      <w:r>
        <w:rPr>
          <w:rFonts w:ascii="Courier New" w:cs="Courier New" w:eastAsia="Courier New" w:hAnsi="Courier New"/>
          <w:sz w:val="16"/>
          <w:szCs w:val="16"/>
          <w:color w:val="auto"/>
        </w:rPr>
        <w:t>Amdocs (Brazil) Limitada</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GmbH</w:t>
      </w:r>
      <w:r>
        <w:rPr>
          <w:sz w:val="20"/>
          <w:szCs w:val="20"/>
          <w:color w:val="auto"/>
        </w:rPr>
        <w:tab/>
      </w:r>
      <w:r>
        <w:rPr>
          <w:rFonts w:ascii="Courier New" w:cs="Courier New" w:eastAsia="Courier New" w:hAnsi="Courier New"/>
          <w:sz w:val="18"/>
          <w:szCs w:val="18"/>
          <w:color w:val="auto"/>
        </w:rPr>
        <w:t>Germany</w:t>
      </w:r>
      <w:r>
        <w:rPr>
          <w:sz w:val="20"/>
          <w:szCs w:val="20"/>
          <w:color w:val="auto"/>
        </w:rPr>
        <w:tab/>
      </w:r>
      <w:r>
        <w:rPr>
          <w:rFonts w:ascii="Courier New" w:cs="Courier New" w:eastAsia="Courier New" w:hAnsi="Courier New"/>
          <w:sz w:val="16"/>
          <w:szCs w:val="16"/>
          <w:color w:val="auto"/>
        </w:rPr>
        <w:t>Amdocs Software GmbH</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Directory Technology (Pty) Limited</w:t>
      </w:r>
      <w:r>
        <w:rPr>
          <w:sz w:val="20"/>
          <w:szCs w:val="20"/>
          <w:color w:val="auto"/>
        </w:rPr>
        <w:tab/>
      </w:r>
      <w:r>
        <w:rPr>
          <w:rFonts w:ascii="Courier New" w:cs="Courier New" w:eastAsia="Courier New" w:hAnsi="Courier New"/>
          <w:sz w:val="18"/>
          <w:szCs w:val="18"/>
          <w:color w:val="auto"/>
        </w:rPr>
        <w:t>Victoria, Australia</w:t>
      </w:r>
      <w:r>
        <w:rPr>
          <w:sz w:val="20"/>
          <w:szCs w:val="20"/>
          <w:color w:val="auto"/>
        </w:rPr>
        <w:tab/>
      </w:r>
      <w:r>
        <w:rPr>
          <w:rFonts w:ascii="Courier New" w:cs="Courier New" w:eastAsia="Courier New" w:hAnsi="Courier New"/>
          <w:sz w:val="16"/>
          <w:szCs w:val="16"/>
          <w:color w:val="auto"/>
        </w:rPr>
        <w:t>Directory Technology (Pty)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Management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Management Limited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(Israel) Limited</w:t>
      </w:r>
      <w:r>
        <w:rPr>
          <w:sz w:val="20"/>
          <w:szCs w:val="20"/>
          <w:color w:val="auto"/>
        </w:rPr>
        <w:tab/>
      </w:r>
      <w:r>
        <w:rPr>
          <w:rFonts w:ascii="Courier New" w:cs="Courier New" w:eastAsia="Courier New" w:hAnsi="Courier New"/>
          <w:sz w:val="18"/>
          <w:szCs w:val="18"/>
          <w:color w:val="auto"/>
        </w:rPr>
        <w:t>Israel</w:t>
      </w:r>
      <w:r>
        <w:rPr>
          <w:sz w:val="20"/>
          <w:szCs w:val="20"/>
          <w:color w:val="auto"/>
        </w:rPr>
        <w:tab/>
      </w:r>
      <w:r>
        <w:rPr>
          <w:rFonts w:ascii="Courier New" w:cs="Courier New" w:eastAsia="Courier New" w:hAnsi="Courier New"/>
          <w:sz w:val="16"/>
          <w:szCs w:val="16"/>
          <w:color w:val="auto"/>
        </w:rPr>
        <w:t>Amdocs (Israel) Limited</w:t>
      </w:r>
    </w:p>
    <w:p>
      <w:pPr>
        <w:ind w:left="7180"/>
        <w:spacing w:after="0" w:line="238" w:lineRule="auto"/>
        <w:rPr>
          <w:sz w:val="20"/>
          <w:szCs w:val="20"/>
          <w:color w:val="auto"/>
        </w:rPr>
      </w:pPr>
      <w:r>
        <w:rPr>
          <w:rFonts w:ascii="Courier New" w:cs="Courier New" w:eastAsia="Courier New" w:hAnsi="Courier New"/>
          <w:sz w:val="18"/>
          <w:szCs w:val="18"/>
          <w:color w:val="auto"/>
        </w:rPr>
        <w:t>(formerly P.S. Publishing Systems</w:t>
      </w:r>
    </w:p>
    <w:p>
      <w:pPr>
        <w:ind w:left="7180"/>
        <w:spacing w:after="0"/>
        <w:rPr>
          <w:sz w:val="20"/>
          <w:szCs w:val="20"/>
          <w:color w:val="auto"/>
        </w:rPr>
      </w:pPr>
      <w:r>
        <w:rPr>
          <w:rFonts w:ascii="Courier New" w:cs="Courier New" w:eastAsia="Courier New" w:hAnsi="Courier New"/>
          <w:sz w:val="18"/>
          <w:szCs w:val="18"/>
          <w:color w:val="auto"/>
        </w:rPr>
        <w:t>Ltd.)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Canadian Directory Technology Ltd.</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Canadian Directory Technology Ltd.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Services,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Services,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Sypress,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Sypress, Inc.</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20" w:right="220"/>
        <w:spacing w:after="0" w:line="238" w:lineRule="auto"/>
        <w:rPr>
          <w:sz w:val="20"/>
          <w:szCs w:val="20"/>
          <w:color w:val="auto"/>
        </w:rPr>
      </w:pPr>
      <w:r>
        <w:rPr>
          <w:rFonts w:ascii="Courier New" w:cs="Courier New" w:eastAsia="Courier New" w:hAnsi="Courier New"/>
          <w:sz w:val="18"/>
          <w:szCs w:val="18"/>
          <w:color w:val="auto"/>
        </w:rPr>
        <w:t>International Telecommunication State of Delaware International Telecommunication Data Data Systems, Inc. Systems,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ITDS Intelicom Services,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ITDS Intelicom Services, Inc.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(CR) S.R.O.</w:t>
      </w:r>
      <w:r>
        <w:rPr>
          <w:sz w:val="20"/>
          <w:szCs w:val="20"/>
          <w:color w:val="auto"/>
        </w:rPr>
        <w:tab/>
      </w:r>
      <w:r>
        <w:rPr>
          <w:rFonts w:ascii="Courier New" w:cs="Courier New" w:eastAsia="Courier New" w:hAnsi="Courier New"/>
          <w:sz w:val="18"/>
          <w:szCs w:val="18"/>
          <w:color w:val="auto"/>
        </w:rPr>
        <w:t>Czech Republic</w:t>
      </w:r>
      <w:r>
        <w:rPr>
          <w:sz w:val="20"/>
          <w:szCs w:val="20"/>
          <w:color w:val="auto"/>
        </w:rPr>
        <w:tab/>
      </w:r>
      <w:r>
        <w:rPr>
          <w:rFonts w:ascii="Courier New" w:cs="Courier New" w:eastAsia="Courier New" w:hAnsi="Courier New"/>
          <w:sz w:val="16"/>
          <w:szCs w:val="16"/>
          <w:color w:val="auto"/>
        </w:rPr>
        <w:t>Amdocs (CR) S.R.O.</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Development Limited</w:t>
      </w:r>
      <w:r>
        <w:rPr>
          <w:sz w:val="20"/>
          <w:szCs w:val="20"/>
          <w:color w:val="auto"/>
        </w:rPr>
        <w:tab/>
      </w:r>
      <w:r>
        <w:rPr>
          <w:rFonts w:ascii="Courier New" w:cs="Courier New" w:eastAsia="Courier New" w:hAnsi="Courier New"/>
          <w:sz w:val="18"/>
          <w:szCs w:val="18"/>
          <w:color w:val="auto"/>
        </w:rPr>
        <w:t>Republic of Cyprus</w:t>
      </w:r>
      <w:r>
        <w:rPr>
          <w:sz w:val="20"/>
          <w:szCs w:val="20"/>
          <w:color w:val="auto"/>
        </w:rPr>
        <w:tab/>
      </w:r>
      <w:r>
        <w:rPr>
          <w:rFonts w:ascii="Courier New" w:cs="Courier New" w:eastAsia="Courier New" w:hAnsi="Courier New"/>
          <w:sz w:val="16"/>
          <w:szCs w:val="16"/>
          <w:color w:val="auto"/>
        </w:rPr>
        <w:t>Amdocs Development Limited</w:t>
      </w:r>
    </w:p>
    <w:p>
      <w:pPr>
        <w:ind w:left="7180"/>
        <w:spacing w:after="0" w:line="238" w:lineRule="auto"/>
        <w:rPr>
          <w:sz w:val="20"/>
          <w:szCs w:val="20"/>
          <w:color w:val="auto"/>
        </w:rPr>
      </w:pPr>
      <w:r>
        <w:rPr>
          <w:rFonts w:ascii="Courier New" w:cs="Courier New" w:eastAsia="Courier New" w:hAnsi="Courier New"/>
          <w:sz w:val="18"/>
          <w:szCs w:val="18"/>
          <w:color w:val="auto"/>
        </w:rPr>
        <w:t>(formerly Amdocs (Cyprus) Ltd.)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Systems Ltd.</w:t>
      </w:r>
      <w:r>
        <w:rPr>
          <w:sz w:val="20"/>
          <w:szCs w:val="20"/>
          <w:color w:val="auto"/>
        </w:rPr>
        <w:tab/>
      </w:r>
      <w:r>
        <w:rPr>
          <w:rFonts w:ascii="Courier New" w:cs="Courier New" w:eastAsia="Courier New" w:hAnsi="Courier New"/>
          <w:sz w:val="18"/>
          <w:szCs w:val="18"/>
          <w:color w:val="auto"/>
        </w:rPr>
        <w:t>Ireland</w:t>
      </w:r>
      <w:r>
        <w:rPr>
          <w:sz w:val="20"/>
          <w:szCs w:val="20"/>
          <w:color w:val="auto"/>
        </w:rPr>
        <w:tab/>
      </w:r>
      <w:r>
        <w:rPr>
          <w:rFonts w:ascii="Courier New" w:cs="Courier New" w:eastAsia="Courier New" w:hAnsi="Courier New"/>
          <w:sz w:val="16"/>
          <w:szCs w:val="16"/>
          <w:color w:val="auto"/>
        </w:rPr>
        <w:t>Amdocs Software Systems Ltd.</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(Denmark) ApS</w:t>
      </w:r>
      <w:r>
        <w:rPr>
          <w:sz w:val="20"/>
          <w:szCs w:val="20"/>
          <w:color w:val="auto"/>
        </w:rPr>
        <w:tab/>
      </w:r>
      <w:r>
        <w:rPr>
          <w:rFonts w:ascii="Courier New" w:cs="Courier New" w:eastAsia="Courier New" w:hAnsi="Courier New"/>
          <w:sz w:val="18"/>
          <w:szCs w:val="18"/>
          <w:color w:val="auto"/>
        </w:rPr>
        <w:t>Denmark</w:t>
      </w:r>
      <w:r>
        <w:rPr>
          <w:sz w:val="20"/>
          <w:szCs w:val="20"/>
          <w:color w:val="auto"/>
        </w:rPr>
        <w:tab/>
      </w:r>
      <w:r>
        <w:rPr>
          <w:rFonts w:ascii="Courier New" w:cs="Courier New" w:eastAsia="Courier New" w:hAnsi="Courier New"/>
          <w:sz w:val="16"/>
          <w:szCs w:val="16"/>
          <w:color w:val="auto"/>
        </w:rPr>
        <w:t>Amdocs (Denmark) ApS</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spacing w:after="0" w:line="192" w:lineRule="exact"/>
              <w:rPr>
                <w:sz w:val="20"/>
                <w:szCs w:val="20"/>
                <w:color w:val="auto"/>
              </w:rPr>
            </w:pPr>
            <w:r>
              <w:rPr>
                <w:rFonts w:ascii="Courier New" w:cs="Courier New" w:eastAsia="Courier New" w:hAnsi="Courier New"/>
                <w:sz w:val="18"/>
                <w:szCs w:val="18"/>
                <w:color w:val="auto"/>
              </w:rPr>
              <w:t>Amdocs</w:t>
            </w:r>
          </w:p>
        </w:tc>
        <w:tc>
          <w:tcPr>
            <w:tcW w:w="27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Holdings ULC</w:t>
            </w:r>
          </w:p>
        </w:tc>
        <w:tc>
          <w:tcPr>
            <w:tcW w:w="2320" w:type="dxa"/>
            <w:vAlign w:val="bottom"/>
          </w:tcPr>
          <w:p>
            <w:pPr>
              <w:ind w:left="440"/>
              <w:spacing w:after="0" w:line="192" w:lineRule="exact"/>
              <w:rPr>
                <w:sz w:val="20"/>
                <w:szCs w:val="20"/>
                <w:color w:val="auto"/>
              </w:rPr>
            </w:pPr>
            <w:r>
              <w:rPr>
                <w:rFonts w:ascii="Courier New" w:cs="Courier New" w:eastAsia="Courier New" w:hAnsi="Courier New"/>
                <w:sz w:val="18"/>
                <w:szCs w:val="18"/>
                <w:color w:val="auto"/>
              </w:rPr>
              <w:t>Canada</w:t>
            </w:r>
          </w:p>
        </w:tc>
        <w:tc>
          <w:tcPr>
            <w:tcW w:w="5280" w:type="dxa"/>
            <w:vAlign w:val="bottom"/>
          </w:tcPr>
          <w:p>
            <w:pPr>
              <w:ind w:left="1280"/>
              <w:spacing w:after="0" w:line="192" w:lineRule="exact"/>
              <w:rPr>
                <w:sz w:val="20"/>
                <w:szCs w:val="20"/>
                <w:color w:val="auto"/>
              </w:rPr>
            </w:pPr>
            <w:r>
              <w:rPr>
                <w:rFonts w:ascii="Courier New" w:cs="Courier New" w:eastAsia="Courier New" w:hAnsi="Courier New"/>
                <w:sz w:val="18"/>
                <w:szCs w:val="18"/>
                <w:color w:val="auto"/>
              </w:rPr>
              <w:t>Amdocs Holding ULC</w:t>
            </w: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1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Solect</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Technology Group, Inc.</w:t>
            </w:r>
          </w:p>
        </w:tc>
        <w:tc>
          <w:tcPr>
            <w:tcW w:w="23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Canada</w:t>
            </w:r>
          </w:p>
        </w:tc>
        <w:tc>
          <w:tcPr>
            <w:tcW w:w="5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Solect, a Division of Amdocs</w:t>
            </w:r>
          </w:p>
        </w:tc>
        <w:tc>
          <w:tcPr>
            <w:tcW w:w="0" w:type="dxa"/>
            <w:vAlign w:val="bottom"/>
          </w:tcPr>
          <w:p>
            <w:pPr>
              <w:spacing w:after="0"/>
              <w:rPr>
                <w:sz w:val="1"/>
                <w:szCs w:val="1"/>
                <w:color w:val="auto"/>
              </w:rPr>
            </w:pPr>
          </w:p>
        </w:tc>
      </w:tr>
      <w:tr>
        <w:trPr>
          <w:trHeight w:val="296"/>
        </w:trPr>
        <w:tc>
          <w:tcPr>
            <w:tcW w:w="120" w:type="dxa"/>
            <w:vAlign w:val="bottom"/>
            <w:vMerge w:val="continue"/>
          </w:tcPr>
          <w:p>
            <w:pPr>
              <w:spacing w:after="0"/>
              <w:rPr>
                <w:sz w:val="24"/>
                <w:szCs w:val="24"/>
                <w:color w:val="auto"/>
              </w:rPr>
            </w:pPr>
          </w:p>
        </w:tc>
        <w:tc>
          <w:tcPr>
            <w:tcW w:w="11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1180"/>
          </w:cols>
          <w:pgMar w:left="240" w:top="110" w:right="479"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10.a.1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CONSENT OF ERNST &amp; YOUNG LLP</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consent to the reference to our firm under the caption "Selected Financial Data" and to the incorporation by reference of our report dated November 2, 2000 with respect to the consolidated financial statements and financial statement schedule of Amdocs Limited incorporated by reference in this Annual Report (Form 20-F) for the year ended September 30, 2000.</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 2001</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upperLetter"/>
      <w:start w:val="24"/>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6"/>
    </w:lvl>
  </w:abstractNum>
  <w:abstractNum w:abstractNumId="26">
    <w:nsid w:val="7644A45C"/>
    <w:multiLevelType w:val="hybridMultilevel"/>
    <w:lvl w:ilvl="0">
      <w:lvlJc w:val="left"/>
      <w:lvlText w:val="(%1)"/>
      <w:numFmt w:val="decimal"/>
      <w:start w:val="37"/>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Roman"/>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3"/>
    </w:lvl>
  </w:abstractNum>
  <w:abstractNum w:abstractNumId="34">
    <w:nsid w:val="75C6C33A"/>
    <w:multiLevelType w:val="hybridMultilevel"/>
    <w:lvl w:ilvl="0">
      <w:lvlJc w:val="left"/>
      <w:lvlText w:val="%1."/>
      <w:numFmt w:val="decimal"/>
      <w:start w:val="8"/>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3"/>
    </w:lvl>
  </w:abstractNum>
  <w:abstractNum w:abstractNumId="37">
    <w:nsid w:val="520EEDD1"/>
    <w:multiLevelType w:val="hybridMultilevel"/>
    <w:lvl w:ilvl="0">
      <w:lvlJc w:val="left"/>
      <w:lvlText w:val="%1."/>
      <w:numFmt w:val="decimal"/>
      <w:start w:val="8"/>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2"/>
    </w:lvl>
  </w:abstractNum>
  <w:abstractNum w:abstractNumId="40">
    <w:nsid w:val="23F9C13C"/>
    <w:multiLevelType w:val="hybridMultilevel"/>
    <w:lvl w:ilvl="0">
      <w:lvlJc w:val="left"/>
      <w:lvlText w:val="(%1)"/>
      <w:numFmt w:val="lowerLetter"/>
      <w:start w:val="1"/>
    </w:lvl>
    <w:lvl w:ilvl="1">
      <w:lvlJc w:val="left"/>
      <w:lvlText w:val="(%2)"/>
      <w:numFmt w:val="lowerRoman"/>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2"/>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lvl w:ilvl="1">
      <w:lvlJc w:val="left"/>
      <w:lvlText w:val="(%2)"/>
      <w:numFmt w:val="lowerRoman"/>
      <w:start w:val="1"/>
    </w:lvl>
  </w:abstractNum>
  <w:abstractNum w:abstractNumId="49">
    <w:nsid w:val="15B5AF5C"/>
    <w:multiLevelType w:val="hybridMultilevel"/>
    <w:lvl w:ilvl="0">
      <w:lvlJc w:val="left"/>
      <w:lvlText w:val="(%1)"/>
      <w:numFmt w:val="lowerLetter"/>
      <w:start w:val="4"/>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5"/>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3"/>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2"/>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lowerLetter"/>
      <w:start w:val="2"/>
    </w:lvl>
  </w:abstractNum>
  <w:abstractNum w:abstractNumId="68">
    <w:nsid w:val="6590700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2019-12-14T20:12:35Z</dcterms:created>
  <dcterms:modified xsi:type="dcterms:W3CDTF">2019-12-14T20:12:35Z</dcterms:modified>
</cp:coreProperties>
</file>