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17,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43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Guernsey</w:t>
            </w:r>
          </w:p>
        </w:tc>
        <w:tc>
          <w:tcPr>
            <w:tcW w:w="33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21"/>
        </w:trPr>
        <w:tc>
          <w:tcPr>
            <w:tcW w:w="432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3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32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3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 Peter Port, Guernsey,</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GY1 2NG</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(Address including zip code of Principal Executive Offices)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2023 Employee Share Purchase Plan</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 Matthew E. Smith, Amdocs Inc.</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Saint Louis, Missouri 63141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Telephone: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(314) 212-7000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Michael Kaplan</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Davis Polk &amp; Wardwell LLP</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450 Lexington Avenue</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w:t>
            </w:r>
          </w:p>
        </w:tc>
        <w:tc>
          <w:tcPr>
            <w:tcW w:w="3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1780" w:type="dxa"/>
            <w:vAlign w:val="bottom"/>
          </w:tcPr>
          <w:p>
            <w:pPr>
              <w:spacing w:after="0"/>
              <w:rPr>
                <w:sz w:val="20"/>
                <w:szCs w:val="20"/>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3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p>
        </w:tc>
      </w:tr>
      <w:tr>
        <w:trPr>
          <w:trHeight w:val="414"/>
        </w:trPr>
        <w:tc>
          <w:tcPr>
            <w:tcW w:w="17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17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company</w:t>
            </w:r>
          </w:p>
        </w:tc>
        <w:tc>
          <w:tcPr>
            <w:tcW w:w="480" w:type="dxa"/>
            <w:vAlign w:val="bottom"/>
          </w:tcPr>
          <w:p>
            <w:pPr>
              <w:spacing w:after="0"/>
              <w:rPr>
                <w:sz w:val="20"/>
                <w:szCs w:val="20"/>
                <w:color w:val="auto"/>
              </w:rPr>
            </w:pPr>
          </w:p>
        </w:tc>
      </w:tr>
    </w:tbl>
    <w:p>
      <w:pPr>
        <w:spacing w:after="0" w:line="198"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for the purpose of registering 2,200,000 ordinary shares, par value £0.01 per share (“Ordinary Shares”), of Amdocs Limited (the “Registrant”) authorized for issuance pursuant to the Registrant’s 2023 Employee Share Purchase Plan, as amended (the “Plan”). These additional shares were authorized for issuance as a result of the adoption of amendments to the Plan approved by the Registrant’s Board of Directors in November 2025 and shareholders in January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specified in Item 1 and Item 2 of Part I is omitted from this filing and is included in documents sent or provided to participants in the Plan covered by this Registration Statement pursuant to Rule 428(b)(1) of the Securities Act of 1933, as amended (the “Securities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Item 3. INCORPORATION BY REFERENCE.</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Registrant is subject to the informational and reporting requirements of Sections 13(a), 14, and 15(d) of the Securities Exchange Act of 1934, as amended (the “Exchange Act”), and in accordance therewith files reports and other information with the Securities and Exchange Commission (the “Commission”). The following documents, which are on file with the Commission, are incorporated in this Registration Statement by reference:</w:t>
      </w:r>
    </w:p>
    <w:p>
      <w:pPr>
        <w:spacing w:after="0" w:line="176" w:lineRule="exact"/>
        <w:rPr>
          <w:sz w:val="20"/>
          <w:szCs w:val="20"/>
          <w:color w:val="auto"/>
        </w:rPr>
      </w:pPr>
    </w:p>
    <w:p>
      <w:pPr>
        <w:jc w:val="both"/>
        <w:ind w:firstLine="449"/>
        <w:spacing w:after="0" w:line="266" w:lineRule="auto"/>
        <w:tabs>
          <w:tab w:leader="none" w:pos="6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General Instruction E to Form S-8, the contents of the registration statement on Form S-8 (File No. 333-269728) previously filed by the Registrant with respect to Ordinary Shares offered pursuant to the Plan are hereby incorporated by reference herein, and the opinions and consents listed below are filed herewith;</w:t>
      </w:r>
    </w:p>
    <w:p>
      <w:pPr>
        <w:spacing w:after="0" w:line="175" w:lineRule="exact"/>
        <w:rPr>
          <w:rFonts w:ascii="Times New Roman" w:cs="Times New Roman" w:eastAsia="Times New Roman" w:hAnsi="Times New Roman"/>
          <w:sz w:val="18"/>
          <w:szCs w:val="18"/>
          <w:color w:val="auto"/>
        </w:rPr>
      </w:pPr>
    </w:p>
    <w:p>
      <w:pPr>
        <w:ind w:firstLine="449"/>
        <w:spacing w:after="0" w:line="282" w:lineRule="auto"/>
        <w:tabs>
          <w:tab w:leader="none" w:pos="7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20-F for the fiscal year ended September 30, 2025 (Registration No. 251571611), as filed by the Registrant on December 15, 2025.</w:t>
      </w:r>
    </w:p>
    <w:p>
      <w:pPr>
        <w:spacing w:after="0" w:line="161" w:lineRule="exact"/>
        <w:rPr>
          <w:rFonts w:ascii="Times New Roman" w:cs="Times New Roman" w:eastAsia="Times New Roman" w:hAnsi="Times New Roman"/>
          <w:sz w:val="18"/>
          <w:szCs w:val="18"/>
          <w:color w:val="auto"/>
        </w:rPr>
      </w:pPr>
    </w:p>
    <w:p>
      <w:pPr>
        <w:ind w:firstLine="449"/>
        <w:spacing w:after="0" w:line="282" w:lineRule="auto"/>
        <w:tabs>
          <w:tab w:leader="none" w:pos="68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since the end of the fiscal year covered by the document referred to in (a) above, including the Registrant’s Report on Form 6-K filed on December 16, 2025, January 30, 2026 and February 17, 2026.</w:t>
      </w:r>
    </w:p>
    <w:p>
      <w:pPr>
        <w:spacing w:after="0" w:line="161" w:lineRule="exact"/>
        <w:rPr>
          <w:rFonts w:ascii="Times New Roman" w:cs="Times New Roman" w:eastAsia="Times New Roman" w:hAnsi="Times New Roman"/>
          <w:sz w:val="18"/>
          <w:szCs w:val="18"/>
          <w:color w:val="auto"/>
        </w:rPr>
      </w:pPr>
    </w:p>
    <w:p>
      <w:pPr>
        <w:ind w:firstLine="449"/>
        <w:spacing w:after="0" w:line="282" w:lineRule="auto"/>
        <w:tabs>
          <w:tab w:leader="none" w:pos="73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Ordinary Shares contained in the Registrant’s Registration Statement on Form 8-A as filed with the Commission on December 19, 2013 (Registration No. 131288798), including any amendment or report filed for updating such description.</w:t>
      </w:r>
    </w:p>
    <w:p>
      <w:pPr>
        <w:spacing w:after="0" w:line="16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In addition, all documents subsequently filed by the Registrant pursuant to Sections 13(a), 13(c), 14 and 15(d) of the Exchange Act, prior to the filing of the post-effective amendment which indicates that all securities offered have been sold or which deregisters all securities then remaining unsold, including any Reports of Foreign Private Issuers on Form 6-K submitted during such period (or portion thereof) that is identified in such form as being incorporated by reference into this Registration Statement, shall be deemed to be incorporated by reference in the Registration Statement and to be part thereof from the date of filing of such documents. The Registrant is not incorporating by reference any documents or portions thereof, whether specifically listed above or filed in the future, that are not deemed “filed” with the Commission.</w:t>
      </w:r>
    </w:p>
    <w:p>
      <w:pPr>
        <w:spacing w:after="0" w:line="18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Carey Olsen.</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Carey Olsen (included in Exhibit 5.1).</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Ernst &amp; Young LLP.</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of this Registration Statement).</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Amdocs Limited 2023 Employee Share Purchase Plan, as amended.</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on this 17th day of February, 2026.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68408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Matthew E. Smith</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Secretary and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the undersigned officers and directors of Amdocs Limited, hereby severally constitute Matthew E. Smith and Tamar Rapaport-Dagim (with full power to each of them to act alone), and each of them singly, our true and lawful attorneys-in-fact and agents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attorneys-in-fact, or any of them, to said Registration Statement and any and all amendments thereto.</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240"/>
          </w:cols>
          <w:pgMar w:left="320" w:top="576" w:right="339" w:bottom="1440" w:gutter="0" w:footer="0" w:header="0"/>
        </w:sectPr>
      </w:pPr>
    </w:p>
    <w:p>
      <w:pPr>
        <w:spacing w:after="0" w:line="15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Shuky Sheffer</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Tamar Rapaport-Dagim</w:t>
      </w:r>
    </w:p>
    <w:p>
      <w:pPr>
        <w:spacing w:after="0" w:line="1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2885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1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Eli Gelman</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Robert A.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Robert A. Minicucci</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Adrian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Adrian Gardner</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Rafael de la Vega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Rafael de la Vega</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John A.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John A. MacDonald</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Yvette Kanouff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Yvette Kanouff</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Sarah Ruth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Sarah Ruth Davis</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Amos Genish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Amos Genish</w:t>
      </w: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Véronique Morali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Véronique Morali</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4"/>
        </w:trPr>
        <w:tc>
          <w:tcPr>
            <w:tcW w:w="42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 and President &amp; Chief Executive Officer</w:t>
            </w:r>
          </w:p>
        </w:tc>
        <w:tc>
          <w:tcPr>
            <w:tcW w:w="2000" w:type="dxa"/>
            <w:vAlign w:val="bottom"/>
            <w:vMerge w:val="restart"/>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126"/>
        </w:trPr>
        <w:tc>
          <w:tcPr>
            <w:tcW w:w="424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4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7"/>
        </w:trPr>
        <w:tc>
          <w:tcPr>
            <w:tcW w:w="42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Chief Financial and Chief Operating Officer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234"/>
        </w:trPr>
        <w:tc>
          <w:tcPr>
            <w:tcW w:w="42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2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662"/>
        </w:trPr>
        <w:tc>
          <w:tcPr>
            <w:tcW w:w="42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661"/>
        </w:trPr>
        <w:tc>
          <w:tcPr>
            <w:tcW w:w="42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662"/>
        </w:trPr>
        <w:tc>
          <w:tcPr>
            <w:tcW w:w="42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661"/>
        </w:trPr>
        <w:tc>
          <w:tcPr>
            <w:tcW w:w="42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662"/>
        </w:trPr>
        <w:tc>
          <w:tcPr>
            <w:tcW w:w="42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661"/>
        </w:trPr>
        <w:tc>
          <w:tcPr>
            <w:tcW w:w="42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662"/>
        </w:trPr>
        <w:tc>
          <w:tcPr>
            <w:tcW w:w="42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r>
        <w:trPr>
          <w:trHeight w:val="661"/>
        </w:trPr>
        <w:tc>
          <w:tcPr>
            <w:tcW w:w="42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February 17,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411480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140" w:space="720"/>
            <w:col w:w="7380"/>
          </w:cols>
          <w:pgMar w:left="320" w:top="576"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Amdocs Limited, has signed this Registration Statement on February 17, 2026.</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Matthew E. Smith</w:t>
            </w:r>
          </w:p>
        </w:tc>
      </w:tr>
      <w:tr>
        <w:trPr>
          <w:trHeight w:val="191"/>
        </w:trPr>
        <w:tc>
          <w:tcPr>
            <w:tcW w:w="460" w:type="dxa"/>
            <w:vAlign w:val="bottom"/>
          </w:tcPr>
          <w:p>
            <w:pPr>
              <w:spacing w:after="0"/>
              <w:rPr>
                <w:sz w:val="16"/>
                <w:szCs w:val="16"/>
                <w:color w:val="auto"/>
              </w:rPr>
            </w:pPr>
          </w:p>
        </w:tc>
        <w:tc>
          <w:tcPr>
            <w:tcW w:w="107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Matthew E. Smith</w:t>
            </w:r>
          </w:p>
        </w:tc>
      </w:tr>
      <w:tr>
        <w:trPr>
          <w:trHeight w:val="234"/>
        </w:trPr>
        <w:tc>
          <w:tcPr>
            <w:tcW w:w="460" w:type="dxa"/>
            <w:vAlign w:val="bottom"/>
          </w:tcPr>
          <w:p>
            <w:pPr>
              <w:spacing w:after="0"/>
              <w:rPr>
                <w:sz w:val="20"/>
                <w:szCs w:val="20"/>
                <w:color w:val="auto"/>
              </w:rPr>
            </w:pPr>
          </w:p>
        </w:tc>
        <w:tc>
          <w:tcPr>
            <w:tcW w:w="10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Secretary and Authorized Signatory</w:t>
            </w:r>
          </w:p>
        </w:tc>
      </w:tr>
      <w:tr>
        <w:trPr>
          <w:trHeight w:val="797"/>
        </w:trPr>
        <w:tc>
          <w:tcPr>
            <w:tcW w:w="46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183515</wp:posOffset>
            </wp:positionV>
            <wp:extent cx="186880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68805" cy="30861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183515</wp:posOffset>
            </wp:positionV>
            <wp:extent cx="1431290" cy="1345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3129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820" w:val="left"/>
        </w:tabs>
        <w:rPr>
          <w:sz w:val="20"/>
          <w:szCs w:val="20"/>
          <w:color w:val="auto"/>
        </w:rPr>
      </w:pPr>
      <w:r>
        <w:rPr>
          <w:rFonts w:ascii="Arial" w:cs="Arial" w:eastAsia="Arial" w:hAnsi="Arial"/>
          <w:sz w:val="18"/>
          <w:szCs w:val="18"/>
          <w:color w:val="auto"/>
        </w:rPr>
        <w:t>Our Ref:</w:t>
      </w:r>
      <w:r>
        <w:rPr>
          <w:sz w:val="20"/>
          <w:szCs w:val="20"/>
          <w:color w:val="auto"/>
        </w:rPr>
        <w:tab/>
      </w:r>
      <w:r>
        <w:rPr>
          <w:rFonts w:ascii="Arial" w:cs="Arial" w:eastAsia="Arial" w:hAnsi="Arial"/>
          <w:sz w:val="17"/>
          <w:szCs w:val="17"/>
          <w:color w:val="auto"/>
        </w:rPr>
        <w:t>RDLH/EP/1000662/0135/G18377844v1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 February 2026</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Hirzel House, Smith Street</w:t>
      </w:r>
    </w:p>
    <w:p>
      <w:pPr>
        <w:ind w:left="40"/>
        <w:spacing w:after="0" w:line="234" w:lineRule="auto"/>
        <w:rPr>
          <w:sz w:val="20"/>
          <w:szCs w:val="20"/>
          <w:color w:val="auto"/>
        </w:rPr>
      </w:pPr>
      <w:r>
        <w:rPr>
          <w:rFonts w:ascii="Arial" w:cs="Arial" w:eastAsia="Arial" w:hAnsi="Arial"/>
          <w:sz w:val="18"/>
          <w:szCs w:val="18"/>
          <w:color w:val="auto"/>
        </w:rPr>
        <w:t>St. Peter Port</w:t>
      </w:r>
    </w:p>
    <w:p>
      <w:pPr>
        <w:ind w:left="40"/>
        <w:spacing w:after="0" w:line="235" w:lineRule="auto"/>
        <w:rPr>
          <w:sz w:val="20"/>
          <w:szCs w:val="20"/>
          <w:color w:val="auto"/>
        </w:rPr>
      </w:pPr>
      <w:r>
        <w:rPr>
          <w:rFonts w:ascii="Arial" w:cs="Arial" w:eastAsia="Arial" w:hAnsi="Arial"/>
          <w:sz w:val="18"/>
          <w:szCs w:val="18"/>
          <w:color w:val="auto"/>
        </w:rPr>
        <w:t>Guernsey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GY1 2NG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Recipient</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8"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198" w:lineRule="exact"/>
        <w:rPr>
          <w:sz w:val="20"/>
          <w:szCs w:val="20"/>
          <w:color w:val="auto"/>
        </w:rPr>
      </w:pPr>
    </w:p>
    <w:p>
      <w:pPr>
        <w:jc w:val="both"/>
        <w:ind w:left="660" w:hanging="647"/>
        <w:spacing w:after="0" w:line="242"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You have asked for our legal opinion on matters of Guernsey law in connection with the registration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of 2,200,000 additional ordinary shares of £0.01 each in the Company (the "</w:t>
      </w:r>
      <w:r>
        <w:rPr>
          <w:rFonts w:ascii="Arial" w:cs="Arial" w:eastAsia="Arial" w:hAnsi="Arial"/>
          <w:sz w:val="18"/>
          <w:szCs w:val="18"/>
          <w:b w:val="1"/>
          <w:bCs w:val="1"/>
          <w:color w:val="auto"/>
        </w:rPr>
        <w:t>Shares</w:t>
      </w:r>
      <w:r>
        <w:rPr>
          <w:rFonts w:ascii="Arial" w:cs="Arial" w:eastAsia="Arial" w:hAnsi="Arial"/>
          <w:sz w:val="18"/>
          <w:szCs w:val="18"/>
          <w:color w:val="auto"/>
        </w:rPr>
        <w:t>") authorized for issuance pursuant to the Company’s 2023 Employee Share Purchase Plan (as amended on 30 January 2026) (the "</w:t>
      </w:r>
      <w:r>
        <w:rPr>
          <w:rFonts w:ascii="Arial" w:cs="Arial" w:eastAsia="Arial" w:hAnsi="Arial"/>
          <w:sz w:val="18"/>
          <w:szCs w:val="18"/>
          <w:b w:val="1"/>
          <w:bCs w:val="1"/>
          <w:color w:val="auto"/>
        </w:rPr>
        <w:t>ESPP</w:t>
      </w:r>
      <w:r>
        <w:rPr>
          <w:rFonts w:ascii="Arial" w:cs="Arial" w:eastAsia="Arial" w:hAnsi="Arial"/>
          <w:sz w:val="18"/>
          <w:szCs w:val="18"/>
          <w:color w:val="auto"/>
        </w:rPr>
        <w:t>") and the Company executing and filing with the SEC a Form S-8 (registration statement) dated 17 February 2026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The ESPP provides that eligible employees may be granted an option (an "</w:t>
      </w:r>
      <w:r>
        <w:rPr>
          <w:rFonts w:ascii="Arial" w:cs="Arial" w:eastAsia="Arial" w:hAnsi="Arial"/>
          <w:sz w:val="18"/>
          <w:szCs w:val="18"/>
          <w:b w:val="1"/>
          <w:bCs w:val="1"/>
          <w:color w:val="auto"/>
        </w:rPr>
        <w:t>Option</w:t>
      </w:r>
      <w:r>
        <w:rPr>
          <w:rFonts w:ascii="Arial" w:cs="Arial" w:eastAsia="Arial" w:hAnsi="Arial"/>
          <w:sz w:val="18"/>
          <w:szCs w:val="18"/>
          <w:color w:val="auto"/>
        </w:rPr>
        <w:t>") to purchase Shares pursuant to the terms of the ESPP.</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ESPP and the Registration Statement are in this opinion together referred to as the "</w:t>
      </w:r>
      <w:r>
        <w:rPr>
          <w:rFonts w:ascii="Arial" w:cs="Arial" w:eastAsia="Arial" w:hAnsi="Arial"/>
          <w:sz w:val="17"/>
          <w:szCs w:val="17"/>
          <w:b w:val="1"/>
          <w:bCs w:val="1"/>
          <w:color w:val="auto"/>
        </w:rPr>
        <w:t>Plan Documents</w:t>
      </w:r>
      <w:r>
        <w:rPr>
          <w:rFonts w:ascii="Arial" w:cs="Arial" w:eastAsia="Arial" w:hAnsi="Arial"/>
          <w:sz w:val="17"/>
          <w:szCs w:val="17"/>
          <w:color w:val="auto"/>
        </w:rPr>
        <w:t>".</w:t>
      </w:r>
    </w:p>
    <w:p>
      <w:pPr>
        <w:spacing w:after="0" w:line="19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Except as expressly referred to in this opinion we have not seen or examined, and give no opinion on, any underlying or other documents referred to in the Plan Documents.</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We are lawyers qualified to practice law in and to advise on the laws of the Island of Guernsey.</w:t>
      </w:r>
    </w:p>
    <w:p>
      <w:pPr>
        <w:spacing w:after="0" w:line="19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INSPECTION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examining the Plan Documents, for the purpose of giving this opinion we have examined the following documents: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 copy of the certificate of incorporation of the Company as filed at the registry of companies in Guernsey (the "</w:t>
      </w:r>
      <w:r>
        <w:rPr>
          <w:rFonts w:ascii="Arial" w:cs="Arial" w:eastAsia="Arial" w:hAnsi="Arial"/>
          <w:sz w:val="17"/>
          <w:szCs w:val="17"/>
          <w:b w:val="1"/>
          <w:bCs w:val="1"/>
          <w:color w:val="auto"/>
        </w:rPr>
        <w:t>Registry</w:t>
      </w:r>
      <w:r>
        <w:rPr>
          <w:rFonts w:ascii="Arial" w:cs="Arial" w:eastAsia="Arial" w:hAnsi="Arial"/>
          <w:sz w:val="17"/>
          <w:szCs w:val="17"/>
          <w:color w:val="auto"/>
        </w:rPr>
        <w:t>");</w:t>
      </w:r>
    </w:p>
    <w:p>
      <w:pPr>
        <w:spacing w:after="0" w:line="198" w:lineRule="exact"/>
        <w:rPr>
          <w:sz w:val="20"/>
          <w:szCs w:val="20"/>
          <w:color w:val="auto"/>
        </w:rPr>
      </w:pPr>
    </w:p>
    <w:p>
      <w:pPr>
        <w:ind w:left="660" w:hanging="647"/>
        <w:spacing w:after="0" w:line="281"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 copy of the Memorandum and Articles of Incorporation of the Company as filed at the Registry at the date hereof (together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PARTNERS: </w:t>
      </w:r>
      <w:r>
        <w:rPr>
          <w:rFonts w:ascii="Arial" w:cs="Arial" w:eastAsia="Arial" w:hAnsi="Arial"/>
          <w:sz w:val="14"/>
          <w:szCs w:val="14"/>
          <w:color w:val="auto"/>
        </w:rPr>
        <w:t>A Alexander C Anderson T Bamford A Boyce T Carey R Clark T Corfield D Crosland R De La Haye M Dunster E Gray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 Jones N Kapp T Lane K Le Cras D Le Marquand P Montgomery B Morgan A Tually </w:t>
      </w:r>
      <w:r>
        <w:rPr>
          <w:rFonts w:ascii="Arial" w:cs="Arial" w:eastAsia="Arial" w:hAnsi="Arial"/>
          <w:sz w:val="14"/>
          <w:szCs w:val="14"/>
          <w:b w:val="1"/>
          <w:bCs w:val="1"/>
          <w:color w:val="auto"/>
        </w:rPr>
        <w:t>CONSULTANTS:</w:t>
      </w:r>
      <w:r>
        <w:rPr>
          <w:rFonts w:ascii="Arial" w:cs="Arial" w:eastAsia="Arial" w:hAnsi="Arial"/>
          <w:sz w:val="14"/>
          <w:szCs w:val="14"/>
          <w:color w:val="auto"/>
        </w:rPr>
        <w:t xml:space="preserve"> N Carey K Friedlaender G Hall</w:t>
      </w:r>
    </w:p>
    <w:p>
      <w:pPr>
        <w:spacing w:after="0" w:line="149"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Guernsey limited liability partnership known as Carey Olsen (Guernsey) LLP is a limited liability partnership incorporated in Guernsey on 1 March 2018 with its registered office at Carey House, Les Banques, St Peter Port GY1 4BZ and registration number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714375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384873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48735" cy="29146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191770</wp:posOffset>
            </wp:positionV>
            <wp:extent cx="88265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2650" cy="14605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rPr>
          <w:sz w:val="20"/>
          <w:szCs w:val="20"/>
          <w:color w:val="auto"/>
        </w:rPr>
      </w:pPr>
      <w:r>
        <w:rPr>
          <w:rFonts w:ascii="Arial" w:cs="Arial" w:eastAsia="Arial" w:hAnsi="Arial"/>
          <w:sz w:val="18"/>
          <w:szCs w:val="18"/>
          <w:color w:val="auto"/>
        </w:rPr>
        <w:t>17 February 2026</w:t>
      </w:r>
    </w:p>
    <w:p>
      <w:pPr>
        <w:spacing w:after="0" w:line="28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copies of the minutes of the meetings of (i) the board of directors of the Company dated 8 November 2022 and 11 November 2025 and (ii) the management resources and compensation committee of the board of directors of the Company dated 7 November 2022 and 10 November 2025, signed by the chairman of the respective meetings at which the director’s authorized the adoption of and subsequent amendments to the ESPP as applicable (the "</w:t>
      </w:r>
      <w:r>
        <w:rPr>
          <w:rFonts w:ascii="Arial" w:cs="Arial" w:eastAsia="Arial" w:hAnsi="Arial"/>
          <w:sz w:val="18"/>
          <w:szCs w:val="18"/>
          <w:b w:val="1"/>
          <w:bCs w:val="1"/>
          <w:color w:val="auto"/>
        </w:rPr>
        <w:t>Minutes</w:t>
      </w:r>
      <w:r>
        <w:rPr>
          <w:rFonts w:ascii="Arial" w:cs="Arial" w:eastAsia="Arial" w:hAnsi="Arial"/>
          <w:sz w:val="18"/>
          <w:szCs w:val="18"/>
          <w:color w:val="auto"/>
        </w:rPr>
        <w:t>");</w:t>
      </w:r>
    </w:p>
    <w:p>
      <w:pPr>
        <w:spacing w:after="0" w:line="15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copies of (i) the proxy ballot (the "</w:t>
      </w:r>
      <w:r>
        <w:rPr>
          <w:rFonts w:ascii="Arial" w:cs="Arial" w:eastAsia="Arial" w:hAnsi="Arial"/>
          <w:sz w:val="18"/>
          <w:szCs w:val="18"/>
          <w:b w:val="1"/>
          <w:bCs w:val="1"/>
          <w:color w:val="auto"/>
        </w:rPr>
        <w:t>Proxy Ballot</w:t>
      </w:r>
      <w:r>
        <w:rPr>
          <w:rFonts w:ascii="Arial" w:cs="Arial" w:eastAsia="Arial" w:hAnsi="Arial"/>
          <w:sz w:val="18"/>
          <w:szCs w:val="18"/>
          <w:color w:val="auto"/>
        </w:rPr>
        <w:t>") in respect of the annual general meeting of shareholders held on January 30, 2026 (the "</w:t>
      </w:r>
      <w:r>
        <w:rPr>
          <w:rFonts w:ascii="Arial" w:cs="Arial" w:eastAsia="Arial" w:hAnsi="Arial"/>
          <w:sz w:val="18"/>
          <w:szCs w:val="18"/>
          <w:b w:val="1"/>
          <w:bCs w:val="1"/>
          <w:color w:val="auto"/>
        </w:rPr>
        <w:t>General Meeting</w:t>
      </w:r>
      <w:r>
        <w:rPr>
          <w:rFonts w:ascii="Arial" w:cs="Arial" w:eastAsia="Arial" w:hAnsi="Arial"/>
          <w:sz w:val="18"/>
          <w:szCs w:val="18"/>
          <w:color w:val="auto"/>
        </w:rPr>
        <w:t>") and (ii) the Form 6-K filed with the SEC for the month of January 2026 confirming, amongst other things, the shareholders’ approval to the amendment of the ESPP (the "</w:t>
      </w:r>
      <w:r>
        <w:rPr>
          <w:rFonts w:ascii="Arial" w:cs="Arial" w:eastAsia="Arial" w:hAnsi="Arial"/>
          <w:sz w:val="18"/>
          <w:szCs w:val="18"/>
          <w:b w:val="1"/>
          <w:bCs w:val="1"/>
          <w:color w:val="auto"/>
        </w:rPr>
        <w:t>2026 Form 6-K</w:t>
      </w:r>
      <w:r>
        <w:rPr>
          <w:rFonts w:ascii="Arial" w:cs="Arial" w:eastAsia="Arial" w:hAnsi="Arial"/>
          <w:sz w:val="18"/>
          <w:szCs w:val="18"/>
          <w:color w:val="auto"/>
        </w:rPr>
        <w:t>");</w:t>
      </w:r>
    </w:p>
    <w:p>
      <w:pPr>
        <w:spacing w:after="0" w:line="14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public records of the Company on file and available for the purposes of public inspection at the Registry on 17 February 2026 and a search of the computerized records of matters raised in the Royal Court of Guernsey (the "</w:t>
      </w:r>
      <w:r>
        <w:rPr>
          <w:rFonts w:ascii="Arial" w:cs="Arial" w:eastAsia="Arial" w:hAnsi="Arial"/>
          <w:sz w:val="18"/>
          <w:szCs w:val="18"/>
          <w:b w:val="1"/>
          <w:bCs w:val="1"/>
          <w:color w:val="auto"/>
        </w:rPr>
        <w:t>Royal Court</w:t>
      </w:r>
      <w:r>
        <w:rPr>
          <w:rFonts w:ascii="Arial" w:cs="Arial" w:eastAsia="Arial" w:hAnsi="Arial"/>
          <w:sz w:val="18"/>
          <w:szCs w:val="18"/>
          <w:color w:val="auto"/>
        </w:rPr>
        <w:t>" which definition shall include any court in the Island of Guernsey where the context so requires) available for inspection at the Greffe (the registry of the Royal Court in Guernsey) on 17 February 2026 (together the "</w:t>
      </w:r>
      <w:r>
        <w:rPr>
          <w:rFonts w:ascii="Arial" w:cs="Arial" w:eastAsia="Arial" w:hAnsi="Arial"/>
          <w:sz w:val="18"/>
          <w:szCs w:val="18"/>
          <w:b w:val="1"/>
          <w:bCs w:val="1"/>
          <w:color w:val="auto"/>
        </w:rPr>
        <w:t>Public Records</w:t>
      </w:r>
      <w:r>
        <w:rPr>
          <w:rFonts w:ascii="Arial" w:cs="Arial" w:eastAsia="Arial" w:hAnsi="Arial"/>
          <w:sz w:val="18"/>
          <w:szCs w:val="18"/>
          <w:color w:val="auto"/>
        </w:rPr>
        <w:t>");</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a copy of the register of directors and officers of the Company dated 17 February 2026; and</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 certificate provided to us by the secretary of the Company dated 17 February 2026 (the "</w:t>
      </w:r>
      <w:r>
        <w:rPr>
          <w:rFonts w:ascii="Arial" w:cs="Arial" w:eastAsia="Arial" w:hAnsi="Arial"/>
          <w:sz w:val="17"/>
          <w:szCs w:val="17"/>
          <w:b w:val="1"/>
          <w:bCs w:val="1"/>
          <w:color w:val="auto"/>
        </w:rPr>
        <w:t>Certificate</w:t>
      </w:r>
      <w:r>
        <w:rPr>
          <w:rFonts w:ascii="Arial" w:cs="Arial" w:eastAsia="Arial" w:hAnsi="Arial"/>
          <w:sz w:val="17"/>
          <w:szCs w:val="17"/>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9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98" w:lineRule="exact"/>
        <w:rPr>
          <w:sz w:val="20"/>
          <w:szCs w:val="20"/>
          <w:color w:val="auto"/>
        </w:rPr>
      </w:pPr>
    </w:p>
    <w:p>
      <w:pPr>
        <w:ind w:left="660" w:hanging="647"/>
        <w:spacing w:after="0" w:line="271"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 the purpose of this opinion, we have made and relied upon the assumptions set out below without making any investigation thereof:</w:t>
      </w:r>
    </w:p>
    <w:p>
      <w:pPr>
        <w:spacing w:after="0" w:line="140" w:lineRule="exact"/>
        <w:rPr>
          <w:sz w:val="20"/>
          <w:szCs w:val="20"/>
          <w:color w:val="auto"/>
        </w:rPr>
      </w:pPr>
    </w:p>
    <w:p>
      <w:pPr>
        <w:jc w:val="both"/>
        <w:ind w:left="1340" w:hanging="674"/>
        <w:spacing w:after="0" w:line="253" w:lineRule="auto"/>
        <w:tabs>
          <w:tab w:leader="none" w:pos="1320" w:val="left"/>
        </w:tabs>
        <w:rPr>
          <w:sz w:val="20"/>
          <w:szCs w:val="20"/>
          <w:color w:val="auto"/>
        </w:rPr>
      </w:pPr>
      <w:r>
        <w:rPr>
          <w:rFonts w:ascii="Arial" w:cs="Arial" w:eastAsia="Arial" w:hAnsi="Arial"/>
          <w:sz w:val="18"/>
          <w:szCs w:val="18"/>
          <w:color w:val="auto"/>
        </w:rPr>
        <w:t>3.1.1</w:t>
        <w:tab/>
        <w:t>the conformity to the originals of all documents supplied to us as certified, photocopied, conformed or facsimile copies and the authenticity and completeness of the originals of such documents, and the authenticity and completeness of all documents supplied to us as originals;</w:t>
      </w:r>
    </w:p>
    <w:p>
      <w:pPr>
        <w:spacing w:after="0" w:line="155" w:lineRule="exact"/>
        <w:rPr>
          <w:sz w:val="20"/>
          <w:szCs w:val="20"/>
          <w:color w:val="auto"/>
        </w:rPr>
      </w:pPr>
    </w:p>
    <w:p>
      <w:pPr>
        <w:jc w:val="both"/>
        <w:ind w:left="1340" w:hanging="674"/>
        <w:spacing w:after="0" w:line="253" w:lineRule="auto"/>
        <w:tabs>
          <w:tab w:leader="none" w:pos="1320" w:val="left"/>
        </w:tabs>
        <w:rPr>
          <w:sz w:val="20"/>
          <w:szCs w:val="20"/>
          <w:color w:val="auto"/>
        </w:rPr>
      </w:pPr>
      <w:r>
        <w:rPr>
          <w:rFonts w:ascii="Arial" w:cs="Arial" w:eastAsia="Arial" w:hAnsi="Arial"/>
          <w:sz w:val="18"/>
          <w:szCs w:val="18"/>
          <w:color w:val="auto"/>
        </w:rPr>
        <w:t>3.1.2</w:t>
        <w:tab/>
        <w:t>the genuineness of all signatures and seals on the documents and instruments submitted to us for the purposes of this letter and where we have been provided with only signature pages of documents, that the original signed versions of such documents will not differ from the last version of the full documents provided to us;</w:t>
      </w:r>
    </w:p>
    <w:p>
      <w:pPr>
        <w:spacing w:after="0" w:line="155" w:lineRule="exact"/>
        <w:rPr>
          <w:sz w:val="20"/>
          <w:szCs w:val="20"/>
          <w:color w:val="auto"/>
        </w:rPr>
      </w:pPr>
    </w:p>
    <w:p>
      <w:pPr>
        <w:jc w:val="both"/>
        <w:ind w:left="1340" w:hanging="674"/>
        <w:spacing w:after="0" w:line="247" w:lineRule="auto"/>
        <w:tabs>
          <w:tab w:leader="none" w:pos="1320" w:val="left"/>
        </w:tabs>
        <w:rPr>
          <w:sz w:val="20"/>
          <w:szCs w:val="20"/>
          <w:color w:val="auto"/>
        </w:rPr>
      </w:pPr>
      <w:r>
        <w:rPr>
          <w:rFonts w:ascii="Arial" w:cs="Arial" w:eastAsia="Arial" w:hAnsi="Arial"/>
          <w:sz w:val="18"/>
          <w:szCs w:val="18"/>
          <w:color w:val="auto"/>
        </w:rPr>
        <w:t>3.1.3</w:t>
        <w:tab/>
        <w:t>that there are no provisions of the laws of any jurisdiction outside Guernsey which would have any implication for the opinions we express and that, insofar as the laws of any jurisdiction outside Guernsey may be relevant, such laws have been or will be complied with (including without limitation, the obtaining of all necessary consents, licenses, registrations, approvals and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182245</wp:posOffset>
            </wp:positionV>
            <wp:extent cx="88265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2650" cy="1460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rPr>
          <w:sz w:val="20"/>
          <w:szCs w:val="20"/>
          <w:color w:val="auto"/>
        </w:rPr>
      </w:pPr>
      <w:r>
        <w:rPr>
          <w:rFonts w:ascii="Arial" w:cs="Arial" w:eastAsia="Arial" w:hAnsi="Arial"/>
          <w:sz w:val="18"/>
          <w:szCs w:val="18"/>
          <w:color w:val="auto"/>
        </w:rPr>
        <w:t>17 February 2026</w:t>
      </w:r>
    </w:p>
    <w:p>
      <w:pPr>
        <w:spacing w:after="0" w:line="288" w:lineRule="exact"/>
        <w:rPr>
          <w:sz w:val="20"/>
          <w:szCs w:val="20"/>
          <w:color w:val="auto"/>
        </w:rPr>
      </w:pPr>
    </w:p>
    <w:p>
      <w:pPr>
        <w:jc w:val="both"/>
        <w:ind w:left="1340" w:hanging="674"/>
        <w:spacing w:after="0" w:line="253" w:lineRule="auto"/>
        <w:tabs>
          <w:tab w:leader="none" w:pos="1320" w:val="left"/>
        </w:tabs>
        <w:rPr>
          <w:sz w:val="20"/>
          <w:szCs w:val="20"/>
          <w:color w:val="auto"/>
        </w:rPr>
      </w:pPr>
      <w:r>
        <w:rPr>
          <w:rFonts w:ascii="Arial" w:cs="Arial" w:eastAsia="Arial" w:hAnsi="Arial"/>
          <w:sz w:val="18"/>
          <w:szCs w:val="18"/>
          <w:color w:val="auto"/>
        </w:rPr>
        <w:t>3.1.4</w:t>
        <w:tab/>
        <w:t>that the choice of governing law for the Plan Documents was bona fide (for example not made with any intention of avoiding provisions of the law with which the transactions under the Plan Documents have the closest and most real connection) and legal and there is no reason for avoiding that choice of law on grounds of public policy or otherwise;</w:t>
      </w:r>
    </w:p>
    <w:p>
      <w:pPr>
        <w:spacing w:after="0" w:line="155" w:lineRule="exact"/>
        <w:rPr>
          <w:sz w:val="20"/>
          <w:szCs w:val="20"/>
          <w:color w:val="auto"/>
        </w:rPr>
      </w:pPr>
    </w:p>
    <w:p>
      <w:pPr>
        <w:jc w:val="both"/>
        <w:ind w:left="1340" w:hanging="674"/>
        <w:spacing w:after="0" w:line="247" w:lineRule="auto"/>
        <w:tabs>
          <w:tab w:leader="none" w:pos="1320" w:val="left"/>
        </w:tabs>
        <w:rPr>
          <w:sz w:val="20"/>
          <w:szCs w:val="20"/>
          <w:color w:val="auto"/>
        </w:rPr>
      </w:pPr>
      <w:r>
        <w:rPr>
          <w:rFonts w:ascii="Arial" w:cs="Arial" w:eastAsia="Arial" w:hAnsi="Arial"/>
          <w:sz w:val="18"/>
          <w:szCs w:val="18"/>
          <w:color w:val="auto"/>
        </w:rPr>
        <w:t>3.1.5</w:t>
        <w:tab/>
        <w:t>that the information and documents disclosed by our searches of the Public Records referred to in paragraph 2.5 are accurate as at the date hereof and there is no information or document which had been delivered for registration, or which is required by the laws of Guernsey to be delivered for registration, or which has been passed or made but not yet delivered for registration, which was not included in the Public Records;</w:t>
      </w:r>
    </w:p>
    <w:p>
      <w:pPr>
        <w:spacing w:after="0" w:line="160" w:lineRule="exact"/>
        <w:rPr>
          <w:sz w:val="20"/>
          <w:szCs w:val="20"/>
          <w:color w:val="auto"/>
        </w:rPr>
      </w:pPr>
    </w:p>
    <w:p>
      <w:pPr>
        <w:jc w:val="both"/>
        <w:ind w:left="1340" w:hanging="674"/>
        <w:spacing w:after="0" w:line="244" w:lineRule="auto"/>
        <w:tabs>
          <w:tab w:leader="none" w:pos="1320" w:val="left"/>
        </w:tabs>
        <w:rPr>
          <w:sz w:val="20"/>
          <w:szCs w:val="20"/>
          <w:color w:val="auto"/>
        </w:rPr>
      </w:pPr>
      <w:r>
        <w:rPr>
          <w:rFonts w:ascii="Arial" w:cs="Arial" w:eastAsia="Arial" w:hAnsi="Arial"/>
          <w:sz w:val="18"/>
          <w:szCs w:val="18"/>
          <w:color w:val="auto"/>
        </w:rPr>
        <w:t>3.1.6</w:t>
        <w:tab/>
        <w:t>that the Certificate is complete and accurate as at the date hereof and that the proceedings described in the Minutes remained quorate throughout and were duly conducted as so described and that the resolutions passed thereat were duly adopted, have not been revoked, superseded or varied and remain in full force and effect as confirmed by the Certificate and the continuing accuracy and completeness of all statements as to matters of fact contained in the Documents as at the date hereof;</w:t>
      </w:r>
    </w:p>
    <w:p>
      <w:pPr>
        <w:spacing w:after="0" w:line="163" w:lineRule="exact"/>
        <w:rPr>
          <w:sz w:val="20"/>
          <w:szCs w:val="20"/>
          <w:color w:val="auto"/>
        </w:rPr>
      </w:pPr>
    </w:p>
    <w:p>
      <w:pPr>
        <w:jc w:val="both"/>
        <w:ind w:left="1340" w:hanging="674"/>
        <w:spacing w:after="0" w:line="271" w:lineRule="auto"/>
        <w:tabs>
          <w:tab w:leader="none" w:pos="1320" w:val="left"/>
        </w:tabs>
        <w:rPr>
          <w:sz w:val="20"/>
          <w:szCs w:val="20"/>
          <w:color w:val="auto"/>
        </w:rPr>
      </w:pPr>
      <w:r>
        <w:rPr>
          <w:rFonts w:ascii="Arial" w:cs="Arial" w:eastAsia="Arial" w:hAnsi="Arial"/>
          <w:sz w:val="18"/>
          <w:szCs w:val="18"/>
          <w:color w:val="auto"/>
        </w:rPr>
        <w:t>3.1.7</w:t>
        <w:tab/>
        <w:t>that there are no documents or information which we have not been provided with which could affect the accuracy of this opinion;</w:t>
      </w:r>
    </w:p>
    <w:p>
      <w:pPr>
        <w:spacing w:after="0" w:line="140" w:lineRule="exact"/>
        <w:rPr>
          <w:sz w:val="20"/>
          <w:szCs w:val="20"/>
          <w:color w:val="auto"/>
        </w:rPr>
      </w:pPr>
    </w:p>
    <w:p>
      <w:pPr>
        <w:jc w:val="both"/>
        <w:ind w:left="1340" w:hanging="674"/>
        <w:spacing w:after="0" w:line="250" w:lineRule="auto"/>
        <w:tabs>
          <w:tab w:leader="none" w:pos="1320" w:val="left"/>
        </w:tabs>
        <w:rPr>
          <w:sz w:val="20"/>
          <w:szCs w:val="20"/>
          <w:color w:val="auto"/>
        </w:rPr>
      </w:pPr>
      <w:r>
        <w:rPr>
          <w:rFonts w:ascii="Arial" w:cs="Arial" w:eastAsia="Arial" w:hAnsi="Arial"/>
          <w:sz w:val="18"/>
          <w:szCs w:val="18"/>
          <w:color w:val="auto"/>
        </w:rPr>
        <w:t>3.1.8</w:t>
        <w:tab/>
        <w:t>that the directors of the Company have acted prudently for the commercial benefit of the Company and in good faith for the purposes of carrying on its business on arm’s length commercial terms, and further that they have disclosed all personal interests in the transactions contemplated in the Plan Documents in accordance with the requirements of the Companies (Guernsey) Law, 2008 (as amended) (the "</w:t>
      </w:r>
      <w:r>
        <w:rPr>
          <w:rFonts w:ascii="Arial" w:cs="Arial" w:eastAsia="Arial" w:hAnsi="Arial"/>
          <w:sz w:val="18"/>
          <w:szCs w:val="18"/>
          <w:b w:val="1"/>
          <w:bCs w:val="1"/>
          <w:color w:val="auto"/>
        </w:rPr>
        <w:t>Companies Law</w:t>
      </w:r>
      <w:r>
        <w:rPr>
          <w:rFonts w:ascii="Arial" w:cs="Arial" w:eastAsia="Arial" w:hAnsi="Arial"/>
          <w:sz w:val="18"/>
          <w:szCs w:val="18"/>
          <w:color w:val="auto"/>
        </w:rPr>
        <w:t>") and the Articles;</w:t>
      </w:r>
    </w:p>
    <w:p>
      <w:pPr>
        <w:spacing w:after="0" w:line="150" w:lineRule="exact"/>
        <w:rPr>
          <w:sz w:val="20"/>
          <w:szCs w:val="20"/>
          <w:color w:val="auto"/>
        </w:rPr>
      </w:pPr>
    </w:p>
    <w:p>
      <w:pPr>
        <w:jc w:val="both"/>
        <w:ind w:left="1340" w:right="20" w:hanging="674"/>
        <w:spacing w:after="0" w:line="271" w:lineRule="auto"/>
        <w:tabs>
          <w:tab w:leader="none" w:pos="1320" w:val="left"/>
        </w:tabs>
        <w:rPr>
          <w:sz w:val="20"/>
          <w:szCs w:val="20"/>
          <w:color w:val="auto"/>
        </w:rPr>
      </w:pPr>
      <w:r>
        <w:rPr>
          <w:rFonts w:ascii="Arial" w:cs="Arial" w:eastAsia="Arial" w:hAnsi="Arial"/>
          <w:sz w:val="18"/>
          <w:szCs w:val="18"/>
          <w:color w:val="auto"/>
        </w:rPr>
        <w:t>3.1.9</w:t>
        <w:tab/>
        <w:t>that the Company is not insolvent or unable to pay its debts as they fall due and will not become insolvent or unable to pay its debts as they fall due as a result of it entering into the Plan Documents;</w:t>
      </w:r>
    </w:p>
    <w:p>
      <w:pPr>
        <w:spacing w:after="0" w:line="140" w:lineRule="exact"/>
        <w:rPr>
          <w:sz w:val="20"/>
          <w:szCs w:val="20"/>
          <w:color w:val="auto"/>
        </w:rPr>
      </w:pPr>
    </w:p>
    <w:p>
      <w:pPr>
        <w:jc w:val="both"/>
        <w:ind w:left="1340" w:hanging="674"/>
        <w:spacing w:after="0" w:line="244" w:lineRule="auto"/>
        <w:tabs>
          <w:tab w:leader="none" w:pos="1320" w:val="left"/>
        </w:tabs>
        <w:rPr>
          <w:sz w:val="20"/>
          <w:szCs w:val="20"/>
          <w:color w:val="auto"/>
        </w:rPr>
      </w:pPr>
      <w:r>
        <w:rPr>
          <w:rFonts w:ascii="Arial" w:cs="Arial" w:eastAsia="Arial" w:hAnsi="Arial"/>
          <w:sz w:val="18"/>
          <w:szCs w:val="18"/>
          <w:color w:val="auto"/>
        </w:rPr>
        <w:t>3.1.10</w:t>
        <w:tab/>
        <w:t>that all consents, exemptions, licenses, registrations, approvals or authorizations of any person required in relation to the transaction contemplated or entered into under or pursuant to the Plan Documents, the execution and delivery of the Plan Documents and the performance and observance of the terms thereof by the parties thereto (other than such consents, exemptions, licenses, registrations, approvals or authorizations required of the Company under the laws and regulations of Guernsey) have been obtained and are in full force and effect at the date of this opinion;</w:t>
      </w:r>
    </w:p>
    <w:p>
      <w:pPr>
        <w:spacing w:after="0" w:line="163" w:lineRule="exact"/>
        <w:rPr>
          <w:sz w:val="20"/>
          <w:szCs w:val="20"/>
          <w:color w:val="auto"/>
        </w:rPr>
      </w:pPr>
    </w:p>
    <w:p>
      <w:pPr>
        <w:jc w:val="both"/>
        <w:ind w:left="1340" w:hanging="674"/>
        <w:spacing w:after="0" w:line="271" w:lineRule="auto"/>
        <w:tabs>
          <w:tab w:leader="none" w:pos="1320" w:val="left"/>
        </w:tabs>
        <w:rPr>
          <w:sz w:val="20"/>
          <w:szCs w:val="20"/>
          <w:color w:val="auto"/>
        </w:rPr>
      </w:pPr>
      <w:r>
        <w:rPr>
          <w:rFonts w:ascii="Arial" w:cs="Arial" w:eastAsia="Arial" w:hAnsi="Arial"/>
          <w:sz w:val="18"/>
          <w:szCs w:val="18"/>
          <w:color w:val="auto"/>
        </w:rPr>
        <w:t>3.1.11</w:t>
        <w:tab/>
        <w:t>that the powers of the Company and the powers and authority of the Company’s directors have not been restricted in any way other than as set out in the Plan Documents or the Articles;</w:t>
      </w:r>
    </w:p>
    <w:p>
      <w:pPr>
        <w:spacing w:after="0" w:line="14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7"/>
          <w:szCs w:val="17"/>
          <w:color w:val="auto"/>
        </w:rPr>
        <w:t>the Options are granted pursuant to and in accordance with terms and conditions of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206375</wp:posOffset>
            </wp:positionV>
            <wp:extent cx="88265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2650" cy="1460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rPr>
          <w:sz w:val="20"/>
          <w:szCs w:val="20"/>
          <w:color w:val="auto"/>
        </w:rPr>
      </w:pPr>
      <w:r>
        <w:rPr>
          <w:rFonts w:ascii="Arial" w:cs="Arial" w:eastAsia="Arial" w:hAnsi="Arial"/>
          <w:sz w:val="18"/>
          <w:szCs w:val="18"/>
          <w:color w:val="auto"/>
        </w:rPr>
        <w:t>17 February 2026</w:t>
      </w:r>
    </w:p>
    <w:p>
      <w:pPr>
        <w:spacing w:after="0" w:line="288" w:lineRule="exact"/>
        <w:rPr>
          <w:sz w:val="20"/>
          <w:szCs w:val="20"/>
          <w:color w:val="auto"/>
        </w:rPr>
      </w:pPr>
    </w:p>
    <w:p>
      <w:pPr>
        <w:ind w:left="1340" w:hanging="674"/>
        <w:spacing w:after="0" w:line="271" w:lineRule="auto"/>
        <w:tabs>
          <w:tab w:leader="none" w:pos="1320" w:val="left"/>
        </w:tabs>
        <w:rPr>
          <w:sz w:val="20"/>
          <w:szCs w:val="20"/>
          <w:color w:val="auto"/>
        </w:rPr>
      </w:pPr>
      <w:r>
        <w:rPr>
          <w:rFonts w:ascii="Arial" w:cs="Arial" w:eastAsia="Arial" w:hAnsi="Arial"/>
          <w:sz w:val="18"/>
          <w:szCs w:val="18"/>
          <w:color w:val="auto"/>
        </w:rPr>
        <w:t>3.1.13</w:t>
        <w:tab/>
        <w:t>none of the parties to the Plan Documents have committed any act or omission that has caused or may cause them to be in breach of the Plan Documents;</w:t>
      </w:r>
    </w:p>
    <w:p>
      <w:pPr>
        <w:spacing w:after="0" w:line="14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3.1.14</w:t>
      </w:r>
      <w:r>
        <w:rPr>
          <w:sz w:val="20"/>
          <w:szCs w:val="20"/>
          <w:color w:val="auto"/>
        </w:rPr>
        <w:tab/>
      </w:r>
      <w:r>
        <w:rPr>
          <w:rFonts w:ascii="Arial" w:cs="Arial" w:eastAsia="Arial" w:hAnsi="Arial"/>
          <w:sz w:val="17"/>
          <w:szCs w:val="17"/>
          <w:color w:val="auto"/>
        </w:rPr>
        <w:t>where an Option is exercised, it is exercised in accordance with the ESPP;</w:t>
      </w:r>
    </w:p>
    <w:p>
      <w:pPr>
        <w:spacing w:after="0" w:line="198" w:lineRule="exact"/>
        <w:rPr>
          <w:sz w:val="20"/>
          <w:szCs w:val="20"/>
          <w:color w:val="auto"/>
        </w:rPr>
      </w:pPr>
    </w:p>
    <w:p>
      <w:pPr>
        <w:ind w:left="1340" w:hanging="674"/>
        <w:spacing w:after="0" w:line="271" w:lineRule="auto"/>
        <w:tabs>
          <w:tab w:leader="none" w:pos="1320" w:val="left"/>
        </w:tabs>
        <w:rPr>
          <w:sz w:val="20"/>
          <w:szCs w:val="20"/>
          <w:color w:val="auto"/>
        </w:rPr>
      </w:pPr>
      <w:r>
        <w:rPr>
          <w:rFonts w:ascii="Arial" w:cs="Arial" w:eastAsia="Arial" w:hAnsi="Arial"/>
          <w:sz w:val="18"/>
          <w:szCs w:val="18"/>
          <w:color w:val="auto"/>
        </w:rPr>
        <w:t>3.1.15</w:t>
        <w:tab/>
        <w:t>that the resolutions passed at paragraph 2 (proposal 2) of the Proxy Ballot and referred to in the 2026 Form 6-K were passed by the requisite majority of the holders of the Ordinary Shares in the capital of the Company; and</w:t>
      </w:r>
    </w:p>
    <w:p>
      <w:pPr>
        <w:spacing w:after="0" w:line="140" w:lineRule="exact"/>
        <w:rPr>
          <w:sz w:val="20"/>
          <w:szCs w:val="20"/>
          <w:color w:val="auto"/>
        </w:rPr>
      </w:pPr>
    </w:p>
    <w:p>
      <w:pPr>
        <w:ind w:left="1340" w:hanging="674"/>
        <w:spacing w:after="0" w:line="271" w:lineRule="auto"/>
        <w:tabs>
          <w:tab w:leader="none" w:pos="1320" w:val="left"/>
        </w:tabs>
        <w:rPr>
          <w:sz w:val="20"/>
          <w:szCs w:val="20"/>
          <w:color w:val="auto"/>
        </w:rPr>
      </w:pPr>
      <w:r>
        <w:rPr>
          <w:rFonts w:ascii="Arial" w:cs="Arial" w:eastAsia="Arial" w:hAnsi="Arial"/>
          <w:sz w:val="18"/>
          <w:szCs w:val="18"/>
          <w:color w:val="auto"/>
        </w:rPr>
        <w:t>3.1.16</w:t>
        <w:tab/>
        <w:t>that the Option Price determined in accordance with the Plan Documents is fair and reasonable to the Company and that the board of directors of the Company would be of that opinion at the relevant time.</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We have not independently verified these assumptions.</w:t>
      </w:r>
    </w:p>
    <w:p>
      <w:pPr>
        <w:spacing w:after="0" w:line="198"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basis of and subject to the above and the observations and qualifications below and subject to matters not disclosed to us we are of the opinion that when issued and paid for in accordance with the ESPP such Shares in the Company will be validly issued, fully paid and non-assessable.</w:t>
      </w:r>
    </w:p>
    <w:p>
      <w:pPr>
        <w:spacing w:after="0" w:line="15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observations and qualifications referred to above are as follows:</w:t>
      </w:r>
    </w:p>
    <w:p>
      <w:pPr>
        <w:spacing w:after="0" w:line="19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We express no opinion as to whether the entering into the agreements constituted by the Plan Documents will or may result in any breach of or otherwise infringe any other agreement, deed or document (other than the Articles) entered into by or binding on the Company.</w:t>
      </w:r>
    </w:p>
    <w:p>
      <w:pPr>
        <w:spacing w:after="0" w:line="15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We express no opinion on the accuracy or completeness of any statements, representations or warranties of fact set out in the Plan Documents and/or the Documents save insofar as an express opinion is given herein in respect thereof, which statements, representations and warranties we have not independently verified.</w:t>
      </w:r>
    </w:p>
    <w:p>
      <w:pPr>
        <w:spacing w:after="0" w:line="155"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This opinion shall be governed by and construed in accordance with the laws of the Island of Guernsey as it exists at the date hereof with no obligation to keep the terms of the opinion under review. We have not made any investigation as to any other law other than the laws of the Island of Guernsey in force at and as interpreted at the date of this opinion; in particular we express no opinion as to whether the Plan Documents are enforceable in any jurisdiction outside Guernsey.</w:t>
      </w:r>
    </w:p>
    <w:p>
      <w:pPr>
        <w:spacing w:after="0" w:line="160" w:lineRule="exact"/>
        <w:rPr>
          <w:sz w:val="20"/>
          <w:szCs w:val="20"/>
          <w:color w:val="auto"/>
        </w:rPr>
      </w:pPr>
    </w:p>
    <w:p>
      <w:pPr>
        <w:jc w:val="both"/>
        <w:ind w:left="660" w:right="20" w:hanging="647"/>
        <w:spacing w:after="0" w:line="271"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We do not give any opinion on the commerciality of any transaction contemplated or entered into under or pursuant to the Plan Documents.</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The search of the Public Records referred to in paragraph 2.5 above is not conclusively capable of revealing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206375</wp:posOffset>
            </wp:positionV>
            <wp:extent cx="88265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2650" cy="14605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rPr>
          <w:sz w:val="20"/>
          <w:szCs w:val="20"/>
          <w:color w:val="auto"/>
        </w:rPr>
      </w:pPr>
      <w:r>
        <w:rPr>
          <w:rFonts w:ascii="Arial" w:cs="Arial" w:eastAsia="Arial" w:hAnsi="Arial"/>
          <w:sz w:val="18"/>
          <w:szCs w:val="18"/>
          <w:color w:val="auto"/>
        </w:rPr>
        <w:t>17 February 2026</w:t>
      </w:r>
    </w:p>
    <w:p>
      <w:pPr>
        <w:spacing w:after="0" w:line="28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7"/>
          <w:szCs w:val="17"/>
          <w:color w:val="auto"/>
        </w:rPr>
        <w:t>a winding up order has been made or a resolution passed for the winding up of the Company; or</w:t>
      </w:r>
    </w:p>
    <w:p>
      <w:pPr>
        <w:spacing w:after="0" w:line="198" w:lineRule="exact"/>
        <w:rPr>
          <w:sz w:val="20"/>
          <w:szCs w:val="20"/>
          <w:color w:val="auto"/>
        </w:rPr>
      </w:pPr>
    </w:p>
    <w:p>
      <w:pPr>
        <w:jc w:val="both"/>
        <w:ind w:left="1340" w:hanging="674"/>
        <w:spacing w:after="0" w:line="271" w:lineRule="auto"/>
        <w:tabs>
          <w:tab w:leader="none" w:pos="1320" w:val="left"/>
        </w:tabs>
        <w:rPr>
          <w:sz w:val="20"/>
          <w:szCs w:val="20"/>
          <w:color w:val="auto"/>
        </w:rPr>
      </w:pPr>
      <w:r>
        <w:rPr>
          <w:rFonts w:ascii="Arial" w:cs="Arial" w:eastAsia="Arial" w:hAnsi="Arial"/>
          <w:sz w:val="18"/>
          <w:szCs w:val="18"/>
          <w:color w:val="auto"/>
        </w:rPr>
        <w:t>5.5.2</w:t>
        <w:tab/>
        <w:t>an order has been made or a resolution passed appointing a liquidator or administrator or other person to control the assets of the Company,</w:t>
      </w:r>
    </w:p>
    <w:p>
      <w:pPr>
        <w:spacing w:after="0" w:line="140"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as notice of these matters might not be filed with the Registry or the Greffe immediately or at all and, when filed, might not be entered on the Public Records of the Company immediately. A company search conducted in Guernsey is limited in respect of the information it produces. The Companies Law allows for various periods of time to file certain information with the Registry including resolutions, notices and court orders which if the relevant period is still running may not appear in time for the search. Any changes to the details of the directors of a company must be filed within 14 days of that change. There is no requirement to file at the Registry information regarding the shareholders or secretary of a company or regarding mortgages, security interests or charges created by a company other than in respect of real property situate in Guernsey. Moreover, a company search carried out in Guernsey is unlikely to reveal any information as to any such procedure or similar proceedings initiated in any other jurisdiction. It should be noted that the Guernsey Courts have the power to recognise, in Guernsey, insolvency office holders appointed in respect of a Guernsey company pursuant to the laws of a foreign jurisdiction. Any such recognition may not be revealed by our searches.</w:t>
      </w:r>
    </w:p>
    <w:p>
      <w:pPr>
        <w:spacing w:after="0" w:line="166"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There is no official register of pending actions in Guernsey available for public inspection and no formal procedure for determining whether any proceedings have been commenced against the Company including as to whether proceedings have commenced to declare the property of the Company “en désastre”; the enquiry of the Public Records referred to in paragraph 2.5 of this opinion above is an informal enquiry only and cannot be relied upon exclusively.</w:t>
      </w:r>
    </w:p>
    <w:p>
      <w:pPr>
        <w:spacing w:after="0" w:line="160"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Insofar as a Plan Document grants or requires the grant of a power of attorney by the Company to a party to the Plan Document, the grant of such power of attorney must be in accordance with the requirements of the Articles. If the Articles are silent the Plan Document must be executed by one director. The absence of compliance with such requirements will mean that the power of attorney may not be valid and enforceable in Guernsey.</w:t>
      </w:r>
    </w:p>
    <w:p>
      <w:pPr>
        <w:spacing w:after="0" w:line="16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ADDRESSEES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opinion is addressed only to the Recipient and is solely for the benefit of the Recipient in connection with the Plan Documents and except with our prior written consent it may not be disclosed to or relied upon by any other person or used for any other purpose or referred to or made public in any way. Notwithstanding the foregoing, we hereby consent to the filing of this opinion with the SEC in connection with the Registration Statement in accordance with the requirements of Item 601(b)(5) of Regulation S-K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In giving such consent, we do not hereby admit that we are in the category of persons whose consent is required under Section 7 of the Securities Act or the rules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185420</wp:posOffset>
            </wp:positionV>
            <wp:extent cx="88265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2650" cy="14541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rPr>
          <w:sz w:val="20"/>
          <w:szCs w:val="20"/>
          <w:color w:val="auto"/>
        </w:rPr>
      </w:pPr>
      <w:r>
        <w:rPr>
          <w:rFonts w:ascii="Arial" w:cs="Arial" w:eastAsia="Arial" w:hAnsi="Arial"/>
          <w:sz w:val="18"/>
          <w:szCs w:val="18"/>
          <w:color w:val="auto"/>
        </w:rPr>
        <w:t>17 February 2026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regulations of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Carey Olsen (Guernsey) LLP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Carey Olsen (Guernsey)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206375</wp:posOffset>
            </wp:positionV>
            <wp:extent cx="88265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2650" cy="14541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23.2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2023 Employee Share Purchase Plan, as amended of Amdocs Limited of our reports dated December 15, 2025, with respect to the consolidated financial statements of Amdocs Limited and the effectiveness of internal control over financial reporting of Amdocs Limited included in its Annual Report (Form 20-F) for the year ended September 30, 2025, filed with the Securities and Exchange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EMPLOYEE SHARE PURCHASE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ON JANUARY 30, 2026</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purpose of the Amdocs Limited 2023 Employee Share Purchase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to provide eligible employees of Amdocs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Designated Subsidiary (as defined in Section ‎11) with opportunities to acquire a proprietary interest in the Company through the purchase of Ordinary Shares (as defined in Section ‎11)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maximum number of Shares reserved and available for issuance under the Plan shall not exceed in the aggregate 4,600,000 Shares, subject to adjustment as provided in Section ‎17. If any purchase of Shares pursuant to an Option (as defined in Section ‎8) under the Plan is not consummated, the Shares not purchased will again become available for issuance under the Plan.</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Plan includes two components: (a) one component (the “</w:t>
      </w:r>
      <w:r>
        <w:rPr>
          <w:rFonts w:ascii="Times New Roman" w:cs="Times New Roman" w:eastAsia="Times New Roman" w:hAnsi="Times New Roman"/>
          <w:sz w:val="18"/>
          <w:szCs w:val="18"/>
          <w:b w:val="1"/>
          <w:bCs w:val="1"/>
          <w:color w:val="auto"/>
        </w:rPr>
        <w:t>423 Component</w:t>
      </w:r>
      <w:r>
        <w:rPr>
          <w:rFonts w:ascii="Times New Roman" w:cs="Times New Roman" w:eastAsia="Times New Roman" w:hAnsi="Times New Roman"/>
          <w:sz w:val="18"/>
          <w:szCs w:val="18"/>
          <w:color w:val="auto"/>
        </w:rPr>
        <w:t>”) which is intended to constitute an “employee stock purchase plan” within the meaning of Section 423(b)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shall be interpreted in accordance with that intent, and (b) another component (the “</w:t>
      </w:r>
      <w:r>
        <w:rPr>
          <w:rFonts w:ascii="Times New Roman" w:cs="Times New Roman" w:eastAsia="Times New Roman" w:hAnsi="Times New Roman"/>
          <w:sz w:val="18"/>
          <w:szCs w:val="18"/>
          <w:b w:val="1"/>
          <w:bCs w:val="1"/>
          <w:color w:val="auto"/>
        </w:rPr>
        <w:t>Non-423 Component</w:t>
      </w:r>
      <w:r>
        <w:rPr>
          <w:rFonts w:ascii="Times New Roman" w:cs="Times New Roman" w:eastAsia="Times New Roman" w:hAnsi="Times New Roman"/>
          <w:sz w:val="18"/>
          <w:szCs w:val="18"/>
          <w:color w:val="auto"/>
        </w:rPr>
        <w:t>”), which does not qualify as an “employee stock purchase plan” within the meaning of Section 423(b) of the Code, and under which Options will be granted pursuant to rules, procedures or sub-plans adopted by the Administrator (as defined in Section 1)‎ designed to achieve tax, securities laws or other objectives for eligible employees. Except as otherwise provided herein, the Non-423 Component will operate and be administered in the same manner as the 423 Component.</w:t>
      </w:r>
    </w:p>
    <w:p>
      <w:pPr>
        <w:spacing w:after="0" w:line="186" w:lineRule="exact"/>
        <w:rPr>
          <w:sz w:val="20"/>
          <w:szCs w:val="20"/>
          <w:color w:val="auto"/>
        </w:rPr>
      </w:pPr>
    </w:p>
    <w:p>
      <w:pPr>
        <w:ind w:right="444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capitalized terms in the Plan shall have the meaning ascribed to them in Section 11‎.</w:t>
      </w:r>
    </w:p>
    <w:p>
      <w:pPr>
        <w:spacing w:after="0" w:line="158" w:lineRule="exact"/>
        <w:rPr>
          <w:sz w:val="20"/>
          <w:szCs w:val="20"/>
          <w:color w:val="auto"/>
        </w:rPr>
      </w:pPr>
    </w:p>
    <w:p>
      <w:pPr>
        <w:jc w:val="both"/>
        <w:ind w:firstLine="656"/>
        <w:spacing w:after="0" w:line="262" w:lineRule="auto"/>
        <w:tabs>
          <w:tab w:leader="none" w:pos="10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a committee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appointed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such purpose. The Administrator has authority, in its discretion, subject to and not inconsistent with the express provisions of the Plan, to administer the Plan and to exercise all powers and authorities either specifically granted to it under the Plan or necessary or advisable in the administration of the Plan, including, without limitation:</w:t>
      </w:r>
    </w:p>
    <w:p>
      <w:pPr>
        <w:spacing w:after="0" w:line="18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Offerings;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alter and repeal such rules, guidelines and practices for the administration of the Plan and for its own acts and proceedings as it shall deem advisable;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terms and provisions of the Plan;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or supply any omission or reconcile any inconsistency or ambiguity in the Plan;</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 w:name="page15"/>
    <w:bookmarkEnd w:id="14"/>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determinations it deems advisable for the administration of the Plan, including to accommodate the specific requirements of local laws, regulations and procedures;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supervise the administration of the Plan.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Administrator may delegate to one or more of its members or to one or more agents such administrative duties as it may deem advisable, and the Administrator or any person to whom it has delegated duties as aforesaid may employ one or more persons to render advice with respect to any responsibility the Administrator or such person may have under the Plan. All interpretations and decisions of the Administrator shall be binding on all persons, including the Company and the Participants. No member of the Board or the committee administering the Plan or any individual exercising administrative authority with respect to the Plan shall be liable for any action or determination made in good faith with respect to the Plan or any Option granted hereunder.</w:t>
      </w:r>
    </w:p>
    <w:p>
      <w:pPr>
        <w:spacing w:after="0" w:line="187" w:lineRule="exact"/>
        <w:rPr>
          <w:sz w:val="20"/>
          <w:szCs w:val="20"/>
          <w:color w:val="auto"/>
        </w:rPr>
      </w:pPr>
    </w:p>
    <w:p>
      <w:pPr>
        <w:jc w:val="both"/>
        <w:ind w:firstLine="656"/>
        <w:spacing w:after="0" w:line="258" w:lineRule="auto"/>
        <w:tabs>
          <w:tab w:leader="none" w:pos="10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Offerings</w:t>
      </w:r>
      <w:r>
        <w:rPr>
          <w:rFonts w:ascii="Times New Roman" w:cs="Times New Roman" w:eastAsia="Times New Roman" w:hAnsi="Times New Roman"/>
          <w:sz w:val="18"/>
          <w:szCs w:val="18"/>
          <w:color w:val="auto"/>
        </w:rPr>
        <w:t xml:space="preserve">. The Company shall make one or more Offerings to eligible employees to purchase Shares under the Plan consisting of a series of Purchase Periods. Unless otherwise determined by the Administrator, each Purchase Period shall have a duration of six (6) months, with new Purchase Periods commencing on such dates as established by the Administrator (or its delegate). Prior to the commencement of any Purchase Period, the Administrator (or its delegate) may, in its discretion, designate a different period for any Purchase Period, including by changing the duration, start date or end date for any Purchase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Purchase Period shall exceed twenty-seven (27) months in duration.</w:t>
      </w:r>
    </w:p>
    <w:p>
      <w:pPr>
        <w:spacing w:after="0" w:line="183"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8" w:lineRule="auto"/>
        <w:tabs>
          <w:tab w:leader="none" w:pos="15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Administrator, all individuals classified as employees on the payroll records of the Company and each Designated Subsidiary and who are customarily employed for more than five (5) months in any calendar year are eligible to participate in any one or more of the Offerings under the Plan. For the sake of clarity, an employee is customarily employed for more than five (5) months in any calendar year if the expectation of their position is that they will be employed for more than five (5) months in such calendar year (and not that their tenure has been for more than five (5) months in such calendar year).</w:t>
      </w:r>
    </w:p>
    <w:p>
      <w:pPr>
        <w:spacing w:after="0" w:line="183" w:lineRule="exact"/>
        <w:rPr>
          <w:rFonts w:ascii="Times New Roman" w:cs="Times New Roman" w:eastAsia="Times New Roman" w:hAnsi="Times New Roman"/>
          <w:sz w:val="18"/>
          <w:szCs w:val="18"/>
          <w:color w:val="auto"/>
        </w:rPr>
      </w:pPr>
    </w:p>
    <w:p>
      <w:pPr>
        <w:jc w:val="both"/>
        <w:ind w:firstLine="980"/>
        <w:spacing w:after="0" w:line="254" w:lineRule="auto"/>
        <w:tabs>
          <w:tab w:leader="none" w:pos="15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Unless otherwise determined by the Administrator in its discretion (or its delegate), in the event any such individuals are reclassified as eligible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unless such individuals are required to be eligible to participate in the Plan pursuant to applicable law. Notwithstanding the foregoing, participation in the 423 Component of the Plan shall neither be permitted nor be denied contrary to the requirements of the Code.</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left="1160" w:hanging="504"/>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eligible employee may participate in an Offering by submitting an enrollment form (which may be in electronic format) to his or her appropriate payroll location no earlier than forty-five (45) days before the Offering Date for the next Purchase Period and no later than seven (7) days before such Offering Date, unless a different deadline is established by the Administrator (or its delegate). The enrollment form shall:</w:t>
      </w:r>
    </w:p>
    <w:p>
      <w:pPr>
        <w:spacing w:after="0" w:line="176" w:lineRule="exact"/>
        <w:rPr>
          <w:sz w:val="20"/>
          <w:szCs w:val="20"/>
          <w:color w:val="auto"/>
        </w:rPr>
      </w:pPr>
    </w:p>
    <w:p>
      <w:pPr>
        <w:ind w:left="1300" w:hanging="320"/>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 whole percentage or the amount to be deducted from an eligible employee’s Compensation per pay period (as set forth in Section 5);‎</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Company to make such deductions from the eligible employee’s Compensation in accordance with the employee’s instructions;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purchase of Shares in each Purchase Period in accordance with the terms of the Plan;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 the requirements set forth in Section 26‎.</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eligible employee who does not enroll in accordance with these procedures shall be deemed to have waived the right to participate. Each Participant shall be required to file a new enrollment form prior to the commencement of each Purchase Period under the Plan, provided he or she remains eligible, pursuant to the requirements set forth in this Section 4,‎ unless the Administrator (or its delegate) determines that Participant’s deductions and purchases shall continue at the same percentage of amount of Compensation for future Purchase Periods absent a new enrollment form (subject to a Participant’s withdrawal from the Plan (in accordance with Section 7)‎ or termination of employment (in accordance with Section 21)‎. Notwithstanding the foregoing, participation in the 423 Component of the Plan shall neither be permitted nor be denied contrary to the requirements of the Code.</w:t>
      </w:r>
    </w:p>
    <w:p>
      <w:pPr>
        <w:spacing w:after="0" w:line="187" w:lineRule="exact"/>
        <w:rPr>
          <w:sz w:val="20"/>
          <w:szCs w:val="20"/>
          <w:color w:val="auto"/>
        </w:rPr>
      </w:pPr>
    </w:p>
    <w:p>
      <w:pPr>
        <w:jc w:val="both"/>
        <w:ind w:firstLine="656"/>
        <w:spacing w:after="0" w:line="255" w:lineRule="auto"/>
        <w:tabs>
          <w:tab w:leader="none" w:pos="12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Contributions</w:t>
      </w:r>
      <w:r>
        <w:rPr>
          <w:rFonts w:ascii="Times New Roman" w:cs="Times New Roman" w:eastAsia="Times New Roman" w:hAnsi="Times New Roman"/>
          <w:sz w:val="18"/>
          <w:szCs w:val="18"/>
          <w:color w:val="auto"/>
        </w:rPr>
        <w:t>. Each eligible employee may authorize payroll deductions at a minimum of one percent (1%) and up to a maximum of ten percent (10%) of such employee’s Compensation for each pay period. The Company shall maintain book accounts showing the amount of payroll deductions made by each Participant for each Purchase Period. No interest shall accrue or be paid on payroll deductions, except as may be required by applicable law. If payroll deductions for purposes of the Plan are prohibited or otherwise problematic under applicable law (as determined by the Administrator (or its delegate) in its discretion), the Administrator (or its delegate) may require Participants to contribute to the Plan by such other means as determined by the Administrator (or its delegate). Any reference to “payroll deductions” in this Section 5‎ (or in any other section of the Plan) shall similarly cover contributions by other means made pursuant to this Section 5‎.</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656"/>
        <w:spacing w:after="0" w:line="256" w:lineRule="auto"/>
        <w:tabs>
          <w:tab w:leader="none" w:pos="10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Deduction Changes</w:t>
      </w:r>
      <w:r>
        <w:rPr>
          <w:rFonts w:ascii="Times New Roman" w:cs="Times New Roman" w:eastAsia="Times New Roman" w:hAnsi="Times New Roman"/>
          <w:sz w:val="18"/>
          <w:szCs w:val="18"/>
          <w:color w:val="auto"/>
        </w:rPr>
        <w:t>. Except as may be determined by the Administrator (or its delegate) in advance of a Purchase Period, a Participant may not increase or decrease his or her payroll deduction percentage during any Purchase Period, but may increase or decrease his or her payroll deduction percentage with respect to the next Purchase Period (subject to the limitations of Section 5)‎ by filing a new enrollment form no earlier than forty-five (45) days before the Offering Date for such Purchase Period and no later than seven (7) days before such Offering Date, unless a different deadline is be established by the Administrator (or its delegate). The Administrator (or its delegate) may, in advance of any Purchase Period, establish rules permitting a Participant to increase, decrease or terminate his or her payroll deduction during a Purchase Period.</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0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withdraw from participation in the Plan or a Purchase Period by delivering a written notice of withdrawal to the Company in accordance with such procedures as may be established by no later than forty (40) days prior to the end of a Purchase Period, unless a different deadline or window is established by the Administrator (or its delegate). The Participant’s withdrawal shall be effective as of the next business day. Following a Participant’s withdrawal, the Company shall as soon as practically possible refund such individual’s entire account balance under the Plan (without interest) to him or her (after payment for any Shares purchased before the effective date of withdrawal). Partial withdrawals are not permitted. Such an employee may not begin participation again during the remainder of the Purchase Period, but may enroll in a subsequent Purchase Period by submitting a new enrollment form in accordance with Section 4‎.</w:t>
      </w:r>
    </w:p>
    <w:p>
      <w:pPr>
        <w:spacing w:after="0" w:line="188"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980"/>
        <w:spacing w:after="0" w:line="254" w:lineRule="auto"/>
        <w:tabs>
          <w:tab w:leader="none" w:pos="150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Offering Date, each eligible employee who is then a Participant in the Plan shall receive an option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to purchase on the last trading day of a Purchase Period (the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xml:space="preserve">”), at the Option Price hereinafter provided for, the lower of (a) a number of Shares determined by dividing such Participant’s accumulated payroll deductions (without interest) on such Exercise Date by the Option Price (as defined herein) and (b) such maximum number of Shares as shall have been established by the Administrator in advance of the Offering (which, if no maximum is established in advance of any Purchase Period, shall be 600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Option shall be subject to the limitations set forth below. Each Participant’s Option shall be exercisable only to the extent of such Participant’s accumulated payroll deductions (without interest) on the Exercise Date (with payroll deductions withheld in a currency other than U.S. dollars converted into U.S. dollars using such exchange ratio as the Administrator (or its delegate) may establish in its good faith discretion). Unless otherwise determined by the Administrator in advance of a Purchase Period, the purchase price for each Share purchased under each Option (the “</w:t>
      </w:r>
      <w:r>
        <w:rPr>
          <w:rFonts w:ascii="Times New Roman" w:cs="Times New Roman" w:eastAsia="Times New Roman" w:hAnsi="Times New Roman"/>
          <w:sz w:val="18"/>
          <w:szCs w:val="18"/>
          <w:b w:val="1"/>
          <w:bCs w:val="1"/>
          <w:color w:val="auto"/>
        </w:rPr>
        <w:t>Option Price</w:t>
      </w:r>
      <w:r>
        <w:rPr>
          <w:rFonts w:ascii="Times New Roman" w:cs="Times New Roman" w:eastAsia="Times New Roman" w:hAnsi="Times New Roman"/>
          <w:sz w:val="18"/>
          <w:szCs w:val="18"/>
          <w:color w:val="auto"/>
        </w:rPr>
        <w:t>”) shall be eighty-five percent (85%) of the Fair Market Value of the Shares on the Offering Date or the Exercise Date, whichever is less.</w:t>
      </w:r>
    </w:p>
    <w:p>
      <w:pPr>
        <w:spacing w:after="0" w:line="189" w:lineRule="exact"/>
        <w:rPr>
          <w:rFonts w:ascii="Times New Roman" w:cs="Times New Roman" w:eastAsia="Times New Roman" w:hAnsi="Times New Roman"/>
          <w:sz w:val="18"/>
          <w:szCs w:val="18"/>
          <w:color w:val="auto"/>
        </w:rPr>
      </w:pPr>
    </w:p>
    <w:p>
      <w:pPr>
        <w:jc w:val="both"/>
        <w:ind w:firstLine="980"/>
        <w:spacing w:after="0" w:line="258" w:lineRule="auto"/>
        <w:tabs>
          <w:tab w:leader="none" w:pos="15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Participant may be granted an Option hereunder if such Participant, immediately after the Option was granted, would be treated as owning Shares possessing five percent (5%) or more of the total combined voting power or value of all classes of shares of the Company or any Parent or Subsidiary. For purposes of the preceding sentence, the attribution rules of Section 424(d) of the Code shall apply in determining the share ownership of a Participant, and all Shares which the Participant has a contractual right to purchase shall be treated as Shares owned by the Participant.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firstLine="980"/>
        <w:spacing w:after="0" w:line="258" w:lineRule="auto"/>
        <w:tabs>
          <w:tab w:leader="none" w:pos="150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may be granted an Option under the 423 Component which permits his or her rights to purchase Shares under the Plan, and any other employee share purchase plan of the Company and its Designated Subsidiaries, to accrue at a rate which exceeds twenty-five thousand U.S. dollars (US$25,000) of the fair market value of such Shares (determined on the applicable Offering Date)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11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 and Purchase of Shares</w:t>
      </w:r>
      <w:r>
        <w:rPr>
          <w:rFonts w:ascii="Times New Roman" w:cs="Times New Roman" w:eastAsia="Times New Roman" w:hAnsi="Times New Roman"/>
          <w:sz w:val="18"/>
          <w:szCs w:val="18"/>
          <w:color w:val="auto"/>
        </w:rPr>
        <w:t>. Each employee who continues to be a Participant in the Plan on the Exercise Date shall be deemed to have exercised his or her Option on such date and shall acquire from the Company such number of whole Shares reserved for the purpose of the Plan as his or her accumulated payroll deductions (without interest and converted from the applicable currency to U.S. dollars in the manner described in</w:t>
      </w:r>
    </w:p>
    <w:p>
      <w:pPr>
        <w:spacing w:after="0" w:line="1"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8(a)‎,‎ if applicable) on such date will purchase at the Option Price, subject to the limitations set forth in Section 8‎ and any other limitations contained in the Plan. Unless otherwise determined by the Administrator (or its delegate), any amount remaining in a Participant’s account at the end of a Purchase Period solely by reason of the inability to purchase a fractional Share shall be refunded to the Participant as soon as practically possible after the completion of the Purchase Period.</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Certificates</w:t>
      </w:r>
      <w:r>
        <w:rPr>
          <w:rFonts w:ascii="Times New Roman" w:cs="Times New Roman" w:eastAsia="Times New Roman" w:hAnsi="Times New Roman"/>
          <w:sz w:val="18"/>
          <w:szCs w:val="18"/>
          <w:color w:val="auto"/>
        </w:rPr>
        <w:t>. Shares purchased under the Plan shall be registered only in the name of the employee or in the name of a broker authorized by the employee to be his, her or their, nominee for such purpose in the manner permitted by the Company. The Company will not be required to deliver any certificates evidencing Shares and instead such Shares may be recorded in the books of the Company (or, as applicable, its transfer agent or stock/share plan administrator).</w:t>
      </w:r>
    </w:p>
    <w:p>
      <w:pPr>
        <w:spacing w:after="0" w:line="179"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the Plan, the following terms shall be defined as set forth below:</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entity that, directly or indirectly through one or more intermediaries, controls, is controlled by, or is under common control with, the Company.</w:t>
      </w:r>
    </w:p>
    <w:p>
      <w:pPr>
        <w:spacing w:after="0" w:line="15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means the amount of base compensation (including base salary and other base pay) paid to the employee;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Administrator (or its delegate) may in its discretion, prior to the commencement of a Purchase Period, add additional components of Compensation to be deducted from payroll in a particular jurisdiction or jurisdictions, subject to applicable law in such jurisdiction or jurisdictions.</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left="1300" w:hanging="320"/>
        <w:spacing w:after="0" w:line="254"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xml:space="preserve">” means any present or future Subsidiary or Affiliate that has been designated by the Administrator (or its delegate) to participate in the Plan. The Administrator (or its delegate) may so designate any Subsidiary or Affiliate, or revoke any such designation, at any time and from time to time, either before or after the Plan is approved by the shareholders, and may further designate such companies or Participants as participating in the 423 Component or the Non-423 Component. The Administrator (or its delegate) may also determine which eligible employees may be excluded from participation in the Plan, to the extent consistent with Section 423 of the Code or as implemented under the Non-423 Component, and determine which Designated Subsidiaries will participate in separate Offerings (to the extent that the Company makes separate Offerings). For purposes of the 423 Component, only the Company and its Subsidiaries that are taxed as corporations under the Code may be Designated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any given time, a Subsidiary that is a Designated Subsidiary under the 423 Component will not be a Designated Subsidiary under the Non-423 Component.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per Share means, as of any date, the value of Shares determined as follows: (i) if the Ordinary Shares are not then listed on a national securities exchange or traded in an over-the-counter market, such value as the Administrator, in its sole discretion, shall determine; (ii) if the Ordinary Shares are then traded on a national securities exchange, the closing sales price per Ordinary Share on the national securities exchange, on which the Ordinary Shares are principally traded, for the last preceding date on which there was a sale of such Ordinary Shares on such exchange; or (iii) if the Ordinary Shares are then traded in an over-the-counter market, the average of the closing bid and asked prices for the Ordinary Shares in such over-the-counter market for the last preceding date on which there was a sale of such Ordinary Shares in such market.</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grant of Options to purchase Shares under the 423 Component or the Non-423 Component of the Plan to eligible individuals under terms approved by the Administrator.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Date</w:t>
      </w:r>
      <w:r>
        <w:rPr>
          <w:rFonts w:ascii="Times New Roman" w:cs="Times New Roman" w:eastAsia="Times New Roman" w:hAnsi="Times New Roman"/>
          <w:sz w:val="18"/>
          <w:szCs w:val="18"/>
          <w:color w:val="auto"/>
        </w:rPr>
        <w:t>” means the first trading day of each Purchase Period.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shares of ordinary shares, par value £0.01 per share, of the Company.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with respect to the Company, as defined in Section 424(e) of the Code.</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individual who is eligible to participate in the Plan as determined in Section 3‎ and who has complied with the provisions of Section 4‎.</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Period</w:t>
      </w:r>
      <w:r>
        <w:rPr>
          <w:rFonts w:ascii="Times New Roman" w:cs="Times New Roman" w:eastAsia="Times New Roman" w:hAnsi="Times New Roman"/>
          <w:sz w:val="18"/>
          <w:szCs w:val="18"/>
          <w:color w:val="auto"/>
        </w:rPr>
        <w:t>” means the duration of an Offering as established by the Administrator and described in Section 2‎.</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with respect to the Company, as defined in Section 424(f) of the Code.</w:t>
      </w:r>
    </w:p>
    <w:p>
      <w:pPr>
        <w:spacing w:after="0" w:line="225"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on 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70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Participant’s employment terminates for any reason before the Exercise Date for any Purchase Period, the balance in the Participant’s account shall be refunded as soon as practically possible after the date of termination to such Participant or, in the case of such Participant’s death, to his or her designated beneficiary, as if such Participant had withdrawn from the Plan under Section 7‎.</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ind w:left="1560" w:hanging="580"/>
        <w:spacing w:after="0"/>
        <w:tabs>
          <w:tab w:leader="none" w:pos="15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Administrator, a Participant shall be deemed to have terminated employment, for this purpose, if</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that employs him or her, having been a Designated Subsidiary, ceases to be a Subsidiary, (ii) the employee is transferred to any corporation other than the Company or a Designated Subsidiary or (iii) the employee transfers employment between, or terminates employment with an immediate rehire (with no break in service) by, the Company or a Designated Subsidiary. If a Participant transfers (in a manner that does not result in a termination of employment under the Plan) from an Offering under the 423 Component to an Offering under the Non-423 Component, the exercise of the Participant’s Option shall be qualified under the 423 Component only to the extent that such exercise complies with Section 423 of the Code. If a Participant transfers from an Offering under the Non-423 Component to an Offering under the 423 Component, the exercise of the Participant’s Option shall remain non-qualified under the Non-423 Component. An employee shall not be deemed to have terminated employment for this purpose if the employee is on an approved leave of absence for military service or sickness or for any other purpose approved by the Company, so long as the employee’s right to reemployment is guaranteed by a statute, by contract or under the policy pursuant to which the leave of absence was granted, or if the Administrator otherwise provides in writing.</w:t>
      </w:r>
    </w:p>
    <w:p>
      <w:pPr>
        <w:spacing w:after="0" w:line="192" w:lineRule="exact"/>
        <w:rPr>
          <w:rFonts w:ascii="Times New Roman" w:cs="Times New Roman" w:eastAsia="Times New Roman" w:hAnsi="Times New Roman"/>
          <w:sz w:val="18"/>
          <w:szCs w:val="18"/>
          <w:color w:val="auto"/>
        </w:rPr>
      </w:pPr>
    </w:p>
    <w:p>
      <w:pPr>
        <w:jc w:val="both"/>
        <w:ind w:firstLine="980"/>
        <w:spacing w:after="0" w:line="261" w:lineRule="auto"/>
        <w:tabs>
          <w:tab w:leader="none" w:pos="1517"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ceases to be employed by the Company or any Designated Subsidiary for any reason whatsoever (including as a result of being wrongfully or unfairly dismissed) he or she shall not be entitled, and by participating in the Plan he or she shall be deemed to have waived any possible entitlement, to any sum or benefit accrued or in prospect as a result of that participation and no such loss or curtailment shall form part of any claim for damages for breach of the Participant’s contract of employment or compensation for dismissal or any other claim whatsoever.</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4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Rules and Sub-Plans</w:t>
      </w:r>
      <w:r>
        <w:rPr>
          <w:rFonts w:ascii="Times New Roman" w:cs="Times New Roman" w:eastAsia="Times New Roman" w:hAnsi="Times New Roman"/>
          <w:sz w:val="18"/>
          <w:szCs w:val="18"/>
          <w:color w:val="auto"/>
        </w:rPr>
        <w:t xml:space="preserve">. Notwithstanding anything herein to the contrary, the Administrator may adopt special rules or sub-plans applicable to the employees of a particular Designated Subsidiary, whenever the Administrator determines that such rules are necessary or appropriate for the implementation of the Plan in a jurisdiction where such Designated Subsidiary has employees, regarding, without limitation, eligibility to participate in the Plan, handling and making of payroll deductions or contributions by other means, establishment of bank or trust accounts to hold payroll deductions, payment of interest, conversion of local currency, obligations to pay payroll tax, withholding procedures and handling of share issuances, any of which may vary according to applicable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delegate of the Administrator may adopt special rules or sub-plans applicable to the employees of a particular Designated Subsidiary where such rules or sub-plans are necessary to comply with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such special rules or sub-plans are inconsistent with the requirements of Section 423(b) of the Code, the employees subject to such special rules or sub-plans will participate in the Non-423 Component.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Optionees Not Shareholders</w:t>
      </w:r>
      <w:r>
        <w:rPr>
          <w:rFonts w:ascii="Times New Roman" w:cs="Times New Roman" w:eastAsia="Times New Roman" w:hAnsi="Times New Roman"/>
          <w:sz w:val="18"/>
          <w:szCs w:val="18"/>
          <w:color w:val="auto"/>
        </w:rPr>
        <w:t>. Neither the granting of an Option to a Participant nor the deductions from his or her pay shall constitute such Participant a holder of the Shares covered by an Option under the Plan until such Shares have been purchased by and issued to him or her. No Participant shall have voting rights in Shares that he or she may purchase until such Shares have actually been purchased and issued by the Participant.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firstLine="656"/>
        <w:spacing w:after="0" w:line="282" w:lineRule="auto"/>
        <w:tabs>
          <w:tab w:leader="none" w:pos="9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Not Transferable</w:t>
      </w:r>
      <w:r>
        <w:rPr>
          <w:rFonts w:ascii="Times New Roman" w:cs="Times New Roman" w:eastAsia="Times New Roman" w:hAnsi="Times New Roman"/>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All funds received or held by the Company under the Plan may be combined with other corporate funds and may be used for any corporate purpose.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Case of Changes Affecting Shares and Transactions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54" w:lineRule="auto"/>
        <w:tabs>
          <w:tab w:leader="none" w:pos="15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is made in the Shares, or subject to any Option under the Plan, without the receipt of consideration by the Company (through merger, consolidation, amalgamation,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shall be appropriately adjusted in the class(es) and maximum number of Shares subject to the Plan and the share limitation subject to Section 8,‎ if any, and the outstanding Options shall be appropriately adjusted in the class(es), number of Shares, Option Price and share limitations of such outstanding Options. The Board shall make such adjustments, and its determination shall be final, binding and conclusive. The conversion of any convertible securities of the Company shall not be treated as a transaction that does not involve the receipt of consideration by the Company.</w:t>
      </w:r>
    </w:p>
    <w:p>
      <w:pPr>
        <w:spacing w:after="0" w:line="191" w:lineRule="exact"/>
        <w:rPr>
          <w:rFonts w:ascii="Times New Roman" w:cs="Times New Roman" w:eastAsia="Times New Roman" w:hAnsi="Times New Roman"/>
          <w:sz w:val="18"/>
          <w:szCs w:val="18"/>
          <w:color w:val="auto"/>
        </w:rPr>
      </w:pPr>
    </w:p>
    <w:p>
      <w:pPr>
        <w:jc w:val="both"/>
        <w:ind w:firstLine="980"/>
        <w:spacing w:after="0" w:line="255" w:lineRule="auto"/>
        <w:tabs>
          <w:tab w:leader="none" w:pos="15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on the preceding provisions, in the event of any corporate transaction (as described in Section 424 of the Code), the Board may make such adjustment it deems appropriate to prevent dilution or enlargement of rights in the number and class of Shares which may be delivered under the Plan, in the number, class of or Option Price available for purchase under the Plan and in the number of the Shares which an employee is entitled to purchase and any other adjustments it deems appropriate. Without limiting the Board’s authority under the Plan, in the event of any transaction, the Board may elect to have the Options hereunder assumed or such Options substituted by a successor entity, to terminate all outstanding Options, either prior to their expiration or upon completion of the purchase of Shares on the next Exercise Date, to shorten the Offering by setting a new Exercise Date or to take such other action deemed appropriate by the Board.</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w:t>
      </w:r>
      <w:r>
        <w:rPr>
          <w:rFonts w:ascii="Times New Roman" w:cs="Times New Roman" w:eastAsia="Times New Roman" w:hAnsi="Times New Roman"/>
          <w:sz w:val="18"/>
          <w:szCs w:val="18"/>
          <w:color w:val="auto"/>
        </w:rPr>
        <w:t>. The Administrator may at any time and from time to time amend the Plan in any respect, except that, without the approval within twelve (12) months of such action by the shareholders, no amendment shall be made increasing the number of Shares approved for the Plan or making any other change that would require shareholder approval in order for the Plan, as amended, to qualify as an “employee stock purchase plan” under Section 423(b) of the Code.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If the total number of Shares that would otherwise be issued on any Exercise Date plus the number of Shares issued under previous Purchase Periods under the Plan exceeds the maximum number of Shares issuable under the Plan, the Shares then available shall be apportioned among Participants in proportion to the amount of payroll deductions accumulated (without interest) on behalf of each Participant that would otherwise be used to purchase Shares on such Exercise Date.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left="80" w:firstLine="576"/>
        <w:spacing w:after="0" w:line="282"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Notwithstanding any provision of the Plan to the contrary, and in accordance with Section 423 of the Code, all eligible employees who are granted Options under the 423 Component of the Plan shall have the same rights and privileges.</w:t>
      </w:r>
    </w:p>
    <w:p>
      <w:pPr>
        <w:spacing w:after="0" w:line="161" w:lineRule="exact"/>
        <w:rPr>
          <w:rFonts w:ascii="Times New Roman" w:cs="Times New Roman" w:eastAsia="Times New Roman" w:hAnsi="Times New Roman"/>
          <w:sz w:val="18"/>
          <w:szCs w:val="18"/>
          <w:color w:val="auto"/>
        </w:rPr>
      </w:pPr>
    </w:p>
    <w:p>
      <w:pPr>
        <w:ind w:left="80" w:firstLine="576"/>
        <w:spacing w:after="0" w:line="282" w:lineRule="auto"/>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Plan</w:t>
      </w:r>
      <w:r>
        <w:rPr>
          <w:rFonts w:ascii="Times New Roman" w:cs="Times New Roman" w:eastAsia="Times New Roman" w:hAnsi="Times New Roman"/>
          <w:sz w:val="18"/>
          <w:szCs w:val="18"/>
          <w:color w:val="auto"/>
        </w:rPr>
        <w:t>. The Plan may be terminated at any time by the Board. Upon termination of the Plan, all amounts in the accounts of Participants shall be refunded as soon as practically possible.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Regulations</w:t>
      </w:r>
      <w:r>
        <w:rPr>
          <w:rFonts w:ascii="Times New Roman" w:cs="Times New Roman" w:eastAsia="Times New Roman" w:hAnsi="Times New Roman"/>
          <w:sz w:val="18"/>
          <w:szCs w:val="18"/>
          <w:color w:val="auto"/>
        </w:rPr>
        <w:t>. The Company’s obligation to sell and deliver Shares under the Plan is subject to obtaining all governmental approvals required in connection with the authorization, issuance, or sale of such Shares.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Options and actions taken thereunder shall be governed by, and construed in accordance with, the laws of the State of New York, applied without regard to conflict of law principles.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Shares may be issued upon exercise of an Option from authorized but unissued Shares, from Shares held in the treasury of the Company, or from any other proper source.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 For this purposes “tax” shall mean Federal, state and local taxes and social security taxes in the US, and their equivalent in any other jurisdiction, for which a Participant is liable by reason of the acquisition, holding or disposal of Shares under the Plan or the receipt of any other benefit in connection with it and which the Company or any Subsidiary is liable to account for on the Participant’s behalf.</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Upon Sale of Shares</w:t>
      </w:r>
      <w:r>
        <w:rPr>
          <w:rFonts w:ascii="Times New Roman" w:cs="Times New Roman" w:eastAsia="Times New Roman" w:hAnsi="Times New Roman"/>
          <w:sz w:val="18"/>
          <w:szCs w:val="18"/>
          <w:color w:val="auto"/>
        </w:rPr>
        <w:t>. Each Participant agrees, by entering the 423 Component of the Plan, to provide, if requested by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Protection</w:t>
      </w:r>
      <w:r>
        <w:rPr>
          <w:rFonts w:ascii="Times New Roman" w:cs="Times New Roman" w:eastAsia="Times New Roman" w:hAnsi="Times New Roman"/>
          <w:sz w:val="18"/>
          <w:szCs w:val="18"/>
          <w:color w:val="auto"/>
        </w:rPr>
        <w:t>. The Participant acknowledges that the participation in the Plan entails the processing of the Participant’s personal data by the Company and its Affiliates, trustees or third parties service providers; as well as sharing such personal data with public authorities in territories which may be outside the country of residence of the Participant, such as the United States of America and Guernsey. Such processing activities shall be carried out for the purposes of executing the Plan and in accordance with Amdocs’ Employee Privacy Notice as available to the Participant at Amdocs’ Portal.</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Approval of Shareholders</w:t>
      </w:r>
      <w:r>
        <w:rPr>
          <w:rFonts w:ascii="Times New Roman" w:cs="Times New Roman" w:eastAsia="Times New Roman" w:hAnsi="Times New Roman"/>
          <w:sz w:val="18"/>
          <w:szCs w:val="18"/>
          <w:color w:val="auto"/>
        </w:rPr>
        <w:t>. The Plan shall, subject to shareholder approval in accordance with applicable law, take effect upon the filing of a Form S-8 Registration Statement with the Securities and Exchange Commission for the Shares offered under the Plan.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tcPr>
          <w:p>
            <w:pPr>
              <w:spacing w:after="0"/>
              <w:rPr>
                <w:sz w:val="12"/>
                <w:szCs w:val="12"/>
                <w:color w:val="auto"/>
              </w:rPr>
            </w:pPr>
          </w:p>
        </w:tc>
        <w:tc>
          <w:tcPr>
            <w:tcW w:w="24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6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32"/>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Ordinary Shares, par value £0.01</w:t>
            </w: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Other</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68.44</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$ 150,568,000.00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$ 20,793.44</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40" w:type="dxa"/>
            <w:vAlign w:val="bottom"/>
            <w:gridSpan w:val="5"/>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$ 150,568,000.00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$ 20,793.44</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$ 20,793.44</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on Form S-8 covers 2,200,000 ordinary shares, par value £0.01 per share (“Ordinary Shares”) of Amdocs Limited (the “Registrant”) (i) authorized for issuance under the Registrant’s 2023 Employee Share Purchase Plan, as amended (the “Plan”) and (ii) pursuant to Rule 416(a) under the Securities Act of 1933, as amended (the “Securities Act”), any additional Ordinary Shares that may become issuable under the Plan by reason of any stock dividend, stock split, or other similar transaction.</w:t>
      </w:r>
    </w:p>
    <w:p>
      <w:pPr>
        <w:spacing w:after="0" w:line="179" w:lineRule="exact"/>
        <w:rPr>
          <w:rFonts w:ascii="Times New Roman" w:cs="Times New Roman" w:eastAsia="Times New Roman" w:hAnsi="Times New Roman"/>
          <w:sz w:val="18"/>
          <w:szCs w:val="18"/>
          <w:color w:val="auto"/>
        </w:rPr>
      </w:pPr>
    </w:p>
    <w:p>
      <w:pPr>
        <w:jc w:val="both"/>
        <w:ind w:left="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Unit is estimated pursuant to Rule 457(c) and Rule 457(h) under the Securities Act, solely for the purpose of computing the registration fee, based on the average of the high and low prices reported for the Registrant’s Ordinary Shares on the NASDAQ Global Select Market on February 12, 2026. The Maximum Aggregate Offering Price and amount of Registration Fee are rounded up to the nearest penny. There are no fee offsets.</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Letter"/>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1"/>
    </w:lvl>
    <w:lvl w:ilvl="1">
      <w:lvlJc w:val="left"/>
      <w:lvlText w:val="(%2)"/>
      <w:numFmt w:val="lowerLetter"/>
      <w:start w:val="1"/>
    </w:lvl>
  </w:abstractNum>
  <w:abstractNum w:abstractNumId="8">
    <w:nsid w:val="6B68079A"/>
    <w:multiLevelType w:val="hybridMultilevel"/>
    <w:lvl w:ilvl="0">
      <w:lvlJc w:val="left"/>
      <w:lvlText w:val="(%1)"/>
      <w:numFmt w:val="lowerLetter"/>
      <w:start w:val="5"/>
    </w:lvl>
  </w:abstractNum>
  <w:abstractNum w:abstractNumId="9">
    <w:nsid w:val="4E6AFB66"/>
    <w:multiLevelType w:val="hybridMultilevel"/>
    <w:lvl w:ilvl="0">
      <w:lvlJc w:val="left"/>
      <w:lvlText w:val="%1."/>
      <w:numFmt w:val="decimal"/>
      <w:start w:val="2"/>
    </w:lvl>
    <w:lvl w:ilvl="1">
      <w:lvlJc w:val="left"/>
      <w:lvlText w:val="(%2)"/>
      <w:numFmt w:val="lowerLetter"/>
      <w:start w:val="1"/>
    </w:lvl>
  </w:abstractNum>
  <w:abstractNum w:abstractNumId="10">
    <w:nsid w:val="25E45D32"/>
    <w:multiLevelType w:val="hybridMultilevel"/>
    <w:lvl w:ilvl="0">
      <w:lvlJc w:val="left"/>
      <w:lvlText w:val="%1."/>
      <w:numFmt w:val="decimal"/>
      <w:start w:val="4"/>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1."/>
      <w:numFmt w:val="decimal"/>
      <w:start w:val="6"/>
    </w:lvl>
    <w:lvl w:ilvl="1">
      <w:lvlJc w:val="left"/>
      <w:lvlText w:val="(%2)"/>
      <w:numFmt w:val="lowerLetter"/>
      <w:start w:val="1"/>
    </w:lvl>
  </w:abstractNum>
  <w:abstractNum w:abstractNumId="14">
    <w:nsid w:val="7C83E458"/>
    <w:multiLevelType w:val="hybridMultilevel"/>
    <w:lvl w:ilvl="0">
      <w:lvlJc w:val="left"/>
      <w:lvlText w:val="%1"/>
      <w:numFmt w:val="decimal"/>
      <w:start w:val="1"/>
    </w:lvl>
    <w:lvl w:ilvl="1">
      <w:lvlJc w:val="left"/>
      <w:lvlText w:val="(%2)"/>
      <w:numFmt w:val="lowerLetter"/>
      <w:start w:val="3"/>
    </w:lvl>
  </w:abstractNum>
  <w:abstractNum w:abstractNumId="15">
    <w:nsid w:val="257130A3"/>
    <w:multiLevelType w:val="hybridMultilevel"/>
    <w:lvl w:ilvl="0">
      <w:lvlJc w:val="left"/>
      <w:lvlText w:val="%1."/>
      <w:numFmt w:val="decimal"/>
      <w:start w:val="9"/>
    </w:lvl>
    <w:lvl w:ilvl="1">
      <w:lvlJc w:val="left"/>
      <w:lvlText w:val="(%2)"/>
      <w:numFmt w:val="lowerLetter"/>
      <w:start w:val="1"/>
    </w:lvl>
  </w:abstractNum>
  <w:abstractNum w:abstractNumId="16">
    <w:nsid w:val="62BBD95A"/>
    <w:multiLevelType w:val="hybridMultilevel"/>
    <w:lvl w:ilvl="0">
      <w:lvlJc w:val="left"/>
      <w:lvlText w:val="%1"/>
      <w:numFmt w:val="decimal"/>
      <w:start w:val="1"/>
    </w:lvl>
    <w:lvl w:ilvl="1">
      <w:lvlJc w:val="left"/>
      <w:lvlText w:val="(%2)"/>
      <w:numFmt w:val="lowerLetter"/>
      <w:start w:val="3"/>
    </w:lvl>
  </w:abstractNum>
  <w:abstractNum w:abstractNumId="17">
    <w:nsid w:val="436C6125"/>
    <w:multiLevelType w:val="hybridMultilevel"/>
    <w:lvl w:ilvl="0">
      <w:lvlJc w:val="left"/>
      <w:lvlText w:val="%1."/>
      <w:numFmt w:val="decimal"/>
      <w:start w:val="12"/>
    </w:lvl>
    <w:lvl w:ilvl="1">
      <w:lvlJc w:val="left"/>
      <w:lvlText w:val="(%2)"/>
      <w:numFmt w:val="lowerLetter"/>
      <w:start w:val="1"/>
    </w:lvl>
  </w:abstractNum>
  <w:abstractNum w:abstractNumId="18">
    <w:nsid w:val="628C895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9">
    <w:nsid w:val="333AB105"/>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3"/>
    </w:lvl>
  </w:abstractNum>
  <w:abstractNum w:abstractNumId="20">
    <w:nsid w:val="721DA317"/>
    <w:multiLevelType w:val="hybridMultilevel"/>
    <w:lvl w:ilvl="0">
      <w:lvlJc w:val="left"/>
      <w:lvlText w:val="%1."/>
      <w:numFmt w:val="decimal"/>
      <w:start w:val="15"/>
    </w:lvl>
    <w:lvl w:ilvl="1">
      <w:lvlJc w:val="left"/>
      <w:lvlText w:val="(%2)"/>
      <w:numFmt w:val="lowerLetter"/>
      <w:start w:val="1"/>
    </w:lvl>
  </w:abstractNum>
  <w:abstractNum w:abstractNumId="21">
    <w:nsid w:val="2443A858"/>
    <w:multiLevelType w:val="hybridMultilevel"/>
    <w:lvl w:ilvl="0">
      <w:lvlJc w:val="left"/>
      <w:lvlText w:val="%1."/>
      <w:numFmt w:val="decimal"/>
      <w:start w:val="20"/>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2026-02-17T16:59:11Z</dcterms:created>
  <dcterms:modified xsi:type="dcterms:W3CDTF">2026-02-17T16:59:11Z</dcterms:modified>
</cp:coreProperties>
</file>