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Room 4561</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August 19,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Thomas G. O`Brien, Esq.</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rPr>
          <w:sz w:val="20"/>
          <w:szCs w:val="20"/>
          <w:color w:val="auto"/>
        </w:rPr>
      </w:pPr>
      <w:r>
        <w:rPr>
          <w:rFonts w:ascii="Courier New" w:cs="Courier New" w:eastAsia="Courier New" w:hAnsi="Courier New"/>
          <w:sz w:val="18"/>
          <w:szCs w:val="18"/>
          <w:color w:val="auto"/>
        </w:rPr>
        <w:t>Amdocs Limited</w:t>
      </w:r>
    </w:p>
    <w:p>
      <w:pPr>
        <w:spacing w:after="0" w:line="237" w:lineRule="auto"/>
        <w:rPr>
          <w:sz w:val="20"/>
          <w:szCs w:val="20"/>
          <w:color w:val="auto"/>
        </w:rPr>
      </w:pPr>
      <w:r>
        <w:rPr>
          <w:rFonts w:ascii="Courier New" w:cs="Courier New" w:eastAsia="Courier New" w:hAnsi="Courier New"/>
          <w:sz w:val="18"/>
          <w:szCs w:val="18"/>
          <w:color w:val="auto"/>
        </w:rPr>
        <w:t>1390 Timberlake Manor Parkway</w:t>
      </w:r>
    </w:p>
    <w:p>
      <w:pPr>
        <w:spacing w:after="0" w:line="238" w:lineRule="auto"/>
        <w:rPr>
          <w:sz w:val="20"/>
          <w:szCs w:val="20"/>
          <w:color w:val="auto"/>
        </w:rPr>
      </w:pPr>
      <w:r>
        <w:rPr>
          <w:rFonts w:ascii="Courier New" w:cs="Courier New" w:eastAsia="Courier New" w:hAnsi="Courier New"/>
          <w:sz w:val="18"/>
          <w:szCs w:val="18"/>
          <w:color w:val="auto"/>
        </w:rPr>
        <w:t>Chesterfield, Missouri 63017</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jc w:val="right"/>
        <w:ind w:right="3159"/>
        <w:spacing w:after="0" w:line="238" w:lineRule="auto"/>
        <w:rPr>
          <w:sz w:val="20"/>
          <w:szCs w:val="20"/>
          <w:color w:val="auto"/>
        </w:rPr>
      </w:pPr>
      <w:r>
        <w:rPr>
          <w:rFonts w:ascii="Courier New" w:cs="Courier New" w:eastAsia="Courier New" w:hAnsi="Courier New"/>
          <w:sz w:val="18"/>
          <w:szCs w:val="18"/>
          <w:color w:val="auto"/>
        </w:rPr>
        <w:t>Post-effective Amendment No. 7 to Registration Statement on</w:t>
      </w:r>
    </w:p>
    <w:p>
      <w:pPr>
        <w:spacing w:after="0"/>
        <w:rPr>
          <w:sz w:val="20"/>
          <w:szCs w:val="20"/>
          <w:color w:val="auto"/>
        </w:rPr>
      </w:pPr>
      <w:r>
        <w:rPr>
          <w:rFonts w:ascii="Courier New" w:cs="Courier New" w:eastAsia="Courier New" w:hAnsi="Courier New"/>
          <w:sz w:val="18"/>
          <w:szCs w:val="18"/>
          <w:color w:val="auto"/>
        </w:rPr>
        <w:t>Form</w:t>
      </w:r>
    </w:p>
    <w:p>
      <w:pPr>
        <w:spacing w:after="0" w:line="237" w:lineRule="auto"/>
        <w:rPr>
          <w:sz w:val="20"/>
          <w:szCs w:val="20"/>
          <w:color w:val="auto"/>
        </w:rPr>
      </w:pPr>
      <w:r>
        <w:rPr>
          <w:rFonts w:ascii="Courier New" w:cs="Courier New" w:eastAsia="Courier New" w:hAnsi="Courier New"/>
          <w:sz w:val="18"/>
          <w:szCs w:val="18"/>
          <w:color w:val="auto"/>
        </w:rPr>
        <w:t>F-3</w:t>
      </w:r>
    </w:p>
    <w:p>
      <w:pPr>
        <w:ind w:left="860"/>
        <w:spacing w:after="0" w:line="238" w:lineRule="auto"/>
        <w:rPr>
          <w:sz w:val="20"/>
          <w:szCs w:val="20"/>
          <w:color w:val="auto"/>
        </w:rPr>
      </w:pPr>
      <w:r>
        <w:rPr>
          <w:rFonts w:ascii="Courier New" w:cs="Courier New" w:eastAsia="Courier New" w:hAnsi="Courier New"/>
          <w:sz w:val="18"/>
          <w:szCs w:val="18"/>
          <w:color w:val="auto"/>
        </w:rPr>
        <w:t>Filed August 16, 2005</w:t>
      </w:r>
    </w:p>
    <w:p>
      <w:pPr>
        <w:ind w:left="860"/>
        <w:spacing w:after="0"/>
        <w:rPr>
          <w:sz w:val="20"/>
          <w:szCs w:val="20"/>
          <w:color w:val="auto"/>
        </w:rPr>
      </w:pPr>
      <w:r>
        <w:rPr>
          <w:rFonts w:ascii="Courier New" w:cs="Courier New" w:eastAsia="Courier New" w:hAnsi="Courier New"/>
          <w:sz w:val="18"/>
          <w:szCs w:val="18"/>
          <w:color w:val="auto"/>
        </w:rPr>
        <w:t>File No. 333-114344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O`Brien: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We have limited our review of your filings to those issues</w:t>
      </w:r>
    </w:p>
    <w:p>
      <w:pPr>
        <w:spacing w:after="0" w:line="238" w:lineRule="auto"/>
        <w:rPr>
          <w:sz w:val="20"/>
          <w:szCs w:val="20"/>
          <w:color w:val="auto"/>
        </w:rPr>
      </w:pPr>
      <w:r>
        <w:rPr>
          <w:rFonts w:ascii="Courier New" w:cs="Courier New" w:eastAsia="Courier New" w:hAnsi="Courier New"/>
          <w:sz w:val="18"/>
          <w:szCs w:val="18"/>
          <w:color w:val="auto"/>
        </w:rPr>
        <w:t>we</w:t>
      </w:r>
    </w:p>
    <w:p>
      <w:pPr>
        <w:spacing w:after="0" w:line="5"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have addressed in our comments. Where indicated, we think you should</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4"/>
          <w:szCs w:val="24"/>
          <w:color w:val="auto"/>
        </w:rPr>
      </w:pPr>
    </w:p>
    <w:p>
      <w:pPr>
        <w:ind w:right="347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whether any added selling securityholder is a registered broker-dealer. We note that you added PIMCO Convertible</w:t>
      </w:r>
    </w:p>
    <w:p>
      <w:pPr>
        <w:spacing w:after="0" w:line="6"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Fund and UBS Securities LLC as selling securityholders. If a selling</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securityholder is a registered broker-dealer, please identify such registered broker-dealer as an underwriter in your disclosure, unless</w:t>
      </w:r>
    </w:p>
    <w:p>
      <w:pPr>
        <w:spacing w:after="0" w:line="6" w:lineRule="exact"/>
        <w:rPr>
          <w:rFonts w:ascii="Courier New" w:cs="Courier New" w:eastAsia="Courier New" w:hAnsi="Courier New"/>
          <w:sz w:val="18"/>
          <w:szCs w:val="18"/>
          <w:color w:val="auto"/>
        </w:rPr>
      </w:pPr>
    </w:p>
    <w:p>
      <w:pPr>
        <w:ind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were acquired as transaction-based compensation for investment-banking services. Provide a description of the investment-banking services and the manner in which the compensation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services was computed, as applicable.</w:t>
      </w:r>
    </w:p>
    <w:p>
      <w:pPr>
        <w:spacing w:after="0" w:line="207" w:lineRule="exact"/>
        <w:rPr>
          <w:rFonts w:ascii="Courier New" w:cs="Courier New" w:eastAsia="Courier New" w:hAnsi="Courier New"/>
          <w:sz w:val="18"/>
          <w:szCs w:val="18"/>
          <w:color w:val="auto"/>
        </w:rPr>
      </w:pPr>
    </w:p>
    <w:p>
      <w:pPr>
        <w:ind w:right="335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whether any added selling securityholder is an affiliate of a registered broker-dealer. If a selling securityholder</w:t>
      </w:r>
    </w:p>
    <w:p>
      <w:pPr>
        <w:spacing w:after="0" w:line="6" w:lineRule="exact"/>
        <w:rPr>
          <w:rFonts w:ascii="Courier New" w:cs="Courier New" w:eastAsia="Courier New" w:hAnsi="Courier New"/>
          <w:sz w:val="18"/>
          <w:szCs w:val="18"/>
          <w:color w:val="auto"/>
        </w:rPr>
      </w:pPr>
    </w:p>
    <w:p>
      <w:pPr>
        <w:jc w:val="both"/>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 an affiliate of a registered broker-dealer, please expand the prospectus to indicate whether such selling stockholder acquired the</w:t>
      </w:r>
    </w:p>
    <w:p>
      <w:pPr>
        <w:spacing w:after="0" w:line="6"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to be resold in the ordinary course of business. Also indicate whether at the time of the acquisition such selling stockholder had any agreements, understandings or arrangements with</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persons, either directly or indirectly, to dispose of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sectPr>
          <w:pgSz w:w="11900" w:h="16838" w:orient="portrait"/>
          <w:cols w:equalWidth="0" w:num="1">
            <w:col w:w="10219"/>
          </w:cols>
          <w:pgMar w:left="240" w:top="1055" w:right="1440" w:bottom="25" w:gutter="0" w:footer="0" w:header="0"/>
        </w:sectPr>
      </w:pPr>
    </w:p>
    <w:bookmarkStart w:id="1" w:name="page2"/>
    <w:bookmarkEnd w:id="1"/>
    <w:p>
      <w:pPr>
        <w:spacing w:after="0"/>
        <w:tabs>
          <w:tab w:leader="none" w:pos="1560" w:val="left"/>
          <w:tab w:leader="none" w:pos="3140" w:val="left"/>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 appropriate, please amend your filing in response to</w:t>
      </w:r>
    </w:p>
    <w:p>
      <w:pPr>
        <w:spacing w:after="0" w:line="238" w:lineRule="auto"/>
        <w:rPr>
          <w:sz w:val="20"/>
          <w:szCs w:val="20"/>
          <w:color w:val="auto"/>
        </w:rPr>
      </w:pPr>
      <w:r>
        <w:rPr>
          <w:rFonts w:ascii="Courier New" w:cs="Courier New" w:eastAsia="Courier New" w:hAnsi="Courier New"/>
          <w:sz w:val="18"/>
          <w:szCs w:val="18"/>
          <w:color w:val="auto"/>
        </w:rPr>
        <w:t>these</w:t>
      </w:r>
    </w:p>
    <w:p>
      <w:pPr>
        <w:spacing w:after="0" w:line="5"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comments. You may wish to provide us with marked copies of the amendment to expedite our review. Please furnish a cover letter with</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your amendment that keys your responses to our comments and provides</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any requested supplemental information. Detailed cover letters greatly facilitate our review. Please understand that we may have additional comments after reviewing your amendment and responses to</w:t>
      </w:r>
    </w:p>
    <w:p>
      <w:pPr>
        <w:spacing w:after="0"/>
        <w:rPr>
          <w:sz w:val="20"/>
          <w:szCs w:val="20"/>
          <w:color w:val="auto"/>
        </w:rPr>
      </w:pPr>
      <w:r>
        <w:rPr>
          <w:rFonts w:ascii="Courier New" w:cs="Courier New" w:eastAsia="Courier New" w:hAnsi="Courier New"/>
          <w:sz w:val="18"/>
          <w:szCs w:val="18"/>
          <w:color w:val="auto"/>
        </w:rPr>
        <w:t>our comments.</w:t>
      </w:r>
    </w:p>
    <w:p>
      <w:pPr>
        <w:spacing w:after="0" w:line="206"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to be certain that the filing includes all information required under the Securities Act and</w:t>
      </w:r>
    </w:p>
    <w:p>
      <w:pPr>
        <w:spacing w:after="0" w:line="5"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that they have provided all information investors require for an informed investment decision. Since the company and its management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in possession of all facts relating to a company`s disclosure,</w:t>
      </w:r>
    </w:p>
    <w:p>
      <w:pPr>
        <w:spacing w:after="0" w:line="238" w:lineRule="auto"/>
        <w:rPr>
          <w:sz w:val="20"/>
          <w:szCs w:val="20"/>
          <w:color w:val="auto"/>
        </w:rPr>
      </w:pPr>
      <w:r>
        <w:rPr>
          <w:rFonts w:ascii="Courier New" w:cs="Courier New" w:eastAsia="Courier New" w:hAnsi="Courier New"/>
          <w:sz w:val="18"/>
          <w:szCs w:val="18"/>
          <w:color w:val="auto"/>
        </w:rPr>
        <w:t>they are responsible for the accuracy and adequacy of the</w:t>
      </w:r>
    </w:p>
    <w:p>
      <w:pPr>
        <w:spacing w:after="0"/>
        <w:rPr>
          <w:sz w:val="20"/>
          <w:szCs w:val="20"/>
          <w:color w:val="auto"/>
        </w:rPr>
      </w:pPr>
      <w:r>
        <w:rPr>
          <w:rFonts w:ascii="Courier New" w:cs="Courier New" w:eastAsia="Courier New" w:hAnsi="Courier New"/>
          <w:sz w:val="18"/>
          <w:szCs w:val="18"/>
          <w:color w:val="auto"/>
        </w:rPr>
        <w:t>disclosures</w:t>
      </w:r>
    </w:p>
    <w:p>
      <w:pPr>
        <w:spacing w:after="0" w:line="237" w:lineRule="auto"/>
        <w:rPr>
          <w:sz w:val="20"/>
          <w:szCs w:val="20"/>
          <w:color w:val="auto"/>
        </w:rPr>
      </w:pPr>
      <w:r>
        <w:rPr>
          <w:rFonts w:ascii="Courier New" w:cs="Courier New" w:eastAsia="Courier New" w:hAnsi="Courier New"/>
          <w:sz w:val="18"/>
          <w:szCs w:val="18"/>
          <w:color w:val="auto"/>
        </w:rPr>
        <w:t>they have made.</w:t>
      </w:r>
    </w:p>
    <w:p>
      <w:pPr>
        <w:spacing w:after="0" w:line="207" w:lineRule="exact"/>
        <w:rPr>
          <w:sz w:val="20"/>
          <w:szCs w:val="20"/>
          <w:color w:val="auto"/>
        </w:rPr>
      </w:pPr>
    </w:p>
    <w:p>
      <w:pPr>
        <w:ind w:right="3999" w:firstLine="632"/>
        <w:spacing w:after="0" w:line="235" w:lineRule="auto"/>
        <w:rPr>
          <w:sz w:val="20"/>
          <w:szCs w:val="20"/>
          <w:color w:val="auto"/>
        </w:rPr>
      </w:pPr>
      <w:r>
        <w:rPr>
          <w:rFonts w:ascii="Courier New" w:cs="Courier New" w:eastAsia="Courier New" w:hAnsi="Courier New"/>
          <w:sz w:val="18"/>
          <w:szCs w:val="18"/>
          <w:color w:val="auto"/>
        </w:rPr>
        <w:t>Prior to our declaration of the effective date of the pending</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post-effective amendment pursuant to Section 8(c) of the Securities</w:t>
      </w:r>
    </w:p>
    <w:p>
      <w:pPr>
        <w:spacing w:after="0"/>
        <w:rPr>
          <w:sz w:val="20"/>
          <w:szCs w:val="20"/>
          <w:color w:val="auto"/>
        </w:rPr>
      </w:pPr>
      <w:r>
        <w:rPr>
          <w:rFonts w:ascii="Courier New" w:cs="Courier New" w:eastAsia="Courier New" w:hAnsi="Courier New"/>
          <w:sz w:val="18"/>
          <w:szCs w:val="18"/>
          <w:color w:val="auto"/>
        </w:rPr>
        <w:t>Act, the company should furnish a letter acknowledging that:</w:t>
      </w:r>
    </w:p>
    <w:p>
      <w:pPr>
        <w:spacing w:after="0" w:line="207" w:lineRule="exact"/>
        <w:rPr>
          <w:sz w:val="20"/>
          <w:szCs w:val="20"/>
          <w:color w:val="auto"/>
        </w:rPr>
      </w:pPr>
    </w:p>
    <w:p>
      <w:pPr>
        <w:jc w:val="both"/>
        <w:ind w:right="3259" w:firstLine="8"/>
        <w:spacing w:after="0" w:line="26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ind w:right="33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4" w:lineRule="exact"/>
        <w:rPr>
          <w:rFonts w:ascii="Courier New" w:cs="Courier New" w:eastAsia="Courier New" w:hAnsi="Courier New"/>
          <w:sz w:val="18"/>
          <w:szCs w:val="18"/>
          <w:color w:val="auto"/>
        </w:rPr>
      </w:pPr>
    </w:p>
    <w:p>
      <w:pPr>
        <w:ind w:right="441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the staff comments and the declaration</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effectiveness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connection with our review of your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filing or in response to our comments on your filing.</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You may contact Daniel Lee at (202) 551-3477 with any</w:t>
      </w:r>
    </w:p>
    <w:p>
      <w:pPr>
        <w:jc w:val="center"/>
        <w:ind w:right="3359"/>
        <w:spacing w:after="0" w:line="238" w:lineRule="auto"/>
        <w:tabs>
          <w:tab w:leader="none" w:pos="200" w:val="left"/>
        </w:tabs>
        <w:rPr>
          <w:sz w:val="20"/>
          <w:szCs w:val="20"/>
          <w:color w:val="auto"/>
        </w:rPr>
      </w:pPr>
      <w:r>
        <w:rPr>
          <w:rFonts w:ascii="Courier New" w:cs="Courier New" w:eastAsia="Courier New" w:hAnsi="Courier New"/>
          <w:sz w:val="18"/>
          <w:szCs w:val="18"/>
          <w:color w:val="auto"/>
        </w:rPr>
        <w:t>questions.</w:t>
        <w:tab/>
        <w:t>If you need further assistance, you may contact me at</w:t>
      </w:r>
    </w:p>
    <w:p>
      <w:pPr>
        <w:spacing w:after="0" w:line="5" w:lineRule="exact"/>
        <w:rPr>
          <w:sz w:val="20"/>
          <w:szCs w:val="20"/>
          <w:color w:val="auto"/>
        </w:rPr>
      </w:pPr>
    </w:p>
    <w:p>
      <w:pPr>
        <w:ind w:right="3359" w:firstLine="8"/>
        <w:spacing w:after="0" w:line="235"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551-3462 or Barbara C. Jacobs, Assistant Director, at (202) 551-3730.</w:t>
      </w: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Mark P. Shuman</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Branch Chief - Legal</w:t>
      </w:r>
    </w:p>
    <w:p>
      <w:pPr>
        <w:spacing w:after="0" w:line="218"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Facsimile</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Mr. Robert A. Schwed, Esq.</w:t>
      </w:r>
    </w:p>
    <w:p>
      <w:pPr>
        <w:spacing w:after="0" w:line="4" w:lineRule="exact"/>
        <w:rPr>
          <w:rFonts w:ascii="Courier New" w:cs="Courier New" w:eastAsia="Courier New" w:hAnsi="Courier New"/>
          <w:sz w:val="18"/>
          <w:szCs w:val="18"/>
          <w:color w:val="auto"/>
        </w:rPr>
      </w:pPr>
    </w:p>
    <w:p>
      <w:pPr>
        <w:ind w:left="86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Wilmer Cutler Pickering Hale and Dorr LLP 399 Park Avenue</w:t>
      </w:r>
    </w:p>
    <w:p>
      <w:pPr>
        <w:spacing w:after="0" w:line="5" w:lineRule="exact"/>
        <w:rPr>
          <w:rFonts w:ascii="Courier New" w:cs="Courier New" w:eastAsia="Courier New" w:hAnsi="Courier New"/>
          <w:sz w:val="18"/>
          <w:szCs w:val="18"/>
          <w:color w:val="auto"/>
        </w:rPr>
      </w:pPr>
    </w:p>
    <w:p>
      <w:pPr>
        <w:ind w:left="860" w:right="66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10022 Telephone: (212) 230-8800 Facsimile: (212) 230-8888</w:t>
      </w:r>
    </w:p>
    <w:sectPr>
      <w:pgSz w:w="11900" w:h="16838" w:orient="portrait"/>
      <w:cols w:equalWidth="0" w:num="1">
        <w:col w:w="10219"/>
      </w:cols>
      <w:pgMar w:left="240" w:top="136" w:right="1440" w:bottom="114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0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2019-12-14T21:12:16Z</dcterms:created>
  <dcterms:modified xsi:type="dcterms:W3CDTF">2019-12-14T21:12:16Z</dcterms:modified>
</cp:coreProperties>
</file>