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UNITED STATES 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6-K</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REPORT OF FOREIGN PRIVATE ISSUER</w:t>
      </w:r>
    </w:p>
    <w:p>
      <w:pPr>
        <w:jc w:val="center"/>
        <w:ind w:right="2259"/>
        <w:spacing w:after="0" w:line="238" w:lineRule="auto"/>
        <w:rPr>
          <w:sz w:val="20"/>
          <w:szCs w:val="20"/>
          <w:color w:val="auto"/>
        </w:rPr>
      </w:pPr>
      <w:r>
        <w:rPr>
          <w:rFonts w:ascii="Courier New" w:cs="Courier New" w:eastAsia="Courier New" w:hAnsi="Courier New"/>
          <w:sz w:val="17"/>
          <w:szCs w:val="17"/>
          <w:color w:val="auto"/>
        </w:rPr>
        <w:t>PURSUANT TO RULE 13A-16 OR 15D-16 OF</w:t>
      </w:r>
    </w:p>
    <w:p>
      <w:pPr>
        <w:jc w:val="center"/>
        <w:ind w:right="2159"/>
        <w:spacing w:after="0" w:line="238" w:lineRule="auto"/>
        <w:rPr>
          <w:sz w:val="20"/>
          <w:szCs w:val="20"/>
          <w:color w:val="auto"/>
        </w:rPr>
      </w:pPr>
      <w:r>
        <w:rPr>
          <w:rFonts w:ascii="Courier New" w:cs="Courier New" w:eastAsia="Courier New" w:hAnsi="Courier New"/>
          <w:sz w:val="17"/>
          <w:szCs w:val="17"/>
          <w:color w:val="auto"/>
        </w:rPr>
        <w:t>THE SECURITIES EXCHANGE ACT OF 1934</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the Quarter Ended March 31, 2008</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Commission File Number 1-14840</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Suite 5, Tower Hill House Le Bordage</w:t>
      </w:r>
    </w:p>
    <w:p>
      <w:pPr>
        <w:jc w:val="center"/>
        <w:ind w:right="2159"/>
        <w:spacing w:after="0" w:line="238" w:lineRule="auto"/>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Amdocs, Inc.</w:t>
      </w:r>
    </w:p>
    <w:p>
      <w:pPr>
        <w:jc w:val="center"/>
        <w:ind w:right="2159"/>
        <w:spacing w:after="0" w:line="238" w:lineRule="auto"/>
        <w:rPr>
          <w:sz w:val="20"/>
          <w:szCs w:val="20"/>
          <w:color w:val="auto"/>
        </w:rPr>
      </w:pPr>
      <w:r>
        <w:rPr>
          <w:rFonts w:ascii="Courier New" w:cs="Courier New" w:eastAsia="Courier New" w:hAnsi="Courier New"/>
          <w:sz w:val="17"/>
          <w:szCs w:val="17"/>
          <w:color w:val="auto"/>
        </w:rPr>
        <w:t>1390 Timberlake Manor Parkway, Chesterfield, Missouri 63017</w:t>
      </w:r>
    </w:p>
    <w:p>
      <w:pPr>
        <w:jc w:val="center"/>
        <w:ind w:right="2259"/>
        <w:spacing w:after="0" w:line="238" w:lineRule="auto"/>
        <w:rPr>
          <w:sz w:val="20"/>
          <w:szCs w:val="20"/>
          <w:color w:val="auto"/>
        </w:rPr>
      </w:pPr>
      <w:r>
        <w:rPr>
          <w:rFonts w:ascii="Courier New" w:cs="Courier New" w:eastAsia="Courier New" w:hAnsi="Courier New"/>
          <w:sz w:val="17"/>
          <w:szCs w:val="17"/>
          <w:color w:val="auto"/>
        </w:rPr>
        <w:t>(Address of principal executive offices)</w:t>
      </w:r>
    </w:p>
    <w:p>
      <w:pPr>
        <w:spacing w:after="0" w:line="197"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190" w:lineRule="exact"/>
        <w:rPr>
          <w:sz w:val="24"/>
          <w:szCs w:val="24"/>
          <w:color w:val="auto"/>
        </w:rPr>
      </w:pPr>
    </w:p>
    <w:p>
      <w:pPr>
        <w:ind w:left="2380"/>
        <w:spacing w:after="0"/>
        <w:tabs>
          <w:tab w:leader="none" w:pos="3560" w:val="left"/>
          <w:tab w:leader="none" w:pos="3960" w:val="left"/>
        </w:tabs>
        <w:rPr>
          <w:sz w:val="20"/>
          <w:szCs w:val="20"/>
          <w:color w:val="auto"/>
        </w:rPr>
      </w:pPr>
      <w:r>
        <w:rPr>
          <w:rFonts w:ascii="Courier New" w:cs="Courier New" w:eastAsia="Courier New" w:hAnsi="Courier New"/>
          <w:sz w:val="17"/>
          <w:szCs w:val="17"/>
          <w:color w:val="auto"/>
        </w:rPr>
        <w:t>FORM 20-F</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FORM 40-F</w:t>
      </w:r>
    </w:p>
    <w:p>
      <w:pPr>
        <w:ind w:left="3380"/>
        <w:spacing w:after="0" w:line="238" w:lineRule="auto"/>
        <w:tabs>
          <w:tab w:leader="none" w:pos="49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7"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101(b)(1):</w:t>
      </w:r>
    </w:p>
    <w:p>
      <w:pPr>
        <w:ind w:left="43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101(b)(7):</w:t>
      </w:r>
    </w:p>
    <w:p>
      <w:pPr>
        <w:ind w:left="43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259"/>
        <w:spacing w:after="0" w:line="256"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20" w:right="1440" w:bottom="1440" w:gutter="0" w:footer="0" w:header="0"/>
        </w:sectPr>
      </w:pPr>
    </w:p>
    <w:p>
      <w:pPr>
        <w:spacing w:after="0" w:line="185"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5339"/>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center"/>
        <w:ind w:right="53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380" w:space="100"/>
            <w:col w:w="500" w:space="100"/>
            <w:col w:w="200" w:space="100"/>
            <w:col w:w="5839"/>
          </w:cols>
          <w:pgMar w:left="240" w:top="620" w:right="1440" w:bottom="1440" w:gutter="0" w:footer="0" w:header="0"/>
          <w:type w:val="continuous"/>
        </w:sectPr>
      </w:pPr>
    </w:p>
    <w:p>
      <w:pPr>
        <w:spacing w:after="0" w:line="1" w:lineRule="exact"/>
        <w:rPr>
          <w:sz w:val="24"/>
          <w:szCs w:val="24"/>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If "Yes" is marked, indicate below the file number assigned to the registrant in connection with Rule 12g3-2(b): 82- _____</w:t>
      </w:r>
    </w:p>
    <w:p>
      <w:pPr>
        <w:sectPr>
          <w:pgSz w:w="11900" w:h="16838" w:orient="portrait"/>
          <w:cols w:equalWidth="0" w:num="1">
            <w:col w:w="10219"/>
          </w:cols>
          <w:pgMar w:left="240" w:top="620" w:right="1440" w:bottom="1440" w:gutter="0" w:footer="0" w:header="0"/>
          <w:type w:val="continuous"/>
        </w:sectPr>
      </w:pPr>
    </w:p>
    <w:bookmarkStart w:id="1" w:name="page2"/>
    <w:bookmarkEnd w:id="1"/>
    <w:p>
      <w:pPr>
        <w:jc w:val="center"/>
        <w:ind w:right="2259"/>
        <w:spacing w:after="0"/>
        <w:rPr>
          <w:sz w:val="20"/>
          <w:szCs w:val="20"/>
          <w:color w:val="auto"/>
        </w:rPr>
      </w:pPr>
      <w:r>
        <w:rPr>
          <w:rFonts w:ascii="Courier New" w:cs="Courier New" w:eastAsia="Courier New" w:hAnsi="Courier New"/>
          <w:sz w:val="17"/>
          <w:szCs w:val="17"/>
          <w:color w:val="auto"/>
        </w:rPr>
        <w:t>AMDOCS LIMITED</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6-K</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FOR THE QUARTER ENDED MARCH 31, 2008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20" w:type="dxa"/>
            <w:vAlign w:val="bottom"/>
          </w:tcPr>
          <w:p>
            <w:pPr>
              <w:ind w:left="2740"/>
              <w:spacing w:after="0"/>
              <w:rPr>
                <w:sz w:val="20"/>
                <w:szCs w:val="20"/>
                <w:color w:val="auto"/>
              </w:rPr>
            </w:pPr>
            <w:r>
              <w:rPr>
                <w:rFonts w:ascii="Courier New" w:cs="Courier New" w:eastAsia="Courier New" w:hAnsi="Courier New"/>
                <w:sz w:val="17"/>
                <w:szCs w:val="17"/>
                <w:color w:val="auto"/>
              </w:rPr>
              <w:t>INDEX</w:t>
            </w:r>
          </w:p>
        </w:tc>
        <w:tc>
          <w:tcPr>
            <w:tcW w:w="500" w:type="dxa"/>
            <w:vAlign w:val="bottom"/>
          </w:tcPr>
          <w:p>
            <w:pPr>
              <w:spacing w:after="0"/>
              <w:rPr>
                <w:sz w:val="16"/>
                <w:szCs w:val="16"/>
                <w:color w:val="auto"/>
              </w:rPr>
            </w:pPr>
          </w:p>
        </w:tc>
      </w:tr>
      <w:tr>
        <w:trPr>
          <w:trHeight w:val="765"/>
        </w:trPr>
        <w:tc>
          <w:tcPr>
            <w:tcW w:w="7260" w:type="dxa"/>
            <w:vAlign w:val="bottom"/>
            <w:gridSpan w:val="3"/>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1"/>
        </w:trPr>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Financial Statements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7260" w:type="dxa"/>
            <w:vAlign w:val="bottom"/>
            <w:gridSpan w:val="3"/>
          </w:tcPr>
          <w:p>
            <w:pPr>
              <w:ind w:left="600"/>
              <w:spacing w:after="0" w:line="191" w:lineRule="exact"/>
              <w:rPr>
                <w:sz w:val="20"/>
                <w:szCs w:val="20"/>
                <w:color w:val="auto"/>
              </w:rPr>
            </w:pPr>
            <w:r>
              <w:rPr>
                <w:rFonts w:ascii="Courier New" w:cs="Courier New" w:eastAsia="Courier New" w:hAnsi="Courier New"/>
                <w:sz w:val="17"/>
                <w:szCs w:val="17"/>
                <w:color w:val="auto"/>
              </w:rPr>
              <w:t>Unaudited Consolidated Financial Statements</w:t>
            </w:r>
          </w:p>
        </w:tc>
        <w:tc>
          <w:tcPr>
            <w:tcW w:w="500" w:type="dxa"/>
            <w:vAlign w:val="bottom"/>
          </w:tcPr>
          <w:p>
            <w:pPr>
              <w:spacing w:after="0"/>
              <w:rPr>
                <w:sz w:val="16"/>
                <w:szCs w:val="16"/>
                <w:color w:val="auto"/>
              </w:rPr>
            </w:pPr>
          </w:p>
        </w:tc>
      </w:tr>
      <w:tr>
        <w:trPr>
          <w:trHeight w:val="191"/>
        </w:trPr>
        <w:tc>
          <w:tcPr>
            <w:tcW w:w="740" w:type="dxa"/>
            <w:vAlign w:val="bottom"/>
          </w:tcPr>
          <w:p>
            <w:pPr>
              <w:spacing w:after="0"/>
              <w:rPr>
                <w:sz w:val="16"/>
                <w:szCs w:val="16"/>
                <w:color w:val="auto"/>
              </w:rPr>
            </w:pPr>
          </w:p>
        </w:tc>
        <w:tc>
          <w:tcPr>
            <w:tcW w:w="652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Consolidated Balance Sheets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740" w:type="dxa"/>
            <w:vAlign w:val="bottom"/>
          </w:tcPr>
          <w:p>
            <w:pPr>
              <w:spacing w:after="0"/>
              <w:rPr>
                <w:sz w:val="16"/>
                <w:szCs w:val="16"/>
                <w:color w:val="auto"/>
              </w:rPr>
            </w:pPr>
          </w:p>
        </w:tc>
        <w:tc>
          <w:tcPr>
            <w:tcW w:w="652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Consolidated Statements of Income</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740" w:type="dxa"/>
            <w:vAlign w:val="bottom"/>
          </w:tcPr>
          <w:p>
            <w:pPr>
              <w:spacing w:after="0"/>
              <w:rPr>
                <w:sz w:val="16"/>
                <w:szCs w:val="16"/>
                <w:color w:val="auto"/>
              </w:rPr>
            </w:pPr>
          </w:p>
        </w:tc>
        <w:tc>
          <w:tcPr>
            <w:tcW w:w="652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Consolidated Statement of Changes in Shareholders' Equity</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740" w:type="dxa"/>
            <w:vAlign w:val="bottom"/>
          </w:tcPr>
          <w:p>
            <w:pPr>
              <w:spacing w:after="0"/>
              <w:rPr>
                <w:sz w:val="16"/>
                <w:szCs w:val="16"/>
                <w:color w:val="auto"/>
              </w:rPr>
            </w:pPr>
          </w:p>
        </w:tc>
        <w:tc>
          <w:tcPr>
            <w:tcW w:w="652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Consolidated Statements of Cash Flows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740" w:type="dxa"/>
            <w:vAlign w:val="bottom"/>
          </w:tcPr>
          <w:p>
            <w:pPr>
              <w:spacing w:after="0"/>
              <w:rPr>
                <w:sz w:val="16"/>
                <w:szCs w:val="16"/>
                <w:color w:val="auto"/>
              </w:rPr>
            </w:pPr>
          </w:p>
        </w:tc>
        <w:tc>
          <w:tcPr>
            <w:tcW w:w="652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Notes to Unaudited Consolidated Financial Statements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w:t>
            </w:r>
          </w:p>
        </w:tc>
        <w:tc>
          <w:tcPr>
            <w:tcW w:w="62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Operating and Financial Review and Prospects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w:t>
            </w:r>
          </w:p>
        </w:tc>
      </w:tr>
      <w:tr>
        <w:trPr>
          <w:trHeight w:val="191"/>
        </w:trPr>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PART II</w:t>
            </w:r>
          </w:p>
        </w:tc>
        <w:tc>
          <w:tcPr>
            <w:tcW w:w="65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OTHER INFORMATION</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Changes in Securities, Use of Proceeds and Issuer Purchases</w:t>
            </w:r>
          </w:p>
        </w:tc>
        <w:tc>
          <w:tcPr>
            <w:tcW w:w="500" w:type="dxa"/>
            <w:vAlign w:val="bottom"/>
          </w:tcPr>
          <w:p>
            <w:pPr>
              <w:spacing w:after="0"/>
              <w:rPr>
                <w:sz w:val="16"/>
                <w:szCs w:val="16"/>
                <w:color w:val="auto"/>
              </w:rPr>
            </w:pPr>
          </w:p>
        </w:tc>
      </w:tr>
      <w:tr>
        <w:trPr>
          <w:trHeight w:val="191"/>
        </w:trPr>
        <w:tc>
          <w:tcPr>
            <w:tcW w:w="7260" w:type="dxa"/>
            <w:vAlign w:val="bottom"/>
            <w:gridSpan w:val="3"/>
          </w:tcPr>
          <w:p>
            <w:pPr>
              <w:ind w:left="600"/>
              <w:spacing w:after="0" w:line="191" w:lineRule="exact"/>
              <w:rPr>
                <w:sz w:val="20"/>
                <w:szCs w:val="20"/>
                <w:color w:val="auto"/>
              </w:rPr>
            </w:pPr>
            <w:r>
              <w:rPr>
                <w:rFonts w:ascii="Courier New" w:cs="Courier New" w:eastAsia="Courier New" w:hAnsi="Courier New"/>
                <w:sz w:val="17"/>
                <w:szCs w:val="17"/>
                <w:color w:val="auto"/>
              </w:rPr>
              <w:t>of Equity Securities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Item</w:t>
            </w:r>
          </w:p>
        </w:tc>
        <w:tc>
          <w:tcPr>
            <w:tcW w:w="3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w:t>
            </w:r>
          </w:p>
        </w:tc>
        <w:tc>
          <w:tcPr>
            <w:tcW w:w="6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Reports on Form 6-K</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388"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AMDOCS LIMITED</w:t>
      </w:r>
    </w:p>
    <w:p>
      <w:pPr>
        <w:ind w:left="2680"/>
        <w:spacing w:after="0" w:line="238" w:lineRule="auto"/>
        <w:rPr>
          <w:sz w:val="20"/>
          <w:szCs w:val="20"/>
          <w:color w:val="auto"/>
        </w:rPr>
      </w:pPr>
      <w:r>
        <w:rPr>
          <w:rFonts w:ascii="Courier New" w:cs="Courier New" w:eastAsia="Courier New" w:hAnsi="Courier New"/>
          <w:sz w:val="17"/>
          <w:szCs w:val="17"/>
          <w:color w:val="auto"/>
        </w:rPr>
        <w:t>CONSOLIDATED BALANCE SHEETS</w:t>
      </w:r>
    </w:p>
    <w:p>
      <w:pPr>
        <w:ind w:left="900"/>
        <w:spacing w:after="0" w:line="238" w:lineRule="auto"/>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OF</w:t>
            </w:r>
          </w:p>
        </w:tc>
        <w:tc>
          <w:tcPr>
            <w:tcW w:w="1040" w:type="dxa"/>
            <w:vAlign w:val="bottom"/>
          </w:tcPr>
          <w:p>
            <w:pPr>
              <w:spacing w:after="0"/>
              <w:rPr>
                <w:sz w:val="16"/>
                <w:szCs w:val="16"/>
                <w:color w:val="auto"/>
              </w:rPr>
            </w:pPr>
          </w:p>
        </w:tc>
      </w:tr>
      <w:tr>
        <w:trPr>
          <w:trHeight w:val="191"/>
        </w:trPr>
        <w:tc>
          <w:tcPr>
            <w:tcW w:w="5520" w:type="dxa"/>
            <w:vAlign w:val="bottom"/>
          </w:tcPr>
          <w:p>
            <w:pPr>
              <w:spacing w:after="0"/>
              <w:rPr>
                <w:sz w:val="16"/>
                <w:szCs w:val="16"/>
                <w:color w:val="auto"/>
              </w:rPr>
            </w:pPr>
          </w:p>
        </w:tc>
        <w:tc>
          <w:tcPr>
            <w:tcW w:w="28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spacing w:after="0"/>
              <w:rPr>
                <w:sz w:val="16"/>
                <w:szCs w:val="16"/>
                <w:color w:val="auto"/>
              </w:rPr>
            </w:pPr>
          </w:p>
        </w:tc>
        <w:tc>
          <w:tcPr>
            <w:tcW w:w="14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MARCH 31,</w:t>
            </w: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2008</w:t>
            </w:r>
          </w:p>
        </w:tc>
        <w:tc>
          <w:tcPr>
            <w:tcW w:w="3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(UNAUDITED)</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3"/>
        </w:trPr>
        <w:tc>
          <w:tcPr>
            <w:tcW w:w="55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340" w:type="dxa"/>
            <w:vAlign w:val="bottom"/>
          </w:tcPr>
          <w:p>
            <w:pPr>
              <w:ind w:left="260"/>
              <w:spacing w:after="0"/>
              <w:rPr>
                <w:sz w:val="20"/>
                <w:szCs w:val="20"/>
                <w:color w:val="auto"/>
              </w:rPr>
            </w:pPr>
            <w:r>
              <w:rPr>
                <w:rFonts w:ascii="Courier New" w:cs="Courier New" w:eastAsia="Courier New" w:hAnsi="Courier New"/>
                <w:sz w:val="13"/>
                <w:szCs w:val="13"/>
                <w:color w:val="auto"/>
                <w:w w:val="76"/>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680,670</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615,501</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Short-term interest-bearing investments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501,127</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563,779</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 receivable, net</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568,503</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473,847</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income taxes and taxes receivable</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108,959</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117,623</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113,463</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98,746</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1,972,722</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1,869,496</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Equipment, vehicles and leasehold improvements, net</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296,288</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283,839</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201,626</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192,761</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1,487,626</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1,489,132</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Intangible assets, net</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284,720</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303,456</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noncurrent assets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262,421</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206,666</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assets</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$4,505,403</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$ 4,345,350</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340" w:type="dxa"/>
            <w:vAlign w:val="bottom"/>
          </w:tcPr>
          <w:p>
            <w:pPr>
              <w:ind w:left="260"/>
              <w:spacing w:after="0"/>
              <w:rPr>
                <w:sz w:val="20"/>
                <w:szCs w:val="20"/>
                <w:color w:val="auto"/>
              </w:rPr>
            </w:pPr>
            <w:r>
              <w:rPr>
                <w:rFonts w:ascii="Courier New" w:cs="Courier New" w:eastAsia="Courier New" w:hAnsi="Courier New"/>
                <w:sz w:val="13"/>
                <w:szCs w:val="13"/>
                <w:color w:val="auto"/>
                <w:w w:val="76"/>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186,138</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192,395</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Accrued expenses and other current liabilities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222,970</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222,616</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Accrued personnel costs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172,329</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177,926</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Short-term portion of financing arrangements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2,178</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2,055</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revenue</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209,226</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174,526</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income taxes and taxes payable</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35,882</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205,960</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828,723</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975,478</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Convertible notes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450,000</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450,000</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income taxes and taxes payable</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289,259</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122,983</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Noncurrent liabilities and other</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213,727</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196,646</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liabilities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1,781,709</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1,745,107</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Shareholders' equity: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Preferred Shares - Authorized 25,000 shares;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L0.01 par value; 0 shares issued and outstanding</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Ordinary Shares - Authorized 550,000 shares;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L0.01 par value; 239,426 and 238,312 issued and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207,050 and 209,762 outstanding, respectively</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3,871</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3,850</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2,212,700</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2,168,234</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Treasury stock, at cost -32,376 and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28,550 Ordinary Shares, respectively</w:t>
            </w:r>
          </w:p>
        </w:tc>
        <w:tc>
          <w:tcPr>
            <w:tcW w:w="34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(774,670)</w:t>
            </w:r>
          </w:p>
        </w:tc>
        <w:tc>
          <w:tcPr>
            <w:tcW w:w="3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(652,229)</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Accumulated other comprehensive income</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6,571</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689</w:t>
            </w:r>
          </w:p>
        </w:tc>
      </w:tr>
      <w:tr>
        <w:trPr>
          <w:trHeight w:val="191"/>
        </w:trPr>
        <w:tc>
          <w:tcPr>
            <w:tcW w:w="55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Retained earnings</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1,275,222</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1,079,699</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shareholders' equity</w:t>
            </w:r>
          </w:p>
        </w:tc>
        <w:tc>
          <w:tcPr>
            <w:tcW w:w="34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2,723,694</w:t>
            </w:r>
          </w:p>
        </w:tc>
        <w:tc>
          <w:tcPr>
            <w:tcW w:w="360" w:type="dxa"/>
            <w:vAlign w:val="bottom"/>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2,600,243</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liabilities and shareholders' equity</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$4,505,403</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$ 4,345,350</w:t>
            </w:r>
          </w:p>
        </w:tc>
      </w:tr>
      <w:tr>
        <w:trPr>
          <w:trHeight w:val="191"/>
        </w:trPr>
        <w:tc>
          <w:tcPr>
            <w:tcW w:w="55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jc w:val="center"/>
        <w:ind w:right="2159"/>
        <w:spacing w:after="0" w:line="238" w:lineRule="auto"/>
        <w:rPr>
          <w:sz w:val="20"/>
          <w:szCs w:val="20"/>
          <w:color w:val="auto"/>
        </w:rPr>
      </w:pPr>
      <w:r>
        <w:rPr>
          <w:rFonts w:ascii="Courier New" w:cs="Courier New" w:eastAsia="Courier New" w:hAnsi="Courier New"/>
          <w:sz w:val="17"/>
          <w:szCs w:val="17"/>
          <w:color w:val="auto"/>
        </w:rPr>
        <w:t>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3" w:name="page4"/>
    <w:bookmarkEnd w:id="3"/>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159"/>
        <w:spacing w:after="0" w:line="238" w:lineRule="auto"/>
        <w:rPr>
          <w:sz w:val="20"/>
          <w:szCs w:val="20"/>
          <w:color w:val="auto"/>
        </w:rPr>
      </w:pPr>
      <w:r>
        <w:rPr>
          <w:rFonts w:ascii="Courier New" w:cs="Courier New" w:eastAsia="Courier New" w:hAnsi="Courier New"/>
          <w:sz w:val="17"/>
          <w:szCs w:val="17"/>
          <w:color w:val="auto"/>
        </w:rPr>
        <w:t>CONSOLIDATED STATEMENTS OF INCOME (UNAUDITED)</w:t>
      </w:r>
    </w:p>
    <w:tbl>
      <w:tblPr>
        <w:tblLayout w:type="fixed"/>
        <w:tblInd w:w="0" w:type="dxa"/>
        <w:tblCellMar>
          <w:top w:w="0" w:type="dxa"/>
          <w:left w:w="0" w:type="dxa"/>
          <w:bottom w:w="0" w:type="dxa"/>
          <w:right w:w="0" w:type="dxa"/>
        </w:tblCellMar>
      </w:tblPr>
      <w:tr>
        <w:trPr>
          <w:trHeight w:val="192"/>
        </w:trPr>
        <w:tc>
          <w:tcPr>
            <w:tcW w:w="7600" w:type="dxa"/>
            <w:vAlign w:val="bottom"/>
            <w:gridSpan w:val="5"/>
          </w:tcPr>
          <w:p>
            <w:pPr>
              <w:jc w:val="right"/>
              <w:ind w:right="457"/>
              <w:spacing w:after="0" w:line="191" w:lineRule="exact"/>
              <w:rPr>
                <w:sz w:val="20"/>
                <w:szCs w:val="20"/>
                <w:color w:val="auto"/>
              </w:rPr>
            </w:pPr>
            <w:r>
              <w:rPr>
                <w:rFonts w:ascii="Courier New" w:cs="Courier New" w:eastAsia="Courier New" w:hAnsi="Courier New"/>
                <w:sz w:val="17"/>
                <w:szCs w:val="17"/>
                <w:color w:val="auto"/>
              </w:rPr>
              <w:t>(dollar and share amounts in thousands, except per share data)</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65"/>
        </w:trPr>
        <w:tc>
          <w:tcPr>
            <w:tcW w:w="5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right"/>
              <w:ind w:right="57"/>
              <w:spacing w:after="0"/>
              <w:rPr>
                <w:sz w:val="20"/>
                <w:szCs w:val="20"/>
                <w:color w:val="auto"/>
              </w:rPr>
            </w:pPr>
            <w:r>
              <w:rPr>
                <w:rFonts w:ascii="Courier New" w:cs="Courier New" w:eastAsia="Courier New" w:hAnsi="Courier New"/>
                <w:sz w:val="17"/>
                <w:szCs w:val="17"/>
                <w:color w:val="auto"/>
                <w:w w:val="95"/>
              </w:rPr>
              <w:t>THREE MONTHS ENDED</w:t>
            </w:r>
          </w:p>
        </w:tc>
        <w:tc>
          <w:tcPr>
            <w:tcW w:w="260" w:type="dxa"/>
            <w:vAlign w:val="bottom"/>
          </w:tcPr>
          <w:p>
            <w:pPr>
              <w:spacing w:after="0"/>
              <w:rPr>
                <w:sz w:val="24"/>
                <w:szCs w:val="24"/>
                <w:color w:val="auto"/>
              </w:rPr>
            </w:pPr>
          </w:p>
        </w:tc>
        <w:tc>
          <w:tcPr>
            <w:tcW w:w="2180" w:type="dxa"/>
            <w:vAlign w:val="bottom"/>
            <w:gridSpan w:val="3"/>
          </w:tcPr>
          <w:p>
            <w:pPr>
              <w:jc w:val="right"/>
              <w:ind w:right="2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MARCH</w:t>
            </w:r>
          </w:p>
        </w:tc>
        <w:tc>
          <w:tcPr>
            <w:tcW w:w="9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31,</w:t>
            </w:r>
          </w:p>
        </w:tc>
        <w:tc>
          <w:tcPr>
            <w:tcW w:w="2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MARCH</w:t>
            </w:r>
          </w:p>
        </w:tc>
        <w:tc>
          <w:tcPr>
            <w:tcW w:w="10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420" w:type="dxa"/>
            <w:vAlign w:val="bottom"/>
          </w:tcPr>
          <w:p>
            <w:pPr>
              <w:spacing w:after="0"/>
              <w:rPr>
                <w:sz w:val="16"/>
                <w:szCs w:val="16"/>
                <w:color w:val="auto"/>
              </w:rPr>
            </w:pPr>
          </w:p>
        </w:tc>
        <w:tc>
          <w:tcPr>
            <w:tcW w:w="21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4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2008</w:t>
            </w:r>
          </w:p>
        </w:tc>
        <w:tc>
          <w:tcPr>
            <w:tcW w:w="1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6"/>
                <w:szCs w:val="16"/>
                <w:color w:val="auto"/>
              </w:rPr>
            </w:pPr>
          </w:p>
        </w:tc>
        <w:tc>
          <w:tcPr>
            <w:tcW w:w="1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2008</w:t>
            </w:r>
          </w:p>
        </w:tc>
        <w:tc>
          <w:tcPr>
            <w:tcW w:w="1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License</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$ 32,109</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$ 37,526</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58,326</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69,270</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Service</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742,172</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668,835</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1,458,205</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1,328,123</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774,281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706,361</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1,516,531</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1,397,393</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938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1,016</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1,712</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2,085</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493,956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446,860</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964,697</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881,981</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56,088</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57,734</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112,103</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118,202</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98,666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91,280</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196,331</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180,450</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Amortization of purchased intangible assets</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21,753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18,912</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43,506</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36,610</w:t>
            </w:r>
          </w:p>
        </w:tc>
      </w:tr>
      <w:tr>
        <w:trPr>
          <w:trHeight w:val="191"/>
        </w:trPr>
        <w:tc>
          <w:tcPr>
            <w:tcW w:w="5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Restructuring charges, in-process research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development and other</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6,761</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6,761</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671,401</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622,563</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1,318,349</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1,226,089</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102,880</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83,798</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198,182</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171,304</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 and other, net</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8,822</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10,899</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17,638</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22,638</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111,702</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94,697</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215,820</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193,942</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11,843</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7,526</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20,297</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13,429</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$ 99,859</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$ 87,171</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195,523</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180,513</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share</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0.48</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0.94</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0.87</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share</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0.46</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0.40</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0.89</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0.82</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weighted average number of shares outstanding</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206,759</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207,293</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207,437</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206,867</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Diluted weighted average number of shares outstanding</w:t>
            </w:r>
          </w:p>
        </w:tc>
        <w:tc>
          <w:tcPr>
            <w:tcW w:w="26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2"/>
              </w:rPr>
              <w:t>219,786</w:t>
            </w:r>
          </w:p>
        </w:tc>
        <w:tc>
          <w:tcPr>
            <w:tcW w:w="14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222,499</w:t>
            </w:r>
          </w:p>
        </w:tc>
        <w:tc>
          <w:tcPr>
            <w:tcW w:w="26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220,912</w:t>
            </w:r>
          </w:p>
        </w:tc>
        <w:tc>
          <w:tcPr>
            <w:tcW w:w="1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222,608</w:t>
            </w:r>
          </w:p>
        </w:tc>
      </w:tr>
      <w:tr>
        <w:trPr>
          <w:trHeight w:val="191"/>
        </w:trPr>
        <w:tc>
          <w:tcPr>
            <w:tcW w:w="5420" w:type="dxa"/>
            <w:vAlign w:val="bottom"/>
          </w:tcPr>
          <w:p>
            <w:pPr>
              <w:spacing w:after="0"/>
              <w:rPr>
                <w:sz w:val="16"/>
                <w:szCs w:val="16"/>
                <w:color w:val="auto"/>
              </w:rPr>
            </w:pP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bl>
    <w:p>
      <w:pPr>
        <w:spacing w:after="0" w:line="38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jc w:val="center"/>
        <w:ind w:right="2159"/>
        <w:spacing w:after="0" w:line="238" w:lineRule="auto"/>
        <w:rPr>
          <w:sz w:val="20"/>
          <w:szCs w:val="20"/>
          <w:color w:val="auto"/>
        </w:rPr>
      </w:pPr>
      <w:r>
        <w:rPr>
          <w:rFonts w:ascii="Courier New" w:cs="Courier New" w:eastAsia="Courier New" w:hAnsi="Courier New"/>
          <w:sz w:val="17"/>
          <w:szCs w:val="17"/>
          <w:color w:val="auto"/>
        </w:rPr>
        <w:t>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4" w:name="page5"/>
    <w:bookmarkEnd w:id="4"/>
    <w:p>
      <w:pPr>
        <w:jc w:val="center"/>
        <w:ind w:right="3560"/>
        <w:spacing w:after="0"/>
        <w:rPr>
          <w:sz w:val="20"/>
          <w:szCs w:val="20"/>
          <w:color w:val="auto"/>
        </w:rPr>
      </w:pPr>
      <w:r>
        <w:rPr>
          <w:rFonts w:ascii="Courier New" w:cs="Courier New" w:eastAsia="Courier New" w:hAnsi="Courier New"/>
          <w:sz w:val="17"/>
          <w:szCs w:val="17"/>
          <w:color w:val="auto"/>
        </w:rPr>
        <w:t>AMDOCS LIMITED</w:t>
      </w:r>
    </w:p>
    <w:p>
      <w:pPr>
        <w:spacing w:after="0" w:line="19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CONSOLIDATED STATEMENT OF CHANGES IN SHAREHOLDERS' EQUITY (UNAUDITED)</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(dollar and share amounts in thousands)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7"/>
                <w:szCs w:val="17"/>
                <w:color w:val="auto"/>
                <w:w w:val="97"/>
              </w:rPr>
              <w:t>Accumulated</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spacing w:after="0"/>
              <w:rPr>
                <w:sz w:val="16"/>
                <w:szCs w:val="16"/>
                <w:color w:val="auto"/>
              </w:rPr>
            </w:pPr>
          </w:p>
        </w:tc>
        <w:tc>
          <w:tcPr>
            <w:tcW w:w="20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Ordinary Shares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Additional</w:t>
            </w:r>
          </w:p>
        </w:tc>
        <w:tc>
          <w:tcPr>
            <w:tcW w:w="124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Other</w:t>
            </w:r>
          </w:p>
        </w:tc>
        <w:tc>
          <w:tcPr>
            <w:tcW w:w="1300" w:type="dxa"/>
            <w:vAlign w:val="bottom"/>
          </w:tcPr>
          <w:p>
            <w:pPr>
              <w:spacing w:after="0"/>
              <w:rPr>
                <w:sz w:val="16"/>
                <w:szCs w:val="16"/>
                <w:color w:val="auto"/>
              </w:rPr>
            </w:pPr>
          </w:p>
        </w:tc>
        <w:tc>
          <w:tcPr>
            <w:tcW w:w="14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26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Paid-in</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Treasury</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Comprehensive</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Retained</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Shareholders'</w:t>
            </w:r>
          </w:p>
        </w:tc>
      </w:tr>
      <w:tr>
        <w:trPr>
          <w:trHeight w:val="191"/>
        </w:trPr>
        <w:tc>
          <w:tcPr>
            <w:tcW w:w="2640" w:type="dxa"/>
            <w:vAlign w:val="bottom"/>
          </w:tcPr>
          <w:p>
            <w:pPr>
              <w:spacing w:after="0"/>
              <w:rPr>
                <w:sz w:val="16"/>
                <w:szCs w:val="16"/>
                <w:color w:val="auto"/>
              </w:rPr>
            </w:pP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Shares</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Amount</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Capital</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Stock</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Income</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Earnings</w:t>
            </w:r>
          </w:p>
        </w:tc>
        <w:tc>
          <w:tcPr>
            <w:tcW w:w="14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Equity</w:t>
            </w:r>
          </w:p>
        </w:tc>
      </w:tr>
      <w:tr>
        <w:trPr>
          <w:trHeight w:val="191"/>
        </w:trPr>
        <w:tc>
          <w:tcPr>
            <w:tcW w:w="2640" w:type="dxa"/>
            <w:vAlign w:val="bottom"/>
          </w:tcPr>
          <w:p>
            <w:pPr>
              <w:spacing w:after="0"/>
              <w:rPr>
                <w:sz w:val="16"/>
                <w:szCs w:val="16"/>
                <w:color w:val="auto"/>
              </w:rPr>
            </w:pP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BALANCE AS OF</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SEPTEMBER 30, 2007</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209,762</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$3,850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$2,168,234</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$(652,229)</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689</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$1,079,699</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$2,600,243</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Comprehensive income:</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195,523</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195,523</w:t>
            </w: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Unrealized gain on</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foreign currency</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hedging contracts,</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net of $2,282 tax</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7,416</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7,416</w:t>
            </w: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Unrealized loss on</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short-term</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interest-bearing</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investments, net of</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$(325) tax</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(1,534)</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w:t>
            </w:r>
          </w:p>
        </w:tc>
      </w:tr>
      <w:tr>
        <w:trPr>
          <w:trHeight w:val="191"/>
        </w:trPr>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Comprehensive income</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201,405</w:t>
            </w:r>
          </w:p>
        </w:tc>
      </w:tr>
      <w:tr>
        <w:trPr>
          <w:trHeight w:val="191"/>
        </w:trPr>
        <w:tc>
          <w:tcPr>
            <w:tcW w:w="2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stock options</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exercised</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790</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15,715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15,730</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Repurchase of shares</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(3,826)</w:t>
            </w: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(122,441)</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(122,441)</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Issuance of restricted</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net of</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forfeitures</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324</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Tax benefit of stock</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options exercised</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1,122</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Equity-based compensation</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expense related to</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employees</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27,629</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27,629</w:t>
            </w:r>
          </w:p>
        </w:tc>
      </w:tr>
      <w:tr>
        <w:trPr>
          <w:trHeight w:val="191"/>
        </w:trPr>
        <w:tc>
          <w:tcPr>
            <w:tcW w:w="26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AS OF  MARCH 31,</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2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2008</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207,050</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$3,871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$2,212,700</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$(774,670)</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$ 6,571</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$1,275,222</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$2,723,694</w:t>
            </w:r>
          </w:p>
        </w:tc>
      </w:tr>
      <w:tr>
        <w:trPr>
          <w:trHeight w:val="191"/>
        </w:trPr>
        <w:tc>
          <w:tcPr>
            <w:tcW w:w="26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3960"/>
        <w:spacing w:after="0" w:line="254" w:lineRule="auto"/>
        <w:rPr>
          <w:sz w:val="20"/>
          <w:szCs w:val="20"/>
          <w:color w:val="auto"/>
        </w:rPr>
      </w:pPr>
      <w:r>
        <w:rPr>
          <w:rFonts w:ascii="Courier New" w:cs="Courier New" w:eastAsia="Courier New" w:hAnsi="Courier New"/>
          <w:sz w:val="16"/>
          <w:szCs w:val="16"/>
          <w:color w:val="auto"/>
        </w:rPr>
        <w:t>As of March 31, 2008 and September 30, 2007, accumulated other comprehensive income is comprised of unrealized gain (loss) on foreign currency hedging contracts, net of tax, of $6,837 and $(579), respectively, unrealized (loss) gain on cash equivalents and short-term interest-bearing investments, net of tax, of $(993) and $541, respectively and adjustment to accumulated other comprehensive income upon adoption of statement 158, net of tax, of $727.</w:t>
      </w:r>
    </w:p>
    <w:p>
      <w:pPr>
        <w:spacing w:after="0" w:line="181"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jc w:val="center"/>
        <w:ind w:right="3460"/>
        <w:spacing w:after="0" w:line="238" w:lineRule="auto"/>
        <w:rPr>
          <w:sz w:val="20"/>
          <w:szCs w:val="20"/>
          <w:color w:val="auto"/>
        </w:rPr>
      </w:pPr>
      <w:r>
        <w:rPr>
          <w:rFonts w:ascii="Courier New" w:cs="Courier New" w:eastAsia="Courier New" w:hAnsi="Courier New"/>
          <w:sz w:val="17"/>
          <w:szCs w:val="17"/>
          <w:color w:val="auto"/>
        </w:rPr>
        <w:t>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683" w:right="139" w:bottom="1440" w:gutter="0" w:footer="0" w:header="0"/>
        </w:sectPr>
      </w:pPr>
    </w:p>
    <w:bookmarkStart w:id="5" w:name="page6"/>
    <w:bookmarkEnd w:id="5"/>
    <w:p>
      <w:pPr>
        <w:jc w:val="center"/>
        <w:ind w:right="2259"/>
        <w:spacing w:after="0"/>
        <w:rPr>
          <w:sz w:val="20"/>
          <w:szCs w:val="20"/>
          <w:color w:val="auto"/>
        </w:rPr>
      </w:pPr>
      <w:r>
        <w:rPr>
          <w:rFonts w:ascii="Courier New" w:cs="Courier New" w:eastAsia="Courier New" w:hAnsi="Courier New"/>
          <w:sz w:val="17"/>
          <w:szCs w:val="17"/>
          <w:color w:val="auto"/>
        </w:rPr>
        <w:t>AMDOCS LIMITED</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(dollar amounts in thousands)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 MARCH 31,</w:t>
            </w:r>
          </w:p>
        </w:tc>
      </w:tr>
      <w:tr>
        <w:trPr>
          <w:trHeight w:val="191"/>
        </w:trPr>
        <w:tc>
          <w:tcPr>
            <w:tcW w:w="5620" w:type="dxa"/>
            <w:vAlign w:val="bottom"/>
          </w:tcPr>
          <w:p>
            <w:pPr>
              <w:spacing w:after="0"/>
              <w:rPr>
                <w:sz w:val="16"/>
                <w:szCs w:val="16"/>
                <w:color w:val="auto"/>
              </w:rPr>
            </w:pPr>
          </w:p>
        </w:tc>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2008</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62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$ 195,523</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$ 180,513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Reconciliation of net income to net cash provided by</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operating activities:</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94,202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77,805</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In-process research and development and other</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750</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Loss (gain) on sale of equipment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(278)</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Equity-based compensation expense</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27,629</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27,291</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(4,255)</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(8,674)</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Excess tax benefit from equity-based compensation</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(265)</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Loss (gain) from short-term interest-bearing</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investments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1,755</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(1,289)</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changes in operating assets and liabilities, net of</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amounts acquired:</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(125,634)</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(54,825)</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(4,624)</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(695)</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Other noncurrent assets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(24,963)</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(11,666)</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 payable and accrued expenses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(11,079)</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933</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Deferred revenue</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30,817</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taxes payable</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(4,694)</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(22,671)</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Noncurrent liabilities and other</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15,790</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3,271</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190,445</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190,278</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 FROM INVESTING ACTIVITIES:</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Proceeds from sale of equipment, vehicles and leasehold</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improvements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673</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1,347</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Payments for purchase of equipment, vehicles and</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leasehold improvements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(69,126)</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(84,889)</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 sale of short-term interest-bearing</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investments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360,297</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440,440</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short-term interest-bearing investments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(301,260)</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(484,753)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paid for acquisitions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(9,242)</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(77,598)</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(18,658)</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(205,453)</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 FROM FINANCING ACTIVITIES:</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 employee stock options exercised</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15,736</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28,953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tax benefit from equity-based compensation</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265</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Repurchase of shares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(122,441)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(used in) provided by financing activities</w:t>
            </w: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(106,618)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29,218</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in cash and cash equivalents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65,169</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14,043</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at beginning of period</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615,501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607,187</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at end of period</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$ 680,670</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$ 621,230</w:t>
            </w:r>
          </w:p>
        </w:tc>
      </w:tr>
      <w:tr>
        <w:trPr>
          <w:trHeight w:val="191"/>
        </w:trPr>
        <w:tc>
          <w:tcPr>
            <w:tcW w:w="5620" w:type="dxa"/>
            <w:vAlign w:val="bottom"/>
          </w:tcPr>
          <w:p>
            <w:pPr>
              <w:spacing w:after="0"/>
              <w:rPr>
                <w:sz w:val="16"/>
                <w:szCs w:val="16"/>
                <w:color w:val="auto"/>
              </w:rPr>
            </w:pP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SUPPLEMENTARY CASH FLOW INFORMATION</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paid for:</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taxes, net of refunds</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26,121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38,351</w:t>
            </w:r>
          </w:p>
        </w:tc>
      </w:tr>
      <w:tr>
        <w:trPr>
          <w:trHeight w:val="191"/>
        </w:trPr>
        <w:tc>
          <w:tcPr>
            <w:tcW w:w="56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Interest</w:t>
            </w:r>
          </w:p>
        </w:tc>
        <w:tc>
          <w:tcPr>
            <w:tcW w:w="1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2,011</w:t>
            </w:r>
          </w:p>
        </w:tc>
      </w:tr>
    </w:tbl>
    <w:p>
      <w:pPr>
        <w:spacing w:after="0" w:line="381"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jc w:val="center"/>
        <w:ind w:right="2159"/>
        <w:spacing w:after="0" w:line="238" w:lineRule="auto"/>
        <w:rPr>
          <w:sz w:val="20"/>
          <w:szCs w:val="20"/>
          <w:color w:val="auto"/>
        </w:rPr>
      </w:pPr>
      <w:r>
        <w:rPr>
          <w:rFonts w:ascii="Courier New" w:cs="Courier New" w:eastAsia="Courier New" w:hAnsi="Courier New"/>
          <w:sz w:val="17"/>
          <w:szCs w:val="17"/>
          <w:color w:val="auto"/>
        </w:rPr>
        <w:t>statements.</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6" w:name="page7"/>
    <w:bookmarkEnd w:id="6"/>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6" w:lineRule="exact"/>
        <w:rPr>
          <w:sz w:val="20"/>
          <w:szCs w:val="20"/>
          <w:color w:val="auto"/>
        </w:rPr>
      </w:pPr>
    </w:p>
    <w:p>
      <w:pPr>
        <w:ind w:left="500" w:right="2259" w:firstLine="497"/>
        <w:spacing w:after="0" w:line="254"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8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98"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98"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2007, set forth in the Company's Annual Report on Form 20-F filed with the U.S. Securities and Exchange Commission (the "SEC").</w:t>
      </w:r>
    </w:p>
    <w:p>
      <w:pPr>
        <w:spacing w:after="0" w:line="19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Reclassification</w:t>
      </w:r>
    </w:p>
    <w:p>
      <w:pPr>
        <w:spacing w:after="0" w:line="196" w:lineRule="exact"/>
        <w:rPr>
          <w:sz w:val="20"/>
          <w:szCs w:val="20"/>
          <w:color w:val="auto"/>
        </w:rPr>
      </w:pPr>
    </w:p>
    <w:p>
      <w:pPr>
        <w:ind w:left="500" w:right="3259" w:firstLine="497"/>
        <w:spacing w:after="0" w:line="235" w:lineRule="auto"/>
        <w:rPr>
          <w:sz w:val="20"/>
          <w:szCs w:val="20"/>
          <w:color w:val="auto"/>
        </w:rPr>
      </w:pPr>
      <w:r>
        <w:rPr>
          <w:rFonts w:ascii="Courier New" w:cs="Courier New" w:eastAsia="Courier New" w:hAnsi="Courier New"/>
          <w:sz w:val="17"/>
          <w:szCs w:val="17"/>
          <w:color w:val="auto"/>
        </w:rPr>
        <w:t>Certain amounts in prior year financial statements have been reclassified to conform to the current year presentation.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RECENT ACCOUNTING PRONOUNCEMENTS</w:t>
      </w:r>
    </w:p>
    <w:p>
      <w:pPr>
        <w:spacing w:after="0" w:line="196"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In March 2008, the Financial Accounting Standards Board ("FASB") issued Statement No. 161, Disclosures about Derivative Instruments and Hedging Activities, an amendment of FASB Statement No. 133 ("SFAS 161"). SFAS 161 applies to all derivative instruments and nonderivative instruments that are designated and qualify as hedging instruments and related hedged items accounted for under FASB Statement No. 133, Accounting for Derivative Instruments and Hedging Activities ("Statement 133"). SFAS 161 requires entities to provide greater transparency through additional disclosures about (a) how and why an entity uses derivative instruments,</w:t>
      </w:r>
    </w:p>
    <w:p>
      <w:pPr>
        <w:spacing w:after="0" w:line="2" w:lineRule="exact"/>
        <w:rPr>
          <w:sz w:val="20"/>
          <w:szCs w:val="20"/>
          <w:color w:val="auto"/>
        </w:rPr>
      </w:pPr>
    </w:p>
    <w:p>
      <w:pPr>
        <w:ind w:left="500" w:right="2259" w:hanging="1"/>
        <w:spacing w:after="0" w:line="237" w:lineRule="auto"/>
        <w:tabs>
          <w:tab w:leader="none" w:pos="89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how derivative instruments and related hedged items are accounted for under Statement 133 and its related interpretations, and (c) how derivative instruments and related hedged items affect an entity's financial position, results of operations, and cash flows. SFAS 161 is effective for financial statements issued for fiscal years and interim periods beginning after November 15, 2008. Although SFAS 161 requires the Company to make additional disclosures, it does not affect the underlying accounting policy or the application thereof.</w:t>
      </w:r>
    </w:p>
    <w:p>
      <w:pPr>
        <w:spacing w:after="0" w:line="200" w:lineRule="exact"/>
        <w:rPr>
          <w:sz w:val="20"/>
          <w:szCs w:val="20"/>
          <w:color w:val="auto"/>
        </w:rPr>
      </w:pPr>
    </w:p>
    <w:p>
      <w:pPr>
        <w:ind w:left="500" w:right="2459" w:firstLine="497"/>
        <w:spacing w:after="0" w:line="237" w:lineRule="auto"/>
        <w:rPr>
          <w:sz w:val="20"/>
          <w:szCs w:val="20"/>
          <w:color w:val="auto"/>
        </w:rPr>
      </w:pPr>
      <w:r>
        <w:rPr>
          <w:rFonts w:ascii="Courier New" w:cs="Courier New" w:eastAsia="Courier New" w:hAnsi="Courier New"/>
          <w:sz w:val="17"/>
          <w:szCs w:val="17"/>
          <w:color w:val="auto"/>
        </w:rPr>
        <w:t>In December 2007, the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w:t>
      </w: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1440" w:gutter="0" w:footer="0" w:header="0"/>
        </w:sectPr>
      </w:pPr>
    </w:p>
    <w:bookmarkStart w:id="7" w:name="page8"/>
    <w:bookmarkEnd w:id="7"/>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6" w:lineRule="exact"/>
        <w:rPr>
          <w:sz w:val="20"/>
          <w:szCs w:val="20"/>
          <w:color w:val="auto"/>
        </w:rPr>
      </w:pPr>
    </w:p>
    <w:p>
      <w:pPr>
        <w:ind w:left="500" w:right="2459"/>
        <w:spacing w:after="0" w:line="236" w:lineRule="auto"/>
        <w:rPr>
          <w:sz w:val="20"/>
          <w:szCs w:val="20"/>
          <w:color w:val="auto"/>
        </w:rPr>
      </w:pPr>
      <w:r>
        <w:rPr>
          <w:rFonts w:ascii="Courier New" w:cs="Courier New" w:eastAsia="Courier New" w:hAnsi="Courier New"/>
          <w:sz w:val="17"/>
          <w:szCs w:val="17"/>
          <w:color w:val="auto"/>
        </w:rPr>
        <w:t>recognizes and measures the goodwill acquired in the business combination or a gain from a bargain purchase. SFAS 141(R) applies to the Company prospectively for business combinations for which the acquisition date is on or after October 1, 2009.</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In December 2007, the FASB issued Statement No. 160, Noncontrolling Interests in Consolidated Financial Statements, an amendment of ARB No. 51 ("SFAS 160"). SFAS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 prohibited. The Company is currently evaluating the effect that the application of SFAS 160 will have on its consolidated results of operations and financial condition.</w:t>
      </w:r>
    </w:p>
    <w:p>
      <w:pPr>
        <w:spacing w:after="0" w:line="204"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194"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157 applies under other accounting pronouncements that require or permit fair value measurements. SFAS 157 is effective for fiscal years beginning after November 15, 2007, and interim periods within those fiscal years. In February 2008, the FASB issued FASB Staff Position No. SFAS 157-b, Effective Date of FASB Statement No. 157, which provides a one year deferral of the effective date of SFAS 157 for non-financial assets and non-financial liabilities, except those that are recognized or disclosed in the financial statements at fair value on a recurring basis (at least annually). The Company is currently evaluating the effect that the application of SFAS 157 will have on its consolidated results of operations and financial condition.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ADOPTION OF NEW ACCOUNTING STANDARD</w:t>
      </w:r>
    </w:p>
    <w:p>
      <w:pPr>
        <w:spacing w:after="0" w:line="196"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The Company adopted FIN 48 in the first quarter of fiscal 2008. The adoption of FIN 48 did not result in a change to retained earnings. See Note 6 for additional information regarding the Company's provision for income taxes, including the effects of adoption of FIN 48 on its consolidated financial statements.</w:t>
      </w:r>
    </w:p>
    <w:p>
      <w:pPr>
        <w:spacing w:after="0" w:line="3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3" w:right="1440" w:bottom="1440" w:gutter="0" w:footer="0" w:header="0"/>
        </w:sectPr>
      </w:pPr>
    </w:p>
    <w:bookmarkStart w:id="8" w:name="page9"/>
    <w:bookmarkEnd w:id="8"/>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ACCOUNTS RECEIVABLE, NET</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Accounts receivable, net consists of the following:</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jc w:val="right"/>
              <w:ind w:right="917"/>
              <w:spacing w:after="0"/>
              <w:rPr>
                <w:sz w:val="20"/>
                <w:szCs w:val="20"/>
                <w:color w:val="auto"/>
              </w:rPr>
            </w:pPr>
            <w:r>
              <w:rPr>
                <w:rFonts w:ascii="Courier New" w:cs="Courier New" w:eastAsia="Courier New" w:hAnsi="Courier New"/>
                <w:sz w:val="17"/>
                <w:szCs w:val="17"/>
                <w:color w:val="auto"/>
                <w:w w:val="94"/>
              </w:rPr>
              <w:t>AS OF</w:t>
            </w:r>
          </w:p>
        </w:tc>
      </w:tr>
      <w:tr>
        <w:trPr>
          <w:trHeight w:val="191"/>
        </w:trPr>
        <w:tc>
          <w:tcPr>
            <w:tcW w:w="3140" w:type="dxa"/>
            <w:vAlign w:val="bottom"/>
          </w:tcPr>
          <w:p>
            <w:pPr>
              <w:spacing w:after="0"/>
              <w:rPr>
                <w:sz w:val="16"/>
                <w:szCs w:val="16"/>
                <w:color w:val="auto"/>
              </w:rPr>
            </w:pPr>
          </w:p>
        </w:tc>
        <w:tc>
          <w:tcPr>
            <w:tcW w:w="2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MARCH 31,</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314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2008</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31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Accounts receivable - billed</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$564,384</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$457,393</w:t>
            </w: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Accounts receivable - unbilled</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41,300</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43,870</w:t>
            </w: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Less-allowances</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(37,181)</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(27,416)</w:t>
            </w:r>
          </w:p>
        </w:tc>
      </w:tr>
      <w:tr>
        <w:trPr>
          <w:trHeight w:val="191"/>
        </w:trPr>
        <w:tc>
          <w:tcPr>
            <w:tcW w:w="31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Accounts receivable, net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$568,503</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$473,847</w:t>
            </w:r>
          </w:p>
        </w:tc>
      </w:tr>
      <w:tr>
        <w:trPr>
          <w:trHeight w:val="191"/>
        </w:trPr>
        <w:tc>
          <w:tcPr>
            <w:tcW w:w="31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COMPREHENSIVE INCOME</w:t>
      </w:r>
    </w:p>
    <w:p>
      <w:pPr>
        <w:spacing w:after="0" w:line="196" w:lineRule="exact"/>
        <w:rPr>
          <w:sz w:val="20"/>
          <w:szCs w:val="20"/>
          <w:color w:val="auto"/>
        </w:rPr>
      </w:pPr>
    </w:p>
    <w:p>
      <w:pPr>
        <w:ind w:left="500" w:right="2359" w:firstLine="497"/>
        <w:spacing w:after="0" w:line="236" w:lineRule="auto"/>
        <w:rPr>
          <w:sz w:val="20"/>
          <w:szCs w:val="20"/>
          <w:color w:val="auto"/>
        </w:rPr>
      </w:pPr>
      <w:r>
        <w:rPr>
          <w:rFonts w:ascii="Courier New" w:cs="Courier New" w:eastAsia="Courier New" w:hAnsi="Courier New"/>
          <w:sz w:val="17"/>
          <w:szCs w:val="17"/>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99" w:lineRule="exact"/>
        <w:rPr>
          <w:sz w:val="20"/>
          <w:szCs w:val="20"/>
          <w:color w:val="auto"/>
        </w:rPr>
      </w:pPr>
    </w:p>
    <w:p>
      <w:pPr>
        <w:ind w:left="500" w:right="2459" w:firstLine="497"/>
        <w:spacing w:after="0" w:line="235" w:lineRule="auto"/>
        <w:rPr>
          <w:sz w:val="20"/>
          <w:szCs w:val="20"/>
          <w:color w:val="auto"/>
        </w:rPr>
      </w:pPr>
      <w:r>
        <w:rPr>
          <w:rFonts w:ascii="Courier New" w:cs="Courier New" w:eastAsia="Courier New" w:hAnsi="Courier New"/>
          <w:sz w:val="17"/>
          <w:szCs w:val="17"/>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THREE MONTHS ENDED</w:t>
            </w:r>
          </w:p>
        </w:tc>
        <w:tc>
          <w:tcPr>
            <w:tcW w:w="19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MARCH 31,</w:t>
            </w:r>
          </w:p>
        </w:tc>
        <w:tc>
          <w:tcPr>
            <w:tcW w:w="19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2008</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2007</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2008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76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$ 99,859</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$87,171</w:t>
            </w:r>
          </w:p>
        </w:tc>
        <w:tc>
          <w:tcPr>
            <w:tcW w:w="10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$195,523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$180,513</w:t>
            </w:r>
          </w:p>
        </w:tc>
      </w:tr>
      <w:tr>
        <w:trPr>
          <w:trHeight w:val="191"/>
        </w:trPr>
        <w:tc>
          <w:tcPr>
            <w:tcW w:w="3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Other comprehensive income:</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Unrealized gain (loss)</w:t>
            </w:r>
          </w:p>
        </w:tc>
        <w:tc>
          <w:tcPr>
            <w:tcW w:w="760" w:type="dxa"/>
            <w:vAlign w:val="bottom"/>
          </w:tcPr>
          <w:p>
            <w:pPr>
              <w:spacing w:after="0" w:line="191" w:lineRule="exact"/>
              <w:rPr>
                <w:sz w:val="20"/>
                <w:szCs w:val="20"/>
                <w:color w:val="auto"/>
              </w:rPr>
            </w:pPr>
            <w:r>
              <w:rPr>
                <w:rFonts w:ascii="Courier New" w:cs="Courier New" w:eastAsia="Courier New" w:hAnsi="Courier New"/>
                <w:sz w:val="17"/>
                <w:szCs w:val="17"/>
                <w:color w:val="auto"/>
              </w:rPr>
              <w:t>on</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1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foreign currency hedging</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contracts, net of tax</w:t>
            </w:r>
          </w:p>
        </w:tc>
        <w:tc>
          <w:tcPr>
            <w:tcW w:w="7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3,354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7,416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1,499</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Unrealized (loss) gain</w:t>
            </w:r>
          </w:p>
        </w:tc>
        <w:tc>
          <w:tcPr>
            <w:tcW w:w="760" w:type="dxa"/>
            <w:vAlign w:val="bottom"/>
          </w:tcPr>
          <w:p>
            <w:pPr>
              <w:spacing w:after="0" w:line="191" w:lineRule="exact"/>
              <w:rPr>
                <w:sz w:val="20"/>
                <w:szCs w:val="20"/>
                <w:color w:val="auto"/>
              </w:rPr>
            </w:pPr>
            <w:r>
              <w:rPr>
                <w:rFonts w:ascii="Courier New" w:cs="Courier New" w:eastAsia="Courier New" w:hAnsi="Courier New"/>
                <w:sz w:val="17"/>
                <w:szCs w:val="17"/>
                <w:color w:val="auto"/>
              </w:rPr>
              <w:t>on</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1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short-term interest-bearing</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1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investments, net of tax</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521</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(1,534)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415</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Comprehensive income</w:t>
            </w:r>
          </w:p>
        </w:tc>
        <w:tc>
          <w:tcPr>
            <w:tcW w:w="7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$101,217</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$87,524</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$201,405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$182,427</w:t>
            </w:r>
          </w:p>
        </w:tc>
      </w:tr>
      <w:tr>
        <w:trPr>
          <w:trHeight w:val="191"/>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9" w:name="page10"/>
    <w:bookmarkEnd w:id="9"/>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INCOME TAXES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The provision for income taxes for the following periods consisted of:</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16"/>
                <w:szCs w:val="16"/>
                <w:color w:val="auto"/>
              </w:rPr>
            </w:pPr>
          </w:p>
        </w:tc>
        <w:tc>
          <w:tcPr>
            <w:tcW w:w="21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THREE MONTHS ENDED</w:t>
            </w:r>
          </w:p>
        </w:tc>
        <w:tc>
          <w:tcPr>
            <w:tcW w:w="19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940" w:type="dxa"/>
            <w:vAlign w:val="bottom"/>
          </w:tcPr>
          <w:p>
            <w:pPr>
              <w:spacing w:after="0"/>
              <w:rPr>
                <w:sz w:val="16"/>
                <w:szCs w:val="16"/>
                <w:color w:val="auto"/>
              </w:rPr>
            </w:pPr>
          </w:p>
        </w:tc>
        <w:tc>
          <w:tcPr>
            <w:tcW w:w="21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MARCH 31,</w:t>
            </w:r>
          </w:p>
        </w:tc>
        <w:tc>
          <w:tcPr>
            <w:tcW w:w="19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940" w:type="dxa"/>
            <w:vAlign w:val="bottom"/>
          </w:tcPr>
          <w:p>
            <w:pPr>
              <w:spacing w:after="0"/>
              <w:rPr>
                <w:sz w:val="16"/>
                <w:szCs w:val="16"/>
                <w:color w:val="auto"/>
              </w:rPr>
            </w:pP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940" w:type="dxa"/>
            <w:vAlign w:val="bottom"/>
          </w:tcPr>
          <w:p>
            <w:pPr>
              <w:spacing w:after="0"/>
              <w:rPr>
                <w:sz w:val="16"/>
                <w:szCs w:val="16"/>
                <w:color w:val="auto"/>
              </w:rPr>
            </w:pPr>
          </w:p>
        </w:tc>
        <w:tc>
          <w:tcPr>
            <w:tcW w:w="11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2008</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2007</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2008</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94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94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1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$ 6,963</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3"/>
              </w:rPr>
              <w:t>$ 19,424</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$25,351</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$23,168</w:t>
            </w:r>
          </w:p>
        </w:tc>
      </w:tr>
      <w:tr>
        <w:trPr>
          <w:trHeight w:val="191"/>
        </w:trPr>
        <w:tc>
          <w:tcPr>
            <w:tcW w:w="94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w:t>
            </w: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4,880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(11,898)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(9,739)</w:t>
            </w:r>
          </w:p>
        </w:tc>
      </w:tr>
      <w:tr>
        <w:trPr>
          <w:trHeight w:val="191"/>
        </w:trPr>
        <w:tc>
          <w:tcPr>
            <w:tcW w:w="94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94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$11,843</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  7,526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$20,297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$13,429</w:t>
            </w:r>
          </w:p>
        </w:tc>
      </w:tr>
      <w:tr>
        <w:trPr>
          <w:trHeight w:val="191"/>
        </w:trPr>
        <w:tc>
          <w:tcPr>
            <w:tcW w:w="940" w:type="dxa"/>
            <w:vAlign w:val="bottom"/>
          </w:tcPr>
          <w:p>
            <w:pPr>
              <w:spacing w:after="0"/>
              <w:rPr>
                <w:sz w:val="16"/>
                <w:szCs w:val="16"/>
                <w:color w:val="auto"/>
              </w:rPr>
            </w:pPr>
          </w:p>
        </w:tc>
        <w:tc>
          <w:tcPr>
            <w:tcW w:w="11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left="500" w:right="2459" w:firstLine="497"/>
        <w:spacing w:after="0" w:line="235" w:lineRule="auto"/>
        <w:rPr>
          <w:sz w:val="20"/>
          <w:szCs w:val="20"/>
          <w:color w:val="auto"/>
        </w:rPr>
      </w:pPr>
      <w:r>
        <w:rPr>
          <w:rFonts w:ascii="Courier New" w:cs="Courier New" w:eastAsia="Courier New" w:hAnsi="Courier New"/>
          <w:sz w:val="17"/>
          <w:szCs w:val="17"/>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20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THREE MONTHS ENDED</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2840" w:type="dxa"/>
            <w:vAlign w:val="bottom"/>
          </w:tcPr>
          <w:p>
            <w:pPr>
              <w:spacing w:after="0"/>
              <w:rPr>
                <w:sz w:val="16"/>
                <w:szCs w:val="16"/>
                <w:color w:val="auto"/>
              </w:rPr>
            </w:pPr>
          </w:p>
        </w:tc>
        <w:tc>
          <w:tcPr>
            <w:tcW w:w="20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MARCH 31,</w:t>
            </w:r>
          </w:p>
        </w:tc>
        <w:tc>
          <w:tcPr>
            <w:tcW w:w="17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28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2008</w:t>
            </w: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2007</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2007(1)</w:t>
            </w:r>
          </w:p>
        </w:tc>
      </w:tr>
      <w:tr>
        <w:trPr>
          <w:trHeight w:val="191"/>
        </w:trPr>
        <w:tc>
          <w:tcPr>
            <w:tcW w:w="28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Statutory Guernsey tax rate</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0%</w:t>
            </w:r>
          </w:p>
        </w:tc>
        <w:tc>
          <w:tcPr>
            <w:tcW w:w="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20%</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Guernsey tax-exempt status</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taxes</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w:t>
            </w: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28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2840" w:type="dxa"/>
            <w:vAlign w:val="bottom"/>
          </w:tcPr>
          <w:p>
            <w:pPr>
              <w:spacing w:after="0"/>
              <w:rPr>
                <w:sz w:val="16"/>
                <w:szCs w:val="16"/>
                <w:color w:val="auto"/>
              </w:rPr>
            </w:pP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left="500" w:right="2359" w:hanging="498"/>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Company's net release of $11,924 of tax reserves attributable to a resolved tax audit of a prior year, as well as changes in the Company's tax reserves in the ordinary course of business. The changes in the Company's tax reserves are recognized through income taxes or through other balance sheet items.</w:t>
      </w:r>
    </w:p>
    <w:p>
      <w:pPr>
        <w:spacing w:after="0" w:line="19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As a Guernsey company subject to a corporate tax rate of zero percent, the Company's overall effective tax rate is attributable to foreign taxes. Tax legislation recently enacted in Guernsey with effect from January 1, 2008 repealed the exemption that the Company previously utilized, and subjects the Company to a corporate tax rate of zero percent, which has not affected the Company's overall effective tax rate.</w:t>
      </w:r>
    </w:p>
    <w:p>
      <w:pPr>
        <w:spacing w:after="0" w:line="198"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As of March 31, 2008, deferred tax assets of $33,371,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w:t>
      </w:r>
    </w:p>
    <w:p>
      <w:pPr>
        <w:spacing w:after="0" w:line="200"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On October 1, 2007, the Company adopted FIN 48 which prescribes a comprehensive model for the financial statement recognition, measurement, classification and disclosure of uncertain tax positions. The adoption of FIN 48 did not result in a change to the Company's retained earnings. The total amount of gross unrecognized tax benefits as of the date of adoption, which includes interest and penalties, was $108,929, of which $104,762 would affect the Company's effective tax rate if realized. The Company historically classified unrecognized tax benefits in current income taxes payable. In implementing FIN 48, the Company has reclassified unrecognized tax benefits for which the Company does not anticipate making payment within one year to long-term income taxes payable.</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75" w:right="1440" w:bottom="289" w:gutter="0" w:footer="0" w:header="0"/>
        </w:sectPr>
      </w:pPr>
    </w:p>
    <w:bookmarkStart w:id="10" w:name="page11"/>
    <w:bookmarkEnd w:id="10"/>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6"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total amount of unrecognized tax benefits, which includes interest and penalties, was $109,677 as of March 31, 2008, of which $105,281 would affect the effective tax rate if realized. As a result of the settlement of certain tax matters during the first quarter of fiscal 2008, the amount of gross unrecognized tax benefits was reduced by approximately $11,750 (including interest), of which $4,688 was recorded as a reduction in tax receivable.</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Company's policy of including interest and penalties related to income taxes, including unrecognized tax benefits, within the provision for income taxes on the consolidated statements of income did not change as a result of implementing FIN 48. As of the date of adoption of FIN 48, the Company had accrued $17,530 in income taxes payable for interest and penalties relating to unrecognized tax benefits. As of March 31, 2008, the Company has accrued $19,742 in income taxes payable for interest and penalties relating to unrecognized tax benefits.</w:t>
      </w:r>
    </w:p>
    <w:p>
      <w:pPr>
        <w:spacing w:after="0" w:line="200"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EARNINGS PER SHARE</w:t>
      </w:r>
    </w:p>
    <w:p>
      <w:pPr>
        <w:spacing w:after="0" w:line="196" w:lineRule="exact"/>
        <w:rPr>
          <w:sz w:val="20"/>
          <w:szCs w:val="20"/>
          <w:color w:val="auto"/>
        </w:rPr>
      </w:pPr>
    </w:p>
    <w:p>
      <w:pPr>
        <w:ind w:left="500" w:right="2559" w:firstLine="497"/>
        <w:spacing w:after="0" w:line="235" w:lineRule="auto"/>
        <w:rPr>
          <w:sz w:val="20"/>
          <w:szCs w:val="20"/>
          <w:color w:val="auto"/>
        </w:rPr>
      </w:pPr>
      <w:r>
        <w:rPr>
          <w:rFonts w:ascii="Courier New" w:cs="Courier New" w:eastAsia="Courier New" w:hAnsi="Courier New"/>
          <w:sz w:val="17"/>
          <w:szCs w:val="17"/>
          <w:color w:val="auto"/>
        </w:rPr>
        <w:t>The following table sets forth the computation of basic and diluted earnings per share: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tcPr>
          <w:p>
            <w:pPr>
              <w:jc w:val="right"/>
              <w:ind w:right="77"/>
              <w:spacing w:after="0"/>
              <w:rPr>
                <w:sz w:val="20"/>
                <w:szCs w:val="20"/>
                <w:color w:val="auto"/>
              </w:rPr>
            </w:pPr>
            <w:r>
              <w:rPr>
                <w:rFonts w:ascii="Courier New" w:cs="Courier New" w:eastAsia="Courier New" w:hAnsi="Courier New"/>
                <w:sz w:val="17"/>
                <w:szCs w:val="17"/>
                <w:color w:val="auto"/>
                <w:w w:val="95"/>
              </w:rPr>
              <w:t>THREE MONTHS ENDED</w:t>
            </w:r>
          </w:p>
        </w:tc>
        <w:tc>
          <w:tcPr>
            <w:tcW w:w="24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MARCH</w:t>
            </w:r>
          </w:p>
        </w:tc>
        <w:tc>
          <w:tcPr>
            <w:tcW w:w="10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31,</w:t>
            </w:r>
          </w:p>
        </w:tc>
        <w:tc>
          <w:tcPr>
            <w:tcW w:w="240" w:type="dxa"/>
            <w:vAlign w:val="bottom"/>
          </w:tcPr>
          <w:p>
            <w:pPr>
              <w:spacing w:after="0"/>
              <w:rPr>
                <w:sz w:val="16"/>
                <w:szCs w:val="16"/>
                <w:color w:val="auto"/>
              </w:rPr>
            </w:pPr>
          </w:p>
        </w:tc>
        <w:tc>
          <w:tcPr>
            <w:tcW w:w="1800" w:type="dxa"/>
            <w:vAlign w:val="bottom"/>
            <w:gridSpan w:val="3"/>
          </w:tcPr>
          <w:p>
            <w:pPr>
              <w:jc w:val="right"/>
              <w:ind w:right="4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3780" w:type="dxa"/>
            <w:vAlign w:val="bottom"/>
          </w:tcPr>
          <w:p>
            <w:pPr>
              <w:spacing w:after="0"/>
              <w:rPr>
                <w:sz w:val="16"/>
                <w:szCs w:val="16"/>
                <w:color w:val="auto"/>
              </w:rPr>
            </w:pPr>
          </w:p>
        </w:tc>
        <w:tc>
          <w:tcPr>
            <w:tcW w:w="2240" w:type="dxa"/>
            <w:vAlign w:val="bottom"/>
            <w:gridSpan w:val="4"/>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0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2008</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2007</w:t>
            </w:r>
          </w:p>
        </w:tc>
        <w:tc>
          <w:tcPr>
            <w:tcW w:w="240" w:type="dxa"/>
            <w:vAlign w:val="bottom"/>
          </w:tcPr>
          <w:p>
            <w:pPr>
              <w:spacing w:after="0"/>
              <w:rPr>
                <w:sz w:val="16"/>
                <w:szCs w:val="16"/>
                <w:color w:val="auto"/>
              </w:rPr>
            </w:pPr>
          </w:p>
        </w:tc>
        <w:tc>
          <w:tcPr>
            <w:tcW w:w="8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2008</w:t>
            </w:r>
          </w:p>
        </w:tc>
        <w:tc>
          <w:tcPr>
            <w:tcW w:w="2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78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Numerator for basic earnings per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share</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$ 99,859</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$ 87,171</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$195,523</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$180,513</w:t>
            </w: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Effect of assumed conversion of</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0.50% convertible notes</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985</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985</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1,970</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1,970</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9"/>
              </w:rPr>
              <w:t>Numerator for diluted earnings per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share</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$100,844</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$ 88,156</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$197,493</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$182,483</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Denominator: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9"/>
              </w:rPr>
              <w:t>Denominator for basic earnings per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share- weighted average number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of shares outstanding</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206,759</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2"/>
              </w:rPr>
              <w:t>207,293</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207,437</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206,867</w:t>
            </w: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Effect of assumed conversion of</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0.50% convertible notes</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10,436</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10,436</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10,436</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10,436</w:t>
            </w: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Effect of dilutive stock options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granted</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2,253</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4,442</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2,677</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4,986</w:t>
            </w: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Effect of restricted stock issued</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338</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328</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362</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Denominator for diluted earnings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per share - adjusted weighted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average shares and assumed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7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conversions</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219,786</w:t>
            </w:r>
          </w:p>
        </w:tc>
        <w:tc>
          <w:tcPr>
            <w:tcW w:w="1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2"/>
              </w:rPr>
              <w:t>222,499</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220,912</w:t>
            </w:r>
          </w:p>
        </w:tc>
        <w:tc>
          <w:tcPr>
            <w:tcW w:w="2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222,608</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Basic earnings per share</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0.48</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0.42</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0.94</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0.87</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Diluted earnings per share</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0.46</w:t>
            </w:r>
          </w:p>
        </w:tc>
        <w:tc>
          <w:tcPr>
            <w:tcW w:w="1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0.40</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0.89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0.82</w:t>
            </w:r>
          </w:p>
        </w:tc>
      </w:tr>
      <w:tr>
        <w:trPr>
          <w:trHeight w:val="191"/>
        </w:trPr>
        <w:tc>
          <w:tcPr>
            <w:tcW w:w="3780" w:type="dxa"/>
            <w:vAlign w:val="bottom"/>
          </w:tcPr>
          <w:p>
            <w:pPr>
              <w:spacing w:after="0"/>
              <w:rPr>
                <w:sz w:val="16"/>
                <w:szCs w:val="16"/>
                <w:color w:val="auto"/>
              </w:rPr>
            </w:pP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7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1" w:name="page12"/>
    <w:bookmarkEnd w:id="11"/>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REPURCHASE OF SECURITIES</w:t>
      </w:r>
    </w:p>
    <w:p>
      <w:pPr>
        <w:spacing w:after="0" w:line="196" w:lineRule="exact"/>
        <w:rPr>
          <w:sz w:val="20"/>
          <w:szCs w:val="20"/>
          <w:color w:val="auto"/>
        </w:rPr>
      </w:pPr>
    </w:p>
    <w:p>
      <w:pPr>
        <w:ind w:left="500" w:right="2359" w:firstLine="497"/>
        <w:spacing w:after="0" w:line="254" w:lineRule="auto"/>
        <w:rPr>
          <w:sz w:val="20"/>
          <w:szCs w:val="20"/>
          <w:color w:val="auto"/>
        </w:rPr>
      </w:pPr>
      <w:r>
        <w:rPr>
          <w:rFonts w:ascii="Courier New" w:cs="Courier New" w:eastAsia="Courier New" w:hAnsi="Courier New"/>
          <w:sz w:val="16"/>
          <w:szCs w:val="16"/>
          <w:color w:val="auto"/>
        </w:rPr>
        <w:t>In August 2007, the Company announced that its board of directors had authorized a share repurchase plan allowing the repurchase of up to $400 million of its outstanding ordinary shares. The authorization permits the Company to purchase its ordinary shares in open market or privately negotiated transactions at times and prices that it considers appropriate. During the six months ended March 31, 2008, the Company repurchased 3,826 ordinary shares under this repurchase program, at an average price of $31.98 per share (excluding broker and transaction fees).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STOCK OPTION AND INCENTIVE PLAN</w:t>
      </w:r>
    </w:p>
    <w:p>
      <w:pPr>
        <w:spacing w:after="0" w:line="196"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204"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The following table summarizes information about options to purchase the Company's ordinary shares, as well as changes during the six month period ended March 31, 2008:</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WEIGHTED</w:t>
            </w:r>
          </w:p>
        </w:tc>
      </w:tr>
      <w:tr>
        <w:trPr>
          <w:trHeight w:val="191"/>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WEIGHTED</w:t>
            </w:r>
          </w:p>
        </w:tc>
        <w:tc>
          <w:tcPr>
            <w:tcW w:w="12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AVERAGE</w:t>
            </w:r>
          </w:p>
        </w:tc>
      </w:tr>
      <w:tr>
        <w:trPr>
          <w:trHeight w:val="191"/>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AVERAGE</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REMAINING</w:t>
            </w:r>
          </w:p>
        </w:tc>
      </w:tr>
      <w:tr>
        <w:trPr>
          <w:trHeight w:val="191"/>
        </w:trPr>
        <w:tc>
          <w:tcPr>
            <w:tcW w:w="34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NUMBER OF</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EXERCISE</w:t>
            </w: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6"/>
              </w:rPr>
              <w:t>CONTRACTUAL</w:t>
            </w:r>
          </w:p>
        </w:tc>
      </w:tr>
      <w:tr>
        <w:trPr>
          <w:trHeight w:val="191"/>
        </w:trPr>
        <w:tc>
          <w:tcPr>
            <w:tcW w:w="34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PRICE</w:t>
            </w:r>
          </w:p>
        </w:tc>
        <w:tc>
          <w:tcPr>
            <w:tcW w:w="12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TERM</w:t>
            </w:r>
          </w:p>
        </w:tc>
      </w:tr>
      <w:tr>
        <w:trPr>
          <w:trHeight w:val="191"/>
        </w:trPr>
        <w:tc>
          <w:tcPr>
            <w:tcW w:w="344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440" w:type="dxa"/>
            <w:vAlign w:val="bottom"/>
          </w:tcPr>
          <w:p>
            <w:pPr>
              <w:spacing w:after="0"/>
              <w:rPr>
                <w:sz w:val="20"/>
                <w:szCs w:val="20"/>
                <w:color w:val="auto"/>
              </w:rPr>
            </w:pPr>
            <w:r>
              <w:rPr>
                <w:rFonts w:ascii="Courier New" w:cs="Courier New" w:eastAsia="Courier New" w:hAnsi="Courier New"/>
                <w:sz w:val="17"/>
                <w:szCs w:val="17"/>
                <w:color w:val="auto"/>
              </w:rPr>
              <w:t>Outstanding as of October 1, 2007</w:t>
            </w:r>
          </w:p>
        </w:tc>
        <w:tc>
          <w:tcPr>
            <w:tcW w:w="11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20,457</w:t>
            </w:r>
          </w:p>
        </w:tc>
        <w:tc>
          <w:tcPr>
            <w:tcW w:w="11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$31.62</w:t>
            </w:r>
          </w:p>
        </w:tc>
        <w:tc>
          <w:tcPr>
            <w:tcW w:w="1240" w:type="dxa"/>
            <w:vAlign w:val="bottom"/>
          </w:tcPr>
          <w:p>
            <w:pPr>
              <w:spacing w:after="0"/>
              <w:rPr>
                <w:sz w:val="24"/>
                <w:szCs w:val="24"/>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Granted</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4,692</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33.64</w:t>
            </w:r>
          </w:p>
        </w:tc>
        <w:tc>
          <w:tcPr>
            <w:tcW w:w="1240" w:type="dxa"/>
            <w:vAlign w:val="bottom"/>
          </w:tcPr>
          <w:p>
            <w:pPr>
              <w:spacing w:after="0"/>
              <w:rPr>
                <w:sz w:val="16"/>
                <w:szCs w:val="16"/>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Exercised</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(790)</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spacing w:after="0"/>
              <w:rPr>
                <w:sz w:val="16"/>
                <w:szCs w:val="16"/>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Forfeited</w:t>
            </w: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(875)</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34.94</w:t>
            </w:r>
          </w:p>
        </w:tc>
        <w:tc>
          <w:tcPr>
            <w:tcW w:w="1240" w:type="dxa"/>
            <w:vAlign w:val="bottom"/>
          </w:tcPr>
          <w:p>
            <w:pPr>
              <w:spacing w:after="0"/>
              <w:rPr>
                <w:sz w:val="16"/>
                <w:szCs w:val="16"/>
                <w:color w:val="auto"/>
              </w:rPr>
            </w:pPr>
          </w:p>
        </w:tc>
      </w:tr>
      <w:tr>
        <w:trPr>
          <w:trHeight w:val="191"/>
        </w:trPr>
        <w:tc>
          <w:tcPr>
            <w:tcW w:w="3440" w:type="dxa"/>
            <w:vAlign w:val="bottom"/>
          </w:tcPr>
          <w:p>
            <w:pPr>
              <w:spacing w:after="0"/>
              <w:rPr>
                <w:sz w:val="16"/>
                <w:szCs w:val="16"/>
                <w:color w:val="auto"/>
              </w:rPr>
            </w:pP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as of March 31, 2008</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23,484</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$32.30</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6.28</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Exercisable on March 31, 2008</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13,510</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$32.16</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4.42</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The following table summarizes information relating to awards of restricted shares, as well as changes to such awards during the six month period ended on March 31, 2008:</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3" w:right="1440" w:bottom="1440" w:gutter="0" w:footer="0" w:header="0"/>
        </w:sectPr>
      </w:pPr>
    </w:p>
    <w:bookmarkStart w:id="12" w:name="page13"/>
    <w:bookmarkEnd w:id="12"/>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WEIGHTED</w:t>
            </w:r>
          </w:p>
        </w:tc>
      </w:tr>
      <w:tr>
        <w:trPr>
          <w:trHeight w:val="191"/>
        </w:trPr>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AVERAGE</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NUMBER OF</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GRANT DATE</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SHARES</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FAIR VALUE</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unvested shares as of</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October 1, 2007</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955</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$34.50</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Granted</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407</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33.90</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Vested</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(197)</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33.13</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Forfeited</w:t>
            </w:r>
          </w:p>
        </w:tc>
        <w:tc>
          <w:tcPr>
            <w:tcW w:w="1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(83)</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35.18</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unvested shares as of</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March 31, 2008</w:t>
            </w: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1,082</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$34.47</w:t>
            </w:r>
          </w:p>
        </w:tc>
      </w:tr>
      <w:tr>
        <w:trPr>
          <w:trHeight w:val="191"/>
        </w:trPr>
        <w:tc>
          <w:tcPr>
            <w:tcW w:w="3440" w:type="dxa"/>
            <w:vAlign w:val="bottom"/>
          </w:tcPr>
          <w:p>
            <w:pPr>
              <w:spacing w:after="0"/>
              <w:rPr>
                <w:sz w:val="16"/>
                <w:szCs w:val="16"/>
                <w:color w:val="auto"/>
              </w:rPr>
            </w:pPr>
          </w:p>
        </w:tc>
        <w:tc>
          <w:tcPr>
            <w:tcW w:w="1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As of March 31, 2008, there was $75,142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98"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Equity-based payments to employees, including grants of employee stock options, are recognized in the statements of income based on their fair values in accordance with FASB Statement No. 123 (revised 2004), "Share-Based Payment," a revision of SFAS No. 123 ("SFAS 123(R)") and Staff Accounting Bulletin No. 107 ("SAB 107"), which provides supplemental implementation guidance on SFAS 123(R).</w:t>
      </w:r>
    </w:p>
    <w:p>
      <w:pPr>
        <w:spacing w:after="0" w:line="19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Employee equity-based compensation pre-tax expense under SFAS 123(R)</w:t>
      </w:r>
    </w:p>
    <w:p>
      <w:pPr>
        <w:ind w:left="500"/>
        <w:spacing w:after="0" w:line="238" w:lineRule="auto"/>
        <w:rPr>
          <w:sz w:val="20"/>
          <w:szCs w:val="20"/>
          <w:color w:val="auto"/>
        </w:rPr>
      </w:pPr>
      <w:r>
        <w:rPr>
          <w:rFonts w:ascii="Courier New" w:cs="Courier New" w:eastAsia="Courier New" w:hAnsi="Courier New"/>
          <w:sz w:val="17"/>
          <w:szCs w:val="17"/>
          <w:color w:val="auto"/>
        </w:rPr>
        <w:t>for the three and six months ended March 31, 2008 and 2007 was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3380" w:type="dxa"/>
            <w:vAlign w:val="bottom"/>
            <w:gridSpan w:val="2"/>
          </w:tcPr>
          <w:p>
            <w:pPr>
              <w:jc w:val="right"/>
              <w:ind w:right="657"/>
              <w:spacing w:after="0"/>
              <w:rPr>
                <w:sz w:val="20"/>
                <w:szCs w:val="20"/>
                <w:color w:val="auto"/>
              </w:rPr>
            </w:pPr>
            <w:r>
              <w:rPr>
                <w:rFonts w:ascii="Courier New" w:cs="Courier New" w:eastAsia="Courier New" w:hAnsi="Courier New"/>
                <w:sz w:val="17"/>
                <w:szCs w:val="17"/>
                <w:color w:val="auto"/>
              </w:rPr>
              <w:t>THREE MONTHS ENDED</w:t>
            </w:r>
          </w:p>
        </w:tc>
        <w:tc>
          <w:tcPr>
            <w:tcW w:w="3240" w:type="dxa"/>
            <w:vAlign w:val="bottom"/>
            <w:gridSpan w:val="2"/>
          </w:tcPr>
          <w:p>
            <w:pPr>
              <w:jc w:val="right"/>
              <w:ind w:right="6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2540" w:type="dxa"/>
            <w:vAlign w:val="bottom"/>
          </w:tcPr>
          <w:p>
            <w:pPr>
              <w:spacing w:after="0"/>
              <w:rPr>
                <w:sz w:val="16"/>
                <w:szCs w:val="16"/>
                <w:color w:val="auto"/>
              </w:rPr>
            </w:pPr>
          </w:p>
        </w:tc>
        <w:tc>
          <w:tcPr>
            <w:tcW w:w="3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3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1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MARCH 31, 2008</w:t>
            </w: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MARCH 31, 2007</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MARCH 31, 2008</w:t>
            </w:r>
          </w:p>
        </w:tc>
        <w:tc>
          <w:tcPr>
            <w:tcW w:w="1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MARCH 31, 2007</w:t>
            </w:r>
          </w:p>
        </w:tc>
      </w:tr>
      <w:tr>
        <w:trPr>
          <w:trHeight w:val="191"/>
        </w:trPr>
        <w:tc>
          <w:tcPr>
            <w:tcW w:w="2540" w:type="dxa"/>
            <w:vAlign w:val="bottom"/>
          </w:tcPr>
          <w:p>
            <w:pPr>
              <w:spacing w:after="0"/>
              <w:rPr>
                <w:sz w:val="16"/>
                <w:szCs w:val="16"/>
                <w:color w:val="auto"/>
              </w:rPr>
            </w:pPr>
          </w:p>
        </w:tc>
        <w:tc>
          <w:tcPr>
            <w:tcW w:w="1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Cost of service</w:t>
            </w:r>
          </w:p>
        </w:tc>
        <w:tc>
          <w:tcPr>
            <w:tcW w:w="18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$ 5,431</w:t>
            </w:r>
          </w:p>
        </w:tc>
        <w:tc>
          <w:tcPr>
            <w:tcW w:w="15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$ 6,005</w:t>
            </w:r>
          </w:p>
        </w:tc>
        <w:tc>
          <w:tcPr>
            <w:tcW w:w="16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$11,713</w:t>
            </w:r>
          </w:p>
        </w:tc>
        <w:tc>
          <w:tcPr>
            <w:tcW w:w="15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$12,327</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1,146</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1,587</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2,522</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3,365</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w:t>
            </w:r>
          </w:p>
        </w:tc>
        <w:tc>
          <w:tcPr>
            <w:tcW w:w="1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1"/>
        </w:trPr>
        <w:tc>
          <w:tcPr>
            <w:tcW w:w="2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administrative</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6,836</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4,374</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13,394</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11,599</w:t>
            </w:r>
          </w:p>
        </w:tc>
      </w:tr>
      <w:tr>
        <w:trPr>
          <w:trHeight w:val="191"/>
        </w:trPr>
        <w:tc>
          <w:tcPr>
            <w:tcW w:w="2540" w:type="dxa"/>
            <w:vAlign w:val="bottom"/>
          </w:tcPr>
          <w:p>
            <w:pPr>
              <w:spacing w:after="0"/>
              <w:rPr>
                <w:sz w:val="16"/>
                <w:szCs w:val="16"/>
                <w:color w:val="auto"/>
              </w:rPr>
            </w:pP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$13,413</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$11,966</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$27,629</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$27,291</w:t>
            </w:r>
          </w:p>
        </w:tc>
      </w:tr>
      <w:tr>
        <w:trPr>
          <w:trHeight w:val="191"/>
        </w:trPr>
        <w:tc>
          <w:tcPr>
            <w:tcW w:w="2540" w:type="dxa"/>
            <w:vAlign w:val="bottom"/>
          </w:tcPr>
          <w:p>
            <w:pPr>
              <w:spacing w:after="0"/>
              <w:rPr>
                <w:sz w:val="16"/>
                <w:szCs w:val="16"/>
                <w:color w:val="auto"/>
              </w:rPr>
            </w:pP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total income tax benefit recognized in the income statement for stock-based compensation (including restricted shares) for the three months ended March 31, 2008 and 2007 was $1,434 and $1,914, respectively, and for the six months ended March 31, 2008 and 2007 was $2,830 and $4,306, respectively.</w:t>
      </w:r>
    </w:p>
    <w:p>
      <w:pPr>
        <w:spacing w:after="0" w:line="197"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75" w:right="1440" w:bottom="1440" w:gutter="0" w:footer="0" w:header="0"/>
        </w:sectPr>
      </w:pPr>
    </w:p>
    <w:bookmarkStart w:id="13" w:name="page14"/>
    <w:bookmarkEnd w:id="13"/>
    <w:p>
      <w:pPr>
        <w:jc w:val="center"/>
        <w:ind w:right="2259"/>
        <w:spacing w:after="0"/>
        <w:rPr>
          <w:sz w:val="20"/>
          <w:szCs w:val="20"/>
          <w:color w:val="auto"/>
        </w:rPr>
      </w:pPr>
      <w:r>
        <w:rPr>
          <w:rFonts w:ascii="Courier New" w:cs="Courier New" w:eastAsia="Courier New" w:hAnsi="Courier New"/>
          <w:sz w:val="17"/>
          <w:szCs w:val="17"/>
          <w:color w:val="auto"/>
        </w:rPr>
        <w:t>AMDOCS LIMITED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20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THREE MONTHS ENDED</w:t>
            </w:r>
          </w:p>
        </w:tc>
        <w:tc>
          <w:tcPr>
            <w:tcW w:w="18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3540" w:type="dxa"/>
            <w:vAlign w:val="bottom"/>
          </w:tcPr>
          <w:p>
            <w:pPr>
              <w:spacing w:after="0"/>
              <w:rPr>
                <w:sz w:val="16"/>
                <w:szCs w:val="16"/>
                <w:color w:val="auto"/>
              </w:rPr>
            </w:pPr>
          </w:p>
        </w:tc>
        <w:tc>
          <w:tcPr>
            <w:tcW w:w="208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MARCH 31,</w:t>
            </w:r>
          </w:p>
        </w:tc>
        <w:tc>
          <w:tcPr>
            <w:tcW w:w="18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35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54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2008</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2007</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3540" w:type="dxa"/>
            <w:vAlign w:val="bottom"/>
          </w:tcPr>
          <w:p>
            <w:pPr>
              <w:spacing w:after="0"/>
              <w:rPr>
                <w:sz w:val="16"/>
                <w:szCs w:val="16"/>
                <w:color w:val="auto"/>
              </w:rPr>
            </w:pP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Risk-free interest rate (1)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2.67%</w:t>
            </w:r>
          </w:p>
        </w:tc>
        <w:tc>
          <w:tcPr>
            <w:tcW w:w="11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4.70%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3.23%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4.61%</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life of stock options (2)</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4.50</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4.65</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4.54</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volatility (3)</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0.35</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0.31</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0.33</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0.32</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dividend yield (4)</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None</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None</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None</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None</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Fair value per option</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$10.64</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$12.50</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$10.58</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$12.74</w:t>
            </w:r>
          </w:p>
        </w:tc>
      </w:tr>
    </w:tbl>
    <w:p>
      <w:pPr>
        <w:spacing w:after="0" w:line="388" w:lineRule="exact"/>
        <w:rPr>
          <w:sz w:val="20"/>
          <w:szCs w:val="20"/>
          <w:color w:val="auto"/>
        </w:rPr>
      </w:pPr>
    </w:p>
    <w:p>
      <w:pPr>
        <w:ind w:left="500" w:right="2259" w:hanging="498"/>
        <w:spacing w:after="0" w:line="235"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Risk-free interest rate is based upon U.S. Treasury yield curve appropriate for the term of the Company's employee stock options.</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life of stock options is based upon historical experience.</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volatility is based on a combination of implied volatility of the Company's traded options and historical stock price volatility ("blended volatility").</w:t>
      </w:r>
    </w:p>
    <w:p>
      <w:pPr>
        <w:spacing w:after="0" w:line="196" w:lineRule="exact"/>
        <w:rPr>
          <w:rFonts w:ascii="Courier New" w:cs="Courier New" w:eastAsia="Courier New" w:hAnsi="Courier New"/>
          <w:sz w:val="17"/>
          <w:szCs w:val="17"/>
          <w:color w:val="auto"/>
        </w:rPr>
      </w:pPr>
    </w:p>
    <w:p>
      <w:pPr>
        <w:ind w:left="500" w:right="2959" w:hanging="498"/>
        <w:spacing w:after="0" w:line="235"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Expected dividend yield is based on the Company's history and future expectation of dividend payouts.</w:t>
      </w:r>
    </w:p>
    <w:p>
      <w:pPr>
        <w:spacing w:after="0" w:line="197" w:lineRule="exact"/>
        <w:rPr>
          <w:sz w:val="20"/>
          <w:szCs w:val="20"/>
          <w:color w:val="auto"/>
        </w:rPr>
      </w:pPr>
    </w:p>
    <w:p>
      <w:pPr>
        <w:ind w:left="500" w:right="2759" w:firstLine="497"/>
        <w:spacing w:after="0" w:line="236" w:lineRule="auto"/>
        <w:rPr>
          <w:sz w:val="20"/>
          <w:szCs w:val="20"/>
          <w:color w:val="auto"/>
        </w:rPr>
      </w:pPr>
      <w:r>
        <w:rPr>
          <w:rFonts w:ascii="Courier New" w:cs="Courier New" w:eastAsia="Courier New" w:hAnsi="Courier New"/>
          <w:sz w:val="17"/>
          <w:szCs w:val="17"/>
          <w:color w:val="auto"/>
        </w:rPr>
        <w:t>Equity-based compensation recognized is reduced for estimated forfeitures and revised, if necessary, in subsequent periods if actual forfeitures differ from those estimates.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OPERATIONAL EFFICIENCY AND COST REDUCTION PROGRAMS</w:t>
      </w:r>
    </w:p>
    <w:p>
      <w:pPr>
        <w:spacing w:after="0" w:line="196"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In the quarter ended March 31, 2007, the Company commenced a series of measures designed to align its operational structure to its expected future growth and to improve efficiency. As part of this plan, the Company recorded expense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$5,238 of the total expense had been paid in cash as of March 31, 2008, the reminder is primarily attributable to facility related costs which are expected to be paid through May 2013.</w:t>
      </w:r>
    </w:p>
    <w:p>
      <w:pPr>
        <w:spacing w:after="0" w:line="202"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In connection with the acquisition of DST Innovis, Inc. and DST Interactive, Inc (collectively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3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CONTRACTUAL</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3040" w:type="dxa"/>
            <w:vAlign w:val="bottom"/>
          </w:tcPr>
          <w:p>
            <w:pPr>
              <w:spacing w:after="0"/>
              <w:rPr>
                <w:sz w:val="16"/>
                <w:szCs w:val="16"/>
                <w:color w:val="auto"/>
              </w:rPr>
            </w:pP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OBLIGATIONS</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OTHER</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040" w:type="dxa"/>
            <w:vAlign w:val="bottom"/>
          </w:tcPr>
          <w:p>
            <w:pPr>
              <w:spacing w:after="0"/>
              <w:rPr>
                <w:sz w:val="16"/>
                <w:szCs w:val="16"/>
                <w:color w:val="auto"/>
              </w:rPr>
            </w:pP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Balance as of October 1, 2007</w:t>
            </w:r>
          </w:p>
        </w:tc>
        <w:tc>
          <w:tcPr>
            <w:tcW w:w="13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$ 4,247</w:t>
            </w:r>
          </w:p>
        </w:tc>
        <w:tc>
          <w:tcPr>
            <w:tcW w:w="8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$112</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$ 4,359</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payments</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(552)</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(552)</w:t>
            </w:r>
          </w:p>
        </w:tc>
      </w:tr>
      <w:tr>
        <w:trPr>
          <w:trHeight w:val="191"/>
        </w:trPr>
        <w:tc>
          <w:tcPr>
            <w:tcW w:w="3040" w:type="dxa"/>
            <w:vAlign w:val="bottom"/>
          </w:tcPr>
          <w:p>
            <w:pPr>
              <w:spacing w:after="0"/>
              <w:rPr>
                <w:sz w:val="16"/>
                <w:szCs w:val="16"/>
                <w:color w:val="auto"/>
              </w:rPr>
            </w:pPr>
          </w:p>
        </w:tc>
        <w:tc>
          <w:tcPr>
            <w:tcW w:w="1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as of March 31, 2008</w:t>
            </w:r>
          </w:p>
        </w:tc>
        <w:tc>
          <w:tcPr>
            <w:tcW w:w="1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$ 3,695</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$112</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$ 3,807</w:t>
            </w:r>
          </w:p>
        </w:tc>
      </w:tr>
      <w:tr>
        <w:trPr>
          <w:trHeight w:val="191"/>
        </w:trPr>
        <w:tc>
          <w:tcPr>
            <w:tcW w:w="3040" w:type="dxa"/>
            <w:vAlign w:val="bottom"/>
          </w:tcPr>
          <w:p>
            <w:pPr>
              <w:spacing w:after="0"/>
              <w:rPr>
                <w:sz w:val="16"/>
                <w:szCs w:val="16"/>
                <w:color w:val="auto"/>
              </w:rPr>
            </w:pPr>
          </w:p>
        </w:tc>
        <w:tc>
          <w:tcPr>
            <w:tcW w:w="13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040" w:type="dxa"/>
            <w:vAlign w:val="bottom"/>
          </w:tcPr>
          <w:p>
            <w:pPr>
              <w:spacing w:after="0"/>
              <w:rPr>
                <w:sz w:val="20"/>
                <w:szCs w:val="20"/>
                <w:color w:val="auto"/>
              </w:rPr>
            </w:pPr>
            <w:r>
              <w:rPr>
                <w:rFonts w:ascii="Courier New" w:cs="Courier New" w:eastAsia="Courier New" w:hAnsi="Courier New"/>
                <w:sz w:val="17"/>
                <w:szCs w:val="17"/>
                <w:color w:val="auto"/>
              </w:rPr>
              <w:t>11. CONTINGENCIES</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3"/>
        </w:trPr>
        <w:tc>
          <w:tcPr>
            <w:tcW w:w="3040" w:type="dxa"/>
            <w:vAlign w:val="bottom"/>
          </w:tcPr>
          <w:p>
            <w:pPr>
              <w:ind w:left="1000"/>
              <w:spacing w:after="0"/>
              <w:rPr>
                <w:sz w:val="20"/>
                <w:szCs w:val="20"/>
                <w:color w:val="auto"/>
              </w:rPr>
            </w:pPr>
            <w:r>
              <w:rPr>
                <w:rFonts w:ascii="Courier New" w:cs="Courier New" w:eastAsia="Courier New" w:hAnsi="Courier New"/>
                <w:sz w:val="17"/>
                <w:szCs w:val="17"/>
                <w:color w:val="auto"/>
              </w:rPr>
              <w:t>Legal Proceedings</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6"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The Company is involved in various legal proceedings arising in the normal course of its business. Based upon the advice of counsel, the Company does not believe that the ultimate resolution of these</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3" w:right="1440" w:bottom="289" w:gutter="0" w:footer="0" w:header="0"/>
        </w:sectPr>
      </w:pPr>
    </w:p>
    <w:bookmarkStart w:id="14" w:name="page15"/>
    <w:bookmarkEnd w:id="14"/>
    <w:p>
      <w:pPr>
        <w:jc w:val="center"/>
        <w:ind w:right="2759"/>
        <w:spacing w:after="0"/>
        <w:rPr>
          <w:sz w:val="20"/>
          <w:szCs w:val="20"/>
          <w:color w:val="auto"/>
        </w:rPr>
      </w:pPr>
      <w:r>
        <w:rPr>
          <w:rFonts w:ascii="Courier New" w:cs="Courier New" w:eastAsia="Courier New" w:hAnsi="Courier New"/>
          <w:sz w:val="17"/>
          <w:szCs w:val="17"/>
          <w:color w:val="auto"/>
        </w:rPr>
        <w:t>AMDOCS LIMITED</w:t>
      </w:r>
    </w:p>
    <w:p>
      <w:pPr>
        <w:jc w:val="center"/>
        <w:ind w:right="2759"/>
        <w:spacing w:after="0" w:line="238" w:lineRule="auto"/>
        <w:rPr>
          <w:sz w:val="20"/>
          <w:szCs w:val="20"/>
          <w:color w:val="auto"/>
        </w:rPr>
      </w:pPr>
      <w:r>
        <w:rPr>
          <w:rFonts w:ascii="Courier New" w:cs="Courier New" w:eastAsia="Courier New" w:hAnsi="Courier New"/>
          <w:sz w:val="17"/>
          <w:szCs w:val="17"/>
          <w:color w:val="auto"/>
        </w:rPr>
        <w:t>NOTES TO UNAUDITED CONSOLIDATED FINANCIAL STATEMENTS</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(dollar and share amounts in thousands, except per share data)</w:t>
      </w:r>
    </w:p>
    <w:p>
      <w:pPr>
        <w:spacing w:after="0" w:line="196"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matters will have a material adverse effect on the Company's consolidated financial position, results of operations or cash flows.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2008 and 2007.</w:t>
      </w:r>
    </w:p>
    <w:p>
      <w:pPr>
        <w:spacing w:after="0" w:line="1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719"/>
          </w:cols>
          <w:pgMar w:left="740" w:top="68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ITEM 2. OPERATING AND FINANCIAL REVIEW AND PROSPECTS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2007 that we filed on December 3, 2007 with the United States Securities and Exchange Commission ("SEC").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 OF BUSINESS AND TREND INFORMATION</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Amdocs is a leading provider of software and services for communications service providers. Our market focus is primarily Tier 1 and Tier 2 communications companies, including leading wireline and wireless telecommunications, broadband cable and satellite service providers. In addition, Amdocs also supports lower tier communication service providers.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develop, implement and manage software and services associated with the business support systems and operational support systems (BSS and OSS) that enable service providers to deliver a better, differentiated, and intentional customer experience, by, for example, introducing products quickly, understanding their customers more deeply, processing orders efficiently and solving problems productively. We refer to these systems as customer experience systems.</w:t>
      </w:r>
    </w:p>
    <w:p>
      <w:pPr>
        <w:spacing w:after="0" w:line="19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We believe the demand for our customer experience systems is primarily driven by several needs:</w:t>
      </w:r>
    </w:p>
    <w:p>
      <w:pPr>
        <w:spacing w:after="0" w:line="197" w:lineRule="exact"/>
        <w:rPr>
          <w:sz w:val="20"/>
          <w:szCs w:val="20"/>
          <w:color w:val="auto"/>
        </w:rPr>
      </w:pPr>
    </w:p>
    <w:p>
      <w:pPr>
        <w:ind w:left="1000" w:right="2859" w:hanging="501"/>
        <w:spacing w:after="0" w:line="236" w:lineRule="auto"/>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Consolidation in the communications industry is continuing, and competition among incumbent and new entrant service providers is intensifying.</w:t>
      </w:r>
    </w:p>
    <w:p>
      <w:pPr>
        <w:spacing w:after="0" w:line="196" w:lineRule="exact"/>
        <w:rPr>
          <w:rFonts w:ascii="Courier New" w:cs="Courier New" w:eastAsia="Courier New" w:hAnsi="Courier New"/>
          <w:sz w:val="17"/>
          <w:szCs w:val="17"/>
          <w:color w:val="auto"/>
        </w:rPr>
      </w:pPr>
    </w:p>
    <w:p>
      <w:pPr>
        <w:ind w:left="1000" w:right="2259" w:hanging="501"/>
        <w:spacing w:after="0" w:line="259" w:lineRule="auto"/>
        <w:tabs>
          <w:tab w:leader="none" w:pos="10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Convergence is accelerating, with consumers expecting continuous access to voice, data and video services anywhere, through any device.</w:t>
      </w:r>
    </w:p>
    <w:p>
      <w:pPr>
        <w:spacing w:after="0" w:line="182" w:lineRule="exact"/>
        <w:rPr>
          <w:rFonts w:ascii="Courier New" w:cs="Courier New" w:eastAsia="Courier New" w:hAnsi="Courier New"/>
          <w:sz w:val="16"/>
          <w:szCs w:val="16"/>
          <w:color w:val="auto"/>
        </w:rPr>
      </w:pPr>
    </w:p>
    <w:p>
      <w:pPr>
        <w:ind w:left="1000" w:right="2459" w:hanging="501"/>
        <w:spacing w:after="0" w:line="259" w:lineRule="auto"/>
        <w:tabs>
          <w:tab w:leader="none" w:pos="10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providers need to develop new revenue streams that take full advantage of ubiquitous connectivity and convergence lifestyle.</w:t>
      </w:r>
    </w:p>
    <w:p>
      <w:pPr>
        <w:spacing w:after="0" w:line="18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this changing environment, we believe service providers will succeed by differentiating their offerings in order to deliver a customer experience that is simple, personal, and valuable at every point of service. Service providers can do this by adopting our customer experience systems (Amdocs CES) which are designed to help deliver an intentional customer experience. While we recognize that there are some macro-</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16" w:name="page17"/>
    <w:bookmarkEnd w:id="16"/>
    <w:p>
      <w:pPr>
        <w:ind w:right="2459"/>
        <w:spacing w:after="0" w:line="236" w:lineRule="auto"/>
        <w:rPr>
          <w:sz w:val="20"/>
          <w:szCs w:val="20"/>
          <w:color w:val="auto"/>
        </w:rPr>
      </w:pPr>
      <w:r>
        <w:rPr>
          <w:rFonts w:ascii="Courier New" w:cs="Courier New" w:eastAsia="Courier New" w:hAnsi="Courier New"/>
          <w:sz w:val="17"/>
          <w:szCs w:val="17"/>
          <w:color w:val="auto"/>
        </w:rPr>
        <w:t>economic indicators that cause uncertainty in our industry, we continue to see demand for Amdocs products and services, and currently expect that we will continue to expand our business in fiscal 2008.</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Offerings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Amdocs offerings of software and related services consist of:</w:t>
      </w:r>
    </w:p>
    <w:p>
      <w:pPr>
        <w:spacing w:after="0" w:line="196" w:lineRule="exact"/>
        <w:rPr>
          <w:sz w:val="20"/>
          <w:szCs w:val="20"/>
          <w:color w:val="auto"/>
        </w:rPr>
      </w:pPr>
    </w:p>
    <w:p>
      <w:pPr>
        <w:ind w:left="1500" w:right="2259" w:hanging="504"/>
        <w:spacing w:after="0" w:line="254" w:lineRule="auto"/>
        <w:tabs>
          <w:tab w:leader="none" w:pos="1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modular portfolio of BSS and OSS software, including revenue management (billing, mediation and partner settlement), customer management (ordering, customer relationship management or CRM, and self-service), service and resource management (network management, planning and fulfillment ) digital commerce management (content revenue management, search and digital advertising) and foundation products (such as enterprise product catalog). In January 2008, we introduced our most current version of the portfolio, Amdocs CES 7.5.</w:t>
      </w:r>
    </w:p>
    <w:p>
      <w:pPr>
        <w:spacing w:after="0" w:line="186" w:lineRule="exact"/>
        <w:rPr>
          <w:rFonts w:ascii="Courier New" w:cs="Courier New" w:eastAsia="Courier New" w:hAnsi="Courier New"/>
          <w:sz w:val="16"/>
          <w:szCs w:val="16"/>
          <w:color w:val="auto"/>
        </w:rPr>
      </w:pPr>
    </w:p>
    <w:p>
      <w:pPr>
        <w:ind w:left="1500" w:right="2259" w:hanging="504"/>
        <w:spacing w:after="0" w:line="237" w:lineRule="auto"/>
        <w:tabs>
          <w:tab w:leader="none" w:pos="1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rating and billing services and communications facility management services.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have designed our customer experience systems to meet the mission-critical needs of leading service providers around the world. We support their various lines of business, including wireline, wireless, cable and satellite, and a wide range of communication services, including voice, video, data, IP, broadband, content, electronic and mobile commerce applications. We also support companies that offer multiple service packages, commonly referred to as bundled or convergent service packages. We have also applied our experience to assist service providers in the financial services sector to meet operational challenges that are similar to those experienced by communications companies.</w:t>
      </w:r>
    </w:p>
    <w:p>
      <w:pPr>
        <w:spacing w:after="0" w:line="202"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Amdocs also offers a full range of directory sales and publishing systems and related services, which we refer to as directory systems, for publishers of both traditional printed yellow page and white page directories and electronic Internet directories.</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We conduct our business globally, and, as a result we are subject to the effects of global economic conditions and, in particular, market conditions in the communications industry. We maintain development facilities in China, Cyprus, India, Ireland, Israel and the United States.</w:t>
      </w:r>
    </w:p>
    <w:p>
      <w:pPr>
        <w:spacing w:after="0" w:line="199"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We believe that demand for our customer experience systems is primarily driven by the following key factors:</w:t>
      </w:r>
    </w:p>
    <w:p>
      <w:pPr>
        <w:spacing w:after="0" w:line="190" w:lineRule="exact"/>
        <w:rPr>
          <w:sz w:val="20"/>
          <w:szCs w:val="20"/>
          <w:color w:val="auto"/>
        </w:rPr>
      </w:pPr>
    </w:p>
    <w:p>
      <w:pPr>
        <w:ind w:left="1000" w:hanging="501"/>
        <w:spacing w:after="0"/>
        <w:tabs>
          <w:tab w:leader="none" w:pos="10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Consolidation &amp; industry transformation, including:</w:t>
      </w:r>
    </w:p>
    <w:p>
      <w:pPr>
        <w:spacing w:after="0" w:line="189" w:lineRule="exact"/>
        <w:rPr>
          <w:rFonts w:ascii="Courier New" w:cs="Courier New" w:eastAsia="Courier New" w:hAnsi="Courier New"/>
          <w:sz w:val="17"/>
          <w:szCs w:val="17"/>
          <w:color w:val="auto"/>
        </w:rPr>
      </w:pPr>
    </w:p>
    <w:p>
      <w:pPr>
        <w:ind w:left="2000" w:hanging="506"/>
        <w:spacing w:after="0"/>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ubiquitous use of communications and content services,</w:t>
      </w:r>
    </w:p>
    <w:p>
      <w:pPr>
        <w:spacing w:after="0" w:line="189" w:lineRule="exact"/>
        <w:rPr>
          <w:rFonts w:ascii="Courier New" w:cs="Courier New" w:eastAsia="Courier New" w:hAnsi="Courier New"/>
          <w:sz w:val="17"/>
          <w:szCs w:val="17"/>
          <w:color w:val="auto"/>
        </w:rPr>
      </w:pPr>
    </w:p>
    <w:p>
      <w:pPr>
        <w:ind w:left="2000" w:hanging="506"/>
        <w:spacing w:after="0"/>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increases in digital and mobile commerce,</w:t>
      </w:r>
    </w:p>
    <w:p>
      <w:pPr>
        <w:spacing w:after="0" w:line="196" w:lineRule="exact"/>
        <w:rPr>
          <w:rFonts w:ascii="Courier New" w:cs="Courier New" w:eastAsia="Courier New" w:hAnsi="Courier New"/>
          <w:sz w:val="17"/>
          <w:szCs w:val="17"/>
          <w:color w:val="auto"/>
        </w:rPr>
      </w:pPr>
    </w:p>
    <w:p>
      <w:pPr>
        <w:ind w:left="2000" w:right="3059" w:hanging="506"/>
        <w:spacing w:after="0" w:line="235" w:lineRule="auto"/>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ongoing consolidation among incumbent communications providers,</w:t>
      </w:r>
    </w:p>
    <w:p>
      <w:pPr>
        <w:spacing w:after="0" w:line="190" w:lineRule="exact"/>
        <w:rPr>
          <w:rFonts w:ascii="Courier New" w:cs="Courier New" w:eastAsia="Courier New" w:hAnsi="Courier New"/>
          <w:sz w:val="17"/>
          <w:szCs w:val="17"/>
          <w:color w:val="auto"/>
        </w:rPr>
      </w:pPr>
    </w:p>
    <w:p>
      <w:pPr>
        <w:ind w:left="2000" w:hanging="506"/>
        <w:spacing w:after="0"/>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competition from new entrants,</w:t>
      </w:r>
    </w:p>
    <w:p>
      <w:pPr>
        <w:spacing w:after="0" w:line="196" w:lineRule="exact"/>
        <w:rPr>
          <w:rFonts w:ascii="Courier New" w:cs="Courier New" w:eastAsia="Courier New" w:hAnsi="Courier New"/>
          <w:sz w:val="17"/>
          <w:szCs w:val="17"/>
          <w:color w:val="auto"/>
        </w:rPr>
      </w:pPr>
    </w:p>
    <w:p>
      <w:pPr>
        <w:ind w:left="2000" w:right="2259" w:hanging="506"/>
        <w:spacing w:after="0" w:line="235" w:lineRule="auto"/>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convergence of communications, broadband cable and satellite industries, and</w:t>
      </w:r>
    </w:p>
    <w:p>
      <w:pPr>
        <w:spacing w:after="0" w:line="190" w:lineRule="exact"/>
        <w:rPr>
          <w:rFonts w:ascii="Courier New" w:cs="Courier New" w:eastAsia="Courier New" w:hAnsi="Courier New"/>
          <w:sz w:val="17"/>
          <w:szCs w:val="17"/>
          <w:color w:val="auto"/>
        </w:rPr>
      </w:pPr>
    </w:p>
    <w:p>
      <w:pPr>
        <w:ind w:left="2000" w:hanging="506"/>
        <w:spacing w:after="0"/>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commoditization and pricing pressure.</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Convergence &amp; technology advances, such as:</w:t>
      </w:r>
    </w:p>
    <w:p>
      <w:pPr>
        <w:spacing w:after="0" w:line="196" w:lineRule="exact"/>
        <w:rPr>
          <w:rFonts w:ascii="Courier New" w:cs="Courier New" w:eastAsia="Courier New" w:hAnsi="Courier New"/>
          <w:sz w:val="17"/>
          <w:szCs w:val="17"/>
          <w:color w:val="auto"/>
        </w:rPr>
      </w:pPr>
    </w:p>
    <w:p>
      <w:pPr>
        <w:ind w:left="2000" w:right="2359" w:hanging="506"/>
        <w:spacing w:after="0" w:line="236" w:lineRule="auto"/>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emergence of new communications products and services, especially video, broadband, data and content services, including IP-based services, such as Internet Protocol (IP) Television (IPTV) and Voice over IP (VoIP),</w:t>
      </w:r>
    </w:p>
    <w:p>
      <w:pPr>
        <w:spacing w:after="0" w:line="198" w:lineRule="exact"/>
        <w:rPr>
          <w:rFonts w:ascii="Courier New" w:cs="Courier New" w:eastAsia="Courier New" w:hAnsi="Courier New"/>
          <w:sz w:val="17"/>
          <w:szCs w:val="17"/>
          <w:color w:val="auto"/>
        </w:rPr>
      </w:pPr>
    </w:p>
    <w:p>
      <w:pPr>
        <w:ind w:left="2000" w:right="2359" w:hanging="506"/>
        <w:spacing w:after="0" w:line="236" w:lineRule="auto"/>
        <w:tabs>
          <w:tab w:leader="none" w:pos="2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evolution to next generation networks such as IP Multimedia Subsystem (IMS), that enable converged services offerings like fixed-mobile convergence, and</w:t>
      </w:r>
    </w:p>
    <w:p>
      <w:pPr>
        <w:sectPr>
          <w:pgSz w:w="11900" w:h="16838" w:orient="portrait"/>
          <w:cols w:equalWidth="0" w:num="1">
            <w:col w:w="10219"/>
          </w:cols>
          <w:pgMar w:left="240" w:top="690" w:right="1440" w:bottom="289" w:gutter="0" w:footer="0" w:header="0"/>
        </w:sectPr>
      </w:pPr>
    </w:p>
    <w:bookmarkStart w:id="17" w:name="page18"/>
    <w:bookmarkEnd w:id="17"/>
    <w:p>
      <w:pPr>
        <w:ind w:left="2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142" w:right="1440" w:bottom="1440" w:gutter="0" w:footer="0" w:header="0"/>
        </w:sectPr>
      </w:pPr>
    </w:p>
    <w:bookmarkStart w:id="18" w:name="page19"/>
    <w:bookmarkEnd w:id="18"/>
    <w:p>
      <w:pPr>
        <w:ind w:left="2000" w:right="2259" w:hanging="506"/>
        <w:spacing w:after="0" w:line="236"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changes, such as the introduction of 3G and 4G wireless technology, next-generation content systems and WiFi- and WiMax- based access technologies.</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focus, such as:</w:t>
      </w:r>
    </w:p>
    <w:p>
      <w:pPr>
        <w:spacing w:after="0" w:line="196" w:lineRule="exact"/>
        <w:rPr>
          <w:rFonts w:ascii="Courier New" w:cs="Courier New" w:eastAsia="Courier New" w:hAnsi="Courier New"/>
          <w:sz w:val="17"/>
          <w:szCs w:val="17"/>
          <w:color w:val="auto"/>
        </w:rPr>
      </w:pPr>
    </w:p>
    <w:p>
      <w:pPr>
        <w:ind w:left="2000" w:right="2459" w:hanging="506"/>
        <w:spacing w:after="0" w:line="259" w:lineRule="auto"/>
        <w:tabs>
          <w:tab w:leader="none" w:pos="20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for service providers to focus on their customers in order to build profitable customer relationships,</w:t>
      </w:r>
    </w:p>
    <w:p>
      <w:pPr>
        <w:spacing w:after="0" w:line="182" w:lineRule="exact"/>
        <w:rPr>
          <w:rFonts w:ascii="Courier New" w:cs="Courier New" w:eastAsia="Courier New" w:hAnsi="Courier New"/>
          <w:sz w:val="16"/>
          <w:szCs w:val="16"/>
          <w:color w:val="auto"/>
        </w:rPr>
      </w:pPr>
    </w:p>
    <w:p>
      <w:pPr>
        <w:ind w:left="2000" w:right="2259" w:hanging="506"/>
        <w:spacing w:after="0" w:line="237"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shift" toward the consumer, with customers demanding new, innovative services that can be personalized, that are timely and relevant to them, that they can participate in creating, and that can be accessed anytime and anywhere,</w:t>
      </w:r>
    </w:p>
    <w:p>
      <w:pPr>
        <w:spacing w:after="0" w:line="196" w:lineRule="exact"/>
        <w:rPr>
          <w:rFonts w:ascii="Courier New" w:cs="Courier New" w:eastAsia="Courier New" w:hAnsi="Courier New"/>
          <w:sz w:val="17"/>
          <w:szCs w:val="17"/>
          <w:color w:val="auto"/>
        </w:rPr>
      </w:pPr>
    </w:p>
    <w:p>
      <w:pPr>
        <w:ind w:left="2000" w:right="2259" w:hanging="506"/>
        <w:spacing w:after="0" w:line="235"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ever-increasing expectation of customer service and support, including access to self service options, and</w:t>
      </w:r>
    </w:p>
    <w:p>
      <w:pPr>
        <w:spacing w:after="0" w:line="196" w:lineRule="exact"/>
        <w:rPr>
          <w:rFonts w:ascii="Courier New" w:cs="Courier New" w:eastAsia="Courier New" w:hAnsi="Courier New"/>
          <w:sz w:val="17"/>
          <w:szCs w:val="17"/>
          <w:color w:val="auto"/>
        </w:rPr>
      </w:pPr>
    </w:p>
    <w:p>
      <w:pPr>
        <w:ind w:left="2000" w:right="2459" w:hanging="506"/>
        <w:spacing w:after="0" w:line="236"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need for service providers to differentiate themselves by creating a unique and mutually valuable customer experience.</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need for operational efficiency, including:</w:t>
      </w:r>
    </w:p>
    <w:p>
      <w:pPr>
        <w:spacing w:after="0" w:line="189" w:lineRule="exact"/>
        <w:rPr>
          <w:rFonts w:ascii="Courier New" w:cs="Courier New" w:eastAsia="Courier New" w:hAnsi="Courier New"/>
          <w:sz w:val="17"/>
          <w:szCs w:val="17"/>
          <w:color w:val="auto"/>
        </w:rPr>
      </w:pPr>
    </w:p>
    <w:p>
      <w:pPr>
        <w:ind w:left="2000" w:hanging="506"/>
        <w:spacing w:after="0"/>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shift from in-house management to vendor solutions,</w:t>
      </w:r>
    </w:p>
    <w:p>
      <w:pPr>
        <w:spacing w:after="0" w:line="196" w:lineRule="exact"/>
        <w:rPr>
          <w:rFonts w:ascii="Courier New" w:cs="Courier New" w:eastAsia="Courier New" w:hAnsi="Courier New"/>
          <w:sz w:val="17"/>
          <w:szCs w:val="17"/>
          <w:color w:val="auto"/>
        </w:rPr>
      </w:pPr>
    </w:p>
    <w:p>
      <w:pPr>
        <w:ind w:left="2000" w:right="2659" w:hanging="506"/>
        <w:spacing w:after="0" w:line="256" w:lineRule="auto"/>
        <w:tabs>
          <w:tab w:leader="none" w:pos="20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needs of service providers to reduce costs and lower total cost of ownership while retaining high-value customers in a highly competitive environment,</w:t>
      </w:r>
    </w:p>
    <w:p>
      <w:pPr>
        <w:spacing w:after="0" w:line="184" w:lineRule="exact"/>
        <w:rPr>
          <w:rFonts w:ascii="Courier New" w:cs="Courier New" w:eastAsia="Courier New" w:hAnsi="Courier New"/>
          <w:sz w:val="16"/>
          <w:szCs w:val="16"/>
          <w:color w:val="auto"/>
        </w:rPr>
      </w:pPr>
    </w:p>
    <w:p>
      <w:pPr>
        <w:ind w:left="2000" w:right="2359" w:hanging="506"/>
        <w:spacing w:after="0" w:line="236"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automating and integrating business processes that span service providers' BSS and OSS systems and create a simple, one-company face to customers,</w:t>
      </w:r>
    </w:p>
    <w:p>
      <w:pPr>
        <w:spacing w:after="0" w:line="196" w:lineRule="exact"/>
        <w:rPr>
          <w:rFonts w:ascii="Courier New" w:cs="Courier New" w:eastAsia="Courier New" w:hAnsi="Courier New"/>
          <w:sz w:val="17"/>
          <w:szCs w:val="17"/>
          <w:color w:val="auto"/>
        </w:rPr>
      </w:pPr>
    </w:p>
    <w:p>
      <w:pPr>
        <w:ind w:left="2000" w:right="2459" w:hanging="506"/>
        <w:spacing w:after="0" w:line="236"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integrating and implementing new next-generation networks (and retiring legacy networks) to deploy new technologies, and</w:t>
      </w:r>
    </w:p>
    <w:p>
      <w:pPr>
        <w:spacing w:after="0" w:line="196" w:lineRule="exact"/>
        <w:rPr>
          <w:rFonts w:ascii="Courier New" w:cs="Courier New" w:eastAsia="Courier New" w:hAnsi="Courier New"/>
          <w:sz w:val="17"/>
          <w:szCs w:val="17"/>
          <w:color w:val="auto"/>
        </w:rPr>
      </w:pPr>
    </w:p>
    <w:p>
      <w:pPr>
        <w:ind w:left="2000" w:right="2359" w:hanging="506"/>
        <w:spacing w:after="0" w:line="235" w:lineRule="auto"/>
        <w:tabs>
          <w:tab w:leader="none" w:pos="2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transforming fragmented legacy OSS systems to introduce new services in a timely and cost-effective manner.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derive our revenue principally from:</w:t>
      </w:r>
    </w:p>
    <w:p>
      <w:pPr>
        <w:spacing w:after="0" w:line="196" w:lineRule="exact"/>
        <w:rPr>
          <w:sz w:val="20"/>
          <w:szCs w:val="20"/>
          <w:color w:val="auto"/>
        </w:rPr>
      </w:pPr>
    </w:p>
    <w:p>
      <w:pPr>
        <w:ind w:left="500" w:right="2459" w:hanging="498"/>
        <w:spacing w:after="0" w:line="235" w:lineRule="auto"/>
        <w:tabs>
          <w:tab w:leader="none" w:pos="2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sales of licenses to use our products and related services, including modification, implementation and integration services,</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providing Managed Services and other related IT services, and</w:t>
      </w:r>
    </w:p>
    <w:p>
      <w:pPr>
        <w:spacing w:after="0" w:line="196" w:lineRule="exact"/>
        <w:rPr>
          <w:rFonts w:ascii="Courier New" w:cs="Courier New" w:eastAsia="Courier New" w:hAnsi="Courier New"/>
          <w:sz w:val="17"/>
          <w:szCs w:val="17"/>
          <w:color w:val="auto"/>
        </w:rPr>
      </w:pPr>
    </w:p>
    <w:p>
      <w:pPr>
        <w:ind w:left="500" w:right="2559" w:hanging="498"/>
        <w:spacing w:after="0" w:line="236" w:lineRule="auto"/>
        <w:tabs>
          <w:tab w:leader="none" w:pos="2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high-level business consulting that includes services that advise, transform, integrate and optimize technology and business processes;</w:t>
      </w:r>
    </w:p>
    <w:p>
      <w:pPr>
        <w:spacing w:after="0" w:line="196" w:lineRule="exact"/>
        <w:rPr>
          <w:rFonts w:ascii="Courier New" w:cs="Courier New" w:eastAsia="Courier New" w:hAnsi="Courier New"/>
          <w:sz w:val="17"/>
          <w:szCs w:val="17"/>
          <w:color w:val="auto"/>
        </w:rPr>
      </w:pPr>
    </w:p>
    <w:p>
      <w:pPr>
        <w:ind w:left="500" w:right="2259" w:hanging="498"/>
        <w:spacing w:after="0" w:line="236" w:lineRule="auto"/>
        <w:tabs>
          <w:tab w:leader="none" w:pos="2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-recurring revenue from ongoing support, maintenance and enhancements provided to our customers, and from incremental license fees resulting from increases in a customer's business volume.</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ectPr>
          <w:pgSz w:w="11900" w:h="16838" w:orient="portrait"/>
          <w:cols w:equalWidth="0" w:num="1">
            <w:col w:w="10219"/>
          </w:cols>
          <w:pgMar w:left="240" w:top="881" w:right="1440" w:bottom="0" w:gutter="0" w:footer="0" w:header="0"/>
        </w:sectPr>
      </w:pPr>
    </w:p>
    <w:bookmarkStart w:id="19" w:name="page20"/>
    <w:bookmarkEnd w:id="19"/>
    <w:p>
      <w:pPr>
        <w:ind w:right="2659" w:firstLine="497"/>
        <w:spacing w:after="0" w:line="236" w:lineRule="auto"/>
        <w:rPr>
          <w:sz w:val="20"/>
          <w:szCs w:val="20"/>
          <w:color w:val="auto"/>
        </w:rPr>
      </w:pPr>
      <w:r>
        <w:rPr>
          <w:rFonts w:ascii="Courier New" w:cs="Courier New" w:eastAsia="Courier New" w:hAnsi="Courier New"/>
          <w:sz w:val="17"/>
          <w:szCs w:val="17"/>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142" w:right="1440" w:bottom="1440" w:gutter="0" w:footer="0" w:header="0"/>
        </w:sectPr>
      </w:pPr>
    </w:p>
    <w:bookmarkStart w:id="20" w:name="page21"/>
    <w:bookmarkEnd w:id="20"/>
    <w:p>
      <w:pPr>
        <w:ind w:right="2459" w:firstLine="497"/>
        <w:spacing w:after="0" w:line="236" w:lineRule="auto"/>
        <w:rPr>
          <w:sz w:val="20"/>
          <w:szCs w:val="20"/>
          <w:color w:val="auto"/>
        </w:rPr>
      </w:pPr>
      <w:r>
        <w:rPr>
          <w:rFonts w:ascii="Courier New" w:cs="Courier New" w:eastAsia="Courier New" w:hAnsi="Courier New"/>
          <w:sz w:val="17"/>
          <w:szCs w:val="17"/>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Revenue from managed services arrangements (for customer experience systems and directory systems) is included in both license and service revenue. Revenue generated in connection with managed services arrangements are a significant part of our business, accounting for approximately 40% of our total revenue in the six months ended March 31, 2008 and 2007, and generating substantial, long-term revenue streams, cash flow and operating income. In the initial period of our managed services projects, we may invest in modernization and consolidation of the customer's systems. Invoices are usually structured on a periodic fixed or unit charge basis. Managed services projects can be less profitable in the initial period. Margins tend to improve over time as we derive benefit from the operational efficiencies and from changes in the geographical mix of our resources.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STANDARDS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March 2008, the Financial Accounting Standards Board ("FASB") issued Statement No. 161, Disclosures about Derivative Instruments and Hedging Activities, an amendment of FASB Statement No. 133 ("SFAS 161")". SFAS 161 applies to all derivative instruments and nonderivative instruments that are designated and qualify as hedging instruments and related hedged items accounted for under FASB Statement No. 133, Accounting for Derivative Instruments and Hedging Activities ("Statement 133"). SFAS 161 requires entities to provide greater transparency through additional disclosures about (a) how and why an entity uses derivative instruments, (b) how derivative instruments and related hedged items are accounted for under Statement 133 and its related interpretations, and (c) how derivative instruments and related hedged items affect an entity's financial position, results of operations, and cash flows. SFAS 161 is effective for financial statements issued for fiscal years and interim periods beginning after November 15, 2008. Although SFAS 161 requires us to make additional disclosures, it does not affect the underlying accounting policy or the application thereof.</w:t>
      </w:r>
    </w:p>
    <w:p>
      <w:pPr>
        <w:spacing w:after="0" w:line="20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December 2007, the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141(R) applies to us prospectively for business combinations for which the acquisition date is on or after October 1, 2009.</w:t>
      </w:r>
    </w:p>
    <w:p>
      <w:pPr>
        <w:spacing w:after="0" w:line="201"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In December 2007, the FASB issued Statement No. 160, Noncontrolling Interests in Consolidated Financial Statements, an amendment of ARB No. 51 ("SFAS 160").SFAS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 prohibited. We are currently evaluating the effect that the application of SFAS 160 will have on our consolidated results of operations and financial condition.</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w:t>
      </w: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21" w:name="page22"/>
    <w:bookmarkEnd w:id="21"/>
    <w:p>
      <w:pPr>
        <w:ind w:right="2659"/>
        <w:spacing w:after="0" w:line="236" w:lineRule="auto"/>
        <w:rPr>
          <w:sz w:val="20"/>
          <w:szCs w:val="20"/>
          <w:color w:val="auto"/>
        </w:rPr>
      </w:pPr>
      <w:r>
        <w:rPr>
          <w:rFonts w:ascii="Courier New" w:cs="Courier New" w:eastAsia="Courier New" w:hAnsi="Courier New"/>
          <w:sz w:val="17"/>
          <w:szCs w:val="17"/>
          <w:color w:val="auto"/>
        </w:rPr>
        <w:t>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No.157 applies under other accounting pronouncements that require or permit fair value measurements. SFAS 157 is effective for fiscal years beginning after November 15, 2007, and interim periods within those fiscal years. In February 2008, the FASB issued FASB Staff Position No. SFAS 157-b, Effective Date of FASB Statement No. 157, which provides a one year deferral of the effective date of SFAS 157 for non-financial assets and non-financial liabilities, except those that are recognized or disclosed in the financial statements at fair value on a recurring basis (at least annually). We are currently evaluating the effect that the application of SFAS 157 will have on our consolidated results of operations and financial condition.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ADOPTION OF NEW ACCOUNTING STANDARD</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We adopted FIN 48 in the first quarter of fiscal 2008. The adoption of FIN 48 did not result in a change to retained earnings. See Note 6 to our consolidated financial statements for additional information on our provision for income taxes, including the effects of adoption of FIN 48 on our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table sets forth for the three and six months ended March 31,</w:t>
      </w:r>
    </w:p>
    <w:p>
      <w:pPr>
        <w:spacing w:after="0" w:line="10"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2008 and 2007 certain items in our consolidated statements of income reflected as a percentage of total revenue: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22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THREE MONTHS ENDED</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3880" w:type="dxa"/>
            <w:vAlign w:val="bottom"/>
          </w:tcPr>
          <w:p>
            <w:pPr>
              <w:spacing w:after="0"/>
              <w:rPr>
                <w:sz w:val="16"/>
                <w:szCs w:val="16"/>
                <w:color w:val="auto"/>
              </w:rPr>
            </w:pPr>
          </w:p>
        </w:tc>
        <w:tc>
          <w:tcPr>
            <w:tcW w:w="224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MARCH 31,</w:t>
            </w:r>
          </w:p>
        </w:tc>
        <w:tc>
          <w:tcPr>
            <w:tcW w:w="17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MARCH 31,</w:t>
            </w:r>
          </w:p>
        </w:tc>
      </w:tr>
      <w:tr>
        <w:trPr>
          <w:trHeight w:val="191"/>
        </w:trPr>
        <w:tc>
          <w:tcPr>
            <w:tcW w:w="3880" w:type="dxa"/>
            <w:vAlign w:val="bottom"/>
          </w:tcPr>
          <w:p>
            <w:pPr>
              <w:spacing w:after="0"/>
              <w:rPr>
                <w:sz w:val="16"/>
                <w:szCs w:val="16"/>
                <w:color w:val="auto"/>
              </w:rPr>
            </w:pPr>
          </w:p>
        </w:tc>
        <w:tc>
          <w:tcPr>
            <w:tcW w:w="2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2008</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2007</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2008</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2007</w:t>
            </w:r>
          </w:p>
        </w:tc>
      </w:tr>
      <w:tr>
        <w:trPr>
          <w:trHeight w:val="191"/>
        </w:trPr>
        <w:tc>
          <w:tcPr>
            <w:tcW w:w="3880" w:type="dxa"/>
            <w:vAlign w:val="bottom"/>
          </w:tcPr>
          <w:p>
            <w:pPr>
              <w:spacing w:after="0"/>
              <w:rPr>
                <w:sz w:val="16"/>
                <w:szCs w:val="16"/>
                <w:color w:val="auto"/>
              </w:rPr>
            </w:pP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License ............................</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w:t>
            </w:r>
          </w:p>
        </w:tc>
        <w:tc>
          <w:tcPr>
            <w:tcW w:w="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w:t>
            </w: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Service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95.9</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94.7</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96.2</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95.0</w:t>
            </w:r>
          </w:p>
        </w:tc>
      </w:tr>
      <w:tr>
        <w:trPr>
          <w:trHeight w:val="191"/>
        </w:trPr>
        <w:tc>
          <w:tcPr>
            <w:tcW w:w="388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100.0</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100.0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100.0</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100.0</w:t>
            </w:r>
          </w:p>
        </w:tc>
      </w:tr>
      <w:tr>
        <w:trPr>
          <w:trHeight w:val="191"/>
        </w:trPr>
        <w:tc>
          <w:tcPr>
            <w:tcW w:w="3880" w:type="dxa"/>
            <w:vAlign w:val="bottom"/>
          </w:tcPr>
          <w:p>
            <w:pPr>
              <w:spacing w:after="0"/>
              <w:rPr>
                <w:sz w:val="16"/>
                <w:szCs w:val="16"/>
                <w:color w:val="auto"/>
              </w:rPr>
            </w:pP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Cost of license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0.1</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0.1</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0.1</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0.1</w:t>
            </w: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Cost of service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63.8</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63.3</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63.6</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63.1</w:t>
            </w: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Research and development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8.2</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w:t>
            </w: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Selling, general and</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administrative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12.8</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12.9</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12.9</w:t>
            </w: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Amortization of purchased intangible</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assets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2.7</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Restructuring charges, in-process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research and development and</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0.9</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0.5</w:t>
            </w:r>
          </w:p>
        </w:tc>
      </w:tr>
      <w:tr>
        <w:trPr>
          <w:trHeight w:val="765"/>
        </w:trPr>
        <w:tc>
          <w:tcPr>
            <w:tcW w:w="3880" w:type="dxa"/>
            <w:vAlign w:val="bottom"/>
          </w:tcPr>
          <w:p>
            <w:pPr>
              <w:spacing w:after="0"/>
              <w:rPr>
                <w:sz w:val="24"/>
                <w:szCs w:val="24"/>
                <w:color w:val="auto"/>
              </w:rPr>
            </w:pPr>
          </w:p>
        </w:tc>
        <w:tc>
          <w:tcPr>
            <w:tcW w:w="1400" w:type="dxa"/>
            <w:vAlign w:val="bottom"/>
          </w:tcPr>
          <w:p>
            <w:pPr>
              <w:jc w:val="right"/>
              <w:ind w:right="1117"/>
              <w:spacing w:after="0"/>
              <w:rPr>
                <w:sz w:val="20"/>
                <w:szCs w:val="20"/>
                <w:color w:val="auto"/>
              </w:rPr>
            </w:pPr>
            <w:r>
              <w:rPr>
                <w:rFonts w:ascii="Courier New" w:cs="Courier New" w:eastAsia="Courier New" w:hAnsi="Courier New"/>
                <w:sz w:val="17"/>
                <w:szCs w:val="17"/>
                <w:color w:val="auto"/>
                <w:w w:val="87"/>
              </w:rPr>
              <w:t>19</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86.7</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88.1</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86.9</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87.7</w:t>
            </w:r>
          </w:p>
        </w:tc>
      </w:tr>
      <w:tr>
        <w:trPr>
          <w:trHeight w:val="191"/>
        </w:trPr>
        <w:tc>
          <w:tcPr>
            <w:tcW w:w="4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13.3</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11.9</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13.1</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 and other, net ........</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4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income taxes ............</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14.4</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13.4</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14.2</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 ..........................</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w:t>
            </w: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w:t>
            </w:r>
          </w:p>
        </w:tc>
      </w:tr>
      <w:tr>
        <w:trPr>
          <w:trHeight w:val="191"/>
        </w:trPr>
        <w:tc>
          <w:tcPr>
            <w:tcW w:w="4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MARCH 31, 2008 AND 2007</w:t>
      </w:r>
    </w:p>
    <w:p>
      <w:pPr>
        <w:spacing w:after="0" w:line="196" w:lineRule="exact"/>
        <w:rPr>
          <w:sz w:val="20"/>
          <w:szCs w:val="20"/>
          <w:color w:val="auto"/>
        </w:rPr>
      </w:pPr>
    </w:p>
    <w:p>
      <w:pPr>
        <w:ind w:right="2459" w:firstLine="597"/>
        <w:spacing w:after="0" w:line="236" w:lineRule="auto"/>
        <w:rPr>
          <w:sz w:val="20"/>
          <w:szCs w:val="20"/>
          <w:color w:val="auto"/>
        </w:rPr>
      </w:pPr>
      <w:r>
        <w:rPr>
          <w:rFonts w:ascii="Courier New" w:cs="Courier New" w:eastAsia="Courier New" w:hAnsi="Courier New"/>
          <w:sz w:val="17"/>
          <w:szCs w:val="17"/>
          <w:color w:val="auto"/>
        </w:rPr>
        <w:t>The following is a tabular presentation of our results of operations for the six months ended March 31, 2008 compared to the six months ended March 31, 2007. Following the table is a discussion and analysis of our business and results of operations for such periods.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3"/>
          </w:tcPr>
          <w:p>
            <w:pPr>
              <w:jc w:val="right"/>
              <w:ind w:right="397"/>
              <w:spacing w:after="0"/>
              <w:rPr>
                <w:sz w:val="20"/>
                <w:szCs w:val="20"/>
                <w:color w:val="auto"/>
              </w:rPr>
            </w:pPr>
            <w:r>
              <w:rPr>
                <w:rFonts w:ascii="Courier New" w:cs="Courier New" w:eastAsia="Courier New" w:hAnsi="Courier New"/>
                <w:sz w:val="17"/>
                <w:szCs w:val="17"/>
                <w:color w:val="auto"/>
              </w:rPr>
              <w:t>SIX MONTHS ENDED</w:t>
            </w: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3"/>
          </w:tcPr>
          <w:p>
            <w:pPr>
              <w:jc w:val="right"/>
              <w:ind w:right="697"/>
              <w:spacing w:after="0" w:line="191" w:lineRule="exact"/>
              <w:rPr>
                <w:sz w:val="20"/>
                <w:szCs w:val="20"/>
                <w:color w:val="auto"/>
              </w:rPr>
            </w:pPr>
            <w:r>
              <w:rPr>
                <w:rFonts w:ascii="Courier New" w:cs="Courier New" w:eastAsia="Courier New" w:hAnsi="Courier New"/>
                <w:sz w:val="17"/>
                <w:szCs w:val="17"/>
                <w:color w:val="auto"/>
              </w:rPr>
              <w:t>MARCH 31,</w:t>
            </w:r>
          </w:p>
        </w:tc>
        <w:tc>
          <w:tcPr>
            <w:tcW w:w="2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INCREASE (DECREASE)</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2008</w:t>
            </w:r>
          </w:p>
        </w:tc>
        <w:tc>
          <w:tcPr>
            <w:tcW w:w="400" w:type="dxa"/>
            <w:vAlign w:val="bottom"/>
          </w:tcPr>
          <w:p>
            <w:pPr>
              <w:spacing w:after="0"/>
              <w:rPr>
                <w:sz w:val="16"/>
                <w:szCs w:val="16"/>
                <w:color w:val="auto"/>
              </w:rPr>
            </w:pPr>
          </w:p>
        </w:tc>
        <w:tc>
          <w:tcPr>
            <w:tcW w:w="10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2007</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AMOUNT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(in thousands)</w:t>
            </w: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2"/>
        </w:trPr>
        <w:tc>
          <w:tcPr>
            <w:tcW w:w="36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License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58,326</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69,270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$(10,944)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Service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1,458,205</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1,328,123</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130,082</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9.8</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1,516,531</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1,397,393</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119,138</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license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1,712</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2,085</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(373)</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service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964,697</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881,981</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82,716</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9.4</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Research and development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112,103</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118,202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(6,099)</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Selling, general and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administrative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196,331</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180,450</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15,881</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Amortization of purchased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intangible assets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43,506</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36,610</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6,896</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36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Restructuring charges,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in-process research and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development and other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6,761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(6,761)</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1,318,349</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1,226,089</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92,260</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Operating income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198,182</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171,304</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26,878</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15.7</w:t>
            </w: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Interest income and other, net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17,638</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22,638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before income taxes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215,820</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193,942</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21,878</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11.3</w:t>
            </w: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taxes ......................</w:t>
            </w:r>
          </w:p>
        </w:tc>
        <w:tc>
          <w:tcPr>
            <w:tcW w:w="2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20,297</w:t>
            </w:r>
          </w:p>
        </w:tc>
        <w:tc>
          <w:tcPr>
            <w:tcW w:w="400" w:type="dxa"/>
            <w:vAlign w:val="bottom"/>
          </w:tcPr>
          <w:p>
            <w:pPr>
              <w:spacing w:after="0"/>
              <w:rPr>
                <w:sz w:val="16"/>
                <w:szCs w:val="16"/>
                <w:color w:val="auto"/>
              </w:rPr>
            </w:pP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13,429</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6,868</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51.1</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Net income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195,523</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180,513</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$ 15,010</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w:t>
            </w:r>
          </w:p>
        </w:tc>
      </w:tr>
      <w:tr>
        <w:trPr>
          <w:trHeight w:val="191"/>
        </w:trPr>
        <w:tc>
          <w:tcPr>
            <w:tcW w:w="364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bl>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REVENUE. Total revenue increased by $119.1 million, or 8.5%, to $1,516.5 million in the six months ended March 31, 2008, from $1,397.4 million in the six months ended March 31, 2007. The increase was primarily attributable to revenue from consolidation and transformation projects for Tier One customers as well as from revenue related to the expansion of our managed services activities.</w:t>
      </w:r>
    </w:p>
    <w:p>
      <w:pPr>
        <w:spacing w:after="0" w:line="18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License revenue decreased by $10.9 million, or 15.8%, to $58.3 million in the six months ended March 31, 2008, from $69.3 million in the six months ended March 31, 2007. The decrease was primarily due to timing of projects, as we completed some projects and others are expected to begin in the near future.</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066" w:right="1440" w:bottom="1440" w:gutter="0" w:footer="0" w:header="0"/>
        </w:sectPr>
      </w:pPr>
    </w:p>
    <w:bookmarkStart w:id="23" w:name="page24"/>
    <w:bookmarkEnd w:id="23"/>
    <w:p>
      <w:pPr>
        <w:ind w:right="2259" w:firstLine="497"/>
        <w:spacing w:after="0" w:line="237" w:lineRule="auto"/>
        <w:rPr>
          <w:sz w:val="20"/>
          <w:szCs w:val="20"/>
          <w:color w:val="auto"/>
        </w:rPr>
      </w:pPr>
      <w:r>
        <w:rPr>
          <w:rFonts w:ascii="Courier New" w:cs="Courier New" w:eastAsia="Courier New" w:hAnsi="Courier New"/>
          <w:sz w:val="17"/>
          <w:szCs w:val="17"/>
          <w:color w:val="auto"/>
        </w:rPr>
        <w:t>License and service revenue attributable to the sale of Customer Experience Systems was $1,380.9 million in the six months ended March 31, 2008, an increase of $124.0 million, or 9.9%, over the six months ended March 31, 2007. The increase was primarily attributable to revenue from consolidation and transformation projects for Tier One customers as well as from revenue related to the expansion of our managed services activities. License and service revenue resulting from the sale of Customer Experience Systems represented 91.1% and 89.9% of our total revenue in the six months ended March 31, 2008 and 2007, respectively.</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License and service revenue from the sale of Directory Systems was $135.6 million in the six months ended March 31, 2008, a decrease of $4.9 million, or 3.5%, as compared to the six months ended March 31, 2007. License and service revenue from the sale of Directory Systems represented 8.9% and 10.1% of our total revenue in the six months ended March 31, 2008 and 2007, respectively. We believe that we are a leading provider of Directory Systems in most of the markets we serve.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six months ended March 31, 2008, revenue from customers in North America, Europe and the rest of the world accounted for 68.7%,17.4% and 13.9%, respectively, of total revenue compared to 67.5%, 22.5% and 10.0%, respectively, in the six months ended March 31, 2007. The decrease in revenue from customers in Europe was attributable partially to timing of projects as we completed some projects and some are expected to start in the near future. The increase in revenue from customers in the rest of the world in the six months ended March 31, 2008 was attributable primarily to revenue contributed in Asia Pacific as well as to customers in emerging markets.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COST OF LICENSE AND SERVICE. Cost of license mainly includes royalty payments to software suppliers. Cost of service consists primarily of costs associated with providing services to customers, including compensation expense and costs of third-party products. The increase in cost of license and service in the six months ended March 31, 2008 was $82.3 million or 9.3%, which is slightly higher than the increase in our total revenue in the six months ended March 31, 2008. As a percentage of revenue, cost of license and service was 63.7% in the six months ended March 31, 2008, compared to 63.2% in the six months ended March 31, 2007. Our cost of service in the six months ended March 31, 2008 increased as a result of expansion of our Managed Services activities, partially offset by cost savings resulting from our expansion into lower cost jurisdictions and increased efficiencies in our overall operations. Margins from Managed Services tend to improve over time as we realize synergies, create cost efficiencies and improve business processes.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RESEARCH AND DEVELOPMENT. Research and development expense is primarily comprised of compensation expense. Research and development expense decreased by $6.1 million, or 5.2%, in the six months ended March 31, 2008 to $112.1 million from $118.2 million in the six months ended March 31, 2007. Research and development expense decreased as a percentage of revenue from 8.5% in the six months ended March 31, 2007 to 7.4% in the six months ended March 31, 2008. We believe that our research and development efforts are a key element of our strategy and are essential to our success and we intend to maintain our level of commitment to research and development. The decrease in research and development expense was attributable to increased efficiency as well as to changes in the geographical mix of our research and development resources. An increase or a decrease in our total revenue would not necessarily result in a proportional increase or decrease in the levels of our research and development expenditures, which could affect our operating margin.</w:t>
      </w:r>
    </w:p>
    <w:p>
      <w:pPr>
        <w:spacing w:after="0" w:line="20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$15.9 million, or 8.8%, in the six months ended March 31, 2008 to $196.3 million, from $180.4 million in the six months ended March 31, 2007. Selling, general and administrative expense is primarily comprised of compensation expense. The increase in selling, general and administrative expense was attributable to an overall increase in our operations.</w:t>
      </w:r>
    </w:p>
    <w:p>
      <w:pPr>
        <w:spacing w:after="0" w:line="1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AMORTIZATION OF PURCHASED INTANGIBLE ASSETS. Amortization of purchased intangible assets in the six months ended March 31, 2008 was $43.5 million, compared to $36.6 million in the six months ended March 31, 2007. The increase in amortization of purchased intangible assets was due to purchased intangible assets acquired in our fiscal 2006 and 2007 acquisitions.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24" w:name="page25"/>
    <w:bookmarkEnd w:id="24"/>
    <w:p>
      <w:pPr>
        <w:ind w:right="2259" w:firstLine="497"/>
        <w:spacing w:after="0" w:line="237" w:lineRule="auto"/>
        <w:rPr>
          <w:sz w:val="20"/>
          <w:szCs w:val="20"/>
          <w:color w:val="auto"/>
        </w:rPr>
      </w:pPr>
      <w:r>
        <w:rPr>
          <w:rFonts w:ascii="Courier New" w:cs="Courier New" w:eastAsia="Courier New" w:hAnsi="Courier New"/>
          <w:sz w:val="17"/>
          <w:szCs w:val="17"/>
          <w:color w:val="auto"/>
        </w:rPr>
        <w:t>OPERATING INCOME. Operating income increased by $26.9 million, or 15.7%, in the six months ended March 31, 2008, to $198.2 million, or 13.1% of revenue, from $171.3 million, or 12.3% of revenue, in the six months ended March 31, 2007. The increase in operating income as a percentage of revenue was attributable to the 8.5% increase in revenue compared to the 7.5% increase in operating expense that we experienced during the six months ended March 31, 2008.</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INCOME AND OTHER, NET. Interest income and other, net decreased by $5.0 million in the six months ended March 31, 2008, to $17.6 million from $22.6 million in the six months ended March 31, 2007. The decrease in interest income and other, net, is primarily attributable to the impact of foreign exchange losses, and to lower income on our short-term interest-bearing investments due to current market conditions.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INCOME TAXES. Income taxes for the six months ended March 31, 2008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$20.3 million on pretax income of $215.8 million, resulting in an effective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 of 9.4% compared to 6.9% in the six months ended March 31, 2007. Of the</w:t>
      </w:r>
    </w:p>
    <w:p>
      <w:pPr>
        <w:spacing w:after="0" w:line="238" w:lineRule="auto"/>
        <w:rPr>
          <w:sz w:val="20"/>
          <w:szCs w:val="20"/>
          <w:color w:val="auto"/>
        </w:rPr>
      </w:pPr>
      <w:r>
        <w:rPr>
          <w:rFonts w:ascii="Courier New" w:cs="Courier New" w:eastAsia="Courier New" w:hAnsi="Courier New"/>
          <w:sz w:val="17"/>
          <w:szCs w:val="17"/>
          <w:color w:val="auto"/>
        </w:rPr>
        <w:t>increase in our effective tax rate, approximately 6.1% was attributable to the</w:t>
      </w:r>
    </w:p>
    <w:p>
      <w:pPr>
        <w:spacing w:after="0" w:line="238" w:lineRule="auto"/>
        <w:rPr>
          <w:sz w:val="20"/>
          <w:szCs w:val="20"/>
          <w:color w:val="auto"/>
        </w:rPr>
      </w:pPr>
      <w:r>
        <w:rPr>
          <w:rFonts w:ascii="Courier New" w:cs="Courier New" w:eastAsia="Courier New" w:hAnsi="Courier New"/>
          <w:sz w:val="17"/>
          <w:szCs w:val="17"/>
          <w:color w:val="auto"/>
        </w:rPr>
        <w:t>changes in our tax reserves and approximately 1.7% was attributable to the net</w:t>
      </w:r>
    </w:p>
    <w:p>
      <w:pPr>
        <w:spacing w:after="0"/>
        <w:rPr>
          <w:sz w:val="20"/>
          <w:szCs w:val="20"/>
          <w:color w:val="auto"/>
        </w:rPr>
      </w:pPr>
      <w:r>
        <w:rPr>
          <w:rFonts w:ascii="Courier New" w:cs="Courier New" w:eastAsia="Courier New" w:hAnsi="Courier New"/>
          <w:sz w:val="17"/>
          <w:szCs w:val="17"/>
          <w:color w:val="auto"/>
        </w:rPr>
        <w:t>effect of acquisition-related costs (which include amortization of purchased</w:t>
      </w:r>
    </w:p>
    <w:p>
      <w:pPr>
        <w:spacing w:after="0" w:line="237" w:lineRule="auto"/>
        <w:rPr>
          <w:sz w:val="20"/>
          <w:szCs w:val="20"/>
          <w:color w:val="auto"/>
        </w:rPr>
      </w:pPr>
      <w:r>
        <w:rPr>
          <w:rFonts w:ascii="Courier New" w:cs="Courier New" w:eastAsia="Courier New" w:hAnsi="Courier New"/>
          <w:sz w:val="17"/>
          <w:szCs w:val="17"/>
          <w:color w:val="auto"/>
        </w:rPr>
        <w:t>intangible assets and other), restructuring charges and equity-based</w:t>
      </w:r>
    </w:p>
    <w:p>
      <w:pPr>
        <w:spacing w:after="0" w:line="238" w:lineRule="auto"/>
        <w:rPr>
          <w:sz w:val="20"/>
          <w:szCs w:val="20"/>
          <w:color w:val="auto"/>
        </w:rPr>
      </w:pPr>
      <w:r>
        <w:rPr>
          <w:rFonts w:ascii="Courier New" w:cs="Courier New" w:eastAsia="Courier New" w:hAnsi="Courier New"/>
          <w:sz w:val="17"/>
          <w:szCs w:val="17"/>
          <w:color w:val="auto"/>
        </w:rPr>
        <w:t>compensation expense, which were partially offset by decrease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 attributable to changes in the valuation allowances and by an approximately</w:t>
      </w:r>
    </w:p>
    <w:p>
      <w:pPr>
        <w:spacing w:after="0" w:line="1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3.2% decrease in effective tax rate attributable to the geographical distribution of earnings from global operations. We expect that our effective tax rate for fiscal year 2008 will be between 9% and 12% on an annualized basis, compared to 10.6% in fiscal year 2007. Our effective tax rate may fluctuate between quarters as a result of discrete items that may affect a specific quarter.</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NET INCOME. Net income was $195.5 million in the six months ended March 31, 2008, compared to net income of $180.5 million in the six months ended March 31, 2007. The increase in net income was attributable to the increase in our operating income offset by the decrease in interest income and other, net, and the increase of our effective tax rate.</w:t>
      </w:r>
    </w:p>
    <w:p>
      <w:pPr>
        <w:spacing w:after="0" w:line="197"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DILUTED EARNINGS PER SHARE. Diluted earnings per share increased by $0.07, or 8.5%, to $0.89 in the six months ended March 31, 2008, from $0.82 in the six months ended March 31, 2007. The increase in diluted earnings per share resulted primarily from the increase in net income.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MARCH 31, 2008 AND 2007</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following is a tabular presentation of our results of operations for the three months ended March 31, 2008 compared to the three months ended March 31, 2007. Following the table is a discussion and analysis of our business and results of operations for such periods.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23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THREE MONTHS ENDED</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440" w:type="dxa"/>
            <w:vAlign w:val="bottom"/>
          </w:tcPr>
          <w:p>
            <w:pPr>
              <w:spacing w:after="0"/>
              <w:rPr>
                <w:sz w:val="16"/>
                <w:szCs w:val="16"/>
                <w:color w:val="auto"/>
              </w:rPr>
            </w:pPr>
          </w:p>
        </w:tc>
        <w:tc>
          <w:tcPr>
            <w:tcW w:w="23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MARCH 31,</w:t>
            </w:r>
          </w:p>
        </w:tc>
        <w:tc>
          <w:tcPr>
            <w:tcW w:w="1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INCREASE (DECREASE)</w:t>
            </w:r>
          </w:p>
        </w:tc>
      </w:tr>
      <w:tr>
        <w:trPr>
          <w:trHeight w:val="191"/>
        </w:trPr>
        <w:tc>
          <w:tcPr>
            <w:tcW w:w="3440" w:type="dxa"/>
            <w:vAlign w:val="bottom"/>
          </w:tcPr>
          <w:p>
            <w:pPr>
              <w:spacing w:after="0"/>
              <w:rPr>
                <w:sz w:val="16"/>
                <w:szCs w:val="16"/>
                <w:color w:val="auto"/>
              </w:rPr>
            </w:pPr>
          </w:p>
        </w:tc>
        <w:tc>
          <w:tcPr>
            <w:tcW w:w="23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4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2008</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2007</w:t>
            </w:r>
          </w:p>
        </w:tc>
        <w:tc>
          <w:tcPr>
            <w:tcW w:w="9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AMOUNT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(in thousands)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440" w:type="dxa"/>
            <w:vAlign w:val="bottom"/>
          </w:tcPr>
          <w:p>
            <w:pPr>
              <w:spacing w:after="0"/>
              <w:rPr>
                <w:sz w:val="16"/>
                <w:szCs w:val="16"/>
                <w:color w:val="auto"/>
              </w:rPr>
            </w:pPr>
          </w:p>
        </w:tc>
        <w:tc>
          <w:tcPr>
            <w:tcW w:w="332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383"/>
        </w:trPr>
        <w:tc>
          <w:tcPr>
            <w:tcW w:w="344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License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$ 32,109</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$ 37,526</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$(5,417)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w:t>
            </w: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Service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742,172</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668,835</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73,337</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11.0</w:t>
            </w:r>
          </w:p>
        </w:tc>
      </w:tr>
      <w:tr>
        <w:trPr>
          <w:trHeight w:val="191"/>
        </w:trPr>
        <w:tc>
          <w:tcPr>
            <w:tcW w:w="34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1"/>
        </w:trPr>
        <w:tc>
          <w:tcPr>
            <w:tcW w:w="34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774,281</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706,361</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67,920</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w:t>
            </w:r>
          </w:p>
        </w:tc>
      </w:tr>
      <w:tr>
        <w:trPr>
          <w:trHeight w:val="191"/>
        </w:trPr>
        <w:tc>
          <w:tcPr>
            <w:tcW w:w="34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expenses:</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license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938</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1,016</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w:t>
            </w: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Cost of service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493,956</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446,860</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47,096</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w:t>
            </w: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Research and development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56,088</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57,734</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(1,646)</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w:t>
            </w: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Selling, general and</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4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administrative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98,666</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91,280</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7,386</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8.1</w:t>
            </w: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Amortization of purchased</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4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intangible assets .........</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21,753</w:t>
            </w:r>
          </w:p>
        </w:tc>
        <w:tc>
          <w:tcPr>
            <w:tcW w:w="14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18,912</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2,841</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15.0</w:t>
            </w:r>
          </w:p>
        </w:tc>
      </w:tr>
      <w:tr>
        <w:trPr>
          <w:trHeight w:val="765"/>
        </w:trPr>
        <w:tc>
          <w:tcPr>
            <w:tcW w:w="3440" w:type="dxa"/>
            <w:vAlign w:val="bottom"/>
          </w:tcPr>
          <w:p>
            <w:pPr>
              <w:spacing w:after="0"/>
              <w:rPr>
                <w:sz w:val="24"/>
                <w:szCs w:val="24"/>
                <w:color w:val="auto"/>
              </w:rPr>
            </w:pPr>
          </w:p>
        </w:tc>
        <w:tc>
          <w:tcPr>
            <w:tcW w:w="9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22</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90" w:right="1440" w:bottom="862"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jc w:val="right"/>
              <w:ind w:right="1077"/>
              <w:spacing w:after="0"/>
              <w:rPr>
                <w:sz w:val="20"/>
                <w:szCs w:val="20"/>
                <w:color w:val="auto"/>
              </w:rPr>
            </w:pPr>
            <w:r>
              <w:rPr>
                <w:rFonts w:ascii="Courier New" w:cs="Courier New" w:eastAsia="Courier New" w:hAnsi="Courier New"/>
                <w:sz w:val="17"/>
                <w:szCs w:val="17"/>
                <w:color w:val="auto"/>
              </w:rPr>
              <w:t>Restructuring charges,</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6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in-process research and</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development and other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6,761</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(6,761)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671,401</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622,563</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48,838</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w:t>
            </w: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Operating income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102,880</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83,798</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19,082</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w:t>
            </w: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Interest income and other, net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8,822</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10,899</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(2,077)</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(19.1)</w:t>
            </w: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before income taxes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111,702</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94,697</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17,005</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18.0</w:t>
            </w: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taxes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11,843</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7,526</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4,317</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57.4</w:t>
            </w: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r>
      <w:tr>
        <w:trPr>
          <w:trHeight w:val="191"/>
        </w:trPr>
        <w:tc>
          <w:tcPr>
            <w:tcW w:w="36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Net income ........................</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$ 99,859</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$ 87,171</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$12,688</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w:t>
            </w:r>
          </w:p>
        </w:tc>
      </w:tr>
      <w:tr>
        <w:trPr>
          <w:trHeight w:val="191"/>
        </w:trPr>
        <w:tc>
          <w:tcPr>
            <w:tcW w:w="3640" w:type="dxa"/>
            <w:vAlign w:val="bottom"/>
          </w:tcPr>
          <w:p>
            <w:pPr>
              <w:spacing w:after="0"/>
              <w:rPr>
                <w:sz w:val="16"/>
                <w:szCs w:val="16"/>
                <w:color w:val="auto"/>
              </w:rPr>
            </w:pP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REVENUE. Total revenue increased by $67.9 million, or 9.6 %, to $ 774.3 million in the three months ended March 31, 2008, from $706.4 million in the three months ended March 31, 2007. The increase was primarily attributable to revenue from consolidation and transformation projects for Tier One customers as well as from revenue related to the expansion of our managed services activities.</w:t>
      </w:r>
    </w:p>
    <w:p>
      <w:pPr>
        <w:spacing w:after="0" w:line="19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License revenue decreased by $5.4 million, or 14.4%, to $32.1 million in the three months ended March 31, 2008, from $37.5 million in the three months ended March 31, 2007. The decrease was primarily due to timing of projects, as we completed some projects and others are expected to begin in the near future.</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License and service revenue attributable to the sale of Customer Experience Systems was $708.2 million in the three months ended March 31, 2008, an increase of $70.7 million, or 11.1 %, over the three months ended March 31, 2007. The increase was primarily attributable to revenue from consolidation and transformation projects for Tier One customers as well as from revenue related to the expansion of our managed services activities. License and service revenue resulted from the sale of Customer Experience Systems represented 91.5% and</w:t>
      </w:r>
    </w:p>
    <w:p>
      <w:pPr>
        <w:spacing w:after="0" w:line="1"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90.2% of our total revenue in the three months ended March 31, 2008 and 2007, respectively.</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License and service revenue from the sale of Directory Systems was $66.1 million in the three months ended March 31, 2008, an increase of $2.8 million, or 4.1%, as compared to the three months ended March 31, 2007. License and service revenue from the sale of Directory Systems represented 8.5% and 9.8% of our total revenue in the three months ended March 31, 2008 and 2007, respectively.</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three months ended March 31, 2008, revenue from customers in North America, Europe and the rest of the world accounted for 69.9%, 17.6 % and 12.5%, respectively, of total revenue compared to 66.5%, 23.0% and 10.5%, respectively, in the three months ended March 31, 2007. The decrease in revenue from customers in Europe was attributable partially to timing of projects as we completed some projects and some are expected to start in the near future. The increase in revenue from customers in the rest of the world in the three months ended March 31, 2008 was attributable primarily to revenue contributed in Asia Pacific as well as to customers in emerging markets.</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COST OF LICENSE AND SERVICE. Cost of license mainly includes royalty payments to software suppliers. Cost of service consists primarily of costs associated with providing services to customers, including compensation expense and costs of third-party products. The increase in cost of license and service in the three months ended March 31, 2008 was $47.0 million or 10.5%, which is slightly higher than the increase in our total revenue in the three months ended March 31, 2008. As a percentage of revenue, cost of license and service was</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63.9% in the three months ended March 31, 2008, compared to 63.4% in the three months ended March 31, 2007. Our cost of service in the six months ended March 31, 2008 increased as a result of expansion of our Managed Services activities, partially offset by cost savings resulting from our expansion into lower cost jurisdictions and increased efficiencies in our overall operations. Margins from Managed Services tend to improve over time as we realize synergies, create cost efficiencies and improve business processes.</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1066" w:right="1440" w:bottom="1440" w:gutter="0" w:footer="0" w:header="0"/>
        </w:sectPr>
      </w:pPr>
    </w:p>
    <w:bookmarkStart w:id="26" w:name="page27"/>
    <w:bookmarkEnd w:id="26"/>
    <w:p>
      <w:pPr>
        <w:ind w:right="2259" w:firstLine="497"/>
        <w:spacing w:after="0" w:line="237" w:lineRule="auto"/>
        <w:rPr>
          <w:sz w:val="20"/>
          <w:szCs w:val="20"/>
          <w:color w:val="auto"/>
        </w:rPr>
      </w:pPr>
      <w:r>
        <w:rPr>
          <w:rFonts w:ascii="Courier New" w:cs="Courier New" w:eastAsia="Courier New" w:hAnsi="Courier New"/>
          <w:sz w:val="17"/>
          <w:szCs w:val="17"/>
          <w:color w:val="auto"/>
        </w:rPr>
        <w:t>RESEARCH AND DEVELOPMENT. Research and development expense is primarily comprised of compensation expense. Research and development expense decreased by $1.6 million, or 2.9%, in the three months ended March 31, 2008 to $56.1 million from $57.7 million in the three months ended March 31, 2007. Research and development expense decreased as a percentage of revenue from 8.2% in the three months ended March 31, 2007 to 7.2% in the three months ended March 31, 2008. The decrease in research and development expense was attributable to increased efficiency as well as to changes in the geographical mix of our research and development resources.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 is primarily comprised of compensation expense. The increase in selling, general and administrative expense in the three months ended March 31, 2008 was $7.4 million, or 8.1%, which is slightly lower than the increase in our total revenue in the three months ended March 31, 2008.</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AMORTIZATION OF PURCHASED INTANGIBLE ASSETS. Amortization of purchased intangible assets in the three months ended March 31, 2008 was $21.8 million, compared to $18.9 million in the three months ended March 31, 2007. The increase in amortization of purchased intangible assets was due to purchased intangible assets acquired in our fiscal 2006 and 2007 acquisitions.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OPERATING INCOME. Operating income increased by $19.1 million, or 22.8%, in the three months ended March 31, 2008, to $102.9 million, or 13.3% of revenue, from $83.8 million, or 11.9% of revenue, in the three months ended March 31, 2007. The increase in operating income as a percentage of revenue was attributable to the 9.6% increase in revenue compared to the 7.8% increase in operating expense that we experienced during the three months ended March 31, 2008.</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INCOME AND OTHER, NET. Interest income and other, net decreased by $2.1 million in the three months ended March 31, 2008 to $8.8 million from $10.9 million in the three months ended March 31, 2007. The increase in interest income and other, net, is primarily attributable to lower income on our short-term interest-bearing investments due to current market conditions, which was partially offset by an increase in foreign exchange gains.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INCOME TAXES. Income taxes for the three months ended March 31, 2008 were $11.8 million on pretax income of $111.7 million, resulting in an effective tax rate of 10.6 % compared to 7.9% in the three months ended March 31, 2007. Of the increase in our effective tax rate, approximately 3.7% was attributable to the changes in our tax reserves and approximately 2.5% was attributable to the effect of acquisition-related costs (which include amortization of purchased intangible assets and other), restructuring charges and equity-based compensation expense, which were partially offset by decrease of approximately 3.5% attributable to changes in the valuation allowances. We expect that our effective tax rate for fiscal year 2008 will be between 9 % and 12% on an annualized basis, compared to 10.6% in fiscal year 2007. Our effective tax rate may fluctuate between quarters as a result of discrete items that may affect a specific quarter.</w:t>
      </w:r>
    </w:p>
    <w:p>
      <w:pPr>
        <w:spacing w:after="0" w:line="205"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NET INCOME. Net income was $99.9 million in the three months ended March 31, 2008, compared to net income of $87.2 million in the three months ended March 31, 2007. The increase in net income was attributable to the increase in our operating income offset by the decrease in interest income and other, net, and the increase of our effective tax rate.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DILUTED EARNINGS PER SHARE. Diluted earnings per share increased by $0.06, or 15.8 %, to $0.46 in the three months ended March 31, 2008, from $0.40 in the three months ended March 31, 2007. The increase in diluted earnings per share resulted from the increase in net income and a reduction in the number of ordinary shares outstanding.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Cash, cash equivalents and short-term interest-bearing investments totaled $1,181.8 million as of March 31, 2008, compared to $1,179.3 million as of September 30, 2007. The increase is mainly attributable to $190.4 million in positive cash flows from operations and by $15.7 million in proceeds from the exercise of employee stock options partially offset by $122.4 million used to repurchase ordinary shares pursuant to our share repurchase program, $69.1 million of capital expenditures and $9.2 million in net cash paid for</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27" w:name="page28"/>
    <w:bookmarkEnd w:id="27"/>
    <w:p>
      <w:pPr>
        <w:ind w:right="2659"/>
        <w:spacing w:after="0" w:line="236" w:lineRule="auto"/>
        <w:rPr>
          <w:sz w:val="20"/>
          <w:szCs w:val="20"/>
          <w:color w:val="auto"/>
        </w:rPr>
      </w:pPr>
      <w:r>
        <w:rPr>
          <w:rFonts w:ascii="Courier New" w:cs="Courier New" w:eastAsia="Courier New" w:hAnsi="Courier New"/>
          <w:sz w:val="17"/>
          <w:szCs w:val="17"/>
          <w:color w:val="auto"/>
        </w:rPr>
        <w:t>acquisitions. Net cash provided by operating activities amounted to $190.4 million and $190.3 million for the six months ended March 31, 2008 and 2007, respectively.</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Our short-term interest-bearing investments are classified as available-for-sale securities. Unrealized gains or losses are reported as a separate component of accumulated other comprehensive income, net of tax. Such short-term interest-bearing investments consist primarily of commercial paper, certificates of deposit, U.S. government treasuries, U.S. agency securities, corporate bonds, asset backed obligations and mortgages, which are stated at fair value. The estimated fair values of the investments are based on quoted market prices and on observable market inputs as of the end of the reporting period. We generally have conservative investment policy guidelines and consistent with these guidelines, we purchase only AAA asset-backed obligations and mortgages. We review various factors in determining whether we should recognize an impairment charge for our short-term interest-bearing investments, including the length of time and extent to which the fair value has been less than our cost basis, the credit ratings of the securities, the financial condition and near-term prospects of the issuers and our intent and ability to hold the investment for a period of time sufficient to allow for any anticipated recovery in market value. Based on our considerations of these factors the other-than-temporary impairment on our short-term interest-bearing investments was immaterial during the first six months of fiscal 2008 and fiscal 2007.</w:t>
      </w:r>
    </w:p>
    <w:p>
      <w:pPr>
        <w:spacing w:after="0" w:line="19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As of March 31, 2008, $450.0 million and $0.2 million aggregate principal amount of our 0.50% Convertible Senior Notes due 2024 and 2% Convertible Notes due 2008 were outstanding, respectively. As of March 31, 2008, we had available an unsecured $500 million five-year revolving credit facility, none of which was outstanding, and which we may use for general corporate purposes, including acquisitions and repurchases of our ordinary shares that we may consider from time to time. As of March 31, 2008, we also had a $0.9 million short-term general revolving line of credit, none of which was outstanding. In addition, we had outstanding letters of credit and bank guarantees from various banks totaling $7.2 million. As of March 31, 2008, we had outstanding short-term loans totalling $2.0 million secured by specified pledges and guaranties.</w:t>
      </w:r>
    </w:p>
    <w:p>
      <w:pPr>
        <w:spacing w:after="0" w:line="193"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We have contractual obligations for our convertible notes, financing arrangements, non-cancelable operating leases and purchase obligations summarized in the tabular disclosure of contractual obligations in our Annual Report on Form 20-F for fiscal year ended September 30, 2007. Since September 30, 2007, there have been no material changes in our contractual obligations other than in the ordinary course of our business.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Our capital expenditures were approximately $69.1 million in the six months ended March 31, 2008. Approximately 80% of these expenditures consisted of purchases of computer equipment, and the remainder to leasehold improvements. The capital expenditures in the six months ended March 31, 2008 were mainly attributable to invetsments in our operating facilities and our development centers around the world. We fund our capital expenditures principally from operating cash flows. We do not anticipate any changes to this policy in the foreseeable future.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FLUCTUATIONS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0" w:right="1440" w:bottom="1440" w:gutter="0" w:footer="0" w:header="0"/>
        </w:sectPr>
      </w:pPr>
    </w:p>
    <w:bookmarkStart w:id="28" w:name="page29"/>
    <w:bookmarkEnd w:id="28"/>
    <w:p>
      <w:pPr>
        <w:ind w:right="2259" w:firstLine="497"/>
        <w:spacing w:after="0" w:line="253" w:lineRule="auto"/>
        <w:rPr>
          <w:sz w:val="20"/>
          <w:szCs w:val="20"/>
          <w:color w:val="auto"/>
        </w:rPr>
      </w:pPr>
      <w:r>
        <w:rPr>
          <w:rFonts w:ascii="Courier New" w:cs="Courier New" w:eastAsia="Courier New" w:hAnsi="Courier New"/>
          <w:sz w:val="16"/>
          <w:szCs w:val="16"/>
          <w:color w:val="auto"/>
        </w:rPr>
        <w:t>During the three and six months ended March 31, 2008 and 2007, approximately 70%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ITEM 1. CHANGES IN SECURITIES, USE OF PROCEEDS AND ISSUER PURCHASES OF EQUITY SECURITIES.</w:t>
      </w:r>
    </w:p>
    <w:p>
      <w:pPr>
        <w:spacing w:after="0" w:line="381"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ISSUER PURCHASES OF EQUITY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PURCHASES OF EQUITY SECURITIES BY THE ISSUER AND AFFILIATED PURCHASERS</w:t>
      </w:r>
    </w:p>
    <w:p>
      <w:pPr>
        <w:spacing w:after="0" w:line="19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The following table provides information about purchases by us and our affiliated purchasers during the quarter ended March 31, 2008 of equity securities that are registered by us pursuant to Section 12 of the Exchange Act:</w:t>
      </w:r>
    </w:p>
    <w:p>
      <w:pPr>
        <w:spacing w:after="0" w:line="17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Ordinary Shares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0" w:type="dxa"/>
            <w:vAlign w:val="bottom"/>
          </w:tcPr>
          <w:p>
            <w:pPr>
              <w:jc w:val="center"/>
              <w:ind w:right="137"/>
              <w:spacing w:after="0"/>
              <w:rPr>
                <w:sz w:val="20"/>
                <w:szCs w:val="20"/>
                <w:color w:val="auto"/>
              </w:rPr>
            </w:pPr>
            <w:r>
              <w:rPr>
                <w:rFonts w:ascii="Courier New" w:cs="Courier New" w:eastAsia="Courier New" w:hAnsi="Courier New"/>
                <w:sz w:val="17"/>
                <w:szCs w:val="17"/>
                <w:color w:val="auto"/>
                <w:w w:val="97"/>
              </w:rPr>
              <w:t>(C)</w:t>
            </w:r>
          </w:p>
        </w:tc>
        <w:tc>
          <w:tcPr>
            <w:tcW w:w="282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TOTAL NUMBER OF</w:t>
            </w:r>
          </w:p>
        </w:tc>
        <w:tc>
          <w:tcPr>
            <w:tcW w:w="2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(D)</w:t>
            </w:r>
          </w:p>
        </w:tc>
      </w:tr>
      <w:tr>
        <w:trPr>
          <w:trHeight w:val="191"/>
        </w:trPr>
        <w:tc>
          <w:tcPr>
            <w:tcW w:w="1940" w:type="dxa"/>
            <w:vAlign w:val="bottom"/>
          </w:tcPr>
          <w:p>
            <w:pPr>
              <w:spacing w:after="0"/>
              <w:rPr>
                <w:sz w:val="16"/>
                <w:szCs w:val="16"/>
                <w:color w:val="auto"/>
              </w:rPr>
            </w:pPr>
          </w:p>
        </w:tc>
        <w:tc>
          <w:tcPr>
            <w:tcW w:w="130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(A)</w:t>
            </w:r>
          </w:p>
        </w:tc>
        <w:tc>
          <w:tcPr>
            <w:tcW w:w="2080" w:type="dxa"/>
            <w:vAlign w:val="bottom"/>
          </w:tcPr>
          <w:p>
            <w:pPr>
              <w:spacing w:after="0"/>
              <w:rPr>
                <w:sz w:val="16"/>
                <w:szCs w:val="16"/>
                <w:color w:val="auto"/>
              </w:rPr>
            </w:pPr>
          </w:p>
        </w:tc>
        <w:tc>
          <w:tcPr>
            <w:tcW w:w="200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SHARES</w:t>
            </w:r>
          </w:p>
        </w:tc>
        <w:tc>
          <w:tcPr>
            <w:tcW w:w="282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6"/>
              </w:rPr>
              <w:t>MAXIMUM NUMBER (OR</w:t>
            </w:r>
          </w:p>
        </w:tc>
      </w:tr>
      <w:tr>
        <w:trPr>
          <w:trHeight w:val="191"/>
        </w:trPr>
        <w:tc>
          <w:tcPr>
            <w:tcW w:w="1940" w:type="dxa"/>
            <w:vAlign w:val="bottom"/>
          </w:tcPr>
          <w:p>
            <w:pPr>
              <w:spacing w:after="0"/>
              <w:rPr>
                <w:sz w:val="16"/>
                <w:szCs w:val="16"/>
                <w:color w:val="auto"/>
              </w:rPr>
            </w:pPr>
          </w:p>
        </w:tc>
        <w:tc>
          <w:tcPr>
            <w:tcW w:w="130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TOTAL</w:t>
            </w:r>
          </w:p>
        </w:tc>
        <w:tc>
          <w:tcPr>
            <w:tcW w:w="2080" w:type="dxa"/>
            <w:vAlign w:val="bottom"/>
          </w:tcPr>
          <w:p>
            <w:pPr>
              <w:spacing w:after="0"/>
              <w:rPr>
                <w:sz w:val="16"/>
                <w:szCs w:val="16"/>
                <w:color w:val="auto"/>
              </w:rPr>
            </w:pPr>
          </w:p>
        </w:tc>
        <w:tc>
          <w:tcPr>
            <w:tcW w:w="2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PURCHASED AS PART</w:t>
            </w:r>
          </w:p>
        </w:tc>
        <w:tc>
          <w:tcPr>
            <w:tcW w:w="282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APPROXIMATE DOLLAR VALUE)</w:t>
            </w:r>
          </w:p>
        </w:tc>
      </w:tr>
      <w:tr>
        <w:trPr>
          <w:trHeight w:val="191"/>
        </w:trPr>
        <w:tc>
          <w:tcPr>
            <w:tcW w:w="1940" w:type="dxa"/>
            <w:vAlign w:val="bottom"/>
          </w:tcPr>
          <w:p>
            <w:pPr>
              <w:spacing w:after="0"/>
              <w:rPr>
                <w:sz w:val="16"/>
                <w:szCs w:val="16"/>
                <w:color w:val="auto"/>
              </w:rPr>
            </w:pPr>
          </w:p>
        </w:tc>
        <w:tc>
          <w:tcPr>
            <w:tcW w:w="13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5"/>
              </w:rPr>
              <w:t>NUMBER OF</w:t>
            </w:r>
          </w:p>
        </w:tc>
        <w:tc>
          <w:tcPr>
            <w:tcW w:w="20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(B)</w:t>
            </w:r>
          </w:p>
        </w:tc>
        <w:tc>
          <w:tcPr>
            <w:tcW w:w="2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OF PUBLICLY</w:t>
            </w:r>
          </w:p>
        </w:tc>
        <w:tc>
          <w:tcPr>
            <w:tcW w:w="282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OF SHARES THAT</w:t>
            </w:r>
          </w:p>
        </w:tc>
      </w:tr>
      <w:tr>
        <w:trPr>
          <w:trHeight w:val="191"/>
        </w:trPr>
        <w:tc>
          <w:tcPr>
            <w:tcW w:w="1940" w:type="dxa"/>
            <w:vAlign w:val="bottom"/>
          </w:tcPr>
          <w:p>
            <w:pPr>
              <w:spacing w:after="0"/>
              <w:rPr>
                <w:sz w:val="16"/>
                <w:szCs w:val="16"/>
                <w:color w:val="auto"/>
              </w:rPr>
            </w:pPr>
          </w:p>
        </w:tc>
        <w:tc>
          <w:tcPr>
            <w:tcW w:w="13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SHARES</w:t>
            </w:r>
          </w:p>
        </w:tc>
        <w:tc>
          <w:tcPr>
            <w:tcW w:w="20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8"/>
              </w:rPr>
              <w:t>AVERAGE PRICE</w:t>
            </w:r>
          </w:p>
        </w:tc>
        <w:tc>
          <w:tcPr>
            <w:tcW w:w="2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ANNOUNCED PLANS</w:t>
            </w:r>
          </w:p>
        </w:tc>
        <w:tc>
          <w:tcPr>
            <w:tcW w:w="282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MAY YET BE PURCHASED UNDER</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PERIOD</w:t>
            </w:r>
          </w:p>
        </w:tc>
        <w:tc>
          <w:tcPr>
            <w:tcW w:w="13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5"/>
              </w:rPr>
              <w:t>PURCHASED</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PAID PER SHARE (2)</w:t>
            </w:r>
          </w:p>
        </w:tc>
        <w:tc>
          <w:tcPr>
            <w:tcW w:w="2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6"/>
              </w:rPr>
              <w:t>OR PROGRAMS</w:t>
            </w:r>
          </w:p>
        </w:tc>
        <w:tc>
          <w:tcPr>
            <w:tcW w:w="282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THE PLANS OR PROGRAMS(1)</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940" w:type="dxa"/>
            <w:vAlign w:val="bottom"/>
          </w:tcPr>
          <w:p>
            <w:pPr>
              <w:spacing w:after="0"/>
              <w:rPr>
                <w:sz w:val="20"/>
                <w:szCs w:val="20"/>
                <w:color w:val="auto"/>
              </w:rPr>
            </w:pPr>
            <w:r>
              <w:rPr>
                <w:rFonts w:ascii="Courier New" w:cs="Courier New" w:eastAsia="Courier New" w:hAnsi="Courier New"/>
                <w:sz w:val="17"/>
                <w:szCs w:val="17"/>
                <w:color w:val="auto"/>
              </w:rPr>
              <w:t>1/1/08-1/31/08 ...</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405,448</w:t>
            </w:r>
          </w:p>
        </w:tc>
        <w:tc>
          <w:tcPr>
            <w:tcW w:w="208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$32.06</w:t>
            </w:r>
          </w:p>
        </w:tc>
        <w:tc>
          <w:tcPr>
            <w:tcW w:w="20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405,448</w:t>
            </w:r>
          </w:p>
        </w:tc>
        <w:tc>
          <w:tcPr>
            <w:tcW w:w="2820" w:type="dxa"/>
            <w:vAlign w:val="bottom"/>
          </w:tcPr>
          <w:p>
            <w:pPr>
              <w:jc w:val="center"/>
              <w:ind w:right="57"/>
              <w:spacing w:after="0"/>
              <w:rPr>
                <w:sz w:val="20"/>
                <w:szCs w:val="20"/>
                <w:color w:val="auto"/>
              </w:rPr>
            </w:pPr>
            <w:r>
              <w:rPr>
                <w:rFonts w:ascii="Courier New" w:cs="Courier New" w:eastAsia="Courier New" w:hAnsi="Courier New"/>
                <w:sz w:val="17"/>
                <w:szCs w:val="17"/>
                <w:color w:val="auto"/>
                <w:w w:val="98"/>
              </w:rPr>
              <w:t>$264,725,486</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2/1/08-2/29/08 ...</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359,000</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$31.27</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359,000</w:t>
            </w:r>
          </w:p>
        </w:tc>
        <w:tc>
          <w:tcPr>
            <w:tcW w:w="282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$253,500,920</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3/1/08-3/31/08 ...</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886,100</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$28.97</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886,100</w:t>
            </w:r>
          </w:p>
        </w:tc>
        <w:tc>
          <w:tcPr>
            <w:tcW w:w="282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$227,826,473</w:t>
            </w:r>
          </w:p>
        </w:tc>
      </w:tr>
      <w:tr>
        <w:trPr>
          <w:trHeight w:val="191"/>
        </w:trPr>
        <w:tc>
          <w:tcPr>
            <w:tcW w:w="194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tcPr>
          <w:p>
            <w:pPr>
              <w:spacing w:after="0"/>
              <w:rPr>
                <w:sz w:val="16"/>
                <w:szCs w:val="16"/>
                <w:color w:val="auto"/>
              </w:rPr>
            </w:pP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1,650,548</w:t>
            </w:r>
          </w:p>
        </w:tc>
        <w:tc>
          <w:tcPr>
            <w:tcW w:w="20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$30.23</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1,650,548</w:t>
            </w:r>
          </w:p>
        </w:tc>
        <w:tc>
          <w:tcPr>
            <w:tcW w:w="282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$227,826,473</w:t>
            </w:r>
          </w:p>
        </w:tc>
      </w:tr>
      <w:tr>
        <w:trPr>
          <w:trHeight w:val="191"/>
        </w:trPr>
        <w:tc>
          <w:tcPr>
            <w:tcW w:w="194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2820" w:type="dxa"/>
            <w:vAlign w:val="bottom"/>
          </w:tcPr>
          <w:p>
            <w:pPr>
              <w:spacing w:after="0"/>
              <w:rPr>
                <w:sz w:val="16"/>
                <w:szCs w:val="16"/>
                <w:color w:val="auto"/>
              </w:rPr>
            </w:pPr>
          </w:p>
        </w:tc>
      </w:tr>
    </w:tbl>
    <w:p>
      <w:pPr>
        <w:spacing w:after="0" w:line="388" w:lineRule="exact"/>
        <w:rPr>
          <w:sz w:val="20"/>
          <w:szCs w:val="20"/>
          <w:color w:val="auto"/>
        </w:rPr>
      </w:pPr>
    </w:p>
    <w:p>
      <w:pPr>
        <w:ind w:left="500" w:right="2459" w:hanging="498"/>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price per share excludes broker and transaction fees.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8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ITEM 2. REPORTS ON FORM 6-K</w:t>
      </w:r>
    </w:p>
    <w:p>
      <w:pPr>
        <w:spacing w:after="0" w:line="190" w:lineRule="exact"/>
        <w:rPr>
          <w:sz w:val="20"/>
          <w:szCs w:val="20"/>
          <w:color w:val="auto"/>
        </w:rPr>
      </w:pPr>
    </w:p>
    <w:p>
      <w:pPr>
        <w:ind w:left="500" w:hanging="498"/>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6-K</w:t>
      </w:r>
    </w:p>
    <w:p>
      <w:pPr>
        <w:spacing w:after="0" w:line="196" w:lineRule="exact"/>
        <w:rPr>
          <w:rFonts w:ascii="Courier New" w:cs="Courier New" w:eastAsia="Courier New" w:hAnsi="Courier New"/>
          <w:sz w:val="17"/>
          <w:szCs w:val="17"/>
          <w:color w:val="auto"/>
        </w:rPr>
      </w:pPr>
    </w:p>
    <w:p>
      <w:pPr>
        <w:ind w:left="500" w:right="22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furnished or filed the following reports on Form 6-K during the three months ended March 31, 2008:</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February 11, 2008.</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6-K dated January 22, 2008.</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83" w:right="1440" w:bottom="1440" w:gutter="0" w:footer="0" w:header="0"/>
        </w:sectPr>
      </w:pPr>
    </w:p>
    <w:bookmarkStart w:id="31" w:name="page32"/>
    <w:bookmarkEnd w:id="31"/>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jc w:val="both"/>
        <w:ind w:right="30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AMDOCS LIMITED</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Thomas G. O'Brien</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Thomas G. O'Brien</w:t>
      </w:r>
    </w:p>
    <w:p>
      <w:pPr>
        <w:ind w:left="3980"/>
        <w:spacing w:after="0" w:line="238" w:lineRule="auto"/>
        <w:rPr>
          <w:sz w:val="20"/>
          <w:szCs w:val="20"/>
          <w:color w:val="auto"/>
        </w:rPr>
      </w:pPr>
      <w:r>
        <w:rPr>
          <w:rFonts w:ascii="Courier New" w:cs="Courier New" w:eastAsia="Courier New" w:hAnsi="Courier New"/>
          <w:sz w:val="17"/>
          <w:szCs w:val="17"/>
          <w:color w:val="auto"/>
        </w:rPr>
        <w:t>Treasurer and Secretary</w:t>
      </w:r>
    </w:p>
    <w:p>
      <w:pPr>
        <w:ind w:left="3980"/>
        <w:spacing w:after="0" w:line="238" w:lineRule="auto"/>
        <w:rPr>
          <w:sz w:val="20"/>
          <w:szCs w:val="20"/>
          <w:color w:val="auto"/>
        </w:rPr>
      </w:pPr>
      <w:r>
        <w:rPr>
          <w:rFonts w:ascii="Courier New" w:cs="Courier New" w:eastAsia="Courier New" w:hAnsi="Courier New"/>
          <w:sz w:val="17"/>
          <w:szCs w:val="17"/>
          <w:color w:val="auto"/>
        </w:rPr>
        <w:t>Authorized U.S. Representative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6, 2008</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2"/>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2019-12-11T15:27:23Z</dcterms:created>
  <dcterms:modified xsi:type="dcterms:W3CDTF">2019-12-11T15:27:23Z</dcterms:modified>
</cp:coreProperties>
</file>