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[Rule 13d-101]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TO BE INCLUDED IN STATEMENTS FILED PURSUANT TO § 240.13d-1(a)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AND AMENDMENTS THERETO FILED PURSUANT TO § 240.13d-2(a)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Ordinary Shares, par value £0.01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G02602 10 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Wayne Wirtz, Esq.</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AT&amp;T Inc.</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208 S. Akard St., Room 3024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Dallas, TX 75202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(214) 757-3344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and Address, and Telephone Number of Person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August 21, 2009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right="300"/>
        <w:spacing w:after="0" w:line="258"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 ].</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 240.13d-7 for other parties to whom copies are to be sent.</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3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1340" w:type="dxa"/>
            <w:vAlign w:val="bottom"/>
            <w:tcBorders>
              <w:top w:val="single" w:sz="8" w:color="auto"/>
            </w:tcBorders>
          </w:tcPr>
          <w:p>
            <w:pPr>
              <w:spacing w:after="0"/>
              <w:rPr>
                <w:sz w:val="21"/>
                <w:szCs w:val="21"/>
                <w:color w:val="auto"/>
              </w:rPr>
            </w:pPr>
          </w:p>
        </w:tc>
        <w:tc>
          <w:tcPr>
            <w:tcW w:w="432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13D</w:t>
            </w:r>
          </w:p>
        </w:tc>
        <w:tc>
          <w:tcPr>
            <w:tcW w:w="1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Page 2 of 10 Pages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79"/>
              </w:rPr>
              <w:t>1</w:t>
            </w:r>
          </w:p>
        </w:tc>
        <w:tc>
          <w:tcPr>
            <w:tcW w:w="3100" w:type="dxa"/>
            <w:vAlign w:val="bottom"/>
            <w:tcBorders>
              <w:top w:val="single" w:sz="8" w:color="auto"/>
            </w:tcBorders>
            <w:gridSpan w:val="2"/>
          </w:tcPr>
          <w:p>
            <w:pPr>
              <w:ind w:left="440"/>
              <w:spacing w:after="0" w:line="201" w:lineRule="exact"/>
              <w:rPr>
                <w:sz w:val="20"/>
                <w:szCs w:val="20"/>
                <w:color w:val="auto"/>
              </w:rPr>
            </w:pPr>
            <w:r>
              <w:rPr>
                <w:rFonts w:ascii="Arial" w:cs="Arial" w:eastAsia="Arial" w:hAnsi="Arial"/>
                <w:sz w:val="18"/>
                <w:szCs w:val="18"/>
                <w:color w:val="auto"/>
                <w:w w:val="95"/>
              </w:rPr>
              <w:t>NAME OF REPORTING PERSON</w:t>
            </w:r>
          </w:p>
        </w:tc>
        <w:tc>
          <w:tcPr>
            <w:tcW w:w="134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AT&amp;T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Communications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79"/>
              </w:rPr>
              <w:t>2</w:t>
            </w:r>
          </w:p>
        </w:tc>
        <w:tc>
          <w:tcPr>
            <w:tcW w:w="8760" w:type="dxa"/>
            <w:vAlign w:val="bottom"/>
            <w:tcBorders>
              <w:top w:val="single" w:sz="8" w:color="auto"/>
            </w:tcBorders>
            <w:gridSpan w:val="4"/>
          </w:tcPr>
          <w:p>
            <w:pPr>
              <w:ind w:left="44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84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(a) [ ]</w:t>
            </w: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(see instructions)</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 [ ]</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79"/>
              </w:rPr>
              <w:t>3</w:t>
            </w: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SEC USE ONLY</w:t>
            </w:r>
          </w:p>
        </w:tc>
        <w:tc>
          <w:tcPr>
            <w:tcW w:w="13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79"/>
              </w:rPr>
              <w:t>4</w:t>
            </w: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SOURCE OF FUNDS (see instructions)</w:t>
            </w: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79"/>
              </w:rPr>
              <w:t>5</w:t>
            </w:r>
          </w:p>
        </w:tc>
        <w:tc>
          <w:tcPr>
            <w:tcW w:w="8760" w:type="dxa"/>
            <w:vAlign w:val="bottom"/>
            <w:gridSpan w:val="4"/>
          </w:tcPr>
          <w:p>
            <w:pPr>
              <w:ind w:left="440"/>
              <w:spacing w:after="0" w:line="201" w:lineRule="exact"/>
              <w:rPr>
                <w:sz w:val="20"/>
                <w:szCs w:val="20"/>
                <w:color w:val="auto"/>
              </w:rPr>
            </w:pPr>
            <w:r>
              <w:rPr>
                <w:rFonts w:ascii="Arial" w:cs="Arial" w:eastAsia="Arial" w:hAnsi="Arial"/>
                <w:sz w:val="18"/>
                <w:szCs w:val="18"/>
                <w:color w:val="auto"/>
              </w:rPr>
              <w:t>CHECK IF DISCLOSURE OF LEGAL PROCEEDINGS</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850"/>
              <w:spacing w:after="0" w:line="201" w:lineRule="exact"/>
              <w:rPr>
                <w:sz w:val="20"/>
                <w:szCs w:val="20"/>
                <w:color w:val="auto"/>
              </w:rPr>
            </w:pPr>
            <w:r>
              <w:rPr>
                <w:rFonts w:ascii="Arial" w:cs="Arial" w:eastAsia="Arial" w:hAnsi="Arial"/>
                <w:sz w:val="18"/>
                <w:szCs w:val="18"/>
                <w:color w:val="auto"/>
                <w:w w:val="78"/>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98"/>
              </w:rPr>
              <w:t>IS REQUIRED PURSUANT TO ITEM 2(d) OR 2(e)</w:t>
            </w: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jc w:val="center"/>
              <w:ind w:left="350"/>
              <w:spacing w:after="0"/>
              <w:rPr>
                <w:sz w:val="20"/>
                <w:szCs w:val="20"/>
                <w:color w:val="auto"/>
              </w:rPr>
            </w:pPr>
            <w:r>
              <w:rPr>
                <w:rFonts w:ascii="Arial" w:cs="Arial" w:eastAsia="Arial" w:hAnsi="Arial"/>
                <w:sz w:val="18"/>
                <w:szCs w:val="18"/>
                <w:color w:val="auto"/>
                <w:w w:val="79"/>
              </w:rPr>
              <w:t>6</w:t>
            </w:r>
          </w:p>
        </w:tc>
        <w:tc>
          <w:tcPr>
            <w:tcW w:w="4440" w:type="dxa"/>
            <w:vAlign w:val="bottom"/>
            <w:gridSpan w:val="3"/>
          </w:tcPr>
          <w:p>
            <w:pPr>
              <w:ind w:left="4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1860"/>
              <w:spacing w:after="0" w:line="201" w:lineRule="exact"/>
              <w:rPr>
                <w:sz w:val="20"/>
                <w:szCs w:val="20"/>
                <w:color w:val="auto"/>
              </w:rPr>
            </w:pPr>
            <w:r>
              <w:rPr>
                <w:rFonts w:ascii="Arial" w:cs="Arial" w:eastAsia="Arial" w:hAnsi="Arial"/>
                <w:sz w:val="18"/>
                <w:szCs w:val="18"/>
                <w:color w:val="auto"/>
                <w:w w:val="96"/>
              </w:rPr>
              <w:t>NUMBER OF</w:t>
            </w:r>
          </w:p>
        </w:tc>
        <w:tc>
          <w:tcPr>
            <w:tcW w:w="1340" w:type="dxa"/>
            <w:vAlign w:val="bottom"/>
            <w:tcBorders>
              <w:top w:val="single" w:sz="8" w:color="auto"/>
            </w:tcBorders>
          </w:tcPr>
          <w:p>
            <w:pPr>
              <w:jc w:val="center"/>
              <w:ind w:right="910"/>
              <w:spacing w:after="0" w:line="201" w:lineRule="exact"/>
              <w:rPr>
                <w:sz w:val="20"/>
                <w:szCs w:val="20"/>
                <w:color w:val="auto"/>
              </w:rPr>
            </w:pPr>
            <w:r>
              <w:rPr>
                <w:rFonts w:ascii="Arial" w:cs="Arial" w:eastAsia="Arial" w:hAnsi="Arial"/>
                <w:sz w:val="18"/>
                <w:szCs w:val="18"/>
                <w:color w:val="auto"/>
                <w:w w:val="99"/>
              </w:rPr>
              <w:t>7</w:t>
            </w:r>
          </w:p>
        </w:tc>
        <w:tc>
          <w:tcPr>
            <w:tcW w:w="43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SOLE VOTING POWER</w:t>
            </w: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6,200,000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gridSpan w:val="2"/>
          </w:tcPr>
          <w:p>
            <w:pPr>
              <w:jc w:val="center"/>
              <w:spacing w:after="0" w:line="157" w:lineRule="exact"/>
              <w:rPr>
                <w:sz w:val="20"/>
                <w:szCs w:val="20"/>
                <w:color w:val="auto"/>
              </w:rPr>
            </w:pPr>
            <w:r>
              <w:rPr>
                <w:rFonts w:ascii="Arial" w:cs="Arial" w:eastAsia="Arial" w:hAnsi="Arial"/>
                <w:sz w:val="18"/>
                <w:szCs w:val="18"/>
                <w:color w:val="auto"/>
                <w:w w:val="98"/>
              </w:rPr>
              <w:t>SHARES BENEFICIALLY</w:t>
            </w: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100" w:type="dxa"/>
            <w:vAlign w:val="bottom"/>
            <w:gridSpan w:val="2"/>
          </w:tcPr>
          <w:p>
            <w:pPr>
              <w:jc w:val="center"/>
              <w:ind w:right="1860"/>
              <w:spacing w:after="0"/>
              <w:rPr>
                <w:sz w:val="20"/>
                <w:szCs w:val="20"/>
                <w:color w:val="auto"/>
              </w:rPr>
            </w:pPr>
            <w:r>
              <w:rPr>
                <w:rFonts w:ascii="Arial" w:cs="Arial" w:eastAsia="Arial" w:hAnsi="Arial"/>
                <w:sz w:val="18"/>
                <w:szCs w:val="18"/>
                <w:color w:val="auto"/>
                <w:w w:val="97"/>
              </w:rPr>
              <w:t>OWNED BY</w:t>
            </w:r>
          </w:p>
        </w:tc>
        <w:tc>
          <w:tcPr>
            <w:tcW w:w="1340" w:type="dxa"/>
            <w:vAlign w:val="bottom"/>
          </w:tcPr>
          <w:p>
            <w:pPr>
              <w:jc w:val="center"/>
              <w:ind w:right="910"/>
              <w:spacing w:after="0"/>
              <w:rPr>
                <w:sz w:val="20"/>
                <w:szCs w:val="20"/>
                <w:color w:val="auto"/>
              </w:rPr>
            </w:pPr>
            <w:r>
              <w:rPr>
                <w:rFonts w:ascii="Arial" w:cs="Arial" w:eastAsia="Arial" w:hAnsi="Arial"/>
                <w:sz w:val="18"/>
                <w:szCs w:val="18"/>
                <w:color w:val="auto"/>
                <w:w w:val="99"/>
              </w:rPr>
              <w:t>8</w:t>
            </w:r>
          </w:p>
        </w:tc>
        <w:tc>
          <w:tcPr>
            <w:tcW w:w="4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8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37,767,152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40" w:type="dxa"/>
            <w:vAlign w:val="bottom"/>
            <w:vMerge w:val="restart"/>
          </w:tcPr>
          <w:p>
            <w:pPr>
              <w:jc w:val="center"/>
              <w:ind w:right="730"/>
              <w:spacing w:after="0"/>
              <w:rPr>
                <w:sz w:val="20"/>
                <w:szCs w:val="20"/>
                <w:color w:val="auto"/>
              </w:rPr>
            </w:pPr>
            <w:r>
              <w:rPr>
                <w:rFonts w:ascii="Arial" w:cs="Arial" w:eastAsia="Arial" w:hAnsi="Arial"/>
                <w:sz w:val="18"/>
                <w:szCs w:val="18"/>
                <w:color w:val="auto"/>
                <w:w w:val="99"/>
              </w:rPr>
              <w:t>EACH</w:t>
            </w:r>
          </w:p>
        </w:tc>
        <w:tc>
          <w:tcPr>
            <w:tcW w:w="10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340" w:type="dxa"/>
            <w:vAlign w:val="bottom"/>
            <w:vMerge w:val="restart"/>
          </w:tcPr>
          <w:p>
            <w:pPr>
              <w:jc w:val="center"/>
              <w:ind w:right="910"/>
              <w:spacing w:after="0"/>
              <w:rPr>
                <w:sz w:val="20"/>
                <w:szCs w:val="20"/>
                <w:color w:val="auto"/>
              </w:rPr>
            </w:pPr>
            <w:r>
              <w:rPr>
                <w:rFonts w:ascii="Arial" w:cs="Arial" w:eastAsia="Arial" w:hAnsi="Arial"/>
                <w:sz w:val="18"/>
                <w:szCs w:val="18"/>
                <w:color w:val="auto"/>
                <w:w w:val="99"/>
              </w:rPr>
              <w:t>9</w:t>
            </w:r>
          </w:p>
        </w:tc>
        <w:tc>
          <w:tcPr>
            <w:tcW w:w="43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840" w:type="dxa"/>
            <w:vAlign w:val="bottom"/>
          </w:tcPr>
          <w:p>
            <w:pPr>
              <w:spacing w:after="0"/>
              <w:rPr>
                <w:sz w:val="6"/>
                <w:szCs w:val="6"/>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6,200,000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00" w:type="dxa"/>
            <w:vAlign w:val="bottom"/>
            <w:gridSpan w:val="2"/>
            <w:vMerge w:val="restart"/>
          </w:tcPr>
          <w:p>
            <w:pPr>
              <w:jc w:val="center"/>
              <w:ind w:right="1860"/>
              <w:spacing w:after="0"/>
              <w:rPr>
                <w:sz w:val="20"/>
                <w:szCs w:val="20"/>
                <w:color w:val="auto"/>
              </w:rPr>
            </w:pPr>
            <w:r>
              <w:rPr>
                <w:rFonts w:ascii="Arial" w:cs="Arial" w:eastAsia="Arial" w:hAnsi="Arial"/>
                <w:sz w:val="18"/>
                <w:szCs w:val="18"/>
                <w:color w:val="auto"/>
                <w:w w:val="93"/>
              </w:rPr>
              <w:t>REPORTING</w:t>
            </w:r>
          </w:p>
        </w:tc>
        <w:tc>
          <w:tcPr>
            <w:tcW w:w="1340" w:type="dxa"/>
            <w:vAlign w:val="bottom"/>
            <w:vMerge w:val="continue"/>
          </w:tcPr>
          <w:p>
            <w:pPr>
              <w:spacing w:after="0"/>
              <w:rPr>
                <w:sz w:val="13"/>
                <w:szCs w:val="13"/>
                <w:color w:val="auto"/>
              </w:rPr>
            </w:pPr>
          </w:p>
        </w:tc>
        <w:tc>
          <w:tcPr>
            <w:tcW w:w="43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40" w:type="dxa"/>
            <w:vAlign w:val="bottom"/>
            <w:vMerge w:val="restart"/>
          </w:tcPr>
          <w:p>
            <w:pPr>
              <w:jc w:val="center"/>
              <w:ind w:right="730"/>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vMerge w:val="restart"/>
          </w:tcPr>
          <w:p>
            <w:pPr>
              <w:jc w:val="center"/>
              <w:ind w:right="910"/>
              <w:spacing w:after="0"/>
              <w:rPr>
                <w:sz w:val="20"/>
                <w:szCs w:val="20"/>
                <w:color w:val="auto"/>
              </w:rPr>
            </w:pPr>
            <w:r>
              <w:rPr>
                <w:rFonts w:ascii="Arial" w:cs="Arial" w:eastAsia="Arial" w:hAnsi="Arial"/>
                <w:sz w:val="18"/>
                <w:szCs w:val="18"/>
                <w:color w:val="auto"/>
                <w:w w:val="89"/>
              </w:rPr>
              <w:t>10</w:t>
            </w:r>
          </w:p>
        </w:tc>
        <w:tc>
          <w:tcPr>
            <w:tcW w:w="432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840" w:type="dxa"/>
            <w:vAlign w:val="bottom"/>
          </w:tcPr>
          <w:p>
            <w:pPr>
              <w:spacing w:after="0"/>
              <w:rPr>
                <w:sz w:val="11"/>
                <w:szCs w:val="1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37,767,152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100" w:type="dxa"/>
            <w:vAlign w:val="bottom"/>
            <w:gridSpan w:val="2"/>
            <w:vMerge w:val="restart"/>
          </w:tcPr>
          <w:p>
            <w:pPr>
              <w:jc w:val="center"/>
              <w:ind w:right="1880"/>
              <w:spacing w:after="0"/>
              <w:rPr>
                <w:sz w:val="20"/>
                <w:szCs w:val="20"/>
                <w:color w:val="auto"/>
              </w:rPr>
            </w:pPr>
            <w:r>
              <w:rPr>
                <w:rFonts w:ascii="Arial" w:cs="Arial" w:eastAsia="Arial" w:hAnsi="Arial"/>
                <w:sz w:val="18"/>
                <w:szCs w:val="18"/>
                <w:color w:val="auto"/>
                <w:w w:val="99"/>
              </w:rPr>
              <w:t>WITH</w:t>
            </w:r>
          </w:p>
        </w:tc>
        <w:tc>
          <w:tcPr>
            <w:tcW w:w="1340" w:type="dxa"/>
            <w:vAlign w:val="bottom"/>
            <w:vMerge w:val="continue"/>
          </w:tcPr>
          <w:p>
            <w:pPr>
              <w:spacing w:after="0"/>
              <w:rPr>
                <w:sz w:val="8"/>
                <w:szCs w:val="8"/>
                <w:color w:val="auto"/>
              </w:rPr>
            </w:pPr>
          </w:p>
        </w:tc>
        <w:tc>
          <w:tcPr>
            <w:tcW w:w="43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2"/>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89"/>
              </w:rPr>
              <w:t>11</w:t>
            </w:r>
          </w:p>
        </w:tc>
        <w:tc>
          <w:tcPr>
            <w:tcW w:w="4440" w:type="dxa"/>
            <w:vAlign w:val="bottom"/>
            <w:gridSpan w:val="3"/>
          </w:tcPr>
          <w:p>
            <w:pPr>
              <w:ind w:left="440"/>
              <w:spacing w:after="0" w:line="201" w:lineRule="exact"/>
              <w:rPr>
                <w:sz w:val="20"/>
                <w:szCs w:val="20"/>
                <w:color w:val="auto"/>
              </w:rPr>
            </w:pPr>
            <w:r>
              <w:rPr>
                <w:rFonts w:ascii="Arial" w:cs="Arial" w:eastAsia="Arial" w:hAnsi="Arial"/>
                <w:sz w:val="18"/>
                <w:szCs w:val="18"/>
                <w:color w:val="auto"/>
                <w:w w:val="98"/>
              </w:rPr>
              <w:t>AGGREGATE AMOUNT BENEFICIALLY OWNED</w:t>
            </w:r>
          </w:p>
        </w:tc>
        <w:tc>
          <w:tcPr>
            <w:tcW w:w="4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9,967,152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97"/>
              </w:rPr>
              <w:t>BY EACH REPORTING PERSON</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12</w:t>
            </w:r>
          </w:p>
        </w:tc>
        <w:tc>
          <w:tcPr>
            <w:tcW w:w="876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color w:val="auto"/>
                <w:w w:val="98"/>
              </w:rPr>
              <w:t>CHECK IF THE AGGREGATE AMOUNT IN ROW (11) EXCLUDES CERTAIN SHARES (see instructions)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89"/>
              </w:rPr>
              <w:t>13</w:t>
            </w:r>
          </w:p>
        </w:tc>
        <w:tc>
          <w:tcPr>
            <w:tcW w:w="8760" w:type="dxa"/>
            <w:vAlign w:val="bottom"/>
            <w:gridSpan w:val="4"/>
          </w:tcPr>
          <w:p>
            <w:pPr>
              <w:ind w:left="440"/>
              <w:spacing w:after="0" w:line="201" w:lineRule="exact"/>
              <w:rPr>
                <w:sz w:val="20"/>
                <w:szCs w:val="20"/>
                <w:color w:val="auto"/>
              </w:rPr>
            </w:pPr>
            <w:r>
              <w:rPr>
                <w:rFonts w:ascii="Arial" w:cs="Arial" w:eastAsia="Arial" w:hAnsi="Arial"/>
                <w:sz w:val="18"/>
                <w:szCs w:val="18"/>
                <w:color w:val="auto"/>
              </w:rPr>
              <w:t>PERCENT OF CLASS REPRESENTED BY AMOUNT IN</w:t>
            </w:r>
          </w:p>
        </w:tc>
        <w:tc>
          <w:tcPr>
            <w:tcW w:w="8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ROW (11)</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14</w:t>
            </w: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96"/>
              </w:rPr>
              <w:t>TYPE OF REPORTING PERSON (see instructions)</w:t>
            </w: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HC</w:t>
            </w:r>
          </w:p>
        </w:tc>
        <w:tc>
          <w:tcPr>
            <w:tcW w:w="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307"/>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560" w:type="dxa"/>
            <w:vAlign w:val="bottom"/>
            <w:tcBorders>
              <w:top w:val="single" w:sz="8" w:color="auto"/>
            </w:tcBorders>
          </w:tcPr>
          <w:p>
            <w:pPr>
              <w:spacing w:after="0"/>
              <w:rPr>
                <w:sz w:val="21"/>
                <w:szCs w:val="21"/>
                <w:color w:val="auto"/>
              </w:rPr>
            </w:pPr>
          </w:p>
        </w:tc>
        <w:tc>
          <w:tcPr>
            <w:tcW w:w="5000" w:type="dxa"/>
            <w:vAlign w:val="bottom"/>
            <w:tcBorders>
              <w:top w:val="single" w:sz="8" w:color="auto"/>
            </w:tcBorders>
          </w:tcPr>
          <w:p>
            <w:pPr>
              <w:ind w:left="2220"/>
              <w:spacing w:after="0"/>
              <w:rPr>
                <w:sz w:val="20"/>
                <w:szCs w:val="20"/>
                <w:color w:val="auto"/>
              </w:rPr>
            </w:pPr>
            <w:r>
              <w:rPr>
                <w:rFonts w:ascii="Arial" w:cs="Arial" w:eastAsia="Arial" w:hAnsi="Arial"/>
                <w:sz w:val="18"/>
                <w:szCs w:val="18"/>
                <w:color w:val="auto"/>
              </w:rPr>
              <w:t>13D</w:t>
            </w:r>
          </w:p>
        </w:tc>
        <w:tc>
          <w:tcPr>
            <w:tcW w:w="21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Page 3 of 10 Pages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79"/>
              </w:rPr>
              <w:t>1</w:t>
            </w:r>
          </w:p>
        </w:tc>
        <w:tc>
          <w:tcPr>
            <w:tcW w:w="3100" w:type="dxa"/>
            <w:vAlign w:val="bottom"/>
            <w:tcBorders>
              <w:top w:val="single" w:sz="8" w:color="auto"/>
            </w:tcBorders>
            <w:gridSpan w:val="2"/>
          </w:tcPr>
          <w:p>
            <w:pPr>
              <w:ind w:left="360"/>
              <w:spacing w:after="0" w:line="201" w:lineRule="exact"/>
              <w:rPr>
                <w:sz w:val="20"/>
                <w:szCs w:val="20"/>
                <w:color w:val="auto"/>
              </w:rPr>
            </w:pPr>
            <w:r>
              <w:rPr>
                <w:rFonts w:ascii="Arial" w:cs="Arial" w:eastAsia="Arial" w:hAnsi="Arial"/>
                <w:sz w:val="18"/>
                <w:szCs w:val="18"/>
                <w:color w:val="auto"/>
                <w:w w:val="98"/>
              </w:rPr>
              <w:t>NAME OF REPORTING PERSON</w:t>
            </w:r>
          </w:p>
        </w:tc>
        <w:tc>
          <w:tcPr>
            <w:tcW w:w="560" w:type="dxa"/>
            <w:vAlign w:val="bottom"/>
            <w:tcBorders>
              <w:top w:val="single" w:sz="8" w:color="auto"/>
            </w:tcBorders>
          </w:tcPr>
          <w:p>
            <w:pPr>
              <w:spacing w:after="0"/>
              <w:rPr>
                <w:sz w:val="17"/>
                <w:szCs w:val="17"/>
                <w:color w:val="auto"/>
              </w:rPr>
            </w:pPr>
          </w:p>
        </w:tc>
        <w:tc>
          <w:tcPr>
            <w:tcW w:w="50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AT&amp;T International,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2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International,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79"/>
              </w:rPr>
              <w:t>2</w:t>
            </w:r>
          </w:p>
        </w:tc>
        <w:tc>
          <w:tcPr>
            <w:tcW w:w="8660" w:type="dxa"/>
            <w:vAlign w:val="bottom"/>
            <w:tcBorders>
              <w:top w:val="single" w:sz="8" w:color="auto"/>
            </w:tcBorders>
            <w:gridSpan w:val="4"/>
          </w:tcPr>
          <w:p>
            <w:pPr>
              <w:ind w:left="36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80" w:type="dxa"/>
            <w:vAlign w:val="bottom"/>
            <w:tcBorders>
              <w:top w:val="single" w:sz="8" w:color="auto"/>
            </w:tcBorders>
            <w:gridSpan w:val="2"/>
          </w:tcPr>
          <w:p>
            <w:pPr>
              <w:ind w:left="580"/>
              <w:spacing w:after="0" w:line="201" w:lineRule="exact"/>
              <w:rPr>
                <w:sz w:val="20"/>
                <w:szCs w:val="20"/>
                <w:color w:val="auto"/>
              </w:rPr>
            </w:pPr>
            <w:r>
              <w:rPr>
                <w:rFonts w:ascii="Arial" w:cs="Arial" w:eastAsia="Arial" w:hAnsi="Arial"/>
                <w:sz w:val="18"/>
                <w:szCs w:val="18"/>
                <w:color w:val="auto"/>
              </w:rPr>
              <w:t>(a) [ ]</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 [</w:t>
            </w:r>
          </w:p>
        </w:tc>
        <w:tc>
          <w:tcPr>
            <w:tcW w:w="11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8"/>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79"/>
              </w:rPr>
              <w:t>3</w:t>
            </w: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SEC USE ONLY</w:t>
            </w:r>
          </w:p>
        </w:tc>
        <w:tc>
          <w:tcPr>
            <w:tcW w:w="56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79"/>
              </w:rPr>
              <w:t>4</w:t>
            </w: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SOURCE OF FUNDS</w:t>
            </w:r>
          </w:p>
        </w:tc>
        <w:tc>
          <w:tcPr>
            <w:tcW w:w="56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79"/>
              </w:rPr>
              <w:t>5</w:t>
            </w:r>
          </w:p>
        </w:tc>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CHECK IF DISCLOSURE OF LEGAL PROCEEDINGS</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83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IS REQUIRED PURSUANT TO ITEM 2(d) OR 2(e)</w:t>
            </w: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jc w:val="center"/>
              <w:ind w:left="250"/>
              <w:spacing w:after="0"/>
              <w:rPr>
                <w:sz w:val="20"/>
                <w:szCs w:val="20"/>
                <w:color w:val="auto"/>
              </w:rPr>
            </w:pPr>
            <w:r>
              <w:rPr>
                <w:rFonts w:ascii="Arial" w:cs="Arial" w:eastAsia="Arial" w:hAnsi="Arial"/>
                <w:sz w:val="18"/>
                <w:szCs w:val="18"/>
                <w:color w:val="auto"/>
                <w:w w:val="79"/>
              </w:rPr>
              <w:t>6</w:t>
            </w:r>
          </w:p>
        </w:tc>
        <w:tc>
          <w:tcPr>
            <w:tcW w:w="8660" w:type="dxa"/>
            <w:vAlign w:val="bottom"/>
            <w:gridSpan w:val="4"/>
          </w:tcPr>
          <w:p>
            <w:pPr>
              <w:ind w:left="360"/>
              <w:spacing w:after="0"/>
              <w:rPr>
                <w:sz w:val="20"/>
                <w:szCs w:val="20"/>
                <w:color w:val="auto"/>
              </w:rPr>
            </w:pPr>
            <w:r>
              <w:rPr>
                <w:rFonts w:ascii="Arial" w:cs="Arial" w:eastAsia="Arial" w:hAnsi="Arial"/>
                <w:sz w:val="18"/>
                <w:szCs w:val="18"/>
                <w:color w:val="auto"/>
              </w:rPr>
              <w:t>CITIZENSHIP OR PLACE OF ORGANIZATION</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940"/>
              <w:spacing w:after="0" w:line="201" w:lineRule="exact"/>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5000" w:type="dxa"/>
            <w:vAlign w:val="bottom"/>
            <w:tcBorders>
              <w:top w:val="single" w:sz="8" w:color="auto"/>
            </w:tcBorders>
          </w:tcPr>
          <w:p>
            <w:pPr>
              <w:ind w:left="200"/>
              <w:spacing w:after="0" w:line="201" w:lineRule="exact"/>
              <w:rPr>
                <w:sz w:val="20"/>
                <w:szCs w:val="20"/>
                <w:color w:val="auto"/>
              </w:rPr>
            </w:pPr>
            <w:r>
              <w:rPr>
                <w:rFonts w:ascii="Arial" w:cs="Arial" w:eastAsia="Arial" w:hAnsi="Arial"/>
                <w:sz w:val="18"/>
                <w:szCs w:val="18"/>
                <w:color w:val="auto"/>
              </w:rPr>
              <w:t>SOLE VOTING POWER</w:t>
            </w:r>
          </w:p>
        </w:tc>
        <w:tc>
          <w:tcPr>
            <w:tcW w:w="9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40" w:type="dxa"/>
            <w:vAlign w:val="bottom"/>
          </w:tcPr>
          <w:p>
            <w:pPr>
              <w:jc w:val="center"/>
              <w:ind w:right="590"/>
              <w:spacing w:after="0" w:line="157" w:lineRule="exact"/>
              <w:rPr>
                <w:sz w:val="20"/>
                <w:szCs w:val="20"/>
                <w:color w:val="auto"/>
              </w:rPr>
            </w:pPr>
            <w:r>
              <w:rPr>
                <w:rFonts w:ascii="Arial" w:cs="Arial" w:eastAsia="Arial" w:hAnsi="Arial"/>
                <w:sz w:val="18"/>
                <w:szCs w:val="18"/>
                <w:color w:val="auto"/>
                <w:w w:val="97"/>
              </w:rPr>
              <w:t>SHARES BENEFICIALLY</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100" w:type="dxa"/>
            <w:vAlign w:val="bottom"/>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00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9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3,267,152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40" w:type="dxa"/>
            <w:vAlign w:val="bottom"/>
            <w:vMerge w:val="restart"/>
          </w:tcPr>
          <w:p>
            <w:pPr>
              <w:jc w:val="center"/>
              <w:ind w:right="59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980" w:type="dxa"/>
            <w:vAlign w:val="bottom"/>
          </w:tcPr>
          <w:p>
            <w:pPr>
              <w:spacing w:after="0"/>
              <w:rPr>
                <w:sz w:val="6"/>
                <w:szCs w:val="6"/>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40" w:type="dxa"/>
            <w:vAlign w:val="bottom"/>
            <w:vMerge w:val="restart"/>
          </w:tcPr>
          <w:p>
            <w:pPr>
              <w:jc w:val="center"/>
              <w:ind w:right="590"/>
              <w:spacing w:after="0"/>
              <w:rPr>
                <w:sz w:val="20"/>
                <w:szCs w:val="20"/>
                <w:color w:val="auto"/>
              </w:rPr>
            </w:pPr>
            <w:r>
              <w:rPr>
                <w:rFonts w:ascii="Arial" w:cs="Arial" w:eastAsia="Arial" w:hAnsi="Arial"/>
                <w:sz w:val="18"/>
                <w:szCs w:val="18"/>
                <w:color w:val="auto"/>
                <w:w w:val="89"/>
              </w:rPr>
              <w:t>PERSON</w:t>
            </w: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980" w:type="dxa"/>
            <w:vAlign w:val="bottom"/>
          </w:tcPr>
          <w:p>
            <w:pPr>
              <w:spacing w:after="0"/>
              <w:rPr>
                <w:sz w:val="11"/>
                <w:szCs w:val="11"/>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3,267,152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vMerge w:val="continue"/>
          </w:tcPr>
          <w:p>
            <w:pPr>
              <w:spacing w:after="0"/>
              <w:rPr>
                <w:sz w:val="8"/>
                <w:szCs w:val="8"/>
                <w:color w:val="auto"/>
              </w:rPr>
            </w:pPr>
          </w:p>
        </w:tc>
        <w:tc>
          <w:tcPr>
            <w:tcW w:w="50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79"/>
              </w:rPr>
              <w:t>11</w:t>
            </w:r>
          </w:p>
        </w:tc>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AGGREGATE AMOUNT BENEFICIALLY OWNED</w:t>
            </w:r>
          </w:p>
        </w:tc>
        <w:tc>
          <w:tcPr>
            <w:tcW w:w="98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3,267,152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9"/>
              </w:rPr>
              <w:t>BY EACH REPORTING PERSON</w:t>
            </w:r>
          </w:p>
        </w:tc>
        <w:tc>
          <w:tcPr>
            <w:tcW w:w="5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12</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w w:val="98"/>
              </w:rPr>
              <w:t>CHECK IF THE AGGREGATE AMOUNT IN ROW (11) EXCLUDES CERTAIN SHARES (see instructions)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13</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PERCENT OF CLASS REPRESENTED BY AMOUNT IN ROW (11)</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14</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TYPE OF REPORTING PERSON (see instructions)</w:t>
            </w: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1091"/>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4"/>
        </w:trPr>
        <w:tc>
          <w:tcPr>
            <w:tcW w:w="38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560" w:type="dxa"/>
            <w:vAlign w:val="bottom"/>
            <w:tcBorders>
              <w:top w:val="single" w:sz="8" w:color="auto"/>
            </w:tcBorders>
          </w:tcPr>
          <w:p>
            <w:pPr>
              <w:spacing w:after="0"/>
              <w:rPr>
                <w:sz w:val="21"/>
                <w:szCs w:val="21"/>
                <w:color w:val="auto"/>
              </w:rPr>
            </w:pPr>
          </w:p>
        </w:tc>
        <w:tc>
          <w:tcPr>
            <w:tcW w:w="478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rPr>
              <w:t>13D</w:t>
            </w:r>
          </w:p>
        </w:tc>
        <w:tc>
          <w:tcPr>
            <w:tcW w:w="22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Page 4 of 10 Pages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9"/>
              </w:rPr>
              <w:t>1</w:t>
            </w:r>
          </w:p>
        </w:tc>
        <w:tc>
          <w:tcPr>
            <w:tcW w:w="3120" w:type="dxa"/>
            <w:vAlign w:val="bottom"/>
            <w:tcBorders>
              <w:top w:val="single" w:sz="8" w:color="auto"/>
            </w:tcBorders>
            <w:gridSpan w:val="2"/>
          </w:tcPr>
          <w:p>
            <w:pPr>
              <w:ind w:left="340"/>
              <w:spacing w:after="0" w:line="201" w:lineRule="exact"/>
              <w:rPr>
                <w:sz w:val="20"/>
                <w:szCs w:val="20"/>
                <w:color w:val="auto"/>
              </w:rPr>
            </w:pPr>
            <w:r>
              <w:rPr>
                <w:rFonts w:ascii="Arial" w:cs="Arial" w:eastAsia="Arial" w:hAnsi="Arial"/>
                <w:sz w:val="18"/>
                <w:szCs w:val="18"/>
                <w:color w:val="auto"/>
              </w:rPr>
              <w:t>NAME OF REPORTING PERSON</w:t>
            </w:r>
          </w:p>
        </w:tc>
        <w:tc>
          <w:tcPr>
            <w:tcW w:w="56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AT&amp;T Option Delivery,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8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Option Delivery L.L.C.)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9"/>
              </w:rPr>
              <w:t>2</w:t>
            </w:r>
          </w:p>
        </w:tc>
        <w:tc>
          <w:tcPr>
            <w:tcW w:w="8460" w:type="dxa"/>
            <w:vAlign w:val="bottom"/>
            <w:tcBorders>
              <w:top w:val="single" w:sz="8" w:color="auto"/>
            </w:tcBorders>
            <w:gridSpan w:val="4"/>
          </w:tcPr>
          <w:p>
            <w:pPr>
              <w:ind w:left="34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260" w:type="dxa"/>
            <w:vAlign w:val="bottom"/>
            <w:tcBorders>
              <w:top w:val="single" w:sz="8" w:color="auto"/>
            </w:tcBorders>
            <w:gridSpan w:val="2"/>
          </w:tcPr>
          <w:p>
            <w:pPr>
              <w:ind w:left="900"/>
              <w:spacing w:after="0" w:line="201" w:lineRule="exact"/>
              <w:rPr>
                <w:sz w:val="20"/>
                <w:szCs w:val="20"/>
                <w:color w:val="auto"/>
              </w:rPr>
            </w:pPr>
            <w:r>
              <w:rPr>
                <w:rFonts w:ascii="Arial" w:cs="Arial" w:eastAsia="Arial" w:hAnsi="Arial"/>
                <w:sz w:val="18"/>
                <w:szCs w:val="18"/>
                <w:color w:val="auto"/>
              </w:rPr>
              <w:t>(a) [ ]</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00" w:type="dxa"/>
            <w:vAlign w:val="bottom"/>
            <w:gridSpan w:val="4"/>
          </w:tcPr>
          <w:p>
            <w:pPr>
              <w:ind w:left="90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3</w:t>
            </w:r>
          </w:p>
        </w:tc>
        <w:tc>
          <w:tcPr>
            <w:tcW w:w="31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SEC USE ONLY</w:t>
            </w:r>
          </w:p>
        </w:tc>
        <w:tc>
          <w:tcPr>
            <w:tcW w:w="560" w:type="dxa"/>
            <w:vAlign w:val="bottom"/>
            <w:tcBorders>
              <w:top w:val="single" w:sz="8" w:color="auto"/>
              <w:bottom w:val="single" w:sz="8" w:color="auto"/>
            </w:tcBorders>
          </w:tcPr>
          <w:p>
            <w:pPr>
              <w:spacing w:after="0"/>
              <w:rPr>
                <w:sz w:val="19"/>
                <w:szCs w:val="19"/>
                <w:color w:val="auto"/>
              </w:rPr>
            </w:pPr>
          </w:p>
        </w:tc>
        <w:tc>
          <w:tcPr>
            <w:tcW w:w="47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4</w:t>
            </w: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SOURCE OF FUNDS</w:t>
            </w:r>
          </w:p>
        </w:tc>
        <w:tc>
          <w:tcPr>
            <w:tcW w:w="56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99"/>
              </w:rPr>
              <w:t>5</w:t>
            </w:r>
          </w:p>
        </w:tc>
        <w:tc>
          <w:tcPr>
            <w:tcW w:w="846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CHECK BOX IF DISCLOSURE OF LEGAL PROCEEDINGS</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97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IS REQUIRED PURSUANT TO ITEM 2(d) OR 2(e)</w:t>
            </w: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99"/>
              </w:rPr>
              <w:t>6</w:t>
            </w:r>
          </w:p>
        </w:tc>
        <w:tc>
          <w:tcPr>
            <w:tcW w:w="8460" w:type="dxa"/>
            <w:vAlign w:val="bottom"/>
            <w:gridSpan w:val="4"/>
          </w:tcPr>
          <w:p>
            <w:pPr>
              <w:ind w:left="340"/>
              <w:spacing w:after="0"/>
              <w:rPr>
                <w:sz w:val="20"/>
                <w:szCs w:val="20"/>
                <w:color w:val="auto"/>
              </w:rPr>
            </w:pPr>
            <w:r>
              <w:rPr>
                <w:rFonts w:ascii="Arial" w:cs="Arial" w:eastAsia="Arial" w:hAnsi="Arial"/>
                <w:sz w:val="18"/>
                <w:szCs w:val="18"/>
                <w:color w:val="auto"/>
              </w:rPr>
              <w:t>CITIZENSHIP OR PLACE OF ORGANIZATION</w:t>
            </w: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2"/>
          </w:tcPr>
          <w:p>
            <w:pPr>
              <w:jc w:val="center"/>
              <w:ind w:right="960"/>
              <w:spacing w:after="0" w:line="201" w:lineRule="exact"/>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7</w:t>
            </w:r>
          </w:p>
        </w:tc>
        <w:tc>
          <w:tcPr>
            <w:tcW w:w="47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SOLE VOTING POWER</w:t>
            </w:r>
          </w:p>
        </w:tc>
        <w:tc>
          <w:tcPr>
            <w:tcW w:w="10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60" w:type="dxa"/>
            <w:vAlign w:val="bottom"/>
          </w:tcPr>
          <w:p>
            <w:pPr>
              <w:jc w:val="center"/>
              <w:ind w:right="610"/>
              <w:spacing w:after="0" w:line="157" w:lineRule="exact"/>
              <w:rPr>
                <w:sz w:val="20"/>
                <w:szCs w:val="20"/>
                <w:color w:val="auto"/>
              </w:rPr>
            </w:pPr>
            <w:r>
              <w:rPr>
                <w:rFonts w:ascii="Arial" w:cs="Arial" w:eastAsia="Arial" w:hAnsi="Arial"/>
                <w:sz w:val="18"/>
                <w:szCs w:val="18"/>
                <w:color w:val="auto"/>
                <w:w w:val="97"/>
              </w:rPr>
              <w:t>SHARES BENEFICIALLY</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20" w:type="dxa"/>
            <w:vAlign w:val="bottom"/>
            <w:gridSpan w:val="2"/>
          </w:tcPr>
          <w:p>
            <w:pPr>
              <w:jc w:val="center"/>
              <w:ind w:right="960"/>
              <w:spacing w:after="0"/>
              <w:rPr>
                <w:sz w:val="20"/>
                <w:szCs w:val="20"/>
                <w:color w:val="auto"/>
              </w:rPr>
            </w:pPr>
            <w:r>
              <w:rPr>
                <w:rFonts w:ascii="Arial" w:cs="Arial" w:eastAsia="Arial" w:hAnsi="Arial"/>
                <w:sz w:val="18"/>
                <w:szCs w:val="18"/>
                <w:color w:val="auto"/>
                <w:w w:val="97"/>
              </w:rPr>
              <w:t>OWNED BY</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7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106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60" w:type="dxa"/>
            <w:vAlign w:val="bottom"/>
            <w:vMerge w:val="restart"/>
          </w:tcPr>
          <w:p>
            <w:pPr>
              <w:jc w:val="center"/>
              <w:ind w:right="61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478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1060" w:type="dxa"/>
            <w:vAlign w:val="bottom"/>
          </w:tcPr>
          <w:p>
            <w:pPr>
              <w:spacing w:after="0"/>
              <w:rPr>
                <w:sz w:val="6"/>
                <w:szCs w:val="6"/>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120" w:type="dxa"/>
            <w:vAlign w:val="bottom"/>
            <w:gridSpan w:val="2"/>
            <w:vMerge w:val="restart"/>
          </w:tcPr>
          <w:p>
            <w:pPr>
              <w:jc w:val="center"/>
              <w:ind w:right="96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1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60" w:type="dxa"/>
            <w:vAlign w:val="bottom"/>
            <w:vMerge w:val="restart"/>
          </w:tcPr>
          <w:p>
            <w:pPr>
              <w:jc w:val="center"/>
              <w:ind w:right="610"/>
              <w:spacing w:after="0"/>
              <w:rPr>
                <w:sz w:val="20"/>
                <w:szCs w:val="20"/>
                <w:color w:val="auto"/>
              </w:rPr>
            </w:pPr>
            <w:r>
              <w:rPr>
                <w:rFonts w:ascii="Arial" w:cs="Arial" w:eastAsia="Arial" w:hAnsi="Arial"/>
                <w:sz w:val="18"/>
                <w:szCs w:val="18"/>
                <w:color w:val="auto"/>
                <w:w w:val="89"/>
              </w:rPr>
              <w:t>PERSON</w:t>
            </w: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47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1060" w:type="dxa"/>
            <w:vAlign w:val="bottom"/>
          </w:tcPr>
          <w:p>
            <w:pPr>
              <w:spacing w:after="0"/>
              <w:rPr>
                <w:sz w:val="11"/>
                <w:szCs w:val="11"/>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120" w:type="dxa"/>
            <w:vAlign w:val="bottom"/>
            <w:gridSpan w:val="2"/>
            <w:vMerge w:val="restart"/>
          </w:tcPr>
          <w:p>
            <w:pPr>
              <w:jc w:val="center"/>
              <w:ind w:right="960"/>
              <w:spacing w:after="0"/>
              <w:rPr>
                <w:sz w:val="20"/>
                <w:szCs w:val="20"/>
                <w:color w:val="auto"/>
              </w:rPr>
            </w:pPr>
            <w:r>
              <w:rPr>
                <w:rFonts w:ascii="Arial" w:cs="Arial" w:eastAsia="Arial" w:hAnsi="Arial"/>
                <w:sz w:val="18"/>
                <w:szCs w:val="18"/>
                <w:color w:val="auto"/>
              </w:rPr>
              <w:t>WITH</w:t>
            </w:r>
          </w:p>
        </w:tc>
        <w:tc>
          <w:tcPr>
            <w:tcW w:w="560" w:type="dxa"/>
            <w:vAlign w:val="bottom"/>
            <w:vMerge w:val="continue"/>
          </w:tcPr>
          <w:p>
            <w:pPr>
              <w:spacing w:after="0"/>
              <w:rPr>
                <w:sz w:val="8"/>
                <w:szCs w:val="8"/>
                <w:color w:val="auto"/>
              </w:rPr>
            </w:pPr>
          </w:p>
        </w:tc>
        <w:tc>
          <w:tcPr>
            <w:tcW w:w="47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89"/>
              </w:rPr>
              <w:t>11</w:t>
            </w:r>
          </w:p>
        </w:tc>
        <w:tc>
          <w:tcPr>
            <w:tcW w:w="846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AGGREGATE AMOUNT BENEFICIALLY OWNED</w:t>
            </w:r>
          </w:p>
        </w:tc>
        <w:tc>
          <w:tcPr>
            <w:tcW w:w="10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500,000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BY EACH REPORTING PERSON</w:t>
            </w:r>
          </w:p>
        </w:tc>
        <w:tc>
          <w:tcPr>
            <w:tcW w:w="5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12</w:t>
            </w:r>
          </w:p>
        </w:tc>
        <w:tc>
          <w:tcPr>
            <w:tcW w:w="84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w w:val="96"/>
              </w:rPr>
              <w:t>CHECK IF THE AGGREGATE AMOUNT IN ROW (11) EXCLUDES CERTAIN SHARES (see instructions)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89"/>
              </w:rPr>
              <w:t>13</w:t>
            </w:r>
          </w:p>
        </w:tc>
        <w:tc>
          <w:tcPr>
            <w:tcW w:w="846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PERCENT OF CLASS REPRESENTED BY AMOUNT</w:t>
            </w:r>
          </w:p>
        </w:tc>
        <w:tc>
          <w:tcPr>
            <w:tcW w:w="10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IN ROW (11)</w:t>
            </w:r>
          </w:p>
        </w:tc>
        <w:tc>
          <w:tcPr>
            <w:tcW w:w="5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9"/>
              </w:rPr>
              <w:t>14</w:t>
            </w:r>
          </w:p>
        </w:tc>
        <w:tc>
          <w:tcPr>
            <w:tcW w:w="8460" w:type="dxa"/>
            <w:vAlign w:val="bottom"/>
            <w:gridSpan w:val="4"/>
          </w:tcPr>
          <w:p>
            <w:pPr>
              <w:ind w:left="340"/>
              <w:spacing w:after="0"/>
              <w:rPr>
                <w:sz w:val="20"/>
                <w:szCs w:val="20"/>
                <w:color w:val="auto"/>
              </w:rPr>
            </w:pPr>
            <w:r>
              <w:rPr>
                <w:rFonts w:ascii="Arial" w:cs="Arial" w:eastAsia="Arial" w:hAnsi="Arial"/>
                <w:sz w:val="18"/>
                <w:szCs w:val="18"/>
                <w:color w:val="auto"/>
              </w:rPr>
              <w:t>TYPE OF REPORTING PERSON (see instructions)</w:t>
            </w: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OO</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91"/>
        </w:trPr>
        <w:tc>
          <w:tcPr>
            <w:tcW w:w="20" w:type="dxa"/>
            <w:vAlign w:val="bottom"/>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6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478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120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14 TO SCHEDULE 13D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AMDOCS LIMITED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Amendment No. 9 filed on June 17, 2004, Amendment No. 10 filed on September 27, 2004, Amendment No. 11 filed on December 28, 2004, Amendment No. 12 filed on November 3, 2005, by AT&amp;T Inc. (formerly known as SBC Communications Inc.) ("AT&amp;T"), and Amendment No. 13 filed on March 21, 2007, is hereby further amended to report a change in ownership of shares of Amdocs Limited (the "Company").</w:t>
      </w:r>
    </w:p>
    <w:p>
      <w:pPr>
        <w:spacing w:after="0" w:line="200" w:lineRule="exact"/>
        <w:rPr>
          <w:sz w:val="20"/>
          <w:szCs w:val="20"/>
          <w:color w:val="auto"/>
        </w:rPr>
      </w:pPr>
    </w:p>
    <w:p>
      <w:pPr>
        <w:spacing w:after="0" w:line="218"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relates to the Ordinary Shares, par value £0.01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XO GY1 3QT.</w:t>
      </w:r>
    </w:p>
    <w:p>
      <w:pPr>
        <w:spacing w:after="0" w:line="204"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left="880" w:hanging="872"/>
        <w:spacing w:after="0" w:line="259"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and principal occupations of each executive officer and director of AT&amp;T, AT&amp;T International, Inc. (“ATTI”), and AT&amp;T Hedging Management, LLC (formerly known as SBC Hedging Management L.L.C.) (as manager of AT&amp;T Option Delivery, LLC (“ATTOD”)) are set forth in Exhibit 1 hereto, and incorporated herein by reference. The principal business address for the named individuals on Exhibit 1 is 208 S. Akard St., Room 3241, Dallas, Texas, 75202, USA.</w:t>
      </w:r>
    </w:p>
    <w:p>
      <w:pPr>
        <w:spacing w:after="0" w:line="187" w:lineRule="exact"/>
        <w:rPr>
          <w:sz w:val="20"/>
          <w:szCs w:val="20"/>
          <w:color w:val="auto"/>
        </w:rPr>
      </w:pPr>
    </w:p>
    <w:p>
      <w:pPr>
        <w:ind w:left="880" w:hanging="872"/>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directors and executive officers listed in Exhibit 1 herein are citizens of the United States, except Jaime Chico Pardo (Director, AT&amp;T Inc.), who is a citizen of Mexico.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10</w:t>
      </w:r>
    </w:p>
    <w:p>
      <w:pPr>
        <w:spacing w:after="0" w:line="200" w:lineRule="exact"/>
        <w:rPr>
          <w:sz w:val="20"/>
          <w:szCs w:val="20"/>
          <w:color w:val="auto"/>
        </w:rPr>
      </w:pPr>
    </w:p>
    <w:p>
      <w:pPr>
        <w:spacing w:after="0" w:line="29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Since the filing of Amendment No. 13 on March 21, 2007, ATTI has disposed of 408,360 Shares through charitable contributions and employee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jc w:val="both"/>
        <w:ind w:left="880" w:hanging="872"/>
        <w:spacing w:after="0" w:line="279"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ATTI, a wholly-owned subsidiary of AT&amp;T, beneficially owns 3,267,152 Shares representing 1.6% of the outstanding ordinary Shares class. ATTOD, a wholly-owned subsidiary of ATTI, beneficially owns 500,000 Shares representing 0.2% of the outstanding ordinary Shares class. As of June 30, 2009, the capital structure of the Company consists of 203,966,000 Shares (according to Form 6-K filed by the Company on August 10, 2009). AT&amp;T possesses ultimate beneficial ownership of the reported Shares by virtue of its ownership of ATTI and ATTOD.</w:t>
      </w:r>
    </w:p>
    <w:p>
      <w:pPr>
        <w:spacing w:after="0" w:line="198" w:lineRule="exact"/>
        <w:rPr>
          <w:rFonts w:ascii="Arial" w:cs="Arial" w:eastAsia="Arial" w:hAnsi="Arial"/>
          <w:sz w:val="17"/>
          <w:szCs w:val="17"/>
          <w:color w:val="auto"/>
        </w:rPr>
      </w:pPr>
    </w:p>
    <w:p>
      <w:pPr>
        <w:ind w:left="1000" w:hanging="992"/>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AT&amp;T beneficial ownership interest:</w:t>
      </w:r>
    </w:p>
    <w:p>
      <w:pPr>
        <w:spacing w:after="0" w:line="18"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Percent of class</w:t>
            </w:r>
          </w:p>
        </w:tc>
        <w:tc>
          <w:tcPr>
            <w:tcW w:w="3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Sole power to vote or to direct the vote</w:t>
            </w:r>
          </w:p>
        </w:tc>
        <w:tc>
          <w:tcPr>
            <w:tcW w:w="3620" w:type="dxa"/>
            <w:vAlign w:val="bottom"/>
          </w:tcPr>
          <w:p>
            <w:pPr>
              <w:jc w:val="right"/>
              <w:spacing w:after="0"/>
              <w:rPr>
                <w:sz w:val="20"/>
                <w:szCs w:val="20"/>
                <w:color w:val="auto"/>
              </w:rPr>
            </w:pPr>
            <w:r>
              <w:rPr>
                <w:rFonts w:ascii="Arial" w:cs="Arial" w:eastAsia="Arial" w:hAnsi="Arial"/>
                <w:sz w:val="18"/>
                <w:szCs w:val="18"/>
                <w:color w:val="auto"/>
              </w:rPr>
              <w:t>6,200,000 Shares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Shared power to vote or to direct the vote</w:t>
            </w:r>
          </w:p>
        </w:tc>
        <w:tc>
          <w:tcPr>
            <w:tcW w:w="3620" w:type="dxa"/>
            <w:vAlign w:val="bottom"/>
          </w:tcPr>
          <w:p>
            <w:pPr>
              <w:jc w:val="right"/>
              <w:spacing w:after="0"/>
              <w:rPr>
                <w:sz w:val="20"/>
                <w:szCs w:val="20"/>
                <w:color w:val="auto"/>
              </w:rPr>
            </w:pPr>
            <w:r>
              <w:rPr>
                <w:rFonts w:ascii="Arial" w:cs="Arial" w:eastAsia="Arial" w:hAnsi="Arial"/>
                <w:sz w:val="18"/>
                <w:szCs w:val="18"/>
                <w:color w:val="auto"/>
              </w:rPr>
              <w:t>3,767,152 Shares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Sole power to dispose or to direct the disposition of</w:t>
            </w:r>
          </w:p>
        </w:tc>
        <w:tc>
          <w:tcPr>
            <w:tcW w:w="3620" w:type="dxa"/>
            <w:vAlign w:val="bottom"/>
          </w:tcPr>
          <w:p>
            <w:pPr>
              <w:jc w:val="right"/>
              <w:spacing w:after="0"/>
              <w:rPr>
                <w:sz w:val="20"/>
                <w:szCs w:val="20"/>
                <w:color w:val="auto"/>
              </w:rPr>
            </w:pPr>
            <w:r>
              <w:rPr>
                <w:rFonts w:ascii="Arial" w:cs="Arial" w:eastAsia="Arial" w:hAnsi="Arial"/>
                <w:sz w:val="18"/>
                <w:szCs w:val="18"/>
                <w:color w:val="auto"/>
              </w:rPr>
              <w:t>6,200,000 Shares</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Shared power to dispose or direct the disposition of</w:t>
            </w:r>
          </w:p>
        </w:tc>
        <w:tc>
          <w:tcPr>
            <w:tcW w:w="3620" w:type="dxa"/>
            <w:vAlign w:val="bottom"/>
          </w:tcPr>
          <w:p>
            <w:pPr>
              <w:jc w:val="right"/>
              <w:spacing w:after="0"/>
              <w:rPr>
                <w:sz w:val="20"/>
                <w:szCs w:val="20"/>
                <w:color w:val="auto"/>
              </w:rPr>
            </w:pPr>
            <w:r>
              <w:rPr>
                <w:rFonts w:ascii="Arial" w:cs="Arial" w:eastAsia="Arial" w:hAnsi="Arial"/>
                <w:sz w:val="18"/>
                <w:szCs w:val="18"/>
                <w:color w:val="auto"/>
              </w:rPr>
              <w:t>3,767,152 Shares</w:t>
            </w:r>
          </w:p>
        </w:tc>
      </w:tr>
    </w:tbl>
    <w:p>
      <w:pPr>
        <w:sectPr>
          <w:pgSz w:w="11900" w:h="16838" w:orient="portrait"/>
          <w:cols w:equalWidth="0" w:num="1">
            <w:col w:w="11420"/>
          </w:cols>
          <w:pgMar w:left="240" w:top="733" w:right="239" w:bottom="0" w:gutter="0" w:footer="0" w:header="0"/>
        </w:sectPr>
      </w:pPr>
    </w:p>
    <w:bookmarkStart w:id="5" w:name="page6"/>
    <w:bookmarkEnd w:id="5"/>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87"/>
        </w:trPr>
        <w:tc>
          <w:tcPr>
            <w:tcW w:w="6800" w:type="dxa"/>
            <w:vAlign w:val="bottom"/>
          </w:tcPr>
          <w:p>
            <w:pPr>
              <w:spacing w:after="0"/>
              <w:rPr>
                <w:sz w:val="20"/>
                <w:szCs w:val="20"/>
                <w:color w:val="auto"/>
              </w:rPr>
            </w:pPr>
            <w:r>
              <w:rPr>
                <w:rFonts w:ascii="Arial" w:cs="Arial" w:eastAsia="Arial" w:hAnsi="Arial"/>
                <w:sz w:val="18"/>
                <w:szCs w:val="18"/>
                <w:color w:val="auto"/>
              </w:rPr>
              <w:t>ATTI beneficial ownership interest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Percent of class</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Sole power to vote or to direct the vote</w:t>
            </w:r>
          </w:p>
        </w:tc>
        <w:tc>
          <w:tcPr>
            <w:tcW w:w="312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Shared power to vote or to direct the vote</w:t>
            </w:r>
          </w:p>
        </w:tc>
        <w:tc>
          <w:tcPr>
            <w:tcW w:w="3120" w:type="dxa"/>
            <w:vAlign w:val="bottom"/>
          </w:tcPr>
          <w:p>
            <w:pPr>
              <w:jc w:val="right"/>
              <w:spacing w:after="0"/>
              <w:rPr>
                <w:sz w:val="20"/>
                <w:szCs w:val="20"/>
                <w:color w:val="auto"/>
              </w:rPr>
            </w:pPr>
            <w:r>
              <w:rPr>
                <w:rFonts w:ascii="Arial" w:cs="Arial" w:eastAsia="Arial" w:hAnsi="Arial"/>
                <w:sz w:val="18"/>
                <w:szCs w:val="18"/>
                <w:color w:val="auto"/>
              </w:rPr>
              <w:t>3,267,152</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Sole power to dispose or to direct the disposition of</w:t>
            </w:r>
          </w:p>
        </w:tc>
        <w:tc>
          <w:tcPr>
            <w:tcW w:w="312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Shared power to dispose or direct the disposition of</w:t>
            </w:r>
          </w:p>
        </w:tc>
        <w:tc>
          <w:tcPr>
            <w:tcW w:w="3120" w:type="dxa"/>
            <w:vAlign w:val="bottom"/>
          </w:tcPr>
          <w:p>
            <w:pPr>
              <w:jc w:val="right"/>
              <w:spacing w:after="0"/>
              <w:rPr>
                <w:sz w:val="20"/>
                <w:szCs w:val="20"/>
                <w:color w:val="auto"/>
              </w:rPr>
            </w:pPr>
            <w:r>
              <w:rPr>
                <w:rFonts w:ascii="Arial" w:cs="Arial" w:eastAsia="Arial" w:hAnsi="Arial"/>
                <w:sz w:val="18"/>
                <w:szCs w:val="18"/>
                <w:color w:val="auto"/>
              </w:rPr>
              <w:t>3,267,152</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445"/>
        </w:trPr>
        <w:tc>
          <w:tcPr>
            <w:tcW w:w="6800" w:type="dxa"/>
            <w:vAlign w:val="bottom"/>
          </w:tcPr>
          <w:p>
            <w:pPr>
              <w:spacing w:after="0"/>
              <w:rPr>
                <w:sz w:val="20"/>
                <w:szCs w:val="20"/>
                <w:color w:val="auto"/>
              </w:rPr>
            </w:pPr>
            <w:r>
              <w:rPr>
                <w:rFonts w:ascii="Arial" w:cs="Arial" w:eastAsia="Arial" w:hAnsi="Arial"/>
                <w:sz w:val="18"/>
                <w:szCs w:val="18"/>
                <w:color w:val="auto"/>
              </w:rPr>
              <w:t>ATTOD beneficial ownership interest</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Percent of class</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Sole power to vote or to direct the vote</w:t>
            </w:r>
          </w:p>
        </w:tc>
        <w:tc>
          <w:tcPr>
            <w:tcW w:w="312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Shared power to vote or to direct the vote</w:t>
            </w:r>
          </w:p>
        </w:tc>
        <w:tc>
          <w:tcPr>
            <w:tcW w:w="3120" w:type="dxa"/>
            <w:vAlign w:val="bottom"/>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16"/>
        </w:trPr>
        <w:tc>
          <w:tcPr>
            <w:tcW w:w="6800" w:type="dxa"/>
            <w:vAlign w:val="bottom"/>
          </w:tcPr>
          <w:p>
            <w:pPr>
              <w:ind w:left="720"/>
              <w:spacing w:after="0"/>
              <w:rPr>
                <w:sz w:val="20"/>
                <w:szCs w:val="20"/>
                <w:color w:val="auto"/>
              </w:rPr>
            </w:pPr>
            <w:r>
              <w:rPr>
                <w:rFonts w:ascii="Arial" w:cs="Arial" w:eastAsia="Arial" w:hAnsi="Arial"/>
                <w:sz w:val="18"/>
                <w:szCs w:val="18"/>
                <w:color w:val="auto"/>
              </w:rPr>
              <w:t>Sole power to dispose or to direct the disposition of</w:t>
            </w:r>
          </w:p>
        </w:tc>
        <w:tc>
          <w:tcPr>
            <w:tcW w:w="312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Shared power to dispose or direct the disposition of</w:t>
            </w:r>
          </w:p>
        </w:tc>
        <w:tc>
          <w:tcPr>
            <w:tcW w:w="3120" w:type="dxa"/>
            <w:vAlign w:val="bottom"/>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Shares</w:t>
            </w:r>
          </w:p>
        </w:tc>
      </w:tr>
    </w:tbl>
    <w:p>
      <w:pPr>
        <w:spacing w:after="0" w:line="168" w:lineRule="exact"/>
        <w:rPr>
          <w:sz w:val="20"/>
          <w:szCs w:val="20"/>
          <w:color w:val="auto"/>
        </w:rPr>
      </w:pPr>
    </w:p>
    <w:p>
      <w:pPr>
        <w:ind w:left="1140" w:hanging="268"/>
        <w:spacing w:after="0"/>
        <w:tabs>
          <w:tab w:leader="none" w:pos="11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AT&amp;T has ultimate control over these Shares by virtue of its ownership of ATTI.</w:t>
      </w:r>
    </w:p>
    <w:p>
      <w:pPr>
        <w:ind w:left="88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Each of AT&amp;T and ATTI has ultimate control over these Shares by virtue of their ownership of ATTOD.</w:t>
      </w:r>
    </w:p>
    <w:p>
      <w:pPr>
        <w:spacing w:after="0" w:line="134"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sixty days, ATTI disposed of Shares as follows: See Item 4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520"/>
        <w:spacing w:after="0"/>
        <w:rPr>
          <w:sz w:val="20"/>
          <w:szCs w:val="20"/>
          <w:color w:val="auto"/>
        </w:rPr>
      </w:pPr>
      <w:r>
        <w:rPr>
          <w:rFonts w:ascii="Arial" w:cs="Arial" w:eastAsia="Arial" w:hAnsi="Arial"/>
          <w:sz w:val="15"/>
          <w:szCs w:val="15"/>
          <w:color w:val="auto"/>
        </w:rPr>
        <w:t>Page 7 of 10</w:t>
      </w:r>
    </w:p>
    <w:p>
      <w:pPr>
        <w:spacing w:after="0" w:line="200" w:lineRule="exact"/>
        <w:rPr>
          <w:sz w:val="20"/>
          <w:szCs w:val="20"/>
          <w:color w:val="auto"/>
        </w:rPr>
      </w:pPr>
    </w:p>
    <w:p>
      <w:pPr>
        <w:spacing w:after="0" w:line="330"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August 21, 2009, the reporting persons ceased to be the beneficial owners of more than 5% of the outstanding ordinary Shares of the Issuer.</w:t>
      </w: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80" w:type="dxa"/>
            <w:vAlign w:val="bottom"/>
          </w:tcPr>
          <w:p>
            <w:pPr>
              <w:ind w:left="140"/>
              <w:spacing w:after="0"/>
              <w:rPr>
                <w:sz w:val="20"/>
                <w:szCs w:val="20"/>
                <w:color w:val="auto"/>
              </w:rPr>
            </w:pPr>
            <w:r>
              <w:rPr>
                <w:rFonts w:ascii="Arial" w:cs="Arial" w:eastAsia="Arial" w:hAnsi="Arial"/>
                <w:sz w:val="18"/>
                <w:szCs w:val="18"/>
                <w:b w:val="1"/>
                <w:bCs w:val="1"/>
                <w:color w:val="auto"/>
              </w:rPr>
              <w:t>Material to be Filed as Exhibits.</w:t>
            </w:r>
          </w:p>
        </w:tc>
      </w:tr>
      <w:tr>
        <w:trPr>
          <w:trHeight w:val="439"/>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tcBorders>
              <w:bottom w:val="single" w:sz="8" w:color="auto"/>
            </w:tcBorders>
          </w:tcPr>
          <w:p>
            <w:pPr>
              <w:ind w:left="5300"/>
              <w:spacing w:after="0"/>
              <w:rPr>
                <w:sz w:val="20"/>
                <w:szCs w:val="20"/>
                <w:color w:val="auto"/>
              </w:rPr>
            </w:pPr>
            <w:r>
              <w:rPr>
                <w:rFonts w:ascii="Arial" w:cs="Arial" w:eastAsia="Arial" w:hAnsi="Arial"/>
                <w:sz w:val="18"/>
                <w:szCs w:val="18"/>
                <w:b w:val="1"/>
                <w:bCs w:val="1"/>
                <w:color w:val="auto"/>
              </w:rPr>
              <w:t>Description</w:t>
            </w:r>
          </w:p>
        </w:tc>
      </w:tr>
    </w:tbl>
    <w:p>
      <w:pPr>
        <w:spacing w:after="0" w:line="202" w:lineRule="exact"/>
        <w:rPr>
          <w:sz w:val="20"/>
          <w:szCs w:val="20"/>
          <w:color w:val="auto"/>
        </w:rPr>
      </w:pPr>
    </w:p>
    <w:p>
      <w:pPr>
        <w:ind w:left="1760" w:right="360" w:hanging="1320"/>
        <w:spacing w:after="0" w:line="277" w:lineRule="auto"/>
        <w:tabs>
          <w:tab w:leader="none" w:pos="1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and Executive Officers of AT&amp;T Inc., AT&amp;T International, Inc. and AT&amp;T Hedging Management, LLC (as manager of AT&amp;T Option Delivery,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938530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8 of 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the statement is true, complete and correct.</w:t>
      </w:r>
    </w:p>
    <w:p>
      <w:pPr>
        <w:spacing w:after="0" w:line="200" w:lineRule="exact"/>
        <w:rPr>
          <w:sz w:val="20"/>
          <w:szCs w:val="20"/>
          <w:color w:val="auto"/>
        </w:rPr>
      </w:pPr>
    </w:p>
    <w:p>
      <w:pPr>
        <w:spacing w:after="0" w:line="24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AT&amp;T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Rayford Wilkins,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Rayford Wilkins, Jr.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 – AT&amp;T Diversified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AT&amp;T International,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Rayford Wilkins,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Rayford Wilkins, Jr.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AT&amp;T Option Delivery, LLC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AT&amp;T Hedging Management,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Manager of AT&amp;T Option Delivery, LLC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P.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Charles P. Allen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Director, AT&amp;T Hedging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tcPr>
          <w:p>
            <w:pPr>
              <w:jc w:val="right"/>
              <w:spacing w:after="0"/>
              <w:rPr>
                <w:sz w:val="20"/>
                <w:szCs w:val="20"/>
                <w:color w:val="auto"/>
              </w:rPr>
            </w:pPr>
            <w:r>
              <w:rPr>
                <w:rFonts w:ascii="Arial" w:cs="Arial" w:eastAsia="Arial" w:hAnsi="Arial"/>
                <w:sz w:val="18"/>
                <w:szCs w:val="18"/>
                <w:color w:val="auto"/>
              </w:rPr>
              <w:t>Page 9 of 10</w:t>
            </w:r>
          </w:p>
        </w:tc>
      </w:tr>
      <w:tr>
        <w:trPr>
          <w:trHeight w:val="432"/>
        </w:trPr>
        <w:tc>
          <w:tcPr>
            <w:tcW w:w="3420" w:type="dxa"/>
            <w:vAlign w:val="bottom"/>
          </w:tcPr>
          <w:p>
            <w:pPr>
              <w:spacing w:after="0"/>
              <w:rPr>
                <w:sz w:val="24"/>
                <w:szCs w:val="24"/>
                <w:color w:val="auto"/>
              </w:rPr>
            </w:pPr>
          </w:p>
        </w:tc>
        <w:tc>
          <w:tcPr>
            <w:tcW w:w="8000" w:type="dxa"/>
            <w:vAlign w:val="bottom"/>
          </w:tcPr>
          <w:p>
            <w:pPr>
              <w:jc w:val="right"/>
              <w:spacing w:after="0"/>
              <w:rPr>
                <w:sz w:val="20"/>
                <w:szCs w:val="20"/>
                <w:color w:val="auto"/>
              </w:rPr>
            </w:pPr>
            <w:r>
              <w:rPr>
                <w:rFonts w:ascii="Arial" w:cs="Arial" w:eastAsia="Arial" w:hAnsi="Arial"/>
                <w:sz w:val="18"/>
                <w:szCs w:val="18"/>
                <w:b w:val="1"/>
                <w:bCs w:val="1"/>
                <w:color w:val="auto"/>
              </w:rPr>
              <w:t>Exhibit 1</w:t>
            </w:r>
          </w:p>
        </w:tc>
      </w:tr>
      <w:tr>
        <w:trPr>
          <w:trHeight w:val="414"/>
        </w:trPr>
        <w:tc>
          <w:tcPr>
            <w:tcW w:w="3420" w:type="dxa"/>
            <w:vAlign w:val="bottom"/>
          </w:tcPr>
          <w:p>
            <w:pPr>
              <w:spacing w:after="0"/>
              <w:rPr>
                <w:sz w:val="24"/>
                <w:szCs w:val="24"/>
                <w:color w:val="auto"/>
              </w:rPr>
            </w:pPr>
          </w:p>
        </w:tc>
        <w:tc>
          <w:tcPr>
            <w:tcW w:w="8000" w:type="dxa"/>
            <w:vAlign w:val="bottom"/>
          </w:tcPr>
          <w:p>
            <w:pPr>
              <w:jc w:val="center"/>
              <w:ind w:right="3330"/>
              <w:spacing w:after="0"/>
              <w:rPr>
                <w:sz w:val="20"/>
                <w:szCs w:val="20"/>
                <w:color w:val="auto"/>
              </w:rPr>
            </w:pPr>
            <w:r>
              <w:rPr>
                <w:rFonts w:ascii="Arial" w:cs="Arial" w:eastAsia="Arial" w:hAnsi="Arial"/>
                <w:sz w:val="18"/>
                <w:szCs w:val="18"/>
                <w:b w:val="1"/>
                <w:bCs w:val="1"/>
                <w:color w:val="auto"/>
              </w:rPr>
              <w:t>DIRECTORS AND EXECUTIVE OFFICERS</w:t>
            </w:r>
          </w:p>
        </w:tc>
      </w:tr>
      <w:tr>
        <w:trPr>
          <w:trHeight w:val="220"/>
        </w:trPr>
        <w:tc>
          <w:tcPr>
            <w:tcW w:w="3420" w:type="dxa"/>
            <w:vAlign w:val="bottom"/>
          </w:tcPr>
          <w:p>
            <w:pPr>
              <w:spacing w:after="0"/>
              <w:rPr>
                <w:sz w:val="19"/>
                <w:szCs w:val="19"/>
                <w:color w:val="auto"/>
              </w:rPr>
            </w:pPr>
          </w:p>
        </w:tc>
        <w:tc>
          <w:tcPr>
            <w:tcW w:w="8000" w:type="dxa"/>
            <w:vAlign w:val="bottom"/>
          </w:tcPr>
          <w:p>
            <w:pPr>
              <w:jc w:val="center"/>
              <w:ind w:right="3330"/>
              <w:spacing w:after="0"/>
              <w:rPr>
                <w:sz w:val="20"/>
                <w:szCs w:val="20"/>
                <w:color w:val="auto"/>
              </w:rPr>
            </w:pPr>
            <w:r>
              <w:rPr>
                <w:rFonts w:ascii="Arial" w:cs="Arial" w:eastAsia="Arial" w:hAnsi="Arial"/>
                <w:sz w:val="18"/>
                <w:szCs w:val="18"/>
                <w:b w:val="1"/>
                <w:bCs w:val="1"/>
                <w:color w:val="auto"/>
              </w:rPr>
              <w:t>OF AT&amp;T INC.</w:t>
            </w:r>
          </w:p>
        </w:tc>
      </w:tr>
      <w:tr>
        <w:trPr>
          <w:trHeight w:val="230"/>
        </w:trPr>
        <w:tc>
          <w:tcPr>
            <w:tcW w:w="3420" w:type="dxa"/>
            <w:vAlign w:val="bottom"/>
          </w:tcPr>
          <w:p>
            <w:pPr>
              <w:spacing w:after="0"/>
              <w:rPr>
                <w:sz w:val="20"/>
                <w:szCs w:val="20"/>
                <w:color w:val="auto"/>
              </w:rPr>
            </w:pPr>
          </w:p>
        </w:tc>
        <w:tc>
          <w:tcPr>
            <w:tcW w:w="8000" w:type="dxa"/>
            <w:vAlign w:val="bottom"/>
          </w:tcPr>
          <w:p>
            <w:pPr>
              <w:jc w:val="center"/>
              <w:ind w:right="3330"/>
              <w:spacing w:after="0"/>
              <w:rPr>
                <w:sz w:val="20"/>
                <w:szCs w:val="20"/>
                <w:color w:val="auto"/>
              </w:rPr>
            </w:pPr>
            <w:r>
              <w:rPr>
                <w:rFonts w:ascii="Arial" w:cs="Arial" w:eastAsia="Arial" w:hAnsi="Arial"/>
                <w:sz w:val="18"/>
                <w:szCs w:val="18"/>
                <w:color w:val="auto"/>
                <w:w w:val="90"/>
              </w:rPr>
              <w:t>(as of August 21, 2009)</w:t>
            </w:r>
          </w:p>
        </w:tc>
      </w:tr>
      <w:tr>
        <w:trPr>
          <w:trHeight w:val="439"/>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23"/>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8000" w:type="dxa"/>
            <w:vAlign w:val="bottom"/>
          </w:tcPr>
          <w:p>
            <w:pPr>
              <w:spacing w:after="0"/>
              <w:rPr>
                <w:sz w:val="19"/>
                <w:szCs w:val="19"/>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William F. Aldinger III</w:t>
            </w:r>
          </w:p>
        </w:tc>
        <w:tc>
          <w:tcPr>
            <w:tcW w:w="8000" w:type="dxa"/>
            <w:vAlign w:val="bottom"/>
          </w:tcPr>
          <w:p>
            <w:pPr>
              <w:spacing w:after="0" w:line="201" w:lineRule="exact"/>
              <w:rPr>
                <w:sz w:val="20"/>
                <w:szCs w:val="20"/>
                <w:color w:val="auto"/>
              </w:rPr>
            </w:pPr>
            <w:r>
              <w:rPr>
                <w:rFonts w:ascii="Arial" w:cs="Arial" w:eastAsia="Arial" w:hAnsi="Arial"/>
                <w:sz w:val="18"/>
                <w:szCs w:val="18"/>
                <w:color w:val="auto"/>
              </w:rPr>
              <w:t>Retired President and Chief Executive Officer, Capmark Financial Group, Inc.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Gilbert F. Amelio</w:t>
            </w:r>
          </w:p>
        </w:tc>
        <w:tc>
          <w:tcPr>
            <w:tcW w:w="8000" w:type="dxa"/>
            <w:vAlign w:val="bottom"/>
          </w:tcPr>
          <w:p>
            <w:pPr>
              <w:spacing w:after="0"/>
              <w:rPr>
                <w:sz w:val="20"/>
                <w:szCs w:val="20"/>
                <w:color w:val="auto"/>
              </w:rPr>
            </w:pPr>
            <w:r>
              <w:rPr>
                <w:rFonts w:ascii="Arial" w:cs="Arial" w:eastAsia="Arial" w:hAnsi="Arial"/>
                <w:sz w:val="18"/>
                <w:szCs w:val="18"/>
                <w:color w:val="auto"/>
              </w:rPr>
              <w:t>Senior Partner, Sienna Ventures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Reuben V. Anderson</w:t>
            </w:r>
          </w:p>
        </w:tc>
        <w:tc>
          <w:tcPr>
            <w:tcW w:w="8000" w:type="dxa"/>
            <w:vAlign w:val="bottom"/>
          </w:tcPr>
          <w:p>
            <w:pPr>
              <w:spacing w:after="0"/>
              <w:rPr>
                <w:sz w:val="20"/>
                <w:szCs w:val="20"/>
                <w:color w:val="auto"/>
              </w:rPr>
            </w:pPr>
            <w:r>
              <w:rPr>
                <w:rFonts w:ascii="Arial" w:cs="Arial" w:eastAsia="Arial" w:hAnsi="Arial"/>
                <w:sz w:val="18"/>
                <w:szCs w:val="18"/>
                <w:color w:val="auto"/>
              </w:rPr>
              <w:t>Senior Partner, Phelps Dunbar, LLP</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James H. Blanchard</w:t>
            </w:r>
          </w:p>
        </w:tc>
        <w:tc>
          <w:tcPr>
            <w:tcW w:w="8000" w:type="dxa"/>
            <w:vAlign w:val="bottom"/>
          </w:tcPr>
          <w:p>
            <w:pPr>
              <w:spacing w:after="0"/>
              <w:rPr>
                <w:sz w:val="20"/>
                <w:szCs w:val="20"/>
                <w:color w:val="auto"/>
              </w:rPr>
            </w:pPr>
            <w:r>
              <w:rPr>
                <w:rFonts w:ascii="Arial" w:cs="Arial" w:eastAsia="Arial" w:hAnsi="Arial"/>
                <w:sz w:val="18"/>
                <w:szCs w:val="18"/>
                <w:color w:val="auto"/>
              </w:rPr>
              <w:t>Retired Chairman of the Board, Synovus Financial Corp.</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August A. Busch III</w:t>
            </w:r>
          </w:p>
        </w:tc>
        <w:tc>
          <w:tcPr>
            <w:tcW w:w="8000" w:type="dxa"/>
            <w:vAlign w:val="bottom"/>
          </w:tcPr>
          <w:p>
            <w:pPr>
              <w:spacing w:after="0"/>
              <w:rPr>
                <w:sz w:val="20"/>
                <w:szCs w:val="20"/>
                <w:color w:val="auto"/>
              </w:rPr>
            </w:pPr>
            <w:r>
              <w:rPr>
                <w:rFonts w:ascii="Arial" w:cs="Arial" w:eastAsia="Arial" w:hAnsi="Arial"/>
                <w:sz w:val="18"/>
                <w:szCs w:val="18"/>
                <w:color w:val="auto"/>
              </w:rPr>
              <w:t>Retired Chairman of the Board, Anheuser-Busch Companies, Inc.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Jaime Chico Pardo</w:t>
            </w:r>
          </w:p>
        </w:tc>
        <w:tc>
          <w:tcPr>
            <w:tcW w:w="8000" w:type="dxa"/>
            <w:vAlign w:val="bottom"/>
          </w:tcPr>
          <w:p>
            <w:pPr>
              <w:spacing w:after="0"/>
              <w:rPr>
                <w:sz w:val="20"/>
                <w:szCs w:val="20"/>
                <w:color w:val="auto"/>
              </w:rPr>
            </w:pPr>
            <w:r>
              <w:rPr>
                <w:rFonts w:ascii="Arial" w:cs="Arial" w:eastAsia="Arial" w:hAnsi="Arial"/>
                <w:sz w:val="18"/>
                <w:szCs w:val="18"/>
                <w:color w:val="auto"/>
              </w:rPr>
              <w:t>Chairman of the Board, Telefonos de Mexico</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James P. Kelly</w:t>
            </w:r>
          </w:p>
        </w:tc>
        <w:tc>
          <w:tcPr>
            <w:tcW w:w="8000" w:type="dxa"/>
            <w:vAlign w:val="bottom"/>
          </w:tcPr>
          <w:p>
            <w:pPr>
              <w:spacing w:after="0"/>
              <w:rPr>
                <w:sz w:val="20"/>
                <w:szCs w:val="20"/>
                <w:color w:val="auto"/>
              </w:rPr>
            </w:pPr>
            <w:r>
              <w:rPr>
                <w:rFonts w:ascii="Arial" w:cs="Arial" w:eastAsia="Arial" w:hAnsi="Arial"/>
                <w:sz w:val="18"/>
                <w:szCs w:val="18"/>
                <w:color w:val="auto"/>
              </w:rPr>
              <w:t>Retired Chairman of the Board and Chief Executive Officer, United Parcel Service, Inc.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Jon C. Madonna</w:t>
            </w:r>
          </w:p>
        </w:tc>
        <w:tc>
          <w:tcPr>
            <w:tcW w:w="8000" w:type="dxa"/>
            <w:vAlign w:val="bottom"/>
          </w:tcPr>
          <w:p>
            <w:pPr>
              <w:spacing w:after="0"/>
              <w:rPr>
                <w:sz w:val="20"/>
                <w:szCs w:val="20"/>
                <w:color w:val="auto"/>
              </w:rPr>
            </w:pPr>
            <w:r>
              <w:rPr>
                <w:rFonts w:ascii="Arial" w:cs="Arial" w:eastAsia="Arial" w:hAnsi="Arial"/>
                <w:sz w:val="18"/>
                <w:szCs w:val="18"/>
                <w:color w:val="auto"/>
              </w:rPr>
              <w:t>Retired Chairman and Chief Executive Officer, KPMG</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Lynn M. Martin</w:t>
            </w:r>
          </w:p>
        </w:tc>
        <w:tc>
          <w:tcPr>
            <w:tcW w:w="8000" w:type="dxa"/>
            <w:vAlign w:val="bottom"/>
          </w:tcPr>
          <w:p>
            <w:pPr>
              <w:spacing w:after="0"/>
              <w:rPr>
                <w:sz w:val="20"/>
                <w:szCs w:val="20"/>
                <w:color w:val="auto"/>
              </w:rPr>
            </w:pPr>
            <w:r>
              <w:rPr>
                <w:rFonts w:ascii="Arial" w:cs="Arial" w:eastAsia="Arial" w:hAnsi="Arial"/>
                <w:sz w:val="18"/>
                <w:szCs w:val="18"/>
                <w:color w:val="auto"/>
              </w:rPr>
              <w:t>President, The Martin Hall Group, LLC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John B. McCoy</w:t>
            </w:r>
          </w:p>
        </w:tc>
        <w:tc>
          <w:tcPr>
            <w:tcW w:w="8000" w:type="dxa"/>
            <w:vAlign w:val="bottom"/>
          </w:tcPr>
          <w:p>
            <w:pPr>
              <w:spacing w:after="0"/>
              <w:rPr>
                <w:sz w:val="20"/>
                <w:szCs w:val="20"/>
                <w:color w:val="auto"/>
              </w:rPr>
            </w:pPr>
            <w:r>
              <w:rPr>
                <w:rFonts w:ascii="Arial" w:cs="Arial" w:eastAsia="Arial" w:hAnsi="Arial"/>
                <w:sz w:val="18"/>
                <w:szCs w:val="18"/>
                <w:color w:val="auto"/>
              </w:rPr>
              <w:t>Retired Chairman and Chief Executive Officer, Bank One Corporation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Mary S. Metz</w:t>
            </w:r>
          </w:p>
        </w:tc>
        <w:tc>
          <w:tcPr>
            <w:tcW w:w="8000" w:type="dxa"/>
            <w:vAlign w:val="bottom"/>
          </w:tcPr>
          <w:p>
            <w:pPr>
              <w:spacing w:after="0"/>
              <w:rPr>
                <w:sz w:val="20"/>
                <w:szCs w:val="20"/>
                <w:color w:val="auto"/>
              </w:rPr>
            </w:pPr>
            <w:r>
              <w:rPr>
                <w:rFonts w:ascii="Arial" w:cs="Arial" w:eastAsia="Arial" w:hAnsi="Arial"/>
                <w:sz w:val="18"/>
                <w:szCs w:val="18"/>
                <w:color w:val="auto"/>
              </w:rPr>
              <w:t>Chair of the Board of Trustees, American Conservatory Theater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Joyce M. Roche</w:t>
            </w:r>
          </w:p>
        </w:tc>
        <w:tc>
          <w:tcPr>
            <w:tcW w:w="8000" w:type="dxa"/>
            <w:vAlign w:val="bottom"/>
          </w:tcPr>
          <w:p>
            <w:pPr>
              <w:spacing w:after="0"/>
              <w:rPr>
                <w:sz w:val="20"/>
                <w:szCs w:val="20"/>
                <w:color w:val="auto"/>
              </w:rPr>
            </w:pPr>
            <w:r>
              <w:rPr>
                <w:rFonts w:ascii="Arial" w:cs="Arial" w:eastAsia="Arial" w:hAnsi="Arial"/>
                <w:sz w:val="18"/>
                <w:szCs w:val="18"/>
                <w:color w:val="auto"/>
              </w:rPr>
              <w:t>President and Chief Executive Officer, Girls Incorporated</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Laura D’Andrea Tyson</w:t>
            </w:r>
          </w:p>
        </w:tc>
        <w:tc>
          <w:tcPr>
            <w:tcW w:w="8000" w:type="dxa"/>
            <w:vAlign w:val="bottom"/>
          </w:tcPr>
          <w:p>
            <w:pPr>
              <w:spacing w:after="0"/>
              <w:rPr>
                <w:sz w:val="20"/>
                <w:szCs w:val="20"/>
                <w:color w:val="auto"/>
              </w:rPr>
            </w:pPr>
            <w:r>
              <w:rPr>
                <w:rFonts w:ascii="Arial" w:cs="Arial" w:eastAsia="Arial" w:hAnsi="Arial"/>
                <w:sz w:val="18"/>
                <w:szCs w:val="18"/>
                <w:color w:val="auto"/>
                <w:w w:val="95"/>
              </w:rPr>
              <w:t>Professor of Global Management, Walter A. Haas School of Business, University of California at Berkeley</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Patricia P. Upton</w:t>
            </w:r>
          </w:p>
        </w:tc>
        <w:tc>
          <w:tcPr>
            <w:tcW w:w="8000" w:type="dxa"/>
            <w:vAlign w:val="bottom"/>
          </w:tcPr>
          <w:p>
            <w:pPr>
              <w:spacing w:after="0"/>
              <w:rPr>
                <w:sz w:val="20"/>
                <w:szCs w:val="20"/>
                <w:color w:val="auto"/>
              </w:rPr>
            </w:pPr>
            <w:r>
              <w:rPr>
                <w:rFonts w:ascii="Arial" w:cs="Arial" w:eastAsia="Arial" w:hAnsi="Arial"/>
                <w:sz w:val="18"/>
                <w:szCs w:val="18"/>
                <w:color w:val="auto"/>
              </w:rPr>
              <w:t>President and Chief Executive Officer, Aromatique, Inc.</w:t>
            </w:r>
          </w:p>
        </w:tc>
      </w:tr>
      <w:tr>
        <w:trPr>
          <w:trHeight w:val="439"/>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Officers</w:t>
            </w:r>
          </w:p>
        </w:tc>
        <w:tc>
          <w:tcPr>
            <w:tcW w:w="8000" w:type="dxa"/>
            <w:vAlign w:val="bottom"/>
          </w:tcPr>
          <w:p>
            <w:pPr>
              <w:spacing w:after="0"/>
              <w:rPr>
                <w:sz w:val="24"/>
                <w:szCs w:val="24"/>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Randall L. Stephenson</w:t>
            </w:r>
          </w:p>
        </w:tc>
        <w:tc>
          <w:tcPr>
            <w:tcW w:w="8000" w:type="dxa"/>
            <w:vAlign w:val="bottom"/>
          </w:tcPr>
          <w:p>
            <w:pPr>
              <w:spacing w:after="0" w:line="201"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William A. Blase, Jr.</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 Human Resources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James W. Callaway</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 Executive Operations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James W. Cicconi</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 External and Legislative Affairs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Catherine M. Coughlin</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and Global Marketing Officer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Rafael de la Vega</w:t>
            </w:r>
          </w:p>
        </w:tc>
        <w:tc>
          <w:tcPr>
            <w:tcW w:w="8000" w:type="dxa"/>
            <w:vAlign w:val="bottom"/>
          </w:tcPr>
          <w:p>
            <w:pPr>
              <w:spacing w:after="0"/>
              <w:rPr>
                <w:sz w:val="20"/>
                <w:szCs w:val="20"/>
                <w:color w:val="auto"/>
              </w:rPr>
            </w:pPr>
            <w:r>
              <w:rPr>
                <w:rFonts w:ascii="Arial" w:cs="Arial" w:eastAsia="Arial" w:hAnsi="Arial"/>
                <w:sz w:val="18"/>
                <w:szCs w:val="18"/>
                <w:color w:val="auto"/>
              </w:rPr>
              <w:t>President and Chief Executive Officer – AT&amp;T Mobility and Consumer Markets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Richard G. Lindner</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Forrest E. Miller</w:t>
            </w:r>
          </w:p>
        </w:tc>
        <w:tc>
          <w:tcPr>
            <w:tcW w:w="8000" w:type="dxa"/>
            <w:vAlign w:val="bottom"/>
          </w:tcPr>
          <w:p>
            <w:pPr>
              <w:spacing w:after="0"/>
              <w:rPr>
                <w:sz w:val="20"/>
                <w:szCs w:val="20"/>
                <w:color w:val="auto"/>
              </w:rPr>
            </w:pPr>
            <w:r>
              <w:rPr>
                <w:rFonts w:ascii="Arial" w:cs="Arial" w:eastAsia="Arial" w:hAnsi="Arial"/>
                <w:sz w:val="18"/>
                <w:szCs w:val="18"/>
                <w:color w:val="auto"/>
              </w:rPr>
              <w:t>Group President – Corporate Strategy and Development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Ronald E. Spears</w:t>
            </w:r>
          </w:p>
        </w:tc>
        <w:tc>
          <w:tcPr>
            <w:tcW w:w="8000" w:type="dxa"/>
            <w:vAlign w:val="bottom"/>
          </w:tcPr>
          <w:p>
            <w:pPr>
              <w:spacing w:after="0"/>
              <w:rPr>
                <w:sz w:val="20"/>
                <w:szCs w:val="20"/>
                <w:color w:val="auto"/>
              </w:rPr>
            </w:pPr>
            <w:r>
              <w:rPr>
                <w:rFonts w:ascii="Arial" w:cs="Arial" w:eastAsia="Arial" w:hAnsi="Arial"/>
                <w:sz w:val="18"/>
                <w:szCs w:val="18"/>
                <w:color w:val="auto"/>
              </w:rPr>
              <w:t>President and Chief Executive Officer, AT&amp;T Business Solutions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John T. Stankey</w:t>
            </w:r>
          </w:p>
        </w:tc>
        <w:tc>
          <w:tcPr>
            <w:tcW w:w="8000" w:type="dxa"/>
            <w:vAlign w:val="bottom"/>
          </w:tcPr>
          <w:p>
            <w:pPr>
              <w:spacing w:after="0"/>
              <w:rPr>
                <w:sz w:val="20"/>
                <w:szCs w:val="20"/>
                <w:color w:val="auto"/>
              </w:rPr>
            </w:pPr>
            <w:r>
              <w:rPr>
                <w:rFonts w:ascii="Arial" w:cs="Arial" w:eastAsia="Arial" w:hAnsi="Arial"/>
                <w:sz w:val="18"/>
                <w:szCs w:val="18"/>
                <w:color w:val="auto"/>
              </w:rPr>
              <w:t>President and Chief Executive Officer – AT&amp;T Operations, Inc.</w:t>
            </w:r>
          </w:p>
        </w:tc>
      </w:tr>
      <w:tr>
        <w:trPr>
          <w:trHeight w:val="216"/>
        </w:trPr>
        <w:tc>
          <w:tcPr>
            <w:tcW w:w="34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 Corporate Development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Wayne Watts</w:t>
            </w:r>
          </w:p>
        </w:tc>
        <w:tc>
          <w:tcPr>
            <w:tcW w:w="8000" w:type="dxa"/>
            <w:vAlign w:val="bottom"/>
          </w:tcPr>
          <w:p>
            <w:pPr>
              <w:spacing w:after="0"/>
              <w:rPr>
                <w:sz w:val="20"/>
                <w:szCs w:val="20"/>
                <w:color w:val="auto"/>
              </w:rPr>
            </w:pPr>
            <w:r>
              <w:rPr>
                <w:rFonts w:ascii="Arial" w:cs="Arial" w:eastAsia="Arial" w:hAnsi="Arial"/>
                <w:sz w:val="18"/>
                <w:szCs w:val="18"/>
                <w:color w:val="auto"/>
              </w:rPr>
              <w:t>Senior Executive Vice President and General Counsel</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Rayford Wilkins, Jr.</w:t>
            </w:r>
          </w:p>
        </w:tc>
        <w:tc>
          <w:tcPr>
            <w:tcW w:w="8000" w:type="dxa"/>
            <w:vAlign w:val="bottom"/>
          </w:tcPr>
          <w:p>
            <w:pPr>
              <w:spacing w:after="0"/>
              <w:rPr>
                <w:sz w:val="20"/>
                <w:szCs w:val="20"/>
                <w:color w:val="auto"/>
              </w:rPr>
            </w:pPr>
            <w:r>
              <w:rPr>
                <w:rFonts w:ascii="Arial" w:cs="Arial" w:eastAsia="Arial" w:hAnsi="Arial"/>
                <w:sz w:val="18"/>
                <w:szCs w:val="18"/>
                <w:color w:val="auto"/>
              </w:rPr>
              <w:t>Chief Executive Officer – AT&amp;T Diversified Businesses</w:t>
            </w:r>
          </w:p>
        </w:tc>
      </w:tr>
      <w:tr>
        <w:trPr>
          <w:trHeight w:val="875"/>
        </w:trPr>
        <w:tc>
          <w:tcPr>
            <w:tcW w:w="342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80" w:type="dxa"/>
            <w:vAlign w:val="bottom"/>
          </w:tcPr>
          <w:p>
            <w:pPr>
              <w:ind w:left="6880"/>
              <w:spacing w:after="0"/>
              <w:rPr>
                <w:sz w:val="20"/>
                <w:szCs w:val="20"/>
                <w:color w:val="auto"/>
              </w:rPr>
            </w:pPr>
            <w:r>
              <w:rPr>
                <w:rFonts w:ascii="Arial" w:cs="Arial" w:eastAsia="Arial" w:hAnsi="Arial"/>
                <w:sz w:val="18"/>
                <w:szCs w:val="18"/>
                <w:color w:val="auto"/>
                <w:w w:val="87"/>
              </w:rPr>
              <w:t>Page 10 of 10</w:t>
            </w:r>
          </w:p>
        </w:tc>
      </w:tr>
      <w:tr>
        <w:trPr>
          <w:trHeight w:val="873"/>
        </w:trPr>
        <w:tc>
          <w:tcPr>
            <w:tcW w:w="2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80" w:type="dxa"/>
            <w:vAlign w:val="bottom"/>
          </w:tcPr>
          <w:p>
            <w:pPr>
              <w:jc w:val="center"/>
              <w:ind w:right="3450"/>
              <w:spacing w:after="0"/>
              <w:rPr>
                <w:sz w:val="20"/>
                <w:szCs w:val="20"/>
                <w:color w:val="auto"/>
              </w:rPr>
            </w:pPr>
            <w:r>
              <w:rPr>
                <w:rFonts w:ascii="Arial" w:cs="Arial" w:eastAsia="Arial" w:hAnsi="Arial"/>
                <w:sz w:val="18"/>
                <w:szCs w:val="18"/>
                <w:b w:val="1"/>
                <w:bCs w:val="1"/>
                <w:color w:val="auto"/>
              </w:rPr>
              <w:t>DIRECTORS AND EXECUTIVE OFFICERS</w:t>
            </w:r>
          </w:p>
        </w:tc>
      </w:tr>
      <w:tr>
        <w:trPr>
          <w:trHeight w:val="220"/>
        </w:trPr>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80" w:type="dxa"/>
            <w:vAlign w:val="bottom"/>
          </w:tcPr>
          <w:p>
            <w:pPr>
              <w:jc w:val="center"/>
              <w:ind w:right="3430"/>
              <w:spacing w:after="0"/>
              <w:rPr>
                <w:sz w:val="20"/>
                <w:szCs w:val="20"/>
                <w:color w:val="auto"/>
              </w:rPr>
            </w:pPr>
            <w:r>
              <w:rPr>
                <w:rFonts w:ascii="Arial" w:cs="Arial" w:eastAsia="Arial" w:hAnsi="Arial"/>
                <w:sz w:val="18"/>
                <w:szCs w:val="18"/>
                <w:b w:val="1"/>
                <w:bCs w:val="1"/>
                <w:color w:val="auto"/>
              </w:rPr>
              <w:t>OF AT&amp;T INTERNATIONAL, INC.</w:t>
            </w:r>
          </w:p>
        </w:tc>
      </w:tr>
      <w:tr>
        <w:trPr>
          <w:trHeight w:val="230"/>
        </w:trPr>
        <w:tc>
          <w:tcPr>
            <w:tcW w:w="2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80" w:type="dxa"/>
            <w:vAlign w:val="bottom"/>
          </w:tcPr>
          <w:p>
            <w:pPr>
              <w:jc w:val="center"/>
              <w:ind w:right="3450"/>
              <w:spacing w:after="0"/>
              <w:rPr>
                <w:sz w:val="20"/>
                <w:szCs w:val="20"/>
                <w:color w:val="auto"/>
              </w:rPr>
            </w:pPr>
            <w:r>
              <w:rPr>
                <w:rFonts w:ascii="Arial" w:cs="Arial" w:eastAsia="Arial" w:hAnsi="Arial"/>
                <w:sz w:val="18"/>
                <w:szCs w:val="18"/>
                <w:color w:val="auto"/>
                <w:w w:val="90"/>
              </w:rPr>
              <w:t>(as of August 21, 2009)</w:t>
            </w:r>
          </w:p>
        </w:tc>
      </w:tr>
      <w:tr>
        <w:trPr>
          <w:trHeight w:val="43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94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Rayford Wilkins, Jr.</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Chairman of the Board and President (also Chief Executive Officer – AT&amp;T Diversified Businesses)</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William R. Drexel</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w w:val="90"/>
              </w:rPr>
              <w:t>Director and Senior Vice President, General Counsel and Secretary (also Senior Vice President and Assistant</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General Counsel – Corporate,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Rick L. Moore</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w w:val="98"/>
              </w:rPr>
              <w:t>Director and Senior Vice President – Corporate Development (also Senior Vice President – Corporate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Development,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Michael Bowling</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President – Mexico</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Jonathan P. Klug</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Vice President and Treasurer (also Senior Vice President and Treasurer,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Richard McCormick</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Vice President – Operations (also Regional Vice President – Wireless India,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Lawrence J. Ruzicka</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Vice President – Taxes</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John J. Stephens</w:t>
            </w:r>
          </w:p>
        </w:tc>
        <w:tc>
          <w:tcPr>
            <w:tcW w:w="8940" w:type="dxa"/>
            <w:vAlign w:val="bottom"/>
            <w:gridSpan w:val="2"/>
          </w:tcPr>
          <w:p>
            <w:pPr>
              <w:ind w:left="980"/>
              <w:spacing w:after="0"/>
              <w:rPr>
                <w:sz w:val="20"/>
                <w:szCs w:val="20"/>
                <w:color w:val="auto"/>
              </w:rPr>
            </w:pPr>
            <w:r>
              <w:rPr>
                <w:rFonts w:ascii="Arial" w:cs="Arial" w:eastAsia="Arial" w:hAnsi="Arial"/>
                <w:sz w:val="18"/>
                <w:szCs w:val="18"/>
                <w:color w:val="auto"/>
              </w:rPr>
              <w:t>Vice President – Finance (also Senior Vice President and Controller, AT&amp;T)</w:t>
            </w:r>
          </w:p>
        </w:tc>
      </w:tr>
      <w:tr>
        <w:trPr>
          <w:trHeight w:val="630"/>
        </w:trPr>
        <w:tc>
          <w:tcPr>
            <w:tcW w:w="2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80" w:type="dxa"/>
            <w:vAlign w:val="bottom"/>
          </w:tcPr>
          <w:p>
            <w:pPr>
              <w:jc w:val="center"/>
              <w:ind w:right="3450"/>
              <w:spacing w:after="0"/>
              <w:rPr>
                <w:sz w:val="20"/>
                <w:szCs w:val="20"/>
                <w:color w:val="auto"/>
              </w:rPr>
            </w:pPr>
            <w:r>
              <w:rPr>
                <w:rFonts w:ascii="Arial" w:cs="Arial" w:eastAsia="Arial" w:hAnsi="Arial"/>
                <w:sz w:val="18"/>
                <w:szCs w:val="18"/>
                <w:b w:val="1"/>
                <w:bCs w:val="1"/>
                <w:color w:val="auto"/>
              </w:rPr>
              <w:t>DIRECTORS AND EXECUTIVE OFFICERS</w:t>
            </w:r>
          </w:p>
        </w:tc>
      </w:tr>
      <w:tr>
        <w:trPr>
          <w:trHeight w:val="220"/>
        </w:trPr>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80" w:type="dxa"/>
            <w:vAlign w:val="bottom"/>
          </w:tcPr>
          <w:p>
            <w:pPr>
              <w:jc w:val="center"/>
              <w:ind w:right="3450"/>
              <w:spacing w:after="0"/>
              <w:rPr>
                <w:sz w:val="20"/>
                <w:szCs w:val="20"/>
                <w:color w:val="auto"/>
              </w:rPr>
            </w:pPr>
            <w:r>
              <w:rPr>
                <w:rFonts w:ascii="Arial" w:cs="Arial" w:eastAsia="Arial" w:hAnsi="Arial"/>
                <w:sz w:val="18"/>
                <w:szCs w:val="18"/>
                <w:b w:val="1"/>
                <w:bCs w:val="1"/>
                <w:color w:val="auto"/>
              </w:rPr>
              <w:t>OF AT&amp;T HEDGING MANAGEMENT, LLC</w:t>
            </w:r>
          </w:p>
        </w:tc>
      </w:tr>
      <w:tr>
        <w:trPr>
          <w:trHeight w:val="230"/>
        </w:trPr>
        <w:tc>
          <w:tcPr>
            <w:tcW w:w="2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80" w:type="dxa"/>
            <w:vAlign w:val="bottom"/>
          </w:tcPr>
          <w:p>
            <w:pPr>
              <w:jc w:val="center"/>
              <w:ind w:right="3450"/>
              <w:spacing w:after="0"/>
              <w:rPr>
                <w:sz w:val="20"/>
                <w:szCs w:val="20"/>
                <w:color w:val="auto"/>
              </w:rPr>
            </w:pPr>
            <w:r>
              <w:rPr>
                <w:rFonts w:ascii="Arial" w:cs="Arial" w:eastAsia="Arial" w:hAnsi="Arial"/>
                <w:sz w:val="18"/>
                <w:szCs w:val="18"/>
                <w:color w:val="auto"/>
                <w:w w:val="90"/>
              </w:rPr>
              <w:t>(as of August 21, 2009)</w:t>
            </w:r>
          </w:p>
        </w:tc>
      </w:tr>
      <w:tr>
        <w:trPr>
          <w:trHeight w:val="655"/>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94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439"/>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1060" w:type="dxa"/>
            <w:vAlign w:val="bottom"/>
            <w:tcBorders>
              <w:bottom w:val="single" w:sz="8" w:color="auto"/>
            </w:tcBorders>
          </w:tcPr>
          <w:p>
            <w:pPr>
              <w:spacing w:after="0"/>
              <w:rPr>
                <w:sz w:val="24"/>
                <w:szCs w:val="24"/>
                <w:color w:val="auto"/>
              </w:rPr>
            </w:pPr>
          </w:p>
        </w:tc>
        <w:tc>
          <w:tcPr>
            <w:tcW w:w="7880" w:type="dxa"/>
            <w:vAlign w:val="bottom"/>
          </w:tcPr>
          <w:p>
            <w:pPr>
              <w:spacing w:after="0"/>
              <w:rPr>
                <w:sz w:val="24"/>
                <w:szCs w:val="24"/>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Charles P. Allen</w:t>
            </w:r>
          </w:p>
        </w:tc>
        <w:tc>
          <w:tcPr>
            <w:tcW w:w="106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rPr>
              <w:t>Assistant Treasurer,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Thomas R. Giltner</w:t>
            </w:r>
          </w:p>
        </w:tc>
        <w:tc>
          <w:tcPr>
            <w:tcW w:w="8940" w:type="dxa"/>
            <w:vAlign w:val="bottom"/>
            <w:gridSpan w:val="2"/>
          </w:tcPr>
          <w:p>
            <w:pPr>
              <w:ind w:left="1060"/>
              <w:spacing w:after="0"/>
              <w:rPr>
                <w:sz w:val="20"/>
                <w:szCs w:val="20"/>
                <w:color w:val="auto"/>
              </w:rPr>
            </w:pPr>
            <w:r>
              <w:rPr>
                <w:rFonts w:ascii="Arial" w:cs="Arial" w:eastAsia="Arial" w:hAnsi="Arial"/>
                <w:sz w:val="18"/>
                <w:szCs w:val="18"/>
                <w:color w:val="auto"/>
              </w:rPr>
              <w:t>General Attorney and Associate General Counsel, AT&amp;T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Jonathan P. Klug</w:t>
            </w:r>
          </w:p>
        </w:tc>
        <w:tc>
          <w:tcPr>
            <w:tcW w:w="8940" w:type="dxa"/>
            <w:vAlign w:val="bottom"/>
            <w:gridSpan w:val="2"/>
          </w:tcPr>
          <w:p>
            <w:pPr>
              <w:ind w:left="1060"/>
              <w:spacing w:after="0"/>
              <w:rPr>
                <w:sz w:val="20"/>
                <w:szCs w:val="20"/>
                <w:color w:val="auto"/>
              </w:rPr>
            </w:pPr>
            <w:r>
              <w:rPr>
                <w:rFonts w:ascii="Arial" w:cs="Arial" w:eastAsia="Arial" w:hAnsi="Arial"/>
                <w:sz w:val="18"/>
                <w:szCs w:val="18"/>
                <w:color w:val="auto"/>
              </w:rPr>
              <w:t>Senior Vice President and Treasurer, AT&amp;T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John J. Stephens</w:t>
            </w:r>
          </w:p>
        </w:tc>
        <w:tc>
          <w:tcPr>
            <w:tcW w:w="8940" w:type="dxa"/>
            <w:vAlign w:val="bottom"/>
            <w:gridSpan w:val="2"/>
          </w:tcPr>
          <w:p>
            <w:pPr>
              <w:ind w:left="1060"/>
              <w:spacing w:after="0"/>
              <w:rPr>
                <w:sz w:val="20"/>
                <w:szCs w:val="20"/>
                <w:color w:val="auto"/>
              </w:rPr>
            </w:pPr>
            <w:r>
              <w:rPr>
                <w:rFonts w:ascii="Arial" w:cs="Arial" w:eastAsia="Arial" w:hAnsi="Arial"/>
                <w:sz w:val="18"/>
                <w:szCs w:val="18"/>
                <w:color w:val="auto"/>
              </w:rPr>
              <w:t>Senior Vice President and Controller, AT&amp;T</w:t>
            </w:r>
          </w:p>
        </w:tc>
      </w:tr>
      <w:tr>
        <w:trPr>
          <w:trHeight w:val="1145"/>
        </w:trPr>
        <w:tc>
          <w:tcPr>
            <w:tcW w:w="24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lowerLetter"/>
      <w:start w:val="6"/>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2019-12-10T17:32:59Z</dcterms:created>
  <dcterms:modified xsi:type="dcterms:W3CDTF">2019-12-10T17:32:59Z</dcterms:modified>
</cp:coreProperties>
</file>