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6-K</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RULE 13A-16 OR 15D-16 OF</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QUARTER ENDED MARCH 31, 2000</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Tower Hill House Le Bordage GY1 3QT</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St. Peter Port, Island of Guernsey, Channel Islands</w:t>
      </w:r>
    </w:p>
    <w:p>
      <w:pPr>
        <w:spacing w:after="0" w:line="174"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6" w:lineRule="exact"/>
        <w:rPr>
          <w:sz w:val="24"/>
          <w:szCs w:val="24"/>
          <w:color w:val="auto"/>
        </w:rPr>
      </w:pPr>
    </w:p>
    <w:p>
      <w:pPr>
        <w:ind w:right="3079"/>
        <w:spacing w:after="0"/>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74" w:lineRule="exact"/>
        <w:rPr>
          <w:sz w:val="24"/>
          <w:szCs w:val="24"/>
          <w:color w:val="auto"/>
        </w:rPr>
      </w:pPr>
    </w:p>
    <w:p>
      <w:pPr>
        <w:ind w:left="2220"/>
        <w:spacing w:after="0"/>
        <w:tabs>
          <w:tab w:leader="none" w:pos="3720" w:val="left"/>
        </w:tabs>
        <w:rPr>
          <w:sz w:val="20"/>
          <w:szCs w:val="20"/>
          <w:color w:val="auto"/>
        </w:rPr>
      </w:pPr>
      <w:r>
        <w:rPr>
          <w:rFonts w:ascii="Courier New" w:cs="Courier New" w:eastAsia="Courier New" w:hAnsi="Courier New"/>
          <w:sz w:val="15"/>
          <w:szCs w:val="15"/>
          <w:color w:val="auto"/>
        </w:rPr>
        <w:t>Form 20 F [X]</w:t>
      </w:r>
      <w:r>
        <w:rPr>
          <w:sz w:val="20"/>
          <w:szCs w:val="20"/>
          <w:color w:val="auto"/>
        </w:rPr>
        <w:tab/>
      </w:r>
      <w:r>
        <w:rPr>
          <w:rFonts w:ascii="Courier New" w:cs="Courier New" w:eastAsia="Courier New" w:hAnsi="Courier New"/>
          <w:sz w:val="15"/>
          <w:szCs w:val="15"/>
          <w:color w:val="auto"/>
        </w:rPr>
        <w:t>FORM 40 F [_]</w:t>
      </w:r>
    </w:p>
    <w:p>
      <w:pPr>
        <w:spacing w:after="0" w:line="176" w:lineRule="exact"/>
        <w:rPr>
          <w:sz w:val="24"/>
          <w:szCs w:val="24"/>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2860"/>
        <w:spacing w:after="0"/>
        <w:tabs>
          <w:tab w:leader="none" w:pos="372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4"/>
          <w:szCs w:val="14"/>
          <w:color w:val="auto"/>
        </w:rPr>
        <w:t>NO [X]</w:t>
      </w:r>
    </w:p>
    <w:p>
      <w:pPr>
        <w:sectPr>
          <w:pgSz w:w="11900" w:h="16838" w:orient="portrait"/>
          <w:cols w:equalWidth="0" w:num="1">
            <w:col w:w="10219"/>
          </w:cols>
          <w:pgMar w:left="240" w:top="231"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FORM 6-K</w:t>
      </w:r>
    </w:p>
    <w:p>
      <w:pPr>
        <w:spacing w:after="0" w:line="17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7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FOR THE QUARTER ENDED MARCH 31, 2000</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INDEX</w:t>
      </w:r>
    </w:p>
    <w:p>
      <w:pPr>
        <w:spacing w:after="0" w:line="34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Item 1. Financial Statements</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Consolidated Balance Sheets</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Consolidated Statement of Changes in Shareholders'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Equity</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6"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Notes to Unaudited Consolidated Financial Statements</w:t>
      </w:r>
    </w:p>
    <w:p>
      <w:pPr>
        <w:spacing w:after="0" w:line="185" w:lineRule="exact"/>
        <w:rPr>
          <w:sz w:val="20"/>
          <w:szCs w:val="20"/>
          <w:color w:val="auto"/>
        </w:rPr>
      </w:pPr>
    </w:p>
    <w:p>
      <w:pPr>
        <w:ind w:left="1780" w:right="3959" w:hanging="715"/>
        <w:spacing w:after="0"/>
        <w:rPr>
          <w:sz w:val="20"/>
          <w:szCs w:val="20"/>
          <w:color w:val="auto"/>
        </w:rPr>
      </w:pPr>
      <w:r>
        <w:rPr>
          <w:rFonts w:ascii="Courier New" w:cs="Courier New" w:eastAsia="Courier New" w:hAnsi="Courier New"/>
          <w:sz w:val="15"/>
          <w:szCs w:val="15"/>
          <w:color w:val="auto"/>
        </w:rPr>
        <w:t>Item 2. Management's Discussion and Analysis of Results of Operations and Financial Condition</w:t>
      </w:r>
    </w:p>
    <w:p>
      <w:pPr>
        <w:spacing w:after="0" w:line="1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6" w:lineRule="exact"/>
        <w:rPr>
          <w:sz w:val="20"/>
          <w:szCs w:val="20"/>
          <w:color w:val="auto"/>
        </w:rPr>
      </w:pPr>
    </w:p>
    <w:p>
      <w:pPr>
        <w:ind w:left="1060" w:right="3879"/>
        <w:spacing w:after="0" w:line="484" w:lineRule="auto"/>
        <w:rPr>
          <w:sz w:val="20"/>
          <w:szCs w:val="20"/>
          <w:color w:val="auto"/>
        </w:rPr>
      </w:pPr>
      <w:r>
        <w:rPr>
          <w:rFonts w:ascii="Courier New" w:cs="Courier New" w:eastAsia="Courier New" w:hAnsi="Courier New"/>
          <w:sz w:val="15"/>
          <w:szCs w:val="15"/>
          <w:color w:val="auto"/>
        </w:rPr>
        <w:t>Item 4. Submission of Matters to a Vote of Security Holders Item 6. Exhibits and Reports on Form 6-K SIGNATURES</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34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BALANCE SHEETS (UNAUDITED)</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ASSETS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Assets: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Cash and cash equivalents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Short-term interest-bearing investments</w:t>
      </w:r>
    </w:p>
    <w:p>
      <w:pPr>
        <w:spacing w:after="0" w:line="4" w:lineRule="exact"/>
        <w:rPr>
          <w:sz w:val="20"/>
          <w:szCs w:val="20"/>
          <w:color w:val="auto"/>
        </w:rPr>
      </w:pPr>
    </w:p>
    <w:p>
      <w:pPr>
        <w:ind w:left="520" w:right="180" w:hanging="267"/>
        <w:spacing w:after="0"/>
        <w:rPr>
          <w:sz w:val="20"/>
          <w:szCs w:val="20"/>
          <w:color w:val="auto"/>
        </w:rPr>
      </w:pPr>
      <w:r>
        <w:rPr>
          <w:rFonts w:ascii="Courier New" w:cs="Courier New" w:eastAsia="Courier New" w:hAnsi="Courier New"/>
          <w:sz w:val="15"/>
          <w:szCs w:val="15"/>
          <w:color w:val="auto"/>
        </w:rPr>
        <w:t>Accounts receivable, including unbilled of $9,764 and $3,415, less allowances of $5,128 and $0, respectively</w:t>
      </w:r>
    </w:p>
    <w:p>
      <w:pPr>
        <w:spacing w:after="0" w:line="4" w:lineRule="exact"/>
        <w:rPr>
          <w:sz w:val="20"/>
          <w:szCs w:val="20"/>
          <w:color w:val="auto"/>
        </w:rPr>
      </w:pPr>
    </w:p>
    <w:p>
      <w:pPr>
        <w:ind w:left="520" w:right="260" w:hanging="267"/>
        <w:spacing w:after="0"/>
        <w:rPr>
          <w:sz w:val="20"/>
          <w:szCs w:val="20"/>
          <w:color w:val="auto"/>
        </w:rPr>
      </w:pPr>
      <w:r>
        <w:rPr>
          <w:rFonts w:ascii="Courier New" w:cs="Courier New" w:eastAsia="Courier New" w:hAnsi="Courier New"/>
          <w:sz w:val="15"/>
          <w:szCs w:val="15"/>
          <w:color w:val="auto"/>
        </w:rPr>
        <w:t>Accounts receivable from related parties, including unbilled of $0 and $828, respectively</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Total current assets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vehicles and leasehold improvements,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income taxes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and other intangible assets,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noncurrent assets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assets</w:t>
      </w:r>
    </w:p>
    <w:p>
      <w:pPr>
        <w:spacing w:after="0" w:line="346"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LIABILITIES AND SHAREHOLDERS' EQUITY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Liabilities: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Accounts payable and accrued expenses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Accrued personnel costs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Short-term financing arrangements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Deferred revenue</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Deferred income taxes and taxes payable</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Total current liabilities</w:t>
      </w:r>
    </w:p>
    <w:p>
      <w:pPr>
        <w:spacing w:after="0" w:line="176" w:lineRule="exact"/>
        <w:rPr>
          <w:sz w:val="20"/>
          <w:szCs w:val="20"/>
          <w:color w:val="auto"/>
        </w:rPr>
      </w:pPr>
    </w:p>
    <w:p>
      <w:pPr>
        <w:ind w:right="3220"/>
        <w:spacing w:after="0"/>
        <w:rPr>
          <w:sz w:val="20"/>
          <w:szCs w:val="20"/>
          <w:color w:val="auto"/>
        </w:rPr>
      </w:pPr>
      <w:r>
        <w:rPr>
          <w:rFonts w:ascii="Courier New" w:cs="Courier New" w:eastAsia="Courier New" w:hAnsi="Courier New"/>
          <w:sz w:val="15"/>
          <w:szCs w:val="15"/>
          <w:color w:val="auto"/>
        </w:rPr>
        <w:t>Long-term portion of capital lease obligations Other noncurrent liabilities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liabilities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equity:</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Preferred Shares - Authorized 25,000 shares;</w:t>
      </w:r>
    </w:p>
    <w:p>
      <w:pPr>
        <w:spacing w:after="0" w:line="4" w:lineRule="exact"/>
        <w:rPr>
          <w:sz w:val="20"/>
          <w:szCs w:val="20"/>
          <w:color w:val="auto"/>
        </w:rPr>
      </w:pPr>
    </w:p>
    <w:p>
      <w:pPr>
        <w:ind w:left="260" w:right="1880" w:firstLine="268"/>
        <w:spacing w:after="0"/>
        <w:rPr>
          <w:sz w:val="20"/>
          <w:szCs w:val="20"/>
          <w:color w:val="auto"/>
        </w:rPr>
      </w:pPr>
      <w:r>
        <w:rPr>
          <w:rFonts w:ascii="Courier New" w:cs="Courier New" w:eastAsia="Courier New" w:hAnsi="Courier New"/>
          <w:sz w:val="15"/>
          <w:szCs w:val="15"/>
          <w:color w:val="auto"/>
        </w:rPr>
        <w:t>pound sterling 0.01 par value; 0 issued and outstanding Ordinary Shares - Authorized 550,000 shares;</w:t>
      </w:r>
    </w:p>
    <w:p>
      <w:pPr>
        <w:spacing w:after="0" w:line="4" w:lineRule="exact"/>
        <w:rPr>
          <w:sz w:val="20"/>
          <w:szCs w:val="20"/>
          <w:color w:val="auto"/>
        </w:rPr>
      </w:pPr>
    </w:p>
    <w:p>
      <w:pPr>
        <w:ind w:left="260" w:firstLine="268"/>
        <w:spacing w:after="0"/>
        <w:rPr>
          <w:sz w:val="20"/>
          <w:szCs w:val="20"/>
          <w:color w:val="auto"/>
        </w:rPr>
      </w:pPr>
      <w:r>
        <w:rPr>
          <w:rFonts w:ascii="Courier New" w:cs="Courier New" w:eastAsia="Courier New" w:hAnsi="Courier New"/>
          <w:sz w:val="15"/>
          <w:szCs w:val="15"/>
          <w:color w:val="auto"/>
        </w:rPr>
        <w:t>pound sterling 0.01 par value; 206,500 and 198,800 outstanding, respectively Additional paid-in capital</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Accumulated other comprehensive income (loss)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Unearned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Accumulated deficit</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Total shareholders' equity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liabilities and shareholders' equity</w:t>
      </w:r>
    </w:p>
    <w:p>
      <w:pPr>
        <w:spacing w:after="0" w:line="200" w:lineRule="exact"/>
        <w:rPr>
          <w:sz w:val="20"/>
          <w:szCs w:val="20"/>
          <w:color w:val="auto"/>
        </w:rPr>
      </w:pPr>
    </w:p>
    <w:p>
      <w:pPr>
        <w:spacing w:after="0" w:line="320" w:lineRule="exact"/>
        <w:rPr>
          <w:sz w:val="20"/>
          <w:szCs w:val="20"/>
          <w:color w:val="auto"/>
        </w:rPr>
      </w:pPr>
    </w:p>
    <w:p>
      <w:pPr>
        <w:ind w:right="620"/>
        <w:spacing w:after="0"/>
        <w:rPr>
          <w:sz w:val="20"/>
          <w:szCs w:val="20"/>
          <w:color w:val="auto"/>
        </w:rPr>
      </w:pPr>
      <w:r>
        <w:rPr>
          <w:rFonts w:ascii="Courier New" w:cs="Courier New" w:eastAsia="Courier New" w:hAnsi="Courier New"/>
          <w:sz w:val="15"/>
          <w:szCs w:val="15"/>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As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March 31, 2000</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14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(unaudited)</w:t>
            </w:r>
          </w:p>
        </w:tc>
        <w:tc>
          <w:tcPr>
            <w:tcW w:w="50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688"/>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$ 221,939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85,174</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20,612</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194,796</w:t>
            </w:r>
          </w:p>
        </w:tc>
        <w:tc>
          <w:tcPr>
            <w:tcW w:w="50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145,184</w:t>
            </w:r>
          </w:p>
        </w:tc>
      </w:tr>
      <w:tr>
        <w:trPr>
          <w:trHeight w:val="344"/>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31,743</w:t>
            </w:r>
          </w:p>
        </w:tc>
        <w:tc>
          <w:tcPr>
            <w:tcW w:w="50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14,128</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28,570</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29,899</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30,351</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16,390</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528,011</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290,775</w:t>
            </w:r>
          </w:p>
        </w:tc>
      </w:tr>
      <w:tr>
        <w:trPr>
          <w:trHeight w:val="344"/>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99,204</w:t>
            </w:r>
          </w:p>
        </w:tc>
        <w:tc>
          <w:tcPr>
            <w:tcW w:w="50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83,997</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12,360</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5,605</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110,858</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20,742</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32,411</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28,892</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$ 782,844</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$ 430,011</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0"/>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87,860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68,594</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48,149</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40,092</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17,023</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2,381</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114,682</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104,688</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6,131</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5,722</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53,184</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33,412</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327,029</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254,889</w:t>
            </w:r>
          </w:p>
        </w:tc>
      </w:tr>
      <w:tr>
        <w:trPr>
          <w:trHeight w:val="344"/>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15,293</w:t>
            </w:r>
          </w:p>
        </w:tc>
        <w:tc>
          <w:tcPr>
            <w:tcW w:w="50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17,148</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48,559</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34,237</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390,881</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306,274</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688"/>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3,304</w:t>
            </w:r>
          </w:p>
        </w:tc>
        <w:tc>
          <w:tcPr>
            <w:tcW w:w="50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3,181</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688,943</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489,099</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5,213</w:t>
            </w:r>
          </w:p>
        </w:tc>
        <w:tc>
          <w:tcPr>
            <w:tcW w:w="5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(1,157)</w:t>
            </w:r>
          </w:p>
        </w:tc>
      </w:tr>
      <w:tr>
        <w:trPr>
          <w:trHeight w:val="344"/>
        </w:trPr>
        <w:tc>
          <w:tcPr>
            <w:tcW w:w="14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(2,085)</w:t>
            </w:r>
          </w:p>
        </w:tc>
        <w:tc>
          <w:tcPr>
            <w:tcW w:w="50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(3,830)</w:t>
            </w:r>
          </w:p>
        </w:tc>
      </w:tr>
      <w:tr>
        <w:trPr>
          <w:trHeight w:val="172"/>
        </w:trPr>
        <w:tc>
          <w:tcPr>
            <w:tcW w:w="14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(303,412)</w:t>
            </w:r>
          </w:p>
        </w:tc>
        <w:tc>
          <w:tcPr>
            <w:tcW w:w="5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(363,556)</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391,963</w:t>
            </w:r>
          </w:p>
        </w:tc>
        <w:tc>
          <w:tcPr>
            <w:tcW w:w="5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123,737</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$ 782,844</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$ 430,011</w:t>
            </w:r>
          </w:p>
        </w:tc>
      </w:tr>
      <w:tr>
        <w:trPr>
          <w:trHeight w:val="172"/>
        </w:trPr>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320" w:space="460"/>
            <w:col w:w="2860"/>
          </w:cols>
          <w:pgMar w:left="240" w:top="289" w:right="1019" w:bottom="1440" w:gutter="0" w:footer="0" w:header="0"/>
        </w:sectPr>
      </w:pPr>
    </w:p>
    <w:bookmarkStart w:id="3" w:name="page4"/>
    <w:bookmarkEnd w:id="3"/>
    <w:p>
      <w:pPr>
        <w:ind w:left="268"/>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212"/>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2" w:lineRule="exact"/>
        <w:rPr>
          <w:sz w:val="20"/>
          <w:szCs w:val="20"/>
          <w:color w:val="auto"/>
        </w:rPr>
      </w:pPr>
    </w:p>
    <w:p>
      <w:pPr>
        <w:jc w:val="center"/>
        <w:ind w:right="3212"/>
        <w:spacing w:after="0"/>
        <w:rPr>
          <w:sz w:val="20"/>
          <w:szCs w:val="20"/>
          <w:color w:val="auto"/>
        </w:rPr>
      </w:pPr>
      <w:r>
        <w:rPr>
          <w:rFonts w:ascii="Courier New" w:cs="Courier New" w:eastAsia="Courier New" w:hAnsi="Courier New"/>
          <w:sz w:val="15"/>
          <w:szCs w:val="15"/>
          <w:color w:val="auto"/>
        </w:rPr>
        <w:t>(in U.S. dollars)</w:t>
      </w:r>
    </w:p>
    <w:p>
      <w:pPr>
        <w:spacing w:after="0" w:line="2" w:lineRule="exact"/>
        <w:rPr>
          <w:sz w:val="20"/>
          <w:szCs w:val="20"/>
          <w:color w:val="auto"/>
        </w:rPr>
      </w:pPr>
    </w:p>
    <w:p>
      <w:pPr>
        <w:jc w:val="center"/>
        <w:ind w:right="3212"/>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4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Three months ended</w:t>
            </w:r>
          </w:p>
        </w:tc>
        <w:tc>
          <w:tcPr>
            <w:tcW w:w="500" w:type="dxa"/>
            <w:vAlign w:val="bottom"/>
          </w:tcPr>
          <w:p>
            <w:pPr>
              <w:spacing w:after="0"/>
              <w:rPr>
                <w:sz w:val="14"/>
                <w:szCs w:val="14"/>
                <w:color w:val="auto"/>
              </w:rPr>
            </w:pPr>
          </w:p>
        </w:tc>
        <w:tc>
          <w:tcPr>
            <w:tcW w:w="228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March 31,</w:t>
            </w: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March 31,</w:t>
            </w:r>
          </w:p>
        </w:tc>
        <w:tc>
          <w:tcPr>
            <w:tcW w:w="760" w:type="dxa"/>
            <w:vAlign w:val="bottom"/>
          </w:tcPr>
          <w:p>
            <w:pPr>
              <w:spacing w:after="0"/>
              <w:rPr>
                <w:sz w:val="14"/>
                <w:szCs w:val="14"/>
                <w:color w:val="auto"/>
              </w:rPr>
            </w:pPr>
          </w:p>
        </w:tc>
      </w:tr>
      <w:tr>
        <w:trPr>
          <w:trHeight w:val="172"/>
        </w:trPr>
        <w:tc>
          <w:tcPr>
            <w:tcW w:w="4560" w:type="dxa"/>
            <w:vAlign w:val="bottom"/>
          </w:tcPr>
          <w:p>
            <w:pPr>
              <w:spacing w:after="0"/>
              <w:rPr>
                <w:sz w:val="14"/>
                <w:szCs w:val="14"/>
                <w:color w:val="auto"/>
              </w:rPr>
            </w:pPr>
          </w:p>
        </w:tc>
        <w:tc>
          <w:tcPr>
            <w:tcW w:w="3120" w:type="dxa"/>
            <w:vAlign w:val="bottom"/>
            <w:gridSpan w:val="4"/>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spacing w:after="0"/>
              <w:rPr>
                <w:sz w:val="14"/>
                <w:szCs w:val="1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spacing w:after="0"/>
              <w:rPr>
                <w:sz w:val="14"/>
                <w:szCs w:val="14"/>
                <w:color w:val="auto"/>
              </w:rPr>
            </w:pP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4560" w:type="dxa"/>
            <w:vAlign w:val="bottom"/>
          </w:tcPr>
          <w:p>
            <w:pPr>
              <w:ind w:left="260"/>
              <w:spacing w:after="0"/>
              <w:rPr>
                <w:sz w:val="20"/>
                <w:szCs w:val="20"/>
                <w:color w:val="auto"/>
              </w:rPr>
            </w:pPr>
            <w:r>
              <w:rPr>
                <w:rFonts w:ascii="Courier New" w:cs="Courier New" w:eastAsia="Courier New" w:hAnsi="Courier New"/>
                <w:sz w:val="15"/>
                <w:szCs w:val="15"/>
                <w:color w:val="auto"/>
              </w:rPr>
              <w:t>License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30,441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17,308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56,943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32,348</w:t>
            </w:r>
          </w:p>
        </w:tc>
      </w:tr>
      <w:tr>
        <w:trPr>
          <w:trHeight w:val="172"/>
        </w:trPr>
        <w:tc>
          <w:tcPr>
            <w:tcW w:w="4560" w:type="dxa"/>
            <w:vAlign w:val="bottom"/>
          </w:tcPr>
          <w:p>
            <w:pPr>
              <w:ind w:left="260"/>
              <w:spacing w:after="0"/>
              <w:rPr>
                <w:sz w:val="20"/>
                <w:szCs w:val="20"/>
                <w:color w:val="auto"/>
              </w:rPr>
            </w:pPr>
            <w:r>
              <w:rPr>
                <w:rFonts w:ascii="Courier New" w:cs="Courier New" w:eastAsia="Courier New" w:hAnsi="Courier New"/>
                <w:sz w:val="15"/>
                <w:szCs w:val="15"/>
                <w:color w:val="auto"/>
              </w:rPr>
              <w:t>Service (*)</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240,304</w:t>
            </w:r>
          </w:p>
        </w:tc>
        <w:tc>
          <w:tcPr>
            <w:tcW w:w="8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130,522</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449,308</w:t>
            </w:r>
          </w:p>
        </w:tc>
        <w:tc>
          <w:tcPr>
            <w:tcW w:w="8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246,907</w:t>
            </w:r>
          </w:p>
        </w:tc>
      </w:tr>
      <w:tr>
        <w:trPr>
          <w:trHeight w:val="172"/>
        </w:trPr>
        <w:tc>
          <w:tcPr>
            <w:tcW w:w="4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270,745</w:t>
            </w:r>
          </w:p>
        </w:tc>
        <w:tc>
          <w:tcPr>
            <w:tcW w:w="8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147,830</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506,251</w:t>
            </w:r>
          </w:p>
        </w:tc>
        <w:tc>
          <w:tcPr>
            <w:tcW w:w="8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279,255</w:t>
            </w:r>
          </w:p>
        </w:tc>
      </w:tr>
      <w:tr>
        <w:trPr>
          <w:trHeight w:val="172"/>
        </w:trPr>
        <w:tc>
          <w:tcPr>
            <w:tcW w:w="4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560" w:type="dxa"/>
            <w:vAlign w:val="bottom"/>
          </w:tcPr>
          <w:p>
            <w:pPr>
              <w:ind w:left="260"/>
              <w:spacing w:after="0"/>
              <w:rPr>
                <w:sz w:val="20"/>
                <w:szCs w:val="20"/>
                <w:color w:val="auto"/>
              </w:rPr>
            </w:pPr>
            <w:r>
              <w:rPr>
                <w:rFonts w:ascii="Courier New" w:cs="Courier New" w:eastAsia="Courier New" w:hAnsi="Courier New"/>
                <w:sz w:val="15"/>
                <w:szCs w:val="15"/>
                <w:color w:val="auto"/>
              </w:rPr>
              <w:t>Cost of license</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1,458</w:t>
            </w:r>
          </w:p>
        </w:tc>
        <w:tc>
          <w:tcPr>
            <w:tcW w:w="8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1,370</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2,631</w:t>
            </w:r>
          </w:p>
        </w:tc>
        <w:tc>
          <w:tcPr>
            <w:tcW w:w="8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2,693</w:t>
            </w:r>
          </w:p>
        </w:tc>
      </w:tr>
      <w:tr>
        <w:trPr>
          <w:trHeight w:val="172"/>
        </w:trPr>
        <w:tc>
          <w:tcPr>
            <w:tcW w:w="4560" w:type="dxa"/>
            <w:vAlign w:val="bottom"/>
          </w:tcPr>
          <w:p>
            <w:pPr>
              <w:ind w:left="260"/>
              <w:spacing w:after="0"/>
              <w:rPr>
                <w:sz w:val="20"/>
                <w:szCs w:val="20"/>
                <w:color w:val="auto"/>
              </w:rPr>
            </w:pPr>
            <w:r>
              <w:rPr>
                <w:rFonts w:ascii="Courier New" w:cs="Courier New" w:eastAsia="Courier New" w:hAnsi="Courier New"/>
                <w:sz w:val="15"/>
                <w:szCs w:val="15"/>
                <w:color w:val="auto"/>
              </w:rPr>
              <w:t>Cost of service (*)</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156,889</w:t>
            </w:r>
          </w:p>
        </w:tc>
        <w:tc>
          <w:tcPr>
            <w:tcW w:w="8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84,280</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295,923</w:t>
            </w:r>
          </w:p>
        </w:tc>
        <w:tc>
          <w:tcPr>
            <w:tcW w:w="8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160,195</w:t>
            </w:r>
          </w:p>
        </w:tc>
      </w:tr>
      <w:tr>
        <w:trPr>
          <w:trHeight w:val="172"/>
        </w:trPr>
        <w:tc>
          <w:tcPr>
            <w:tcW w:w="456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17,713</w:t>
            </w:r>
          </w:p>
        </w:tc>
        <w:tc>
          <w:tcPr>
            <w:tcW w:w="8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9,140</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32,683</w:t>
            </w:r>
          </w:p>
        </w:tc>
        <w:tc>
          <w:tcPr>
            <w:tcW w:w="8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17,519</w:t>
            </w:r>
          </w:p>
        </w:tc>
      </w:tr>
      <w:tr>
        <w:trPr>
          <w:trHeight w:val="172"/>
        </w:trPr>
        <w:tc>
          <w:tcPr>
            <w:tcW w:w="456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 (*)</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34,570</w:t>
            </w:r>
          </w:p>
        </w:tc>
        <w:tc>
          <w:tcPr>
            <w:tcW w:w="8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17,415</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62,163</w:t>
            </w:r>
          </w:p>
        </w:tc>
        <w:tc>
          <w:tcPr>
            <w:tcW w:w="8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33,062</w:t>
            </w:r>
          </w:p>
        </w:tc>
      </w:tr>
      <w:tr>
        <w:trPr>
          <w:trHeight w:val="172"/>
        </w:trPr>
        <w:tc>
          <w:tcPr>
            <w:tcW w:w="4560" w:type="dxa"/>
            <w:vAlign w:val="bottom"/>
          </w:tcPr>
          <w:p>
            <w:pPr>
              <w:ind w:left="260"/>
              <w:spacing w:after="0"/>
              <w:rPr>
                <w:sz w:val="20"/>
                <w:szCs w:val="20"/>
                <w:color w:val="auto"/>
              </w:rPr>
            </w:pPr>
            <w:r>
              <w:rPr>
                <w:rFonts w:ascii="Courier New" w:cs="Courier New" w:eastAsia="Courier New" w:hAnsi="Courier New"/>
                <w:sz w:val="15"/>
                <w:szCs w:val="15"/>
                <w:color w:val="auto"/>
              </w:rPr>
              <w:t>In-process research and development expenses</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19,876</w:t>
            </w:r>
          </w:p>
        </w:tc>
        <w:tc>
          <w:tcPr>
            <w:tcW w:w="8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210,630</w:t>
            </w:r>
          </w:p>
        </w:tc>
        <w:tc>
          <w:tcPr>
            <w:tcW w:w="8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112,205</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413,276</w:t>
            </w:r>
          </w:p>
        </w:tc>
        <w:tc>
          <w:tcPr>
            <w:tcW w:w="8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213,469</w:t>
            </w:r>
          </w:p>
        </w:tc>
      </w:tr>
      <w:tr>
        <w:trPr>
          <w:trHeight w:val="172"/>
        </w:trPr>
        <w:tc>
          <w:tcPr>
            <w:tcW w:w="4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60,115</w:t>
            </w:r>
          </w:p>
        </w:tc>
        <w:tc>
          <w:tcPr>
            <w:tcW w:w="840" w:type="dxa"/>
            <w:vAlign w:val="bottom"/>
          </w:tcPr>
          <w:p>
            <w:pPr>
              <w:spacing w:after="0"/>
              <w:rPr>
                <w:sz w:val="24"/>
                <w:szCs w:val="2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35,625</w:t>
            </w:r>
          </w:p>
        </w:tc>
        <w:tc>
          <w:tcPr>
            <w:tcW w:w="5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92,975</w:t>
            </w:r>
          </w:p>
        </w:tc>
        <w:tc>
          <w:tcPr>
            <w:tcW w:w="86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65,786</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2,318</w:t>
            </w:r>
          </w:p>
        </w:tc>
        <w:tc>
          <w:tcPr>
            <w:tcW w:w="840" w:type="dxa"/>
            <w:vAlign w:val="bottom"/>
          </w:tcPr>
          <w:p>
            <w:pPr>
              <w:spacing w:after="0"/>
              <w:rPr>
                <w:sz w:val="24"/>
                <w:szCs w:val="2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(2,566)</w:t>
            </w:r>
          </w:p>
        </w:tc>
        <w:tc>
          <w:tcPr>
            <w:tcW w:w="5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2,663</w:t>
            </w:r>
          </w:p>
        </w:tc>
        <w:tc>
          <w:tcPr>
            <w:tcW w:w="8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(3,953)</w:t>
            </w:r>
          </w:p>
        </w:tc>
      </w:tr>
      <w:tr>
        <w:trPr>
          <w:trHeight w:val="344"/>
        </w:trPr>
        <w:tc>
          <w:tcPr>
            <w:tcW w:w="45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62,433</w:t>
            </w:r>
          </w:p>
        </w:tc>
        <w:tc>
          <w:tcPr>
            <w:tcW w:w="8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33,059</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95,638</w:t>
            </w:r>
          </w:p>
        </w:tc>
        <w:tc>
          <w:tcPr>
            <w:tcW w:w="8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61,833</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19,570</w:t>
            </w:r>
          </w:p>
        </w:tc>
        <w:tc>
          <w:tcPr>
            <w:tcW w:w="8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9,918</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35,494</w:t>
            </w:r>
          </w:p>
        </w:tc>
        <w:tc>
          <w:tcPr>
            <w:tcW w:w="8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18,550</w:t>
            </w:r>
          </w:p>
        </w:tc>
      </w:tr>
      <w:tr>
        <w:trPr>
          <w:trHeight w:val="172"/>
        </w:trPr>
        <w:tc>
          <w:tcPr>
            <w:tcW w:w="4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42,863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23,141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60,144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43,283</w:t>
            </w:r>
          </w:p>
        </w:tc>
      </w:tr>
      <w:tr>
        <w:trPr>
          <w:trHeight w:val="172"/>
        </w:trPr>
        <w:tc>
          <w:tcPr>
            <w:tcW w:w="4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0.12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0.22</w:t>
            </w:r>
          </w:p>
        </w:tc>
      </w:tr>
      <w:tr>
        <w:trPr>
          <w:trHeight w:val="172"/>
        </w:trPr>
        <w:tc>
          <w:tcPr>
            <w:tcW w:w="4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0.12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0.29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0.22</w:t>
            </w:r>
          </w:p>
        </w:tc>
      </w:tr>
      <w:tr>
        <w:trPr>
          <w:trHeight w:val="172"/>
        </w:trPr>
        <w:tc>
          <w:tcPr>
            <w:tcW w:w="4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ind w:left="260"/>
              <w:spacing w:after="0"/>
              <w:rPr>
                <w:sz w:val="20"/>
                <w:szCs w:val="20"/>
                <w:color w:val="auto"/>
              </w:rPr>
            </w:pPr>
            <w:r>
              <w:rPr>
                <w:rFonts w:ascii="Courier New" w:cs="Courier New" w:eastAsia="Courier New" w:hAnsi="Courier New"/>
                <w:sz w:val="15"/>
                <w:szCs w:val="15"/>
                <w:color w:val="auto"/>
              </w:rPr>
              <w:t>Basic weighted average number of shares</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456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205,985</w:t>
            </w:r>
          </w:p>
        </w:tc>
        <w:tc>
          <w:tcPr>
            <w:tcW w:w="8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196,800</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203,465</w:t>
            </w:r>
          </w:p>
        </w:tc>
        <w:tc>
          <w:tcPr>
            <w:tcW w:w="8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196,800</w:t>
            </w:r>
          </w:p>
        </w:tc>
      </w:tr>
      <w:tr>
        <w:trPr>
          <w:trHeight w:val="172"/>
        </w:trPr>
        <w:tc>
          <w:tcPr>
            <w:tcW w:w="4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ind w:left="260"/>
              <w:spacing w:after="0"/>
              <w:rPr>
                <w:sz w:val="20"/>
                <w:szCs w:val="20"/>
                <w:color w:val="auto"/>
              </w:rPr>
            </w:pPr>
            <w:r>
              <w:rPr>
                <w:rFonts w:ascii="Courier New" w:cs="Courier New" w:eastAsia="Courier New" w:hAnsi="Courier New"/>
                <w:sz w:val="15"/>
                <w:szCs w:val="15"/>
                <w:color w:val="auto"/>
              </w:rPr>
              <w:t>Diluted weighted average number of shares</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456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211,416</w:t>
            </w:r>
          </w:p>
        </w:tc>
        <w:tc>
          <w:tcPr>
            <w:tcW w:w="8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199,542</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207,904</w:t>
            </w:r>
          </w:p>
        </w:tc>
        <w:tc>
          <w:tcPr>
            <w:tcW w:w="8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199,263</w:t>
            </w:r>
          </w:p>
        </w:tc>
      </w:tr>
      <w:tr>
        <w:trPr>
          <w:trHeight w:val="172"/>
        </w:trPr>
        <w:tc>
          <w:tcPr>
            <w:tcW w:w="4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528" w:hanging="528"/>
        <w:spacing w:after="0"/>
        <w:tabs>
          <w:tab w:leader="none" w:pos="52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3.</w:t>
      </w:r>
    </w:p>
    <w:p>
      <w:pPr>
        <w:spacing w:after="0" w:line="348" w:lineRule="exact"/>
        <w:rPr>
          <w:sz w:val="20"/>
          <w:szCs w:val="20"/>
          <w:color w:val="auto"/>
        </w:rPr>
      </w:pPr>
    </w:p>
    <w:p>
      <w:pPr>
        <w:ind w:left="8" w:right="3760"/>
        <w:spacing w:after="0"/>
        <w:rPr>
          <w:sz w:val="20"/>
          <w:szCs w:val="20"/>
          <w:color w:val="auto"/>
        </w:rPr>
      </w:pPr>
      <w:r>
        <w:rPr>
          <w:rFonts w:ascii="Courier New" w:cs="Courier New" w:eastAsia="Courier New" w:hAnsi="Courier New"/>
          <w:sz w:val="15"/>
          <w:szCs w:val="15"/>
          <w:color w:val="auto"/>
        </w:rPr>
        <w:t>The accompanying Notes are an integral part of these Unaudited Consolidated Financial Statements.</w:t>
      </w:r>
    </w:p>
    <w:p>
      <w:pPr>
        <w:sectPr>
          <w:pgSz w:w="11900" w:h="16838" w:orient="portrait"/>
          <w:cols w:equalWidth="0" w:num="1">
            <w:col w:w="10468"/>
          </w:cols>
          <w:pgMar w:left="232" w:top="289" w:right="119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CONSOLIDATED STATEMENT OF CHANGES</w:t>
      </w:r>
    </w:p>
    <w:p>
      <w:pPr>
        <w:spacing w:after="0" w:line="2"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IN SHAREHOLDERS' EQUITY (UNAUDITED)</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(in U.S. dollars)</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Accumulated</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3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3220" w:type="dxa"/>
            <w:vAlign w:val="bottom"/>
          </w:tcPr>
          <w:p>
            <w:pPr>
              <w:spacing w:after="0"/>
              <w:rPr>
                <w:sz w:val="14"/>
                <w:szCs w:val="14"/>
                <w:color w:val="auto"/>
              </w:rPr>
            </w:pPr>
          </w:p>
        </w:tc>
        <w:tc>
          <w:tcPr>
            <w:tcW w:w="2220" w:type="dxa"/>
            <w:vAlign w:val="bottom"/>
            <w:gridSpan w:val="3"/>
          </w:tcPr>
          <w:p>
            <w:pPr>
              <w:jc w:val="right"/>
              <w:ind w:right="265"/>
              <w:spacing w:after="0"/>
              <w:rPr>
                <w:sz w:val="20"/>
                <w:szCs w:val="20"/>
                <w:color w:val="auto"/>
              </w:rPr>
            </w:pPr>
            <w:r>
              <w:rPr>
                <w:rFonts w:ascii="Courier New" w:cs="Courier New" w:eastAsia="Courier New" w:hAnsi="Courier New"/>
                <w:sz w:val="15"/>
                <w:szCs w:val="15"/>
                <w:color w:val="auto"/>
              </w:rPr>
              <w:t>Ordinary Shares</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Additional</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comprehensive</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220" w:type="dxa"/>
            <w:vAlign w:val="bottom"/>
          </w:tcPr>
          <w:p>
            <w:pPr>
              <w:spacing w:after="0"/>
              <w:rPr>
                <w:sz w:val="14"/>
                <w:szCs w:val="14"/>
                <w:color w:val="auto"/>
              </w:rPr>
            </w:pPr>
          </w:p>
        </w:tc>
        <w:tc>
          <w:tcPr>
            <w:tcW w:w="22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Paid-in</w:t>
            </w:r>
          </w:p>
        </w:tc>
        <w:tc>
          <w:tcPr>
            <w:tcW w:w="26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income</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Unearned</w:t>
            </w:r>
          </w:p>
        </w:tc>
        <w:tc>
          <w:tcPr>
            <w:tcW w:w="1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Accumulated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r>
      <w:tr>
        <w:trPr>
          <w:trHeight w:val="172"/>
        </w:trPr>
        <w:tc>
          <w:tcPr>
            <w:tcW w:w="322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320" w:type="dxa"/>
            <w:vAlign w:val="bottom"/>
          </w:tcPr>
          <w:p>
            <w:pPr>
              <w:spacing w:after="0"/>
              <w:rPr>
                <w:sz w:val="14"/>
                <w:szCs w:val="14"/>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Capital</w:t>
            </w:r>
          </w:p>
        </w:tc>
        <w:tc>
          <w:tcPr>
            <w:tcW w:w="26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(loss)</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8"/>
              </w:rPr>
              <w:t>Compensation</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Deficit</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322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Balance as of September 30, 1999</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198,800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3,181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$ 489,099</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(3,830)</w:t>
            </w:r>
          </w:p>
        </w:tc>
        <w:tc>
          <w:tcPr>
            <w:tcW w:w="1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$(363,556)</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$ 123,737</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60,144</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60,144</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Ordinary Shares</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related to an acquisition, net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6,451</w:t>
            </w:r>
          </w:p>
        </w:tc>
        <w:tc>
          <w:tcPr>
            <w:tcW w:w="32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185,744</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185,847</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Employees' stock options</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1,249</w:t>
            </w:r>
          </w:p>
        </w:tc>
        <w:tc>
          <w:tcPr>
            <w:tcW w:w="32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13,975</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13,995</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Unrealized gain on other</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 net</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of $2,730  tax</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6,370</w:t>
            </w:r>
          </w:p>
        </w:tc>
        <w:tc>
          <w:tcPr>
            <w:tcW w:w="3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6,370</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Stock options granted, net of</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forfeitures</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322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125</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Acquired unearned compensation</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related to an acquisition</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322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1,763</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1,763</w:t>
            </w:r>
          </w:p>
        </w:tc>
      </w:tr>
      <w:tr>
        <w:trPr>
          <w:trHeight w:val="344"/>
        </w:trPr>
        <w:tc>
          <w:tcPr>
            <w:tcW w:w="3220" w:type="dxa"/>
            <w:vAlign w:val="bottom"/>
          </w:tcPr>
          <w:p>
            <w:pPr>
              <w:spacing w:after="0"/>
              <w:rPr>
                <w:sz w:val="24"/>
                <w:szCs w:val="2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Balance as of March 31, 2000</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206,500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3,304</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$ 688,943</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5,213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(2,085)</w:t>
            </w:r>
          </w:p>
        </w:tc>
        <w:tc>
          <w:tcPr>
            <w:tcW w:w="1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$(303,412)</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$ 391,963</w:t>
            </w:r>
          </w:p>
        </w:tc>
      </w:tr>
      <w:tr>
        <w:trPr>
          <w:trHeight w:val="172"/>
        </w:trPr>
        <w:tc>
          <w:tcPr>
            <w:tcW w:w="322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right="4820"/>
        <w:spacing w:after="0"/>
        <w:rPr>
          <w:sz w:val="20"/>
          <w:szCs w:val="20"/>
          <w:color w:val="auto"/>
        </w:rPr>
      </w:pPr>
      <w:r>
        <w:rPr>
          <w:rFonts w:ascii="Courier New" w:cs="Courier New" w:eastAsia="Courier New" w:hAnsi="Courier New"/>
          <w:sz w:val="15"/>
          <w:szCs w:val="15"/>
          <w:color w:val="auto"/>
        </w:rPr>
        <w:t>The accompanying Notes are an integral part of these Unaudited Consolidated Financial Statements.</w:t>
      </w:r>
    </w:p>
    <w:p>
      <w:pPr>
        <w:sectPr>
          <w:pgSz w:w="11900" w:h="16838" w:orient="portrait"/>
          <w:cols w:equalWidth="0" w:num="1">
            <w:col w:w="11520"/>
          </w:cols>
          <w:pgMar w:left="240" w:top="289" w:right="13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(in U.S. dollars)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ind w:left="2940"/>
              <w:spacing w:after="0"/>
              <w:rPr>
                <w:sz w:val="20"/>
                <w:szCs w:val="20"/>
                <w:color w:val="auto"/>
              </w:rPr>
            </w:pPr>
            <w:r>
              <w:rPr>
                <w:rFonts w:ascii="Courier New" w:cs="Courier New" w:eastAsia="Courier New" w:hAnsi="Courier New"/>
                <w:sz w:val="15"/>
                <w:szCs w:val="15"/>
                <w:color w:val="auto"/>
              </w:rPr>
              <w:t>(in thousands)</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8"/>
        </w:trPr>
        <w:tc>
          <w:tcPr>
            <w:tcW w:w="5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8"/>
              </w:rPr>
              <w:t>Six months ended March 31,</w:t>
            </w:r>
          </w:p>
        </w:tc>
      </w:tr>
      <w:tr>
        <w:trPr>
          <w:trHeight w:val="172"/>
        </w:trPr>
        <w:tc>
          <w:tcPr>
            <w:tcW w:w="5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2000</w:t>
            </w:r>
          </w:p>
        </w:tc>
        <w:tc>
          <w:tcPr>
            <w:tcW w:w="46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90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60,144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43,283</w:t>
            </w: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 operating</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900" w:type="dxa"/>
            <w:vAlign w:val="bottom"/>
          </w:tcPr>
          <w:p>
            <w:pPr>
              <w:ind w:left="520"/>
              <w:spacing w:after="0"/>
              <w:rPr>
                <w:sz w:val="20"/>
                <w:szCs w:val="20"/>
                <w:color w:val="auto"/>
              </w:rPr>
            </w:pPr>
            <w:r>
              <w:rPr>
                <w:rFonts w:ascii="Courier New" w:cs="Courier New" w:eastAsia="Courier New" w:hAnsi="Courier New"/>
                <w:sz w:val="15"/>
                <w:szCs w:val="15"/>
                <w:color w:val="auto"/>
              </w:rPr>
              <w:t>activities:</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Depreciation</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15,217</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8,343</w:t>
            </w:r>
          </w:p>
        </w:tc>
      </w:tr>
      <w:tr>
        <w:trPr>
          <w:trHeight w:val="172"/>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Amortization</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7,352</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5,425</w:t>
            </w:r>
          </w:p>
        </w:tc>
      </w:tr>
      <w:tr>
        <w:trPr>
          <w:trHeight w:val="172"/>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In-process research and</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900" w:type="dxa"/>
            <w:vAlign w:val="bottom"/>
          </w:tcPr>
          <w:p>
            <w:pPr>
              <w:ind w:left="520"/>
              <w:spacing w:after="0"/>
              <w:rPr>
                <w:sz w:val="20"/>
                <w:szCs w:val="20"/>
                <w:color w:val="auto"/>
              </w:rPr>
            </w:pPr>
            <w:r>
              <w:rPr>
                <w:rFonts w:ascii="Courier New" w:cs="Courier New" w:eastAsia="Courier New" w:hAnsi="Courier New"/>
                <w:sz w:val="15"/>
                <w:szCs w:val="15"/>
                <w:color w:val="auto"/>
              </w:rPr>
              <w:t>development expenses</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19,876</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Loss on sale of equipment</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74</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394</w:t>
            </w:r>
          </w:p>
        </w:tc>
      </w:tr>
      <w:tr>
        <w:trPr>
          <w:trHeight w:val="172"/>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5,025</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4,799</w:t>
            </w:r>
          </w:p>
        </w:tc>
      </w:tr>
      <w:tr>
        <w:trPr>
          <w:trHeight w:val="172"/>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Unrealized income on other comprehensive income</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9,100</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2,457</w:t>
            </w: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44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(14,509)</w:t>
            </w: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(41,469)</w:t>
            </w:r>
          </w:p>
        </w:tc>
      </w:tr>
      <w:tr>
        <w:trPr>
          <w:trHeight w:val="172"/>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44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(8,830)</w:t>
            </w: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(4,220)</w:t>
            </w:r>
          </w:p>
        </w:tc>
      </w:tr>
      <w:tr>
        <w:trPr>
          <w:trHeight w:val="172"/>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44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(5,111)</w:t>
            </w: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(2,938)</w:t>
            </w:r>
          </w:p>
        </w:tc>
      </w:tr>
      <w:tr>
        <w:trPr>
          <w:trHeight w:val="172"/>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4,803</w:t>
            </w: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(6,597)</w:t>
            </w:r>
          </w:p>
        </w:tc>
      </w:tr>
      <w:tr>
        <w:trPr>
          <w:trHeight w:val="172"/>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9,567</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31,830</w:t>
            </w:r>
          </w:p>
        </w:tc>
      </w:tr>
      <w:tr>
        <w:trPr>
          <w:trHeight w:val="172"/>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11,453</w:t>
            </w: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(6,508)</w:t>
            </w:r>
          </w:p>
        </w:tc>
      </w:tr>
      <w:tr>
        <w:trPr>
          <w:trHeight w:val="172"/>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liabilities</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13,799</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3,537</w:t>
            </w:r>
          </w:p>
        </w:tc>
      </w:tr>
      <w:tr>
        <w:trPr>
          <w:trHeight w:val="172"/>
        </w:trPr>
        <w:tc>
          <w:tcPr>
            <w:tcW w:w="590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127,960</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38,336</w:t>
            </w:r>
          </w:p>
        </w:tc>
      </w:tr>
      <w:tr>
        <w:trPr>
          <w:trHeight w:val="172"/>
        </w:trPr>
        <w:tc>
          <w:tcPr>
            <w:tcW w:w="590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900" w:type="dxa"/>
            <w:vAlign w:val="bottom"/>
          </w:tcPr>
          <w:p>
            <w:pPr>
              <w:ind w:left="520"/>
              <w:spacing w:after="0"/>
              <w:rPr>
                <w:sz w:val="20"/>
                <w:szCs w:val="20"/>
                <w:color w:val="auto"/>
              </w:rPr>
            </w:pPr>
            <w:r>
              <w:rPr>
                <w:rFonts w:ascii="Courier New" w:cs="Courier New" w:eastAsia="Courier New" w:hAnsi="Courier New"/>
                <w:sz w:val="15"/>
                <w:szCs w:val="15"/>
                <w:color w:val="auto"/>
              </w:rPr>
              <w:t>improvements</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760</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1,006</w:t>
            </w: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leasehold</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900" w:type="dxa"/>
            <w:vAlign w:val="bottom"/>
          </w:tcPr>
          <w:p>
            <w:pPr>
              <w:ind w:left="520"/>
              <w:spacing w:after="0"/>
              <w:rPr>
                <w:sz w:val="20"/>
                <w:szCs w:val="20"/>
                <w:color w:val="auto"/>
              </w:rPr>
            </w:pPr>
            <w:r>
              <w:rPr>
                <w:rFonts w:ascii="Courier New" w:cs="Courier New" w:eastAsia="Courier New" w:hAnsi="Courier New"/>
                <w:sz w:val="15"/>
                <w:szCs w:val="15"/>
                <w:color w:val="auto"/>
              </w:rPr>
              <w:t>improvements and other</w:t>
            </w:r>
          </w:p>
        </w:tc>
        <w:tc>
          <w:tcPr>
            <w:tcW w:w="44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(28,542)</w:t>
            </w: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(20,401)</w:t>
            </w: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 investments</w:t>
            </w:r>
          </w:p>
        </w:tc>
        <w:tc>
          <w:tcPr>
            <w:tcW w:w="44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(20,612)</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Acquisition, net of cash acquired</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31,900</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44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(16,494)</w:t>
            </w: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(19,395)</w:t>
            </w:r>
          </w:p>
        </w:tc>
      </w:tr>
      <w:tr>
        <w:trPr>
          <w:trHeight w:val="172"/>
        </w:trPr>
        <w:tc>
          <w:tcPr>
            <w:tcW w:w="590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Net proceeds from employee stock options exercised</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13,863</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Payments under short-term finance arrangements</w:t>
            </w:r>
          </w:p>
        </w:tc>
        <w:tc>
          <w:tcPr>
            <w:tcW w:w="44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(172,455)</w:t>
            </w: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(179,274)</w:t>
            </w: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Borrowings under short-term finance arrangements</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187,097</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163,617</w:t>
            </w: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Principal payments under long-term capital lease obligations</w:t>
            </w:r>
          </w:p>
        </w:tc>
        <w:tc>
          <w:tcPr>
            <w:tcW w:w="44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(3,206)</w:t>
            </w: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(1,779)</w:t>
            </w:r>
          </w:p>
        </w:tc>
      </w:tr>
      <w:tr>
        <w:trPr>
          <w:trHeight w:val="172"/>
        </w:trPr>
        <w:tc>
          <w:tcPr>
            <w:tcW w:w="590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25,299</w:t>
            </w: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(17,436)</w:t>
            </w:r>
          </w:p>
        </w:tc>
      </w:tr>
      <w:tr>
        <w:trPr>
          <w:trHeight w:val="172"/>
        </w:trPr>
        <w:tc>
          <w:tcPr>
            <w:tcW w:w="590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90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440" w:type="dxa"/>
            <w:vAlign w:val="bottom"/>
          </w:tcPr>
          <w:p>
            <w:pPr>
              <w:spacing w:after="0"/>
              <w:rPr>
                <w:sz w:val="24"/>
                <w:szCs w:val="2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136,765</w:t>
            </w:r>
          </w:p>
        </w:tc>
        <w:tc>
          <w:tcPr>
            <w:tcW w:w="46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1,505</w:t>
            </w: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85,174</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25,389</w:t>
            </w:r>
          </w:p>
        </w:tc>
      </w:tr>
      <w:tr>
        <w:trPr>
          <w:trHeight w:val="172"/>
        </w:trPr>
        <w:tc>
          <w:tcPr>
            <w:tcW w:w="590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$ 221,939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26,894</w:t>
            </w:r>
          </w:p>
        </w:tc>
      </w:tr>
      <w:tr>
        <w:trPr>
          <w:trHeight w:val="172"/>
        </w:trPr>
        <w:tc>
          <w:tcPr>
            <w:tcW w:w="590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90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17,308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20,953</w:t>
            </w:r>
          </w:p>
        </w:tc>
      </w:tr>
      <w:tr>
        <w:trPr>
          <w:trHeight w:val="172"/>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760</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3,012</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Capital lease obligations of $1,733 and $6,472 were incurred during the six months ended March 31, 2000 and 1999, respectively, when the Company (as hereinafter defined) entered into lease agreements for the purchase of fixed assets.</w:t>
      </w:r>
    </w:p>
    <w:p>
      <w:pPr>
        <w:spacing w:after="0" w:line="175" w:lineRule="exact"/>
        <w:rPr>
          <w:sz w:val="20"/>
          <w:szCs w:val="20"/>
          <w:color w:val="auto"/>
        </w:rPr>
      </w:pPr>
    </w:p>
    <w:p>
      <w:pPr>
        <w:ind w:right="4059"/>
        <w:spacing w:after="0" w:line="241" w:lineRule="auto"/>
        <w:rPr>
          <w:sz w:val="20"/>
          <w:szCs w:val="20"/>
          <w:color w:val="auto"/>
        </w:rPr>
      </w:pPr>
      <w:r>
        <w:rPr>
          <w:rFonts w:ascii="Courier New" w:cs="Courier New" w:eastAsia="Courier New" w:hAnsi="Courier New"/>
          <w:sz w:val="15"/>
          <w:szCs w:val="15"/>
          <w:color w:val="auto"/>
        </w:rPr>
        <w:t>The Company issued 6,451 ordinary shares and 1,103 options in connection with the acquisition of ITDS (as hereinafter defined). See Note 2.</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The accompanying Notes are an integral part of these Unaudited Consolidated Financial Statements.</w:t>
      </w:r>
    </w:p>
    <w:p>
      <w:pPr>
        <w:sectPr>
          <w:pgSz w:w="11900" w:h="16838" w:orient="portrait"/>
          <w:cols w:equalWidth="0" w:num="1">
            <w:col w:w="10219"/>
          </w:cols>
          <w:pgMar w:left="240" w:top="289" w:right="1440" w:bottom="1440" w:gutter="0" w:footer="0" w:header="0"/>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(in U.S. dollars)</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528" w:hanging="528"/>
        <w:spacing w:after="0"/>
        <w:tabs>
          <w:tab w:leader="none" w:pos="52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5" w:lineRule="exact"/>
        <w:rPr>
          <w:rFonts w:ascii="Courier New" w:cs="Courier New" w:eastAsia="Courier New" w:hAnsi="Courier New"/>
          <w:sz w:val="15"/>
          <w:szCs w:val="15"/>
          <w:color w:val="auto"/>
        </w:rPr>
      </w:pPr>
    </w:p>
    <w:p>
      <w:pPr>
        <w:ind w:left="528"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Amdocs Limited (the "Company") is a leading provider of product-driven information system solutions to the communications industry. The Company and its subsidiaries operate in one business segment, providing computer systems integration and related services for the communications industry. The Company designs, develops, markets and supports computer software products and related services to communications companies throughout the world.</w:t>
      </w:r>
    </w:p>
    <w:p>
      <w:pPr>
        <w:spacing w:after="0" w:line="176" w:lineRule="exact"/>
        <w:rPr>
          <w:rFonts w:ascii="Courier New" w:cs="Courier New" w:eastAsia="Courier New" w:hAnsi="Courier New"/>
          <w:sz w:val="15"/>
          <w:szCs w:val="15"/>
          <w:color w:val="auto"/>
        </w:rPr>
      </w:pPr>
    </w:p>
    <w:p>
      <w:pPr>
        <w:ind w:left="528"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w:t>
      </w:r>
    </w:p>
    <w:p>
      <w:pPr>
        <w:spacing w:after="0" w:line="176" w:lineRule="exact"/>
        <w:rPr>
          <w:rFonts w:ascii="Courier New" w:cs="Courier New" w:eastAsia="Courier New" w:hAnsi="Courier New"/>
          <w:sz w:val="15"/>
          <w:szCs w:val="15"/>
          <w:color w:val="auto"/>
        </w:rPr>
      </w:pPr>
    </w:p>
    <w:p>
      <w:pPr>
        <w:ind w:left="528"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76" w:lineRule="exact"/>
        <w:rPr>
          <w:rFonts w:ascii="Courier New" w:cs="Courier New" w:eastAsia="Courier New" w:hAnsi="Courier New"/>
          <w:sz w:val="15"/>
          <w:szCs w:val="15"/>
          <w:color w:val="auto"/>
        </w:rPr>
      </w:pPr>
    </w:p>
    <w:p>
      <w:pPr>
        <w:ind w:left="52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1999 set forth in the Company's Annual Report on Form 20-F filed with the Securities and Exchange Commission.</w:t>
      </w:r>
    </w:p>
    <w:p>
      <w:pPr>
        <w:spacing w:after="0" w:line="178" w:lineRule="exact"/>
        <w:rPr>
          <w:rFonts w:ascii="Courier New" w:cs="Courier New" w:eastAsia="Courier New" w:hAnsi="Courier New"/>
          <w:sz w:val="15"/>
          <w:szCs w:val="15"/>
          <w:color w:val="auto"/>
        </w:rPr>
      </w:pPr>
    </w:p>
    <w:p>
      <w:pPr>
        <w:ind w:left="52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classifies all of its short-term interest-bearing investments as available-for-sale securities. Such short-term interest-bearing investments consist primarily of United States governmental securities which are stated at market value, with unrealized gains and losses on such securities reflected, net of tax, as other comprehensive income in shareholders' equity. Realized gains and losses on short-term interest-bearing investments are included in earnings and are derived using the specific identification method for determining the cost of securities. It is the Company's intent to maintain a liquid portfolio to take advantage of investment opportunities; therefore, all securities are considered to be available-for-sale and are classified as current assets.</w:t>
      </w:r>
    </w:p>
    <w:p>
      <w:pPr>
        <w:spacing w:after="0" w:line="177"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ITDS</w:t>
      </w:r>
    </w:p>
    <w:p>
      <w:pPr>
        <w:spacing w:after="0" w:line="175" w:lineRule="exact"/>
        <w:rPr>
          <w:rFonts w:ascii="Courier New" w:cs="Courier New" w:eastAsia="Courier New" w:hAnsi="Courier New"/>
          <w:sz w:val="15"/>
          <w:szCs w:val="15"/>
          <w:color w:val="auto"/>
        </w:rPr>
      </w:pPr>
    </w:p>
    <w:p>
      <w:pPr>
        <w:ind w:left="528" w:right="3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November 30, 1999, the Company completed the purchase of International Telecommunication Data Systems, Inc. (ITDS), in a stock-for-stock transaction. The total purchase price of $188,733 included issuance of ordinary shares, the grant of options and transaction costs. The acquisition was accounted for using the purchase method of accounting. The fair market value of ITDS' assets and liabilities has been included in the balance sheet as of the acquisition date. The results of ITDS' operations are included in the consolidated statement of operations, commencing December 1, 1999. An acquired technology valuation, which was independently determined, included both existing technology and in-process research and development. The valuation of these technologies was made by applying the income forecast method which considers the present value of cash flows by product lines. The fair value of existing technology products was valued at $12,342 and is being amortized by the Company over five years. In-process research and development valued at $19,876 was charged to expense immediately following the completion of the acquisition (during the quarter ended December 31, 1999) as this technology had not reached technological feasibility and has no alternative use. This technology will require varying additional development, coding and testing efforts before technological feasibility can be determined. The fair value of customer lists was valued at $647 and the fair value of workforce was valued at $5,407, each of which will be amortized over five years. The</w:t>
      </w:r>
    </w:p>
    <w:p>
      <w:pPr>
        <w:sectPr>
          <w:pgSz w:w="11900" w:h="16838" w:orient="portrait"/>
          <w:cols w:equalWidth="0" w:num="1">
            <w:col w:w="10227"/>
          </w:cols>
          <w:pgMar w:left="232" w:top="289" w:right="1440" w:bottom="1440" w:gutter="0" w:footer="0" w:header="0"/>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2"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(in U.S. dollars)</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8" w:right="3079"/>
        <w:spacing w:after="0"/>
        <w:rPr>
          <w:sz w:val="20"/>
          <w:szCs w:val="20"/>
          <w:color w:val="auto"/>
        </w:rPr>
      </w:pPr>
      <w:r>
        <w:rPr>
          <w:rFonts w:ascii="Courier New" w:cs="Courier New" w:eastAsia="Courier New" w:hAnsi="Courier New"/>
          <w:sz w:val="15"/>
          <w:szCs w:val="15"/>
          <w:color w:val="auto"/>
        </w:rPr>
        <w:t>excess of the purchase price over the net assets acquired, or goodwill, of $70,796 is being amortized over 15 years.</w:t>
      </w:r>
    </w:p>
    <w:p>
      <w:pPr>
        <w:spacing w:after="0" w:line="176" w:lineRule="exact"/>
        <w:rPr>
          <w:sz w:val="20"/>
          <w:szCs w:val="20"/>
          <w:color w:val="auto"/>
        </w:rPr>
      </w:pPr>
    </w:p>
    <w:p>
      <w:pPr>
        <w:ind w:left="528" w:right="3079"/>
        <w:spacing w:after="0" w:line="242" w:lineRule="auto"/>
        <w:rPr>
          <w:sz w:val="20"/>
          <w:szCs w:val="20"/>
          <w:color w:val="auto"/>
        </w:rPr>
      </w:pPr>
      <w:r>
        <w:rPr>
          <w:rFonts w:ascii="Courier New" w:cs="Courier New" w:eastAsia="Courier New" w:hAnsi="Courier New"/>
          <w:sz w:val="15"/>
          <w:szCs w:val="15"/>
          <w:color w:val="auto"/>
        </w:rPr>
        <w:t>Set forth below is the pro forma revenue, operating income, net income and earnings per share as if ITDS had been acquired as of the beginning of the respective periods, excluding the write off of in-process research and development, for the following periods:</w:t>
      </w:r>
    </w:p>
    <w:p>
      <w:pPr>
        <w:spacing w:after="0" w:line="200" w:lineRule="exact"/>
        <w:rPr>
          <w:sz w:val="20"/>
          <w:szCs w:val="20"/>
          <w:color w:val="auto"/>
        </w:rPr>
      </w:pPr>
    </w:p>
    <w:p>
      <w:pPr>
        <w:spacing w:after="0" w:line="317"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286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Three months ended</w:t>
            </w:r>
          </w:p>
        </w:tc>
        <w:tc>
          <w:tcPr>
            <w:tcW w:w="25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27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8"/>
              </w:rPr>
              <w:t>March 31,</w:t>
            </w:r>
          </w:p>
        </w:tc>
      </w:tr>
      <w:tr>
        <w:trPr>
          <w:trHeight w:val="172"/>
        </w:trPr>
        <w:tc>
          <w:tcPr>
            <w:tcW w:w="2700" w:type="dxa"/>
            <w:vAlign w:val="bottom"/>
          </w:tcPr>
          <w:p>
            <w:pPr>
              <w:spacing w:after="0"/>
              <w:rPr>
                <w:sz w:val="14"/>
                <w:szCs w:val="14"/>
                <w:color w:val="auto"/>
              </w:rPr>
            </w:pPr>
          </w:p>
        </w:tc>
        <w:tc>
          <w:tcPr>
            <w:tcW w:w="28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00" w:type="dxa"/>
            <w:vAlign w:val="bottom"/>
          </w:tcPr>
          <w:p>
            <w:pPr>
              <w:spacing w:after="0"/>
              <w:rPr>
                <w:sz w:val="14"/>
                <w:szCs w:val="14"/>
                <w:color w:val="auto"/>
              </w:rPr>
            </w:pPr>
          </w:p>
        </w:tc>
        <w:tc>
          <w:tcPr>
            <w:tcW w:w="17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2700" w:type="dxa"/>
            <w:vAlign w:val="bottom"/>
          </w:tcPr>
          <w:p>
            <w:pPr>
              <w:spacing w:after="0"/>
              <w:rPr>
                <w:sz w:val="14"/>
                <w:szCs w:val="14"/>
                <w:color w:val="auto"/>
              </w:rPr>
            </w:pP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7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$270,745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$181,231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$529,540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$345,918</w:t>
            </w:r>
          </w:p>
        </w:tc>
      </w:tr>
      <w:tr>
        <w:trPr>
          <w:trHeight w:val="172"/>
        </w:trPr>
        <w:tc>
          <w:tcPr>
            <w:tcW w:w="27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60,115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42,471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113,724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78,920</w:t>
            </w:r>
          </w:p>
        </w:tc>
      </w:tr>
      <w:tr>
        <w:trPr>
          <w:trHeight w:val="172"/>
        </w:trPr>
        <w:tc>
          <w:tcPr>
            <w:tcW w:w="27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42,863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27,343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80,013</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51,395</w:t>
            </w:r>
          </w:p>
        </w:tc>
      </w:tr>
      <w:tr>
        <w:trPr>
          <w:trHeight w:val="172"/>
        </w:trPr>
        <w:tc>
          <w:tcPr>
            <w:tcW w:w="27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0.21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0.39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172"/>
        </w:trPr>
        <w:tc>
          <w:tcPr>
            <w:tcW w:w="27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0.20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0.38</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bl>
    <w:p>
      <w:pPr>
        <w:spacing w:after="0" w:line="346" w:lineRule="exact"/>
        <w:rPr>
          <w:sz w:val="20"/>
          <w:szCs w:val="20"/>
          <w:color w:val="auto"/>
        </w:rPr>
      </w:pPr>
    </w:p>
    <w:p>
      <w:pPr>
        <w:ind w:left="528" w:hanging="528"/>
        <w:spacing w:after="0"/>
        <w:tabs>
          <w:tab w:leader="none" w:pos="52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Related-Party Transactions</w:t>
      </w:r>
    </w:p>
    <w:p>
      <w:pPr>
        <w:spacing w:after="0" w:line="175" w:lineRule="exact"/>
        <w:rPr>
          <w:rFonts w:ascii="Courier New" w:cs="Courier New" w:eastAsia="Courier New" w:hAnsi="Courier New"/>
          <w:sz w:val="15"/>
          <w:szCs w:val="15"/>
          <w:color w:val="auto"/>
        </w:rPr>
      </w:pPr>
    </w:p>
    <w:p>
      <w:pPr>
        <w:ind w:left="528" w:right="31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related party transactions are included in the consolidated statement of operations for the following periods: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268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Three months ended</w:t>
            </w:r>
          </w:p>
        </w:tc>
        <w:tc>
          <w:tcPr>
            <w:tcW w:w="2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3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March 31,</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March 31,</w:t>
            </w:r>
          </w:p>
        </w:tc>
      </w:tr>
      <w:tr>
        <w:trPr>
          <w:trHeight w:val="172"/>
        </w:trPr>
        <w:tc>
          <w:tcPr>
            <w:tcW w:w="3940" w:type="dxa"/>
            <w:vAlign w:val="bottom"/>
          </w:tcPr>
          <w:p>
            <w:pPr>
              <w:spacing w:after="0"/>
              <w:rPr>
                <w:sz w:val="14"/>
                <w:szCs w:val="14"/>
                <w:color w:val="auto"/>
              </w:rPr>
            </w:pPr>
          </w:p>
        </w:tc>
        <w:tc>
          <w:tcPr>
            <w:tcW w:w="268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40" w:type="dxa"/>
            <w:vAlign w:val="bottom"/>
          </w:tcPr>
          <w:p>
            <w:pPr>
              <w:spacing w:after="0"/>
              <w:rPr>
                <w:sz w:val="14"/>
                <w:szCs w:val="14"/>
                <w:color w:val="auto"/>
              </w:rPr>
            </w:pP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9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3940" w:type="dxa"/>
            <w:vAlign w:val="bottom"/>
          </w:tcPr>
          <w:p>
            <w:pPr>
              <w:ind w:left="460"/>
              <w:spacing w:after="0"/>
              <w:rPr>
                <w:sz w:val="20"/>
                <w:szCs w:val="20"/>
                <w:color w:val="auto"/>
              </w:rPr>
            </w:pPr>
            <w:r>
              <w:rPr>
                <w:rFonts w:ascii="Courier New" w:cs="Courier New" w:eastAsia="Courier New" w:hAnsi="Courier New"/>
                <w:sz w:val="15"/>
                <w:szCs w:val="15"/>
                <w:color w:val="auto"/>
              </w:rPr>
              <w:t>License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$ 2,938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$ 7,030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278</w:t>
            </w:r>
          </w:p>
        </w:tc>
      </w:tr>
      <w:tr>
        <w:trPr>
          <w:trHeight w:val="172"/>
        </w:trPr>
        <w:tc>
          <w:tcPr>
            <w:tcW w:w="3940" w:type="dxa"/>
            <w:vAlign w:val="bottom"/>
          </w:tcPr>
          <w:p>
            <w:pPr>
              <w:ind w:left="460"/>
              <w:spacing w:after="0"/>
              <w:rPr>
                <w:sz w:val="20"/>
                <w:szCs w:val="20"/>
                <w:color w:val="auto"/>
              </w:rPr>
            </w:pPr>
            <w:r>
              <w:rPr>
                <w:rFonts w:ascii="Courier New" w:cs="Courier New" w:eastAsia="Courier New" w:hAnsi="Courier New"/>
                <w:sz w:val="15"/>
                <w:szCs w:val="15"/>
                <w:color w:val="auto"/>
              </w:rPr>
              <w:t>Service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32,137</w:t>
            </w:r>
          </w:p>
        </w:tc>
        <w:tc>
          <w:tcPr>
            <w:tcW w:w="82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2"/>
              </w:rPr>
              <w:t>24,551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65,461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45,949</w:t>
            </w:r>
          </w:p>
        </w:tc>
      </w:tr>
      <w:tr>
        <w:trPr>
          <w:trHeight w:val="344"/>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3940" w:type="dxa"/>
            <w:vAlign w:val="bottom"/>
          </w:tcPr>
          <w:p>
            <w:pPr>
              <w:ind w:left="460"/>
              <w:spacing w:after="0"/>
              <w:rPr>
                <w:sz w:val="20"/>
                <w:szCs w:val="20"/>
                <w:color w:val="auto"/>
              </w:rPr>
            </w:pPr>
            <w:r>
              <w:rPr>
                <w:rFonts w:ascii="Courier New" w:cs="Courier New" w:eastAsia="Courier New" w:hAnsi="Courier New"/>
                <w:sz w:val="15"/>
                <w:szCs w:val="15"/>
                <w:color w:val="auto"/>
              </w:rPr>
              <w:t>Cost of service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82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1,419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1,057</w:t>
            </w:r>
          </w:p>
        </w:tc>
      </w:tr>
      <w:tr>
        <w:trPr>
          <w:trHeight w:val="172"/>
        </w:trPr>
        <w:tc>
          <w:tcPr>
            <w:tcW w:w="3940" w:type="dxa"/>
            <w:vAlign w:val="bottom"/>
          </w:tcPr>
          <w:p>
            <w:pPr>
              <w:ind w:left="460"/>
              <w:spacing w:after="0"/>
              <w:rPr>
                <w:sz w:val="20"/>
                <w:szCs w:val="20"/>
                <w:color w:val="auto"/>
              </w:rPr>
            </w:pPr>
            <w:r>
              <w:rPr>
                <w:rFonts w:ascii="Courier New" w:cs="Courier New" w:eastAsia="Courier New" w:hAnsi="Courier New"/>
                <w:sz w:val="15"/>
                <w:szCs w:val="15"/>
                <w:color w:val="auto"/>
              </w:rPr>
              <w:t>Selling, general and administrative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82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r>
    </w:tbl>
    <w:p>
      <w:pPr>
        <w:spacing w:after="0" w:line="346" w:lineRule="exact"/>
        <w:rPr>
          <w:sz w:val="20"/>
          <w:szCs w:val="20"/>
          <w:color w:val="auto"/>
        </w:rPr>
      </w:pPr>
    </w:p>
    <w:p>
      <w:pPr>
        <w:ind w:left="528" w:hanging="528"/>
        <w:spacing w:after="0"/>
        <w:tabs>
          <w:tab w:leader="none" w:pos="5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5" w:lineRule="exact"/>
        <w:rPr>
          <w:rFonts w:ascii="Courier New" w:cs="Courier New" w:eastAsia="Courier New" w:hAnsi="Courier New"/>
          <w:sz w:val="15"/>
          <w:szCs w:val="15"/>
          <w:color w:val="auto"/>
        </w:rPr>
      </w:pPr>
    </w:p>
    <w:p>
      <w:pPr>
        <w:ind w:left="52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4" w:lineRule="exact"/>
        <w:rPr>
          <w:rFonts w:ascii="Courier New" w:cs="Courier New" w:eastAsia="Courier New" w:hAnsi="Courier New"/>
          <w:sz w:val="15"/>
          <w:szCs w:val="15"/>
          <w:color w:val="auto"/>
        </w:rPr>
      </w:pPr>
    </w:p>
    <w:p>
      <w:pPr>
        <w:ind w:left="528" w:right="35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318"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26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Three months ended</w:t>
            </w:r>
          </w:p>
        </w:tc>
        <w:tc>
          <w:tcPr>
            <w:tcW w:w="23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45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March 31,</w:t>
            </w:r>
          </w:p>
        </w:tc>
      </w:tr>
      <w:tr>
        <w:trPr>
          <w:trHeight w:val="172"/>
        </w:trPr>
        <w:tc>
          <w:tcPr>
            <w:tcW w:w="4580" w:type="dxa"/>
            <w:vAlign w:val="bottom"/>
          </w:tcPr>
          <w:p>
            <w:pPr>
              <w:spacing w:after="0"/>
              <w:rPr>
                <w:sz w:val="14"/>
                <w:szCs w:val="14"/>
                <w:color w:val="auto"/>
              </w:rPr>
            </w:pPr>
          </w:p>
        </w:tc>
        <w:tc>
          <w:tcPr>
            <w:tcW w:w="26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80" w:type="dxa"/>
            <w:vAlign w:val="bottom"/>
          </w:tcPr>
          <w:p>
            <w:pPr>
              <w:spacing w:after="0"/>
              <w:rPr>
                <w:sz w:val="14"/>
                <w:szCs w:val="14"/>
                <w:color w:val="auto"/>
              </w:rPr>
            </w:pPr>
          </w:p>
        </w:tc>
        <w:tc>
          <w:tcPr>
            <w:tcW w:w="1680" w:type="dxa"/>
            <w:vAlign w:val="bottom"/>
          </w:tcPr>
          <w:p>
            <w:pPr>
              <w:ind w:left="440"/>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580" w:type="dxa"/>
            <w:vAlign w:val="bottom"/>
          </w:tcPr>
          <w:p>
            <w:pPr>
              <w:spacing w:after="0"/>
              <w:rPr>
                <w:sz w:val="14"/>
                <w:szCs w:val="14"/>
                <w:color w:val="auto"/>
              </w:rPr>
            </w:pPr>
          </w:p>
        </w:tc>
        <w:tc>
          <w:tcPr>
            <w:tcW w:w="16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$42,863</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$23,141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$60,144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$43,283</w:t>
            </w:r>
          </w:p>
        </w:tc>
      </w:tr>
      <w:tr>
        <w:trPr>
          <w:trHeight w:val="172"/>
        </w:trPr>
        <w:tc>
          <w:tcPr>
            <w:tcW w:w="458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4580" w:type="dxa"/>
            <w:vAlign w:val="bottom"/>
          </w:tcPr>
          <w:p>
            <w:pPr>
              <w:ind w:left="280"/>
              <w:spacing w:after="0"/>
              <w:rPr>
                <w:sz w:val="20"/>
                <w:szCs w:val="20"/>
                <w:color w:val="auto"/>
              </w:rPr>
            </w:pPr>
            <w:r>
              <w:rPr>
                <w:rFonts w:ascii="Courier New" w:cs="Courier New" w:eastAsia="Courier New" w:hAnsi="Courier New"/>
                <w:sz w:val="15"/>
                <w:szCs w:val="15"/>
                <w:color w:val="auto"/>
              </w:rPr>
              <w:t>Unrealized income on derivative instruments,</w:t>
            </w:r>
          </w:p>
        </w:tc>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4580" w:type="dxa"/>
            <w:vAlign w:val="bottom"/>
          </w:tcPr>
          <w:p>
            <w:pPr>
              <w:ind w:left="280"/>
              <w:spacing w:after="0"/>
              <w:rPr>
                <w:sz w:val="20"/>
                <w:szCs w:val="20"/>
                <w:color w:val="auto"/>
              </w:rPr>
            </w:pPr>
            <w:r>
              <w:rPr>
                <w:rFonts w:ascii="Courier New" w:cs="Courier New" w:eastAsia="Courier New" w:hAnsi="Courier New"/>
                <w:sz w:val="15"/>
                <w:szCs w:val="15"/>
                <w:color w:val="auto"/>
              </w:rPr>
              <w:t>net of tax</w:t>
            </w:r>
          </w:p>
        </w:tc>
        <w:tc>
          <w:tcPr>
            <w:tcW w:w="16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597</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3,851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6,370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1,720</w:t>
            </w:r>
          </w:p>
        </w:tc>
      </w:tr>
      <w:tr>
        <w:trPr>
          <w:trHeight w:val="172"/>
        </w:trPr>
        <w:tc>
          <w:tcPr>
            <w:tcW w:w="4580" w:type="dxa"/>
            <w:vAlign w:val="bottom"/>
          </w:tcPr>
          <w:p>
            <w:pPr>
              <w:ind w:left="280"/>
              <w:spacing w:after="0"/>
              <w:rPr>
                <w:sz w:val="20"/>
                <w:szCs w:val="20"/>
                <w:color w:val="auto"/>
              </w:rPr>
            </w:pPr>
            <w:r>
              <w:rPr>
                <w:rFonts w:ascii="Courier New" w:cs="Courier New" w:eastAsia="Courier New" w:hAnsi="Courier New"/>
                <w:sz w:val="15"/>
                <w:szCs w:val="15"/>
                <w:color w:val="auto"/>
              </w:rPr>
              <w:t>Unrealized income on short-term</w:t>
            </w:r>
          </w:p>
        </w:tc>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4580" w:type="dxa"/>
            <w:vAlign w:val="bottom"/>
          </w:tcPr>
          <w:p>
            <w:pPr>
              <w:ind w:left="280"/>
              <w:spacing w:after="0"/>
              <w:rPr>
                <w:sz w:val="20"/>
                <w:szCs w:val="20"/>
                <w:color w:val="auto"/>
              </w:rPr>
            </w:pPr>
            <w:r>
              <w:rPr>
                <w:rFonts w:ascii="Courier New" w:cs="Courier New" w:eastAsia="Courier New" w:hAnsi="Courier New"/>
                <w:sz w:val="15"/>
                <w:szCs w:val="15"/>
                <w:color w:val="auto"/>
              </w:rPr>
              <w:t>interest-bearing investments, net of tax</w:t>
            </w:r>
          </w:p>
        </w:tc>
        <w:tc>
          <w:tcPr>
            <w:tcW w:w="16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80" w:type="dxa"/>
            <w:vAlign w:val="bottom"/>
          </w:tcPr>
          <w:p>
            <w:pPr>
              <w:spacing w:after="0"/>
              <w:rPr>
                <w:sz w:val="14"/>
                <w:szCs w:val="14"/>
                <w:color w:val="auto"/>
              </w:rPr>
            </w:pPr>
          </w:p>
        </w:tc>
        <w:tc>
          <w:tcPr>
            <w:tcW w:w="16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6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$43,477</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$26,992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$66,514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$45,003</w:t>
            </w:r>
          </w:p>
        </w:tc>
      </w:tr>
      <w:tr>
        <w:trPr>
          <w:trHeight w:val="172"/>
        </w:trPr>
        <w:tc>
          <w:tcPr>
            <w:tcW w:w="4580" w:type="dxa"/>
            <w:vAlign w:val="bottom"/>
          </w:tcPr>
          <w:p>
            <w:pPr>
              <w:spacing w:after="0"/>
              <w:rPr>
                <w:sz w:val="14"/>
                <w:szCs w:val="14"/>
                <w:color w:val="auto"/>
              </w:rPr>
            </w:pPr>
          </w:p>
        </w:tc>
        <w:tc>
          <w:tcPr>
            <w:tcW w:w="16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528" w:hanging="528"/>
        <w:spacing w:after="0"/>
        <w:tabs>
          <w:tab w:leader="none" w:pos="52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779"/>
        <w:spacing w:after="0"/>
        <w:rPr>
          <w:sz w:val="20"/>
          <w:szCs w:val="20"/>
          <w:color w:val="auto"/>
        </w:rPr>
      </w:pPr>
      <w:r>
        <w:rPr>
          <w:rFonts w:ascii="Courier New" w:cs="Courier New" w:eastAsia="Courier New" w:hAnsi="Courier New"/>
          <w:sz w:val="15"/>
          <w:szCs w:val="15"/>
          <w:color w:val="auto"/>
        </w:rPr>
        <w:t>The provision for income taxes for the following periods consists of the following:</w:t>
      </w:r>
    </w:p>
    <w:p>
      <w:pPr>
        <w:sectPr>
          <w:pgSz w:w="11900" w:h="16838" w:orient="portrait"/>
          <w:cols w:equalWidth="0" w:num="1">
            <w:col w:w="10227"/>
          </w:cols>
          <w:pgMar w:left="232" w:top="289" w:right="1440"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Three months ended</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March 31,</w:t>
      </w:r>
    </w:p>
    <w:p>
      <w:pPr>
        <w:spacing w:after="0" w:line="4" w:lineRule="exact"/>
        <w:rPr>
          <w:sz w:val="20"/>
          <w:szCs w:val="20"/>
          <w:color w:val="auto"/>
        </w:rPr>
      </w:pPr>
    </w:p>
    <w:p>
      <w:pPr>
        <w:ind w:left="196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Six months ended</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March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928" w:space="720"/>
            <w:col w:w="5579"/>
          </w:cols>
          <w:pgMar w:left="232" w:top="289"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108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$11,831</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$ 6,557</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$30,469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$13,751</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7,739</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3,361</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5,025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4,799</w:t>
            </w:r>
          </w:p>
        </w:tc>
      </w:tr>
      <w:tr>
        <w:trPr>
          <w:trHeight w:val="172"/>
        </w:trPr>
        <w:tc>
          <w:tcPr>
            <w:tcW w:w="108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$19,570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$ 9,918</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$35,494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$18,550</w:t>
            </w:r>
          </w:p>
        </w:tc>
      </w:tr>
      <w:tr>
        <w:trPr>
          <w:trHeight w:val="172"/>
        </w:trPr>
        <w:tc>
          <w:tcPr>
            <w:tcW w:w="108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9699"/>
          </w:cols>
          <w:pgMar w:left="760" w:top="140" w:right="1440" w:bottom="1440" w:gutter="0" w:footer="0" w:header="0"/>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2" w:lineRule="exact"/>
        <w:rPr>
          <w:sz w:val="20"/>
          <w:szCs w:val="20"/>
          <w:color w:val="auto"/>
        </w:rPr>
      </w:pPr>
    </w:p>
    <w:p>
      <w:pPr>
        <w:jc w:val="center"/>
        <w:ind w:right="3212"/>
        <w:spacing w:after="0"/>
        <w:rPr>
          <w:sz w:val="20"/>
          <w:szCs w:val="20"/>
          <w:color w:val="auto"/>
        </w:rPr>
      </w:pPr>
      <w:r>
        <w:rPr>
          <w:rFonts w:ascii="Courier New" w:cs="Courier New" w:eastAsia="Courier New" w:hAnsi="Courier New"/>
          <w:sz w:val="15"/>
          <w:szCs w:val="15"/>
          <w:color w:val="auto"/>
        </w:rPr>
        <w:t>(in U.S. dollars)</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 w:right="3680"/>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18"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290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Three months ended</w:t>
            </w:r>
          </w:p>
        </w:tc>
        <w:tc>
          <w:tcPr>
            <w:tcW w:w="25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3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6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March 31,</w:t>
            </w:r>
          </w:p>
        </w:tc>
        <w:tc>
          <w:tcPr>
            <w:tcW w:w="1040" w:type="dxa"/>
            <w:vAlign w:val="bottom"/>
          </w:tcPr>
          <w:p>
            <w:pPr>
              <w:spacing w:after="0"/>
              <w:rPr>
                <w:sz w:val="14"/>
                <w:szCs w:val="14"/>
                <w:color w:val="auto"/>
              </w:rPr>
            </w:pPr>
          </w:p>
        </w:tc>
        <w:tc>
          <w:tcPr>
            <w:tcW w:w="14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3540" w:type="dxa"/>
            <w:vAlign w:val="bottom"/>
          </w:tcPr>
          <w:p>
            <w:pPr>
              <w:spacing w:after="0"/>
              <w:rPr>
                <w:sz w:val="14"/>
                <w:szCs w:val="14"/>
                <w:color w:val="auto"/>
              </w:rPr>
            </w:pPr>
          </w:p>
        </w:tc>
        <w:tc>
          <w:tcPr>
            <w:tcW w:w="290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4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19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54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54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c>
          <w:tcPr>
            <w:tcW w:w="19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2"/>
        </w:trPr>
        <w:tc>
          <w:tcPr>
            <w:tcW w:w="3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19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30</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Effect of acquisition-related costs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19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4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w:t>
            </w:r>
          </w:p>
        </w:tc>
        <w:tc>
          <w:tcPr>
            <w:tcW w:w="19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bl>
    <w:p>
      <w:pPr>
        <w:spacing w:after="0" w:line="348" w:lineRule="exact"/>
        <w:rPr>
          <w:sz w:val="20"/>
          <w:szCs w:val="20"/>
          <w:color w:val="auto"/>
        </w:rPr>
      </w:pPr>
    </w:p>
    <w:p>
      <w:pPr>
        <w:ind w:left="528" w:right="3400" w:hanging="267"/>
        <w:spacing w:after="0" w:line="241" w:lineRule="auto"/>
        <w:rPr>
          <w:sz w:val="20"/>
          <w:szCs w:val="20"/>
          <w:color w:val="auto"/>
        </w:rPr>
      </w:pPr>
      <w:r>
        <w:rPr>
          <w:rFonts w:ascii="Courier New" w:cs="Courier New" w:eastAsia="Courier New" w:hAnsi="Courier New"/>
          <w:sz w:val="15"/>
          <w:szCs w:val="15"/>
          <w:color w:val="auto"/>
        </w:rPr>
        <w:t>(*)Excludes certain non-tax deductible purchased in-process research and development and other amortization expenses related to the acquisition of ITDS.</w:t>
      </w:r>
    </w:p>
    <w:p>
      <w:pPr>
        <w:spacing w:after="0" w:line="346" w:lineRule="exact"/>
        <w:rPr>
          <w:sz w:val="20"/>
          <w:szCs w:val="20"/>
          <w:color w:val="auto"/>
        </w:rPr>
      </w:pPr>
    </w:p>
    <w:p>
      <w:pPr>
        <w:ind w:left="528" w:hanging="528"/>
        <w:spacing w:after="0"/>
        <w:tabs>
          <w:tab w:leader="none" w:pos="52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8" w:right="3320"/>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14"/>
                <w:szCs w:val="14"/>
                <w:color w:val="auto"/>
              </w:rPr>
            </w:pPr>
          </w:p>
        </w:tc>
        <w:tc>
          <w:tcPr>
            <w:tcW w:w="206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4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6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March 31,</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580" w:type="dxa"/>
            <w:vAlign w:val="bottom"/>
          </w:tcPr>
          <w:p>
            <w:pPr>
              <w:spacing w:after="0"/>
              <w:rPr>
                <w:sz w:val="14"/>
                <w:szCs w:val="14"/>
                <w:color w:val="auto"/>
              </w:rPr>
            </w:pPr>
          </w:p>
        </w:tc>
        <w:tc>
          <w:tcPr>
            <w:tcW w:w="286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spacing w:after="0"/>
              <w:rPr>
                <w:sz w:val="14"/>
                <w:szCs w:val="14"/>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13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2000</w:t>
            </w:r>
          </w:p>
        </w:tc>
        <w:tc>
          <w:tcPr>
            <w:tcW w:w="10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5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58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458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$ 42,863</w:t>
            </w:r>
          </w:p>
        </w:tc>
        <w:tc>
          <w:tcPr>
            <w:tcW w:w="1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$ 23,141</w:t>
            </w:r>
          </w:p>
        </w:tc>
        <w:tc>
          <w:tcPr>
            <w:tcW w:w="17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$ 60,144</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$ 43,283</w:t>
            </w:r>
          </w:p>
        </w:tc>
      </w:tr>
      <w:tr>
        <w:trPr>
          <w:trHeight w:val="172"/>
        </w:trPr>
        <w:tc>
          <w:tcPr>
            <w:tcW w:w="45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58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580" w:type="dxa"/>
            <w:vAlign w:val="bottom"/>
          </w:tcPr>
          <w:p>
            <w:pPr>
              <w:ind w:left="280"/>
              <w:spacing w:after="0"/>
              <w:rPr>
                <w:sz w:val="20"/>
                <w:szCs w:val="20"/>
                <w:color w:val="auto"/>
              </w:rPr>
            </w:pPr>
            <w:r>
              <w:rPr>
                <w:rFonts w:ascii="Courier New" w:cs="Courier New" w:eastAsia="Courier New" w:hAnsi="Courier New"/>
                <w:sz w:val="15"/>
                <w:szCs w:val="15"/>
                <w:color w:val="auto"/>
              </w:rPr>
              <w:t>Denominator for basic earnings per share-</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580" w:type="dxa"/>
            <w:vAlign w:val="bottom"/>
          </w:tcPr>
          <w:p>
            <w:pPr>
              <w:ind w:left="280"/>
              <w:spacing w:after="0"/>
              <w:rPr>
                <w:sz w:val="20"/>
                <w:szCs w:val="20"/>
                <w:color w:val="auto"/>
              </w:rPr>
            </w:pPr>
            <w:r>
              <w:rPr>
                <w:rFonts w:ascii="Courier New" w:cs="Courier New" w:eastAsia="Courier New" w:hAnsi="Courier New"/>
                <w:sz w:val="15"/>
                <w:szCs w:val="15"/>
                <w:color w:val="auto"/>
              </w:rPr>
              <w:t>weighted average number of shares</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580" w:type="dxa"/>
            <w:vAlign w:val="bottom"/>
          </w:tcPr>
          <w:p>
            <w:pPr>
              <w:ind w:left="720"/>
              <w:spacing w:after="0"/>
              <w:rPr>
                <w:sz w:val="20"/>
                <w:szCs w:val="20"/>
                <w:color w:val="auto"/>
              </w:rPr>
            </w:pPr>
            <w:r>
              <w:rPr>
                <w:rFonts w:ascii="Courier New" w:cs="Courier New" w:eastAsia="Courier New" w:hAnsi="Courier New"/>
                <w:sz w:val="15"/>
                <w:szCs w:val="15"/>
                <w:color w:val="auto"/>
              </w:rPr>
              <w:t>outstanding</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205,985</w:t>
            </w:r>
          </w:p>
        </w:tc>
        <w:tc>
          <w:tcPr>
            <w:tcW w:w="7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196,800</w:t>
            </w:r>
          </w:p>
        </w:tc>
        <w:tc>
          <w:tcPr>
            <w:tcW w:w="44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5"/>
              </w:rPr>
              <w:t>203,465</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196,800</w:t>
            </w:r>
          </w:p>
        </w:tc>
      </w:tr>
      <w:tr>
        <w:trPr>
          <w:trHeight w:val="172"/>
        </w:trPr>
        <w:tc>
          <w:tcPr>
            <w:tcW w:w="4580" w:type="dxa"/>
            <w:vAlign w:val="bottom"/>
          </w:tcPr>
          <w:p>
            <w:pPr>
              <w:ind w:left="280"/>
              <w:spacing w:after="0"/>
              <w:rPr>
                <w:sz w:val="20"/>
                <w:szCs w:val="20"/>
                <w:color w:val="auto"/>
              </w:rPr>
            </w:pPr>
            <w:r>
              <w:rPr>
                <w:rFonts w:ascii="Courier New" w:cs="Courier New" w:eastAsia="Courier New" w:hAnsi="Courier New"/>
                <w:sz w:val="15"/>
                <w:szCs w:val="15"/>
                <w:color w:val="auto"/>
              </w:rPr>
              <w:t>Effect of dilutive stock options granted</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5,431</w:t>
            </w:r>
          </w:p>
        </w:tc>
        <w:tc>
          <w:tcPr>
            <w:tcW w:w="7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2,742</w:t>
            </w:r>
          </w:p>
        </w:tc>
        <w:tc>
          <w:tcPr>
            <w:tcW w:w="44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4,439</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2,463</w:t>
            </w:r>
          </w:p>
        </w:tc>
      </w:tr>
      <w:tr>
        <w:trPr>
          <w:trHeight w:val="172"/>
        </w:trPr>
        <w:tc>
          <w:tcPr>
            <w:tcW w:w="45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580" w:type="dxa"/>
            <w:vAlign w:val="bottom"/>
          </w:tcPr>
          <w:p>
            <w:pPr>
              <w:ind w:left="280"/>
              <w:spacing w:after="0"/>
              <w:rPr>
                <w:sz w:val="20"/>
                <w:szCs w:val="20"/>
                <w:color w:val="auto"/>
              </w:rPr>
            </w:pPr>
            <w:r>
              <w:rPr>
                <w:rFonts w:ascii="Courier New" w:cs="Courier New" w:eastAsia="Courier New" w:hAnsi="Courier New"/>
                <w:sz w:val="15"/>
                <w:szCs w:val="15"/>
                <w:color w:val="auto"/>
              </w:rPr>
              <w:t>Denominator for dilutive earnings per share-</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580" w:type="dxa"/>
            <w:vAlign w:val="bottom"/>
          </w:tcPr>
          <w:p>
            <w:pPr>
              <w:ind w:left="720"/>
              <w:spacing w:after="0"/>
              <w:rPr>
                <w:sz w:val="20"/>
                <w:szCs w:val="20"/>
                <w:color w:val="auto"/>
              </w:rPr>
            </w:pPr>
            <w:r>
              <w:rPr>
                <w:rFonts w:ascii="Courier New" w:cs="Courier New" w:eastAsia="Courier New" w:hAnsi="Courier New"/>
                <w:sz w:val="15"/>
                <w:szCs w:val="15"/>
                <w:color w:val="auto"/>
              </w:rPr>
              <w:t>adjusted weighted average shares and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580" w:type="dxa"/>
            <w:vAlign w:val="bottom"/>
          </w:tcPr>
          <w:p>
            <w:pPr>
              <w:ind w:left="720"/>
              <w:spacing w:after="0"/>
              <w:rPr>
                <w:sz w:val="20"/>
                <w:szCs w:val="20"/>
                <w:color w:val="auto"/>
              </w:rPr>
            </w:pPr>
            <w:r>
              <w:rPr>
                <w:rFonts w:ascii="Courier New" w:cs="Courier New" w:eastAsia="Courier New" w:hAnsi="Courier New"/>
                <w:sz w:val="15"/>
                <w:szCs w:val="15"/>
                <w:color w:val="auto"/>
              </w:rPr>
              <w:t>assumed conversions</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211,416</w:t>
            </w:r>
          </w:p>
        </w:tc>
        <w:tc>
          <w:tcPr>
            <w:tcW w:w="7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199,542</w:t>
            </w:r>
          </w:p>
        </w:tc>
        <w:tc>
          <w:tcPr>
            <w:tcW w:w="44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5"/>
              </w:rPr>
              <w:t>207,904</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199,263</w:t>
            </w:r>
          </w:p>
        </w:tc>
      </w:tr>
      <w:tr>
        <w:trPr>
          <w:trHeight w:val="172"/>
        </w:trPr>
        <w:tc>
          <w:tcPr>
            <w:tcW w:w="45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580" w:type="dxa"/>
            <w:vAlign w:val="bottom"/>
          </w:tcPr>
          <w:p>
            <w:pPr>
              <w:ind w:left="280"/>
              <w:spacing w:after="0"/>
              <w:rPr>
                <w:sz w:val="20"/>
                <w:szCs w:val="20"/>
                <w:color w:val="auto"/>
              </w:rPr>
            </w:pPr>
            <w:r>
              <w:rPr>
                <w:rFonts w:ascii="Courier New" w:cs="Courier New" w:eastAsia="Courier New" w:hAnsi="Courier New"/>
                <w:sz w:val="15"/>
                <w:szCs w:val="15"/>
                <w:color w:val="auto"/>
              </w:rPr>
              <w:t>Basic earnings per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0.30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45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580" w:type="dxa"/>
            <w:vAlign w:val="bottom"/>
          </w:tcPr>
          <w:p>
            <w:pPr>
              <w:ind w:left="280"/>
              <w:spacing w:after="0"/>
              <w:rPr>
                <w:sz w:val="20"/>
                <w:szCs w:val="20"/>
                <w:color w:val="auto"/>
              </w:rPr>
            </w:pPr>
            <w:r>
              <w:rPr>
                <w:rFonts w:ascii="Courier New" w:cs="Courier New" w:eastAsia="Courier New" w:hAnsi="Courier New"/>
                <w:sz w:val="15"/>
                <w:szCs w:val="15"/>
                <w:color w:val="auto"/>
              </w:rPr>
              <w:t>Diluted earnings per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0.29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45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bl>
    <w:p>
      <w:pPr>
        <w:sectPr>
          <w:pgSz w:w="11900" w:h="16838" w:orient="portrait"/>
          <w:cols w:equalWidth="0" w:num="1">
            <w:col w:w="10468"/>
          </w:cols>
          <w:pgMar w:left="232" w:top="289" w:right="1199" w:bottom="1440" w:gutter="0" w:footer="0" w:header="0"/>
        </w:sectPr>
      </w:pPr>
    </w:p>
    <w:bookmarkStart w:id="10" w:name="page11"/>
    <w:bookmarkEnd w:id="10"/>
    <w:p>
      <w:pPr>
        <w:ind w:left="268"/>
        <w:spacing w:after="0"/>
        <w:rPr>
          <w:sz w:val="20"/>
          <w:szCs w:val="20"/>
          <w:color w:val="auto"/>
        </w:rPr>
      </w:pPr>
      <w:r>
        <w:rPr>
          <w:rFonts w:ascii="Courier New" w:cs="Courier New" w:eastAsia="Courier New" w:hAnsi="Courier New"/>
          <w:sz w:val="15"/>
          <w:szCs w:val="15"/>
          <w:color w:val="auto"/>
        </w:rPr>
        <w:t>10</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(in U.S. dollars)</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8" w:hanging="528"/>
        <w:spacing w:after="0"/>
        <w:tabs>
          <w:tab w:leader="none" w:pos="52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Solect Transaction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On April 5, 2000, the Company completed the purchase of Solect Technology Group</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 ("Solect"), in a stock-for-stock transaction. Solect is a leading provider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IP billing and customer care software to next generation service providers,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including wireless and application service providers, or ASP's. In connection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with the consummation of the transaction, the Company issued and/or granted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options to acquire a total of 15,500,000 of its ordinary shares. The total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purchase price of approximately $1,100,000, based on a per share price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$69.875 for the Company's ordinary shares, included both the issuance of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grant of options for ordinary shares, as well as transaction costs.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acquisition will be accounted for by the Company under the purchase method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accounting.</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An independent appraiser currently is performing an acquired technology valuation, which will include existing technology and in-process research and development. The valuation of these technologies will be made by applying the income forecast method, which considers the present value of cash flows by product lines.</w:t>
      </w:r>
    </w:p>
    <w:p>
      <w:pPr>
        <w:spacing w:after="0" w:line="175"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The purchase is expected to result in a one-time, non-cash charge to the Company's earnings as certain of Solect's technologies have not reached technological feasibility and have no alternative use. The Company believes that these technologies will require varying additional development, coding and testing efforts before technological feasibility can be determined. The amortization by the Company of certain acquired technology will be over two to three years. The Company believes that a significant portion of the purchase price will be allocated to goodwill, which it expects to amortize over five to seven years. These non-cash charges, which will not be tax deductible, are expected to increase the Company's effective tax rate for fiscal 2000 to between 60% and 70% of reported pre-tax income. Excluding these non-cash charges, the Company's effective tax rate would remain near its historic level of 30%.</w:t>
      </w:r>
    </w:p>
    <w:p>
      <w:pPr>
        <w:sectPr>
          <w:pgSz w:w="11900" w:h="16838" w:orient="portrait"/>
          <w:cols w:equalWidth="0" w:num="1">
            <w:col w:w="10227"/>
          </w:cols>
          <w:pgMar w:left="232"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4" w:lineRule="exact"/>
        <w:rPr>
          <w:sz w:val="20"/>
          <w:szCs w:val="20"/>
          <w:color w:val="auto"/>
        </w:rPr>
      </w:pPr>
    </w:p>
    <w:p>
      <w:pPr>
        <w:ind w:left="800" w:right="3599" w:hanging="804"/>
        <w:spacing w:after="0"/>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Results of Operations and Financial Condition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348" w:lineRule="exact"/>
        <w:rPr>
          <w:sz w:val="20"/>
          <w:szCs w:val="20"/>
          <w:color w:val="auto"/>
        </w:rPr>
      </w:pPr>
    </w:p>
    <w:p>
      <w:pPr>
        <w:jc w:val="both"/>
        <w:ind w:right="3779"/>
        <w:spacing w:after="0" w:line="241" w:lineRule="auto"/>
        <w:rPr>
          <w:sz w:val="20"/>
          <w:szCs w:val="20"/>
          <w:color w:val="auto"/>
        </w:rPr>
      </w:pPr>
      <w:r>
        <w:rPr>
          <w:rFonts w:ascii="Courier New" w:cs="Courier New" w:eastAsia="Courier New" w:hAnsi="Courier New"/>
          <w:sz w:val="15"/>
          <w:szCs w:val="15"/>
          <w:color w:val="auto"/>
        </w:rPr>
        <w:t>In Management's Discussion and Analysis we explain the general financial condition and the results of operations for Amdocs and its subsidiaries including:</w:t>
      </w:r>
    </w:p>
    <w:p>
      <w:pPr>
        <w:spacing w:after="0" w:line="174" w:lineRule="exact"/>
        <w:rPr>
          <w:sz w:val="20"/>
          <w:szCs w:val="20"/>
          <w:color w:val="auto"/>
        </w:rPr>
      </w:pPr>
    </w:p>
    <w:p>
      <w:pPr>
        <w:ind w:left="1060" w:hanging="532"/>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5" w:lineRule="exact"/>
        <w:rPr>
          <w:rFonts w:ascii="Courier New" w:cs="Courier New" w:eastAsia="Courier New" w:hAnsi="Courier New"/>
          <w:sz w:val="15"/>
          <w:szCs w:val="15"/>
          <w:color w:val="auto"/>
        </w:rPr>
      </w:pPr>
    </w:p>
    <w:p>
      <w:pPr>
        <w:ind w:left="1060" w:right="3259" w:hanging="532"/>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six months and three months ended March 31, 2000 and 1999,</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5" w:lineRule="exact"/>
        <w:rPr>
          <w:rFonts w:ascii="Courier New" w:cs="Courier New" w:eastAsia="Courier New" w:hAnsi="Courier New"/>
          <w:sz w:val="15"/>
          <w:szCs w:val="15"/>
          <w:color w:val="auto"/>
        </w:rPr>
      </w:pPr>
    </w:p>
    <w:p>
      <w:pPr>
        <w:ind w:left="1060" w:right="3159" w:hanging="532"/>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six months and three months ended March 31, 2000 and 1999, and</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Management's Discussion and Analysis should be read in conjunction with Amdocs' consolidated financial statements. In Management's Discussion and Analysis, we analyze and explain the six months to six months and three months to three months changes in the specific line items in the consolidated statements of operations. Our analysis contains certain forward-looking statements that involve risk and uncertainties. Our actual results could differ materially from the results reflected in these forward-looking statements as they are subject to a variety of risk factors. We disclaim any obligation to update our forward-looking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are a leading provider of software products and services to the communications industry, primarily Customer Care, Billing and Order Management Systems, or CC&amp;B Systems, for wireline, wireless, Internet Protocol ("IP") data and multiple-service or convergent network operators and service providers. We also supply Directory Sales and Publishing Systems, or Directory Systems, to publishers of both traditional printed yellow page and white page directories and Internet directories. Our products are mission-critical for a customer's operations. Due to the complexity of the process and the expertise required for system support, we also provide extensive customization, implementation, integration, ongoing support, system enhancement, maintenance and outsourcing services.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left="1060" w:right="3439" w:hanging="532"/>
        <w:spacing w:after="0" w:line="241"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 of our products and related services, including license fees and customization, implementation and integration services, and</w:t>
      </w:r>
    </w:p>
    <w:p>
      <w:pPr>
        <w:spacing w:after="0" w:line="176" w:lineRule="exact"/>
        <w:rPr>
          <w:rFonts w:ascii="Courier New" w:cs="Courier New" w:eastAsia="Courier New" w:hAnsi="Courier New"/>
          <w:sz w:val="15"/>
          <w:szCs w:val="15"/>
          <w:color w:val="auto"/>
        </w:rPr>
      </w:pPr>
    </w:p>
    <w:p>
      <w:pPr>
        <w:ind w:left="1060" w:right="3079" w:hanging="532"/>
        <w:spacing w:after="0" w:line="242"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maintenance, support, outsourcing and other related services provided to our customers and, to a lesser degree, from incremental license fees resulting from increases in a customer's subscribers.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License revenue is recognized concurrently as work is performed, using the percentage of completion method of accounting. Service revenue that involves significant ongoing obligations, including fees for customization, implementation and initial support services, is also recognized as work is performed, under the percentage of completion method of accounting. In outsourcing contracts, where the CC&amp;B Systems solution includes the operation and maintenance of customers' billing systems, revenue is recognized in the period in which the bills are produced. Revenue from ongoing support services is recognized as work is performed. Revenue from third party hardware and software sales is recognized upon delivery.</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Maintenance revenue is recognized ratably over the term of the maintenance agreement. As a result of our percentage of completion accounting method, the size and timing of customer projects and our progress in completing such projects may significantly affect our quarterly operating results.</w:t>
      </w:r>
    </w:p>
    <w:p>
      <w:pPr>
        <w:spacing w:after="0" w:line="175" w:lineRule="exact"/>
        <w:rPr>
          <w:sz w:val="20"/>
          <w:szCs w:val="20"/>
          <w:color w:val="auto"/>
        </w:rPr>
      </w:pPr>
    </w:p>
    <w:p>
      <w:pPr>
        <w:ind w:left="1060" w:right="3159" w:hanging="532"/>
        <w:spacing w:after="0" w:line="242"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 revenue from the sale of CC&amp;B Systems amounted to $438.7 million and $199.6 million in the six months ended March 31, 2000 and 1999, respectively, representing 86.7% and 71.5%, respectively, of our total revenue for such periods. License and service fee revenue from the sale of CC&amp;B Systems amounted to $233.9 million and $109.2 million in the three months ended March 31, 2000 and 1999, respectively, representing 86.4% and 73.9%, respectively, of our total revenue for such periods.</w:t>
      </w:r>
    </w:p>
    <w:p>
      <w:pPr>
        <w:spacing w:after="0" w:line="177"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We believe that the demand for CC&amp;B Systems will continue to increase due to, among other key factors:</w:t>
      </w:r>
    </w:p>
    <w:p>
      <w:pPr>
        <w:spacing w:after="0" w:line="174" w:lineRule="exact"/>
        <w:rPr>
          <w:sz w:val="20"/>
          <w:szCs w:val="20"/>
          <w:color w:val="auto"/>
        </w:rPr>
      </w:pPr>
    </w:p>
    <w:p>
      <w:pPr>
        <w:ind w:left="1060" w:hanging="532"/>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growth and globalization of the communications market,</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intensifying competition among communications carriers,</w:t>
      </w:r>
    </w:p>
    <w:p>
      <w:pPr>
        <w:spacing w:after="0" w:line="175" w:lineRule="exact"/>
        <w:rPr>
          <w:rFonts w:ascii="Courier New" w:cs="Courier New" w:eastAsia="Courier New" w:hAnsi="Courier New"/>
          <w:sz w:val="15"/>
          <w:szCs w:val="15"/>
          <w:color w:val="auto"/>
        </w:rPr>
      </w:pPr>
    </w:p>
    <w:p>
      <w:pPr>
        <w:ind w:left="1060" w:right="3259" w:hanging="532"/>
        <w:spacing w:after="0" w:line="241" w:lineRule="auto"/>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technological changes, such as the introduction of wireless Internet services via WAP (Wireless Application Protocol) and GPRS (General Packet Radio Services) technology,</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proliferation of new communications products and services, and</w:t>
      </w:r>
    </w:p>
    <w:p>
      <w:pPr>
        <w:spacing w:after="0" w:line="175" w:lineRule="exact"/>
        <w:rPr>
          <w:rFonts w:ascii="Courier New" w:cs="Courier New" w:eastAsia="Courier New" w:hAnsi="Courier New"/>
          <w:sz w:val="15"/>
          <w:szCs w:val="15"/>
          <w:color w:val="auto"/>
        </w:rPr>
      </w:pPr>
    </w:p>
    <w:p>
      <w:pPr>
        <w:ind w:left="1060" w:right="4139" w:hanging="532"/>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 and outsourcing.</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also believe that a key driver of demand is the continuing trend for network operators and service providers to offer to their subscribers multiple service packages, commonly referred to as convergent services (combinations of local, long distance, international, mobile, cable television, IP, data and electronic commerce).</w:t>
      </w:r>
    </w:p>
    <w:p>
      <w:pPr>
        <w:spacing w:after="0" w:line="175"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As a result of these developments, we believe that CC&amp;B Systems will continue to account for the largest share of our total revenue.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that we serve.</w:t>
      </w:r>
    </w:p>
    <w:p>
      <w:pPr>
        <w:spacing w:after="0" w:line="175" w:lineRule="exact"/>
        <w:rPr>
          <w:sz w:val="20"/>
          <w:szCs w:val="20"/>
          <w:color w:val="auto"/>
        </w:rPr>
      </w:pPr>
    </w:p>
    <w:p>
      <w:pPr>
        <w:ind w:left="1060" w:right="3259" w:hanging="532"/>
        <w:spacing w:after="0" w:line="260" w:lineRule="auto"/>
        <w:tabs>
          <w:tab w:leader="none" w:pos="10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and service fee revenue from the sale of Directory Systems totaled $67.6 million and $79.7 million in the six months ended March 31, 2000 and 1999, respectively, accounting for 13.3% and</w:t>
      </w:r>
    </w:p>
    <w:p>
      <w:pPr>
        <w:ind w:left="1060"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28.5%, respectively, of our total revenue for such periods. License and service fee revenue from the sale of Directory Systems totaled $36.9 million and $38.6 million in the three months ended March 31, 2000 and 1999, respectively, accounting for 13.6% and 26.1%, respectively, of our total revenue for such periods.</w:t>
      </w:r>
    </w:p>
    <w:p>
      <w:pPr>
        <w:spacing w:after="0" w:line="175"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The decrease in revenue from Directory Systems reflects a lowering of the volume of Directory Systems services required by our existing customers. We expect that the demand for our Directory Systems will modestly decrease in future periods, with the result that the contribution to total revenue of license and service fees from Directory Systems services will also continue to decrease over time.</w:t>
      </w:r>
    </w:p>
    <w:p>
      <w:pPr>
        <w:spacing w:after="0" w:line="16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Our research and development activities involve the development of new software modules and product offerings in response to an identified market demand, either in conjunction with a customer project or as part of our product development program. We also expend additional amounts on applied research and software development activities to keep abreast of new technologies in the communications market. Research and development expenditures amounted to $32.7 million and $17.5 million in the six months ended March 31, 2000 and 1999, respectively, representing 6.5% and 6.3% of our revenue in these periods, respectively. Research and development expenditures amounted to $17.7 million and $9.1 million in the three month ended March 31, 2000 and 1999, respectively, representing 6.5% and 6.2% of our revenue in</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these periods, respectively. In the next several years, we intend to continue to make substantial investments in our research and development and anticipate a significant increase in absolute dollar terms in research and development expenditures for fiscal 2000. As a percentage of our expected revenue for this period, we believe that our research and development expenditures will increase only modestly. With our recent acquisition of Solect Technology Group Inc. ("Solect"), and the efficiencies expected to result from the integration of Solect's IP solutions into our existing CC&amp;B Systems, we believe our ongoing investment in research and development for IP systems may be reduced. See discussion below - "Recent Developments".</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November 30, 1999, we completed the purchase of International Telecommunication Data Systems, Inc. ("ITDS"), in a stock-for-stock transaction. ITDS is a leading provider of billing and customer care service bureau solutions to wireless communication service providers. This acquisition is expected to expand the scope of our CC&amp;B Systems offering and further establish our leadership in providing total solutions to the communications industry. We issued 6,450,714 ordinary shares and granted 1,102,955 options for ordinary shares in connection with the consummation of the transaction. The total purchase price of $188.7 million, based on a per share price of $28.25 for our ordinary shares, includes issuance of ordinary shares, the grant of options and transaction costs. The acquisition was accounted for using the purchase method of accounting. The fair market value of ITDS' assets and liabilities has been included in our balance sheet as of the acquisition date. An acquired technology valuation, which was determined by an independent appraiser, included both existing technology and in-process research and development. The valuation of these items was made by applying the income forecast method which considers the present value of cash flows by product lines. The fair value of existing technology products was valued at $12.3 million and is being amortized over five years. In-process research and development, valued at $19.9 million, was charged to expense immediately following the completion of the acquisition (in the quarter ended December 31, 1999) as this technology had not reached technological feasibility and has no alternative use. Additional development, coding and testing efforts will be required before technological feasibility can be determined. The fair value of customer lists was valued at $0.6 million and the fair value of workforce in place was valued at $5.4 million, both of which are being amortized over five years. The excess of the purchase price over the net assets acquired, or goodwill, of $70.8 million is being amortized over 15 years.</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348" w:lineRule="exact"/>
        <w:rPr>
          <w:sz w:val="20"/>
          <w:szCs w:val="20"/>
          <w:color w:val="auto"/>
        </w:rPr>
      </w:pPr>
    </w:p>
    <w:p>
      <w:pPr>
        <w:ind w:right="460"/>
        <w:spacing w:after="0" w:line="241" w:lineRule="auto"/>
        <w:rPr>
          <w:sz w:val="20"/>
          <w:szCs w:val="20"/>
          <w:color w:val="auto"/>
        </w:rPr>
      </w:pPr>
      <w:r>
        <w:rPr>
          <w:rFonts w:ascii="Courier New" w:cs="Courier New" w:eastAsia="Courier New" w:hAnsi="Courier New"/>
          <w:sz w:val="15"/>
          <w:szCs w:val="15"/>
          <w:color w:val="auto"/>
        </w:rPr>
        <w:t>The following table sets forth for the six and three months ended March 31, 2000 and 1999, respectively, certain items in our consolidated statements of operations reflected as a percentage of total revenue:</w:t>
      </w:r>
    </w:p>
    <w:p>
      <w:pPr>
        <w:spacing w:after="0" w:line="200" w:lineRule="exact"/>
        <w:rPr>
          <w:sz w:val="20"/>
          <w:szCs w:val="20"/>
          <w:color w:val="auto"/>
        </w:rPr>
      </w:pPr>
    </w:p>
    <w:p>
      <w:pPr>
        <w:spacing w:after="0" w:line="31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640" w:type="dxa"/>
            <w:vAlign w:val="bottom"/>
          </w:tcPr>
          <w:p>
            <w:pPr>
              <w:spacing w:after="0"/>
              <w:rPr>
                <w:sz w:val="14"/>
                <w:szCs w:val="14"/>
                <w:color w:val="auto"/>
              </w:rPr>
            </w:pPr>
          </w:p>
        </w:tc>
      </w:tr>
      <w:tr>
        <w:trPr>
          <w:trHeight w:val="172"/>
        </w:trPr>
        <w:tc>
          <w:tcPr>
            <w:tcW w:w="4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March 31,</w:t>
            </w:r>
          </w:p>
        </w:tc>
        <w:tc>
          <w:tcPr>
            <w:tcW w:w="640" w:type="dxa"/>
            <w:vAlign w:val="bottom"/>
          </w:tcPr>
          <w:p>
            <w:pPr>
              <w:spacing w:after="0"/>
              <w:rPr>
                <w:sz w:val="14"/>
                <w:szCs w:val="14"/>
                <w:color w:val="auto"/>
              </w:rPr>
            </w:pPr>
          </w:p>
        </w:tc>
      </w:tr>
      <w:tr>
        <w:trPr>
          <w:trHeight w:val="172"/>
        </w:trPr>
        <w:tc>
          <w:tcPr>
            <w:tcW w:w="40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1999</w:t>
            </w:r>
          </w:p>
        </w:tc>
      </w:tr>
      <w:tr>
        <w:trPr>
          <w:trHeight w:val="172"/>
        </w:trPr>
        <w:tc>
          <w:tcPr>
            <w:tcW w:w="40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As</w:t>
            </w:r>
          </w:p>
        </w:tc>
        <w:tc>
          <w:tcPr>
            <w:tcW w:w="640" w:type="dxa"/>
            <w:vAlign w:val="bottom"/>
          </w:tcPr>
          <w:p>
            <w:pPr>
              <w:spacing w:after="0"/>
              <w:rPr>
                <w:sz w:val="14"/>
                <w:szCs w:val="14"/>
                <w:color w:val="auto"/>
              </w:rPr>
            </w:pPr>
          </w:p>
        </w:tc>
      </w:tr>
      <w:tr>
        <w:trPr>
          <w:trHeight w:val="172"/>
        </w:trPr>
        <w:tc>
          <w:tcPr>
            <w:tcW w:w="4040" w:type="dxa"/>
            <w:vAlign w:val="bottom"/>
          </w:tcPr>
          <w:p>
            <w:pPr>
              <w:spacing w:after="0"/>
              <w:rPr>
                <w:sz w:val="14"/>
                <w:szCs w:val="14"/>
                <w:color w:val="auto"/>
              </w:rPr>
            </w:pPr>
          </w:p>
        </w:tc>
        <w:tc>
          <w:tcPr>
            <w:tcW w:w="13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reported</w:t>
            </w:r>
          </w:p>
        </w:tc>
        <w:tc>
          <w:tcPr>
            <w:tcW w:w="640" w:type="dxa"/>
            <w:vAlign w:val="bottom"/>
          </w:tcPr>
          <w:p>
            <w:pPr>
              <w:spacing w:after="0"/>
              <w:rPr>
                <w:sz w:val="14"/>
                <w:szCs w:val="14"/>
                <w:color w:val="auto"/>
              </w:rPr>
            </w:pPr>
          </w:p>
        </w:tc>
      </w:tr>
      <w:tr>
        <w:trPr>
          <w:trHeight w:val="344"/>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4040" w:type="dxa"/>
            <w:vAlign w:val="bottom"/>
          </w:tcPr>
          <w:p>
            <w:pPr>
              <w:ind w:left="540"/>
              <w:spacing w:after="0"/>
              <w:rPr>
                <w:sz w:val="20"/>
                <w:szCs w:val="20"/>
                <w:color w:val="auto"/>
              </w:rPr>
            </w:pPr>
            <w:r>
              <w:rPr>
                <w:rFonts w:ascii="Courier New" w:cs="Courier New" w:eastAsia="Courier New" w:hAnsi="Courier New"/>
                <w:sz w:val="15"/>
                <w:szCs w:val="15"/>
                <w:color w:val="auto"/>
              </w:rPr>
              <w:t>License</w:t>
            </w: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11.2%</w:t>
            </w:r>
          </w:p>
        </w:tc>
        <w:tc>
          <w:tcPr>
            <w:tcW w:w="11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2"/>
        </w:trPr>
        <w:tc>
          <w:tcPr>
            <w:tcW w:w="4040" w:type="dxa"/>
            <w:vAlign w:val="bottom"/>
          </w:tcPr>
          <w:p>
            <w:pPr>
              <w:ind w:left="540"/>
              <w:spacing w:after="0"/>
              <w:rPr>
                <w:sz w:val="20"/>
                <w:szCs w:val="20"/>
                <w:color w:val="auto"/>
              </w:rPr>
            </w:pPr>
            <w:r>
              <w:rPr>
                <w:rFonts w:ascii="Courier New" w:cs="Courier New" w:eastAsia="Courier New" w:hAnsi="Courier New"/>
                <w:sz w:val="15"/>
                <w:szCs w:val="15"/>
                <w:color w:val="auto"/>
              </w:rPr>
              <w:t>Service</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88.8</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88.8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88.3</w:t>
            </w:r>
          </w:p>
        </w:tc>
      </w:tr>
      <w:tr>
        <w:trPr>
          <w:trHeight w:val="172"/>
        </w:trPr>
        <w:tc>
          <w:tcPr>
            <w:tcW w:w="404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4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100.0</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404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4040" w:type="dxa"/>
            <w:vAlign w:val="bottom"/>
          </w:tcPr>
          <w:p>
            <w:pPr>
              <w:ind w:left="540"/>
              <w:spacing w:after="0"/>
              <w:rPr>
                <w:sz w:val="20"/>
                <w:szCs w:val="20"/>
                <w:color w:val="auto"/>
              </w:rPr>
            </w:pPr>
            <w:r>
              <w:rPr>
                <w:rFonts w:ascii="Courier New" w:cs="Courier New" w:eastAsia="Courier New" w:hAnsi="Courier New"/>
                <w:sz w:val="15"/>
                <w:szCs w:val="15"/>
                <w:color w:val="auto"/>
              </w:rPr>
              <w:t>Cost of license</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0.5</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0.5</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w:t>
            </w:r>
          </w:p>
        </w:tc>
      </w:tr>
      <w:tr>
        <w:trPr>
          <w:trHeight w:val="172"/>
        </w:trPr>
        <w:tc>
          <w:tcPr>
            <w:tcW w:w="4040" w:type="dxa"/>
            <w:vAlign w:val="bottom"/>
          </w:tcPr>
          <w:p>
            <w:pPr>
              <w:ind w:left="540"/>
              <w:spacing w:after="0"/>
              <w:rPr>
                <w:sz w:val="20"/>
                <w:szCs w:val="20"/>
                <w:color w:val="auto"/>
              </w:rPr>
            </w:pPr>
            <w:r>
              <w:rPr>
                <w:rFonts w:ascii="Courier New" w:cs="Courier New" w:eastAsia="Courier New" w:hAnsi="Courier New"/>
                <w:sz w:val="15"/>
                <w:szCs w:val="15"/>
                <w:color w:val="auto"/>
              </w:rPr>
              <w:t>Cost of service</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57.8</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57.9</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57.0</w:t>
            </w:r>
          </w:p>
        </w:tc>
      </w:tr>
      <w:tr>
        <w:trPr>
          <w:trHeight w:val="172"/>
        </w:trPr>
        <w:tc>
          <w:tcPr>
            <w:tcW w:w="4040" w:type="dxa"/>
            <w:vAlign w:val="bottom"/>
          </w:tcPr>
          <w:p>
            <w:pPr>
              <w:ind w:left="540"/>
              <w:spacing w:after="0"/>
              <w:rPr>
                <w:sz w:val="20"/>
                <w:szCs w:val="20"/>
                <w:color w:val="auto"/>
              </w:rPr>
            </w:pPr>
            <w:r>
              <w:rPr>
                <w:rFonts w:ascii="Courier New" w:cs="Courier New" w:eastAsia="Courier New" w:hAnsi="Courier New"/>
                <w:sz w:val="15"/>
                <w:szCs w:val="15"/>
                <w:color w:val="auto"/>
              </w:rPr>
              <w:t>Research and development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6.5</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6.5</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w:t>
            </w:r>
          </w:p>
        </w:tc>
      </w:tr>
      <w:tr>
        <w:trPr>
          <w:trHeight w:val="172"/>
        </w:trPr>
        <w:tc>
          <w:tcPr>
            <w:tcW w:w="4040" w:type="dxa"/>
            <w:vAlign w:val="bottom"/>
          </w:tcPr>
          <w:p>
            <w:pPr>
              <w:ind w:left="540"/>
              <w:spacing w:after="0"/>
              <w:rPr>
                <w:sz w:val="20"/>
                <w:szCs w:val="20"/>
                <w:color w:val="auto"/>
              </w:rPr>
            </w:pPr>
            <w:r>
              <w:rPr>
                <w:rFonts w:ascii="Courier New" w:cs="Courier New" w:eastAsia="Courier New" w:hAnsi="Courier New"/>
                <w:sz w:val="15"/>
                <w:szCs w:val="15"/>
                <w:color w:val="auto"/>
              </w:rPr>
              <w:t>Selling, general and administrative</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12.3</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12.8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w:t>
            </w:r>
          </w:p>
        </w:tc>
      </w:tr>
      <w:tr>
        <w:trPr>
          <w:trHeight w:val="172"/>
        </w:trPr>
        <w:tc>
          <w:tcPr>
            <w:tcW w:w="4040" w:type="dxa"/>
            <w:vAlign w:val="bottom"/>
          </w:tcPr>
          <w:p>
            <w:pPr>
              <w:ind w:left="540"/>
              <w:spacing w:after="0"/>
              <w:rPr>
                <w:sz w:val="20"/>
                <w:szCs w:val="20"/>
                <w:color w:val="auto"/>
              </w:rPr>
            </w:pPr>
            <w:r>
              <w:rPr>
                <w:rFonts w:ascii="Courier New" w:cs="Courier New" w:eastAsia="Courier New" w:hAnsi="Courier New"/>
                <w:sz w:val="15"/>
                <w:szCs w:val="15"/>
                <w:color w:val="auto"/>
              </w:rPr>
              <w:t>In-process  research and  development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40" w:type="dxa"/>
            <w:vAlign w:val="bottom"/>
          </w:tcPr>
          <w:p>
            <w:pPr>
              <w:ind w:left="540"/>
              <w:spacing w:after="0"/>
              <w:rPr>
                <w:sz w:val="20"/>
                <w:szCs w:val="20"/>
                <w:color w:val="auto"/>
              </w:rPr>
            </w:pPr>
            <w:r>
              <w:rPr>
                <w:rFonts w:ascii="Courier New" w:cs="Courier New" w:eastAsia="Courier New" w:hAnsi="Courier New"/>
                <w:sz w:val="15"/>
                <w:szCs w:val="15"/>
                <w:color w:val="auto"/>
              </w:rPr>
              <w:t>expenses</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4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77.1</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77.7</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75.9</w:t>
            </w:r>
          </w:p>
        </w:tc>
      </w:tr>
      <w:tr>
        <w:trPr>
          <w:trHeight w:val="172"/>
        </w:trPr>
        <w:tc>
          <w:tcPr>
            <w:tcW w:w="404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22.9</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22.3</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w:t>
            </w:r>
          </w:p>
        </w:tc>
      </w:tr>
      <w:tr>
        <w:trPr>
          <w:trHeight w:val="172"/>
        </w:trPr>
        <w:tc>
          <w:tcPr>
            <w:tcW w:w="404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0.9</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0.9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2"/>
        </w:trPr>
        <w:tc>
          <w:tcPr>
            <w:tcW w:w="404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23.8</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23.2</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22.4</w:t>
            </w:r>
          </w:p>
        </w:tc>
      </w:tr>
      <w:tr>
        <w:trPr>
          <w:trHeight w:val="172"/>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7.1</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7.2</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w:t>
            </w:r>
          </w:p>
        </w:tc>
      </w:tr>
      <w:tr>
        <w:trPr>
          <w:trHeight w:val="172"/>
        </w:trPr>
        <w:tc>
          <w:tcPr>
            <w:tcW w:w="404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16.7%</w:t>
            </w:r>
          </w:p>
        </w:tc>
        <w:tc>
          <w:tcPr>
            <w:tcW w:w="11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r>
      <w:tr>
        <w:trPr>
          <w:trHeight w:val="172"/>
        </w:trPr>
        <w:tc>
          <w:tcPr>
            <w:tcW w:w="404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1600" w:right="460" w:hanging="535"/>
        <w:spacing w:after="0" w:line="241" w:lineRule="auto"/>
        <w:tabs>
          <w:tab w:leader="none" w:pos="16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financial information excludes the impact of the write-off of in-process research and development and non-cash amortization related to the ITDS transaction.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March 31, 2000 and 1999</w:t>
      </w:r>
    </w:p>
    <w:p>
      <w:pPr>
        <w:spacing w:after="0" w:line="176" w:lineRule="exact"/>
        <w:rPr>
          <w:sz w:val="20"/>
          <w:szCs w:val="20"/>
          <w:color w:val="auto"/>
        </w:rPr>
      </w:pPr>
    </w:p>
    <w:p>
      <w:pPr>
        <w:ind w:right="460" w:firstLine="537"/>
        <w:spacing w:after="0" w:line="242" w:lineRule="auto"/>
        <w:rPr>
          <w:sz w:val="20"/>
          <w:szCs w:val="20"/>
          <w:color w:val="auto"/>
        </w:rPr>
      </w:pPr>
      <w:r>
        <w:rPr>
          <w:rFonts w:ascii="Courier New" w:cs="Courier New" w:eastAsia="Courier New" w:hAnsi="Courier New"/>
          <w:sz w:val="15"/>
          <w:szCs w:val="15"/>
          <w:color w:val="auto"/>
        </w:rPr>
        <w:t>Revenue. Revenue for the six months ended March 31, 2000 was $506.3 million, an increase of $227.0 million, or 81.3%, compared to the six months ended March 31, 1999, substantially due to the continuance of the growth in the demand for our CC&amp;B Systems solutions. License revenue increased from $32.3 million in the six months ended March 31, 1999 to $56.9 million during the six months ended March 31, 2000, an increase of 76.0%, and service revenue increased 82.0% in the six months ended March 31, 2000 from $246.9 million in the six months ended March 31, 1999 to $449.3 million in the six months ended March 31, 2000. Total CC&amp;B Systems revenue for the six months ended March 31, 2000 was $438.7 million, an increase of $239.1 million, or 120%, compared to the six months ended March 31, 1999. Revenue from Directory Systems was $67.6 million for the six months ended March 31, 2000, a decrease of $12.1 million, or 15.2%, from the six months ended March 31, 1999. The decrease in revenue from Directory Systems reflects a decrease in the number of new Directory Systems development contracts.</w:t>
      </w:r>
    </w:p>
    <w:p>
      <w:pPr>
        <w:spacing w:after="0" w:line="182" w:lineRule="exact"/>
        <w:rPr>
          <w:sz w:val="20"/>
          <w:szCs w:val="20"/>
          <w:color w:val="auto"/>
        </w:rPr>
      </w:pPr>
    </w:p>
    <w:p>
      <w:pPr>
        <w:ind w:right="640" w:firstLine="537"/>
        <w:spacing w:after="0" w:line="242" w:lineRule="auto"/>
        <w:rPr>
          <w:sz w:val="20"/>
          <w:szCs w:val="20"/>
          <w:color w:val="auto"/>
        </w:rPr>
      </w:pPr>
      <w:r>
        <w:rPr>
          <w:rFonts w:ascii="Courier New" w:cs="Courier New" w:eastAsia="Courier New" w:hAnsi="Courier New"/>
          <w:sz w:val="15"/>
          <w:szCs w:val="15"/>
          <w:color w:val="auto"/>
        </w:rPr>
        <w:t>In the six months ended March 31, 2000, revenue from customers in North America, Europe, and the rest of the world accounted for 46%, 41% and 13%, respectively, compared to 44%, 36% and 20%, respectively, for the six months ended March 31, 1999. The growth in revenue from customers in Europe was primarily attributable to increased competition among communications companies within and continued deregulation of the European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20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Six months ended</w:t>
            </w:r>
          </w:p>
        </w:tc>
        <w:tc>
          <w:tcPr>
            <w:tcW w:w="660" w:type="dxa"/>
            <w:vAlign w:val="bottom"/>
          </w:tcPr>
          <w:p>
            <w:pPr>
              <w:spacing w:after="0"/>
              <w:rPr>
                <w:sz w:val="14"/>
                <w:szCs w:val="14"/>
                <w:color w:val="auto"/>
              </w:rPr>
            </w:pPr>
          </w:p>
        </w:tc>
      </w:tr>
      <w:tr>
        <w:trPr>
          <w:trHeight w:val="172"/>
        </w:trPr>
        <w:tc>
          <w:tcPr>
            <w:tcW w:w="10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March 31,</w:t>
            </w:r>
          </w:p>
        </w:tc>
        <w:tc>
          <w:tcPr>
            <w:tcW w:w="660" w:type="dxa"/>
            <w:vAlign w:val="bottom"/>
          </w:tcPr>
          <w:p>
            <w:pPr>
              <w:spacing w:after="0"/>
              <w:rPr>
                <w:sz w:val="14"/>
                <w:szCs w:val="14"/>
                <w:color w:val="auto"/>
              </w:rPr>
            </w:pPr>
          </w:p>
        </w:tc>
      </w:tr>
      <w:tr>
        <w:trPr>
          <w:trHeight w:val="172"/>
        </w:trPr>
        <w:tc>
          <w:tcPr>
            <w:tcW w:w="1080" w:type="dxa"/>
            <w:vAlign w:val="bottom"/>
          </w:tcPr>
          <w:p>
            <w:pPr>
              <w:ind w:left="720"/>
              <w:spacing w:after="0"/>
              <w:rPr>
                <w:sz w:val="20"/>
                <w:szCs w:val="20"/>
                <w:color w:val="auto"/>
              </w:rPr>
            </w:pPr>
            <w:r>
              <w:rPr>
                <w:rFonts w:ascii="Courier New" w:cs="Courier New" w:eastAsia="Courier New" w:hAnsi="Courier New"/>
                <w:sz w:val="15"/>
                <w:szCs w:val="15"/>
                <w:color w:val="auto"/>
                <w:w w:val="94"/>
              </w:rPr>
              <w:t>2000</w:t>
            </w:r>
          </w:p>
        </w:tc>
        <w:tc>
          <w:tcPr>
            <w:tcW w:w="1120" w:type="dxa"/>
            <w:vAlign w:val="bottom"/>
          </w:tcPr>
          <w:p>
            <w:pPr>
              <w:spacing w:after="0"/>
              <w:rPr>
                <w:sz w:val="14"/>
                <w:szCs w:val="14"/>
                <w:color w:val="auto"/>
              </w:rPr>
            </w:pP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Pro forma</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As</w:t>
            </w:r>
          </w:p>
        </w:tc>
        <w:tc>
          <w:tcPr>
            <w:tcW w:w="660" w:type="dxa"/>
            <w:vAlign w:val="bottom"/>
          </w:tcPr>
          <w:p>
            <w:pPr>
              <w:spacing w:after="0"/>
              <w:rPr>
                <w:sz w:val="14"/>
                <w:szCs w:val="14"/>
                <w:color w:val="auto"/>
              </w:rPr>
            </w:pPr>
          </w:p>
        </w:tc>
      </w:tr>
      <w:tr>
        <w:trPr>
          <w:trHeight w:val="172"/>
        </w:trPr>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reported</w:t>
            </w:r>
          </w:p>
        </w:tc>
        <w:tc>
          <w:tcPr>
            <w:tcW w:w="660" w:type="dxa"/>
            <w:vAlign w:val="bottom"/>
          </w:tcPr>
          <w:p>
            <w:pPr>
              <w:spacing w:after="0"/>
              <w:rPr>
                <w:sz w:val="14"/>
                <w:szCs w:val="14"/>
                <w:color w:val="auto"/>
              </w:rPr>
            </w:pPr>
          </w:p>
        </w:tc>
      </w:tr>
      <w:tr>
        <w:trPr>
          <w:trHeight w:val="516"/>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88.8</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88.8</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88.4</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100.0</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100.0</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0.5</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0.5</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58.3</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58.4</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57.4</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6.5</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6.5</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11.8</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12.3</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11.8</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3.9</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77.1</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81.6</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76.5</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22.9</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18.4</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0.5</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23.4</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18.9</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7.0</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7.0</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16.4%</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2"/>
        </w:trPr>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600" w:space="440"/>
            <w:col w:w="2860"/>
          </w:cols>
          <w:pgMar w:left="240" w:top="289" w:right="759"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4"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Cost of License. Cost of license for the six months ended March 31, 2000 was $2.6 million, a decrease of $0.1 million, or 2.3%, from cost of license for the six months ended March 31, 1999. Cost of license includes amortization of purchased computer software and intellectual property rights. The decrease in cost of license for the six months ended March 31, 2000 was attributable primarily to reductions in the required amortization of purchased computer software.</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Cost of Service. Cost of service increased from $160.2 million for the six months ended March 31, 1999 to $295.9 million for the six months ended March 31, 2000. Excluding the non-cash charges relating to the acquisition of ITDS, the pro forma cost of service for the six months ended March 31, 2000 was $295.1 million, an increase of $134.9 million. As a percentage of revenue, cost of service increased from 57.4% for the six months ended March 31, 1999 to 58.4% for the six months ended March 31, 2000. Excluding the non-cash charges relating to the acquisition of ITDS, the pro forma cost of service for the six months ended March 31, 2000 was 58.3% of total revenue. The increase in cost of service is consistent with the increase in revenue for the period, and reflects increased employment levels required to support the continuing growth in revenue.</w:t>
      </w:r>
    </w:p>
    <w:p>
      <w:pPr>
        <w:spacing w:after="0" w:line="17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Research and Development. Research and development expense was primarily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comprised of compensation expense attributed to research and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either in conjunction with customer projects or as part of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program. In the six months ended March 31, 2000, research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development expense was $32.7 million, or 6.5% of revenue, compared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$17.5 million, or 6.3% of revenue, in the six months ended March 31, 1999.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research and development expense represents ongoing expenditures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for CC&amp;B Systems and also for Directory Systems.</w:t>
      </w:r>
    </w:p>
    <w:p>
      <w:pPr>
        <w:spacing w:after="0" w:line="176" w:lineRule="exact"/>
        <w:rPr>
          <w:sz w:val="20"/>
          <w:szCs w:val="20"/>
          <w:color w:val="auto"/>
        </w:rPr>
      </w:pPr>
    </w:p>
    <w:p>
      <w:pPr>
        <w:ind w:right="3079" w:firstLine="537"/>
        <w:spacing w:after="0" w:line="261"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primarily comprised of compensation expense, increased from $33.1 million for the six months ended March 31, 1999 to $62.2 million for the six months ended March 31, 2000. Excluding the non-cash charges related to the acquisition of ITDS, the pro forma selling, general and administrative expense for the six months ended March 31, 2000 was $60.2 million, an increase of $27.1 million. As a percentage of revenue, selling, general and administrative expense increased from 11.8% for the six months ended March 31, 1999 to 12.3% for the six months ended March 31, 2000. Excluding the non-cash charges relating to the acquisition of ITDS, the pro forma selling, general and administrative expense for the six months ended March 31, 2000 was 11.8% of total revenue. The increase in selling, general and administrative expense is in line with the increase in our revenue for the six months ended March 31, 2000.</w:t>
      </w:r>
    </w:p>
    <w:p>
      <w:pPr>
        <w:spacing w:after="0" w:line="166"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In-process Research and Development Expenses. In-process research and development expenses in the six months ended March 31, 2000 consisted of a one-time, non-cash charge of $19.9 million for write-off of in-process research and development resulting from our acquisition of ITDS.</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Operating Income. Operating income decreased to 18.4% of revenue for the six months ended March 31, 2000, as compared to 23.5% for the six months ended March 31, 1999, primarily due to the one-time charge for in-process research and development related to the acquisition of ITDS. Pro forma operating income in the six months ended March 31, 2000, excluding the non-cash charges related to the acquisition of ITDS, was $ 115.7 million, as compared with $65.8 million in the six months ended March 31, 1999, an increase of 75.8%.</w:t>
      </w:r>
    </w:p>
    <w:p>
      <w:pPr>
        <w:spacing w:after="0" w:line="177" w:lineRule="exact"/>
        <w:rPr>
          <w:sz w:val="20"/>
          <w:szCs w:val="20"/>
          <w:color w:val="auto"/>
        </w:rPr>
      </w:pPr>
    </w:p>
    <w:p>
      <w:pPr>
        <w:ind w:right="3079" w:firstLine="537"/>
        <w:spacing w:after="0" w:line="263" w:lineRule="auto"/>
        <w:rPr>
          <w:sz w:val="20"/>
          <w:szCs w:val="20"/>
          <w:color w:val="auto"/>
        </w:rPr>
      </w:pPr>
      <w:r>
        <w:rPr>
          <w:rFonts w:ascii="Courier New" w:cs="Courier New" w:eastAsia="Courier New" w:hAnsi="Courier New"/>
          <w:sz w:val="14"/>
          <w:szCs w:val="14"/>
          <w:color w:val="auto"/>
        </w:rPr>
        <w:t>Other Income (Expense), Net. In the six months ended March 31, 2000, other income, net was $2.7 million, an increase of $6.6 million from the six months ended March 31, 1999. The increase in other income, net, is primarily attributed to the reduction in debt through the use of cash from operations and interest from accumulating cash equivalents and short-term interest-bearing investments.</w:t>
      </w:r>
    </w:p>
    <w:p>
      <w:pPr>
        <w:spacing w:after="0" w:line="16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Income Taxes. Income taxes in the six months ended March 31, 2000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$35.5 million on income before taxes of $95.6 million. Income taxes were $18.6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on income before taxes of $61.8 million in the six months ended March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1999. In the six months ended March 31, 2000, the effective tax rate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 resulting from the one-time charge of in-process research and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non-cash amortization related to the acquisition of ITDS, which are not 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deductible. The pro forma effective tax rate for the six months ended March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excluding the non-cash charges related to the ITDS acquisition, is 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discussion below - "Effective Tax Rate".</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4"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Net Income. Net income for the six months ended March 31, 2000 was $60.1 million, or $0.29 per diluted share, compared to $43.3 million, or $0.22 per diluted share, in the six months ended March 31, 1999. Pro forma net income in the six months ended March 31, 2000, excluding the one-time charge of in-process research and development and non-cash amortization related to the acquisition of ITDS, increased by 91.3% from the six months ended March 31, 1999, reaching $82.8 million, or $0.40 per diluted share.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March 31, 2000 and 1999</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Revenue. Revenue for the three months ended March 31, 2000 was $270.7 million, an increase of $122.9 million, or 83.1%, compared to the quarter ended March 31, 1999, primarily due to the continuance of the growth in the demand for our CC&amp;B Systems solutions and for a lesser degree from the acquisition of ITDS. License revenue increased from $17.3 million in the three months ended March 31, 1999 to $30.4 million during the three months ended March 31, 2000, an increase of 75.9%, and service revenue increased 84.1% in the three months ended March 31, 2000 from $130.5 million in the three months ended March 31, 1999 to $240.3 million in the three months ended March 31, 2000. Total CC&amp;B Systems revenue for the three month ended March 31, 2000 was $233.9 million, an increase of $124.7 million, or 114.2%, compared to the three months ended March 31, 1999. Revenue from Directory Systems was $36.9 million for the three months ended March 31, 2000, a decrease of $1.7 million, or 4.5%, from the three months ended March 31, 1999.</w:t>
      </w:r>
    </w:p>
    <w:p>
      <w:pPr>
        <w:spacing w:after="0" w:line="182"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In the three months ended March 31, 2000, revenue from customers in North America, Europe, and the rest of the world accounted for 52%, 39% and 9%, respectively, compared to 44%, 35% and 21%, respectively, for the quarter ended March 31, 1999. The growth in revenue from customers in Europe was primarily attributable to increased competition among communications companies within and continued deregulation of the European market.</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Cost of License. Cost of license for the three months ended March 31, 2000 was $1.5 million, an increase of $0.1 million, or 6.4%, from cost of license for the three months ended March 31, 1999. Cost of license includes amortization of purchased computer software and intellectual property rights. The increase in cost of license for the three months ended March 31, 2000 was attributable primarily to the increase in the required amortization of purchased computer software.</w:t>
      </w:r>
    </w:p>
    <w:p>
      <w:pPr>
        <w:spacing w:after="0" w:line="177"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Cost of Service. Cost of service increased from $84.3 million for the three months ended March 31, 1999 to $156.9 million for the three months ended March 31, 2000. Excluding the non-cash charges relating to the acquisition of ITDS, the pro forma cost of service for the three months ended March 31, 2000 was $156.3 million, an increase of $72.0 million. As a percentage of revenue, cost of service increased from 57.0% for the three months ended March 31, 1999 to 57.9% for the three months ended March 31, 2000. Excluding the non-cash charges relating to the acquisition of ITDS, the pro forma cost of service for the three months ended March 31, 2000 was 57.8% of total revenue. The increase in cost of service is consistent with the increase in revenue for the quarter, and reflects increased employment levels required to support the continuing growth in revenue.</w:t>
      </w:r>
    </w:p>
    <w:p>
      <w:pPr>
        <w:spacing w:after="0" w:line="17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Research and Development. Research and development expense was primarily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comprised of compensation expense attributed to research and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either in conjunction with customer projects or as part of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program. In the three months ended March 31, 2000, research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development expense was $17.7 million, or 6.5% of revenue, compared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$9.1 million, or 6.2% of revenue, in the three months ended March 31, 1999.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research and development expense represents ongoing expenditures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for CC&amp;B Systems and also for Directory Systems.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Selling, General and Administrative. Selling, general and administrative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primarily comprised of compensation expense, increased from $17.4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for the three months ended March 31, 1999 to $34.6 million for the three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March 31, 2000. Excluding the non-cash charges related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ITDS, the pro forma selling, general and administrative expense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months ended March 31, 2000 was $33.1 million, an increase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$15.7 million. As a percentage of revenue, selling, general and administrative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increased from 11.8% for the three months ended March 31, 1999 to 12.8%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months ended March 31, 2000. Excluding the non-cash charges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relating to the acquisition of ITDS, the pro forma selling, general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expense for the three months ended</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2000 was 12.3% of total revenue. The increase in selling,</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general and administrative expense is in line with the increase in our revenue for the quarter ended March 31, 2000.</w:t>
      </w:r>
    </w:p>
    <w:p>
      <w:pPr>
        <w:spacing w:after="0" w:line="176"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Operating Income. Operating income in the three months ended March 31, 2000, was $ 60.1 million, as compared with $35.6 million in the three months ended March 31, 1999, an increase of 68.7%. Operating income decreased to 22.3% of revenue for the three months ended March 31, 2000 as compared to 24.1% for the three months ended March 31, 1999, primarily due to the non-cash amortization related to the acquisition of ITDS.</w:t>
      </w:r>
    </w:p>
    <w:p>
      <w:pPr>
        <w:spacing w:after="0" w:line="176"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Other Income (Expense), Net. In the three months ended March 31, 2000, other income, net was $2.3 million, an increase of $4.9 million from the three months ended March 31, 1999. The increase in other income, net, is primarily attributed to the reduction in debt through the use of cash from operations and interest from accumulating cash equivalents and short-term interest-bearing investments.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Income Taxes. Income taxes in the three months ended March 31, 2000 were $19.6 million on income before taxes of $62.4 million. In the three months ended March 31, 1999, income taxes were $9.9 million on income before taxes of $33.1 million. In the three months ended March 31, 2000, the effective tax rate was 31%. See discussion below - "Effective Tax Rate".</w:t>
      </w:r>
    </w:p>
    <w:p>
      <w:pPr>
        <w:spacing w:after="0" w:line="175" w:lineRule="exact"/>
        <w:rPr>
          <w:sz w:val="20"/>
          <w:szCs w:val="20"/>
          <w:color w:val="auto"/>
        </w:rPr>
      </w:pPr>
    </w:p>
    <w:p>
      <w:pPr>
        <w:jc w:val="both"/>
        <w:ind w:right="3079" w:firstLine="537"/>
        <w:spacing w:after="0" w:line="242" w:lineRule="auto"/>
        <w:rPr>
          <w:sz w:val="20"/>
          <w:szCs w:val="20"/>
          <w:color w:val="auto"/>
        </w:rPr>
      </w:pPr>
      <w:r>
        <w:rPr>
          <w:rFonts w:ascii="Courier New" w:cs="Courier New" w:eastAsia="Courier New" w:hAnsi="Courier New"/>
          <w:sz w:val="15"/>
          <w:szCs w:val="15"/>
          <w:color w:val="auto"/>
        </w:rPr>
        <w:t>Net Income. Net income in the three months ended March 31, 2000 increased by 85.2% from the quarter ended March 31, 1999, reaching $42.9 million, or $0.20 per diluted share, compared to $23.1 million, or $0.12 per diluted share, in the three months ended March 31,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Transactions</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We have primarily financed our operations through cash generated from operations and borrowings from banks and other lenders. Cash and cash equivalents totaled $221.9 million as of March 31, 2000 compared to $85.2 million as of September 30, 1999. The increase in cash and cash equivalents as of March 31, 2000 is attributable primarily to cash flows from operations, a cash balance of $31.9 million we acquired as part of the acquisition of ITDS, and exercising of employee's stock options. Net cash provided by operating activities amounted to $128.0 million and $38.3 million for the six months ended March 31, 2000 and 1999, respectively. A significant portion of our cash flow from operations during the six months ended March 31, 2000 was used to invest in cash equivalents and short-term interest-bearing investments. We currently intend to retain our future earnings to support the further expansion of our business.</w:t>
      </w:r>
    </w:p>
    <w:p>
      <w:pPr>
        <w:spacing w:after="0" w:line="16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As of March 31, 2000, we had short-term lines of credit totaling $152.0 million from various banks or bank groups, of which only $17.0 million was outstanding. As of that date, we also had utilized approximately $19.1 million of a revolving credit facility to support outstanding bank guarantees.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As of March 31, 2000, we had positive working capital of $201.0 million as compared to positive working capital of $35.9 million as of September 30, 1999, and $145.7 million as of December 31, 1999. The increase in working capital is primarily attributed to cash generated from operating activities and to the cash obtained from our acquisition of ITDS. We believe that current cash balances, cash generated from operations and our current lines of credit will provide sufficient resources to meet our cash needs in the near future.</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As of March 31, 2000, we had long-term obligations outstanding of $21.4 million in connection with leasing arrangements. Currently, our capital expenditures, consisting primarily of computer equipment and vehicles, are funded principally by operating cash flows and capital leasing arrangements. We do not anticipate any change to this policy in the foreseeable future.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Deferred Tax Assets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Based on our assessment, it is more likely than not that all the net deferred tax assets as of March 31, 2000 will be realized through future taxable earnings. No significant increase in future taxable earnings would be required to fully realize the net deferred tax assets.</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prior years, we discussed the nature and progress of our plans to become Year 2000 ready. In late 1999, we completed our remediation and testing of systems. As a result of our planning and implementation efforts, we experienced no significant disruptions in mission-critical technology and non-information technology systems and believe those systems successfully responded to the Year 2000 date change. We are not aware of any material problems resulting from Year 2000 issues, either with our products and internal systems or the products and services of third parties. We will continue to monitor our mission-critical computer and software applications and those of our suppliers and vendors throughout the year 2000 to ensure than any latent Year 2000 matters that may arise are addressed promptly.</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Our overall effective tax rate has historically been approximately 30% due to the various corporate income tax rates in the countries in which we operate and the relative magnitude of our business in those countries. Our consolidated effective tax rate for the six months ended March 31, 2000 was 37% compared to 30% in the six months ended March 31, 1999. This higher effective tax rate was attributable to a write-off of in-process research and development expenses and amortization charges related to our acquisition of ITDS, much of which is not tax deductible. Excluding the impact of these charges, the effective tax rate for the six months ended March 31, 2000 was 30%. We anticipate that certain additional non-cash and non-tax deductible charges related to our Solect acquisition will further increase our effective tax rate for fiscal 2000 to between 60% and 70% of reported pre-tax income. Excluding these additional charges, our effective tax rate would remain near its historic level of 30%. See discussion below -- "Recent Developments".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Approximately 85% of our revenue is in U.S. dollars or linked to the dollar and therefore the dollar is our functional currency. Approximately 58% of our operating expenses are paid in dollars or are linked to dollars. Other significant currencies in which we receive revenue or pay expenses are Australian dollars, British pounds, Canadian dollars, the euro and Israeli shekels. Historically, the effect of fluctuations in currency exchange rates has had a minimal impact on our operations. As we expand our operations outside of the United States, our exposure to fluctuations in currency exchange rates could increase. In managing our foreign exchange risk, we enter from time to time into various foreign exchange contracts. As of March 31, 2000, we had hedged most of our significant exposures in currencies other than the dollar.</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April 5, 2000, we completed the purchase of Solect Technology Group Inc. ("Solect"), in a stock-for-stock transaction. Solect is a leading provider of IP billing and customer care software to next generation service providers, including wireless and application service providers, or ASP's. The Solect acquisition is expected to expand the scope of our CC&amp;B Systems offering and to further establish our leadership role in providing total solutions to the communications industry. In connection with the consummation of the transaction, we issued and/or granted options to acquire a total of 15.5 million of our ordinary shares. The total purchase price of approximately $1.1 billion, based on a per share price of $69.875 for our ordinary shares, includes both the issuance of and grant of options for our ordinary shares, as well as transaction costs. The acquisition will be accounted for under the purchase method of accounting.</w:t>
      </w:r>
    </w:p>
    <w:p>
      <w:pPr>
        <w:spacing w:after="0" w:line="353"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An independent appraiser currently is performing an acquired technology valuation, which will include existing technology and in-process research and development. The valuation of these technologies will be made by applying the income forecast method, which considers the present value of cash flows by product lines.</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purchase is expected to result in a one-time, non-cash charge to our earnings as certain of Solect's technologies have not reached technological feasibility and have no alternative use. It is believed that these technologies will require varying additional development, coding and testing efforts before technological feasibility can be determined. The amortization by us of certain acquired technology will be over two to three years. We believe that a significant portion of the purchase price will be allocated to goodwill, which we expect to amortize over five to seven years. These non-cash, non-tax deductible charges will increase our estimated effective tax rater for fiscal 2000 to 60% to 70%. Excluding these</w:t>
      </w:r>
    </w:p>
    <w:p>
      <w:pPr>
        <w:sectPr>
          <w:pgSz w:w="11900" w:h="16838" w:orient="portrait"/>
          <w:cols w:equalWidth="0" w:num="1">
            <w:col w:w="10219"/>
          </w:cols>
          <w:pgMar w:left="240" w:top="28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charges, the effective tax rate would remain near its historic level of 30%. See discussion above - "Effective Tax Rate."</w:t>
      </w:r>
    </w:p>
    <w:p>
      <w:pPr>
        <w:sectPr>
          <w:pgSz w:w="11900" w:h="16838" w:orient="portrait"/>
          <w:cols w:equalWidth="0" w:num="1">
            <w:col w:w="10219"/>
          </w:cols>
          <w:pgMar w:left="240"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6" w:lineRule="exact"/>
        <w:rPr>
          <w:sz w:val="20"/>
          <w:szCs w:val="20"/>
          <w:color w:val="auto"/>
        </w:rPr>
      </w:pPr>
    </w:p>
    <w:p>
      <w:pPr>
        <w:ind w:right="3400"/>
        <w:spacing w:after="0" w:line="242" w:lineRule="auto"/>
        <w:rPr>
          <w:sz w:val="20"/>
          <w:szCs w:val="20"/>
          <w:color w:val="auto"/>
        </w:rPr>
      </w:pPr>
      <w:r>
        <w:rPr>
          <w:rFonts w:ascii="Courier New" w:cs="Courier New" w:eastAsia="Courier New" w:hAnsi="Courier New"/>
          <w:sz w:val="15"/>
          <w:szCs w:val="15"/>
          <w:color w:val="auto"/>
        </w:rPr>
        <w:t>We held our 1999 Annual General Meeting of Shareholders on January 26, 2000. At that meeting, shareholders elected eleven directors for terms to expire at the next Annual General Meeting or until their positions are vacated by resignation or otherwise. In addition, shareholders approved three Company proposals. The persons elected and the results of the voting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2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Votes For</w:t>
            </w:r>
          </w:p>
        </w:tc>
        <w:tc>
          <w:tcPr>
            <w:tcW w:w="2000" w:type="dxa"/>
            <w:vAlign w:val="bottom"/>
          </w:tcPr>
          <w:p>
            <w:pPr>
              <w:ind w:left="540"/>
              <w:spacing w:after="0"/>
              <w:rPr>
                <w:sz w:val="20"/>
                <w:szCs w:val="20"/>
                <w:color w:val="auto"/>
              </w:rPr>
            </w:pPr>
            <w:r>
              <w:rPr>
                <w:rFonts w:ascii="Courier New" w:cs="Courier New" w:eastAsia="Courier New" w:hAnsi="Courier New"/>
                <w:sz w:val="15"/>
                <w:szCs w:val="15"/>
                <w:color w:val="auto"/>
              </w:rPr>
              <w:t>Votes Against</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w w:val="97"/>
              </w:rPr>
              <w:t>Withheld</w:t>
            </w:r>
          </w:p>
        </w:tc>
      </w:tr>
      <w:tr>
        <w:trPr>
          <w:trHeight w:val="172"/>
        </w:trPr>
        <w:tc>
          <w:tcPr>
            <w:tcW w:w="2860" w:type="dxa"/>
            <w:vAlign w:val="bottom"/>
          </w:tcPr>
          <w:p>
            <w:pPr>
              <w:spacing w:after="0"/>
              <w:rPr>
                <w:sz w:val="14"/>
                <w:szCs w:val="14"/>
                <w:color w:val="auto"/>
              </w:rPr>
            </w:pPr>
          </w:p>
        </w:tc>
        <w:tc>
          <w:tcPr>
            <w:tcW w:w="2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w w:val="97"/>
              </w:rPr>
              <w:t>--------</w:t>
            </w:r>
          </w:p>
        </w:tc>
      </w:tr>
      <w:tr>
        <w:trPr>
          <w:trHeight w:val="516"/>
        </w:trPr>
        <w:tc>
          <w:tcPr>
            <w:tcW w:w="2860" w:type="dxa"/>
            <w:vAlign w:val="bottom"/>
          </w:tcPr>
          <w:p>
            <w:pPr>
              <w:spacing w:after="0"/>
              <w:rPr>
                <w:sz w:val="20"/>
                <w:szCs w:val="20"/>
                <w:color w:val="auto"/>
              </w:rPr>
            </w:pPr>
            <w:r>
              <w:rPr>
                <w:rFonts w:ascii="Courier New" w:cs="Courier New" w:eastAsia="Courier New" w:hAnsi="Courier New"/>
                <w:sz w:val="15"/>
                <w:szCs w:val="15"/>
                <w:color w:val="auto"/>
              </w:rPr>
              <w:t>Bruce K. Anderson</w:t>
            </w:r>
          </w:p>
        </w:tc>
        <w:tc>
          <w:tcPr>
            <w:tcW w:w="2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135,791,635</w:t>
            </w:r>
          </w:p>
        </w:tc>
        <w:tc>
          <w:tcPr>
            <w:tcW w:w="200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88"/>
              </w:rPr>
              <w:t>0</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18,681</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Adrian Gardner</w:t>
            </w:r>
          </w:p>
        </w:tc>
        <w:tc>
          <w:tcPr>
            <w:tcW w:w="2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135,791,635</w:t>
            </w:r>
          </w:p>
        </w:tc>
        <w:tc>
          <w:tcPr>
            <w:tcW w:w="200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88"/>
              </w:rPr>
              <w:t>0</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18,681</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Stephen Hermer</w:t>
            </w:r>
          </w:p>
        </w:tc>
        <w:tc>
          <w:tcPr>
            <w:tcW w:w="2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135,791,635</w:t>
            </w:r>
          </w:p>
        </w:tc>
        <w:tc>
          <w:tcPr>
            <w:tcW w:w="200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88"/>
              </w:rPr>
              <w:t>0</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18,681</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James S. Kahan</w:t>
            </w:r>
          </w:p>
        </w:tc>
        <w:tc>
          <w:tcPr>
            <w:tcW w:w="2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135,791,635</w:t>
            </w:r>
          </w:p>
        </w:tc>
        <w:tc>
          <w:tcPr>
            <w:tcW w:w="200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88"/>
              </w:rPr>
              <w:t>0</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18,681</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Paz Littman</w:t>
            </w:r>
          </w:p>
        </w:tc>
        <w:tc>
          <w:tcPr>
            <w:tcW w:w="2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135,791,635</w:t>
            </w:r>
          </w:p>
        </w:tc>
        <w:tc>
          <w:tcPr>
            <w:tcW w:w="200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88"/>
              </w:rPr>
              <w:t>0</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18,681</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John T. McLennan</w:t>
            </w:r>
          </w:p>
        </w:tc>
        <w:tc>
          <w:tcPr>
            <w:tcW w:w="2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135,791,635</w:t>
            </w:r>
          </w:p>
        </w:tc>
        <w:tc>
          <w:tcPr>
            <w:tcW w:w="200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88"/>
              </w:rPr>
              <w:t>0</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18,681</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Robert A. Minicucci</w:t>
            </w:r>
          </w:p>
        </w:tc>
        <w:tc>
          <w:tcPr>
            <w:tcW w:w="2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135,791,635</w:t>
            </w:r>
          </w:p>
        </w:tc>
        <w:tc>
          <w:tcPr>
            <w:tcW w:w="200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88"/>
              </w:rPr>
              <w:t>0</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18,681</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Avinoam Naor</w:t>
            </w:r>
          </w:p>
        </w:tc>
        <w:tc>
          <w:tcPr>
            <w:tcW w:w="2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135,791,635</w:t>
            </w:r>
          </w:p>
        </w:tc>
        <w:tc>
          <w:tcPr>
            <w:tcW w:w="200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88"/>
              </w:rPr>
              <w:t>0</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18,681</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Lawrence Perlman</w:t>
            </w:r>
          </w:p>
        </w:tc>
        <w:tc>
          <w:tcPr>
            <w:tcW w:w="2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135,791,635</w:t>
            </w:r>
          </w:p>
        </w:tc>
        <w:tc>
          <w:tcPr>
            <w:tcW w:w="200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88"/>
              </w:rPr>
              <w:t>0</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18,681</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Michael J. Price</w:t>
            </w:r>
          </w:p>
        </w:tc>
        <w:tc>
          <w:tcPr>
            <w:tcW w:w="2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135,791,635</w:t>
            </w:r>
          </w:p>
        </w:tc>
        <w:tc>
          <w:tcPr>
            <w:tcW w:w="200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88"/>
              </w:rPr>
              <w:t>0</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18,681</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Urs Suter</w:t>
            </w:r>
          </w:p>
        </w:tc>
        <w:tc>
          <w:tcPr>
            <w:tcW w:w="2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135,791,635</w:t>
            </w:r>
          </w:p>
        </w:tc>
        <w:tc>
          <w:tcPr>
            <w:tcW w:w="200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88"/>
              </w:rPr>
              <w:t>0</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18,681</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Votes For</w:t>
            </w:r>
          </w:p>
        </w:tc>
        <w:tc>
          <w:tcPr>
            <w:tcW w:w="2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Votes Against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Abstain</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Broker Non-voters</w:t>
            </w:r>
          </w:p>
        </w:tc>
      </w:tr>
      <w:tr>
        <w:trPr>
          <w:trHeight w:val="172"/>
        </w:trPr>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Company proposal number 1</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Approval of Consolidated</w:t>
            </w:r>
          </w:p>
        </w:tc>
        <w:tc>
          <w:tcPr>
            <w:tcW w:w="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44"/>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Statements for fiscal</w:t>
            </w: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135,782,167</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3,813</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24,336</w:t>
            </w: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0</w:t>
            </w: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year ended September 30, 1999</w:t>
            </w:r>
          </w:p>
        </w:tc>
        <w:tc>
          <w:tcPr>
            <w:tcW w:w="1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Company proposal number 2</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Approval of Ernst &amp; Young</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LLP</w:t>
            </w:r>
          </w:p>
        </w:tc>
        <w:tc>
          <w:tcPr>
            <w:tcW w:w="1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and authorization of Board to</w:t>
            </w: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135,793,007</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8,069</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9,240</w:t>
            </w: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0</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fix remuneration</w:t>
            </w:r>
          </w:p>
        </w:tc>
        <w:tc>
          <w:tcPr>
            <w:tcW w:w="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Company proposal number 3</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Approval of amendment to Stock</w:t>
            </w: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124,838,171</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10,907,194</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64,451</w:t>
            </w: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0</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Option and Incentive Plan</w:t>
            </w:r>
          </w:p>
        </w:tc>
        <w:tc>
          <w:tcPr>
            <w:tcW w:w="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860"/>
        </w:trPr>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22</w:t>
            </w: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0460"/>
          </w:cols>
          <w:pgMar w:left="240" w:top="289" w:right="1199" w:bottom="1440" w:gutter="0" w:footer="0" w:header="0"/>
        </w:sectPr>
      </w:pPr>
    </w:p>
    <w:bookmarkStart w:id="21" w:name="page22"/>
    <w:bookmarkEnd w:id="21"/>
    <w:p>
      <w:pPr>
        <w:ind w:left="268"/>
        <w:spacing w:after="0"/>
        <w:rPr>
          <w:sz w:val="20"/>
          <w:szCs w:val="20"/>
          <w:color w:val="auto"/>
        </w:rPr>
      </w:pPr>
      <w:r>
        <w:rPr>
          <w:rFonts w:ascii="Courier New" w:cs="Courier New" w:eastAsia="Courier New" w:hAnsi="Courier New"/>
          <w:sz w:val="15"/>
          <w:szCs w:val="15"/>
          <w:color w:val="auto"/>
        </w:rPr>
        <w:t>21</w:t>
      </w:r>
    </w:p>
    <w:p>
      <w:pPr>
        <w:spacing w:after="0" w:line="2"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6-K.</w:t>
      </w:r>
    </w:p>
    <w:p>
      <w:pPr>
        <w:spacing w:after="0" w:line="174" w:lineRule="exact"/>
        <w:rPr>
          <w:sz w:val="20"/>
          <w:szCs w:val="20"/>
          <w:color w:val="auto"/>
        </w:rPr>
      </w:pPr>
    </w:p>
    <w:p>
      <w:pPr>
        <w:ind w:left="808" w:hanging="808"/>
        <w:spacing w:after="0"/>
        <w:tabs>
          <w:tab w:leader="none" w:pos="80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200" w:lineRule="exact"/>
        <w:rPr>
          <w:sz w:val="20"/>
          <w:szCs w:val="20"/>
          <w:color w:val="auto"/>
        </w:rPr>
      </w:pPr>
    </w:p>
    <w:p>
      <w:pPr>
        <w:sectPr>
          <w:pgSz w:w="11900" w:h="16838" w:orient="portrait"/>
          <w:cols w:equalWidth="0" w:num="2">
            <w:col w:w="2588" w:space="720"/>
            <w:col w:w="6919"/>
          </w:cols>
          <w:pgMar w:left="232" w:top="289" w:right="1440" w:bottom="1440" w:gutter="0" w:footer="0" w:header="0"/>
          <w:type w:val="continuous"/>
        </w:sectPr>
      </w:pPr>
    </w:p>
    <w:p>
      <w:pPr>
        <w:spacing w:after="0" w:line="157"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Limited Press Release dated April 18, 2000.</w:t>
      </w:r>
    </w:p>
    <w:p>
      <w:pPr>
        <w:spacing w:after="0" w:line="200" w:lineRule="exact"/>
        <w:rPr>
          <w:sz w:val="20"/>
          <w:szCs w:val="20"/>
          <w:color w:val="auto"/>
        </w:rPr>
      </w:pPr>
    </w:p>
    <w:p>
      <w:pPr>
        <w:sectPr>
          <w:pgSz w:w="11900" w:h="16838" w:orient="portrait"/>
          <w:cols w:equalWidth="0" w:num="2">
            <w:col w:w="2508" w:space="720"/>
            <w:col w:w="6999"/>
          </w:cols>
          <w:pgMar w:left="232" w:top="289" w:right="1440" w:bottom="1440" w:gutter="0" w:footer="0" w:header="0"/>
          <w:type w:val="continuous"/>
        </w:sectPr>
      </w:pPr>
    </w:p>
    <w:p>
      <w:pPr>
        <w:spacing w:after="0" w:line="156" w:lineRule="exact"/>
        <w:rPr>
          <w:sz w:val="20"/>
          <w:szCs w:val="20"/>
          <w:color w:val="auto"/>
        </w:rPr>
      </w:pPr>
    </w:p>
    <w:p>
      <w:pPr>
        <w:ind w:left="808" w:hanging="808"/>
        <w:spacing w:after="0"/>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75" w:lineRule="exact"/>
        <w:rPr>
          <w:rFonts w:ascii="Courier New" w:cs="Courier New" w:eastAsia="Courier New" w:hAnsi="Courier New"/>
          <w:sz w:val="15"/>
          <w:szCs w:val="15"/>
          <w:color w:val="auto"/>
        </w:rPr>
      </w:pPr>
    </w:p>
    <w:p>
      <w:pPr>
        <w:ind w:left="808" w:right="33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the following reports on Form 6-K during the three months ended March 31, 2000:</w:t>
      </w:r>
    </w:p>
    <w:p>
      <w:pPr>
        <w:spacing w:after="0" w:line="176" w:lineRule="exact"/>
        <w:rPr>
          <w:rFonts w:ascii="Courier New" w:cs="Courier New" w:eastAsia="Courier New" w:hAnsi="Courier New"/>
          <w:sz w:val="15"/>
          <w:szCs w:val="15"/>
          <w:color w:val="auto"/>
        </w:rPr>
      </w:pPr>
    </w:p>
    <w:p>
      <w:pPr>
        <w:ind w:left="1608" w:right="3079" w:hanging="803"/>
        <w:spacing w:after="0" w:line="241" w:lineRule="auto"/>
        <w:tabs>
          <w:tab w:leader="none" w:pos="160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 1 to Form 6-K dated January 5, 2000, relating to the acquisition of International Telecommunication Data Systems, Inc., a Delaware corporation;</w:t>
      </w:r>
    </w:p>
    <w:p>
      <w:pPr>
        <w:spacing w:after="0" w:line="176" w:lineRule="exact"/>
        <w:rPr>
          <w:rFonts w:ascii="Courier New" w:cs="Courier New" w:eastAsia="Courier New" w:hAnsi="Courier New"/>
          <w:sz w:val="15"/>
          <w:szCs w:val="15"/>
          <w:color w:val="auto"/>
        </w:rPr>
      </w:pPr>
    </w:p>
    <w:p>
      <w:pPr>
        <w:ind w:left="1608" w:right="3599" w:hanging="803"/>
        <w:spacing w:after="0"/>
        <w:tabs>
          <w:tab w:leader="none" w:pos="160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February 10, 2000, relating to the fiscal quarter ended December 31, 1999; and</w:t>
      </w:r>
    </w:p>
    <w:p>
      <w:pPr>
        <w:spacing w:after="0" w:line="176" w:lineRule="exact"/>
        <w:rPr>
          <w:rFonts w:ascii="Courier New" w:cs="Courier New" w:eastAsia="Courier New" w:hAnsi="Courier New"/>
          <w:sz w:val="15"/>
          <w:szCs w:val="15"/>
          <w:color w:val="auto"/>
        </w:rPr>
      </w:pPr>
    </w:p>
    <w:p>
      <w:pPr>
        <w:ind w:left="1608" w:right="3259" w:hanging="803"/>
        <w:spacing w:after="0" w:line="241" w:lineRule="auto"/>
        <w:tabs>
          <w:tab w:leader="none" w:pos="160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March 3, 2000, relating to the acquisition of Solect Technology Group Inc., a private company based in Toronto,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7"/>
          </w:cols>
          <w:pgMar w:left="232" w:top="289"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right="377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Amdocs Limited</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Thomas G. O'Brien</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Thomas G. O'Brien</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Treasurer and Secretary</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Authorized U.S. Representative</w:t>
      </w:r>
    </w:p>
    <w:p>
      <w:pPr>
        <w:spacing w:after="0" w:line="35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May 11, 2000</w:t>
      </w:r>
    </w:p>
    <w:p>
      <w:pPr>
        <w:sectPr>
          <w:pgSz w:w="11900" w:h="16838" w:orient="portrait"/>
          <w:cols w:equalWidth="0" w:num="1">
            <w:col w:w="10219"/>
          </w:cols>
          <w:pgMar w:left="24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Limited Press Release dated April 18, 2000.</w:t>
      </w:r>
    </w:p>
    <w:p>
      <w:pPr>
        <w:spacing w:after="0" w:line="209" w:lineRule="exact"/>
        <w:rPr>
          <w:sz w:val="20"/>
          <w:szCs w:val="20"/>
          <w:color w:val="auto"/>
        </w:rPr>
      </w:pPr>
    </w:p>
    <w:p>
      <w:pPr>
        <w:sectPr>
          <w:pgSz w:w="11900" w:h="16838" w:orient="portrait"/>
          <w:cols w:equalWidth="0" w:num="2">
            <w:col w:w="2500" w:space="720"/>
            <w:col w:w="6999"/>
          </w:cols>
          <w:pgMar w:left="240" w:top="28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99.1</w:t>
      </w:r>
    </w:p>
    <w:p>
      <w:pPr>
        <w:spacing w:after="0" w:line="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Press Release.</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 CONTINUES STRONG, CONSISTENT GROWTH IN SECOND QUARTER</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increases by 83.1% to $270.7 million and EPS by 84.2% to $0.21</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 Louis, MO - April 18, 2000, Amdocs Limited (NYSE: DOX) today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reported that for the second quarter ended March 31, 2000, revenue reached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$270.7 million, an increase of 83.1% over last year's second quarter. Excluding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acquisition-related amortization expenses, net income increased 95.2%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$45.2 million, compared with $23.1 million in the second quarter of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while diluted earnings per share were $0.21 versus $0.12 in the same period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prior year. As-reported net income for the quarter, including these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expenses, was $42.9 million, or $0.20 per diluted share, compared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$23.1 million or $0.12 per diluted share in the second quarter of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Cash balances continued to grow this quarter, reaching $242.6 million,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of $56.3 million compared to the end of the first quarter of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w:t>
      </w:r>
    </w:p>
    <w:p>
      <w:pPr>
        <w:spacing w:after="0" w:line="176" w:lineRule="exact"/>
        <w:rPr>
          <w:sz w:val="20"/>
          <w:szCs w:val="20"/>
          <w:color w:val="auto"/>
        </w:rPr>
      </w:pPr>
    </w:p>
    <w:p>
      <w:pPr>
        <w:ind w:right="3159" w:firstLine="805"/>
        <w:spacing w:after="0" w:line="265" w:lineRule="auto"/>
        <w:rPr>
          <w:sz w:val="20"/>
          <w:szCs w:val="20"/>
          <w:color w:val="auto"/>
        </w:rPr>
      </w:pPr>
      <w:r>
        <w:rPr>
          <w:rFonts w:ascii="Courier New" w:cs="Courier New" w:eastAsia="Courier New" w:hAnsi="Courier New"/>
          <w:sz w:val="14"/>
          <w:szCs w:val="14"/>
          <w:color w:val="auto"/>
        </w:rPr>
        <w:t>Avi Naor, Chief Executive Officer of Amdocs Management Limited, noted, "This was an outstanding quarter for Amdocs. We posted excellent business results and strong growth, and we continued our proven strategy of developing long-term, service-based relationships with leading communications companies."</w:t>
      </w:r>
    </w:p>
    <w:p>
      <w:pPr>
        <w:spacing w:after="0" w:line="16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Naor continued, "Tremendous opportunities in the communications markets are driving global demand for advanced customer care and billing solutions. Demand is strong in all segments, including wireline, wireless, IP and convergence. Service providers are turning to Amdocs for solutions that are both innovative and reliable, enabling them to transform market opportunities into sustained business success. Amdocs, the world's leader in customer care and billing systems, is uniquely positioned to excel in this arena."</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Naor added, "Our merger with Solect, the Toronto-based IP customer care and billing provider, initially announced on February 29 this year, was completed on April 5. The integration of the organizations is moving forward quickly, and there is an excellent fit in terms of corporate cultures. The Solect acquisition has enhanced our product offering, enabling us to capitalize on some important market opportunities. This is a clear vindication of our approach, which uses mergers and acquisitions as an instrument to improve product and service offerings to our customers."</w:t>
      </w:r>
    </w:p>
    <w:p>
      <w:pPr>
        <w:spacing w:after="0" w:line="177"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Naor concluded, "Looking forward, our pipeline is strong. We continue to foster ongoing business relationships with our existing and new customers, and revenue visibility is at the same high level as in previous quarters. The second quarter continues our record of faultless, consistent results and sustained, solid growth. We are very confident regarding our future business prospects."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Amdocs is a leading provider of customer care, billing and order management systems for communications and Internet services. Amdocs has an unparalleled success record in project delivery of its mission-critical products. With human resources of over 5,900 information systems professionals, Amdocs has an installed base of successful projects with more than 75 service providers throughout the world. In April 2000, Amdocs completed the acquisition of Solect Technology Group Inc., a leading provider of customer care and billing systems for IP service providers. For more information visit our Web site at www.amdocs.com.</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This press release may contain forward-looking statements as defined under the Securities Act of 1933, as amended. Such statements involve risks and uncertainties that may cause future results to differ from those anticipated. These risks include, but are not limited to, the adverse effects of market competition, rapid changes in technology that may render the company's products and services obsolete, potential loss of a major customer, and risks associated with operating businesses in the international market. These and other risks are discussed at greater length in the company's filings with the Securities and Exchange Commission.</w:t>
      </w:r>
    </w:p>
    <w:p>
      <w:pPr>
        <w:sectPr>
          <w:pgSz w:w="11900" w:h="16838" w:orient="portrait"/>
          <w:cols w:equalWidth="0" w:num="1">
            <w:col w:w="10219"/>
          </w:cols>
          <w:pgMar w:left="240" w:top="140" w:right="1440" w:bottom="1440" w:gutter="0" w:footer="0" w:header="0"/>
        </w:sectPr>
      </w:pPr>
    </w:p>
    <w:bookmarkStart w:id="25" w:name="page26"/>
    <w:bookmarkEnd w:id="25"/>
    <w:p>
      <w:pPr>
        <w:ind w:left="268"/>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Pro forma Consolidated Statements of Operations (Unaudited)</w:t>
      </w:r>
    </w:p>
    <w:p>
      <w:pPr>
        <w:spacing w:after="0" w:line="174"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Excluding Impact of Charges for In-Process Research and Development and</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Amortization Expenses Resulting from Acquisition and</w:t>
      </w:r>
    </w:p>
    <w:p>
      <w:pPr>
        <w:spacing w:after="0" w:line="2"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Related Tax Effects (in thousands, except</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80" w:type="dxa"/>
            <w:vAlign w:val="bottom"/>
            <w:gridSpan w:val="3"/>
          </w:tcPr>
          <w:p>
            <w:pPr>
              <w:jc w:val="right"/>
              <w:ind w:right="765"/>
              <w:spacing w:after="0"/>
              <w:rPr>
                <w:sz w:val="20"/>
                <w:szCs w:val="20"/>
                <w:color w:val="auto"/>
              </w:rPr>
            </w:pPr>
            <w:r>
              <w:rPr>
                <w:rFonts w:ascii="Courier New" w:cs="Courier New" w:eastAsia="Courier New" w:hAnsi="Courier New"/>
                <w:sz w:val="15"/>
                <w:szCs w:val="15"/>
                <w:color w:val="auto"/>
              </w:rPr>
              <w:t>Three months ended</w:t>
            </w:r>
          </w:p>
        </w:tc>
        <w:tc>
          <w:tcPr>
            <w:tcW w:w="580" w:type="dxa"/>
            <w:vAlign w:val="bottom"/>
          </w:tcPr>
          <w:p>
            <w:pPr>
              <w:spacing w:after="0"/>
              <w:rPr>
                <w:sz w:val="14"/>
                <w:szCs w:val="14"/>
                <w:color w:val="auto"/>
              </w:rPr>
            </w:pPr>
          </w:p>
        </w:tc>
        <w:tc>
          <w:tcPr>
            <w:tcW w:w="2320" w:type="dxa"/>
            <w:vAlign w:val="bottom"/>
            <w:gridSpan w:val="3"/>
          </w:tcPr>
          <w:p>
            <w:pPr>
              <w:jc w:val="right"/>
              <w:ind w:right="26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4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70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 (1)</w:t>
            </w:r>
          </w:p>
        </w:tc>
        <w:tc>
          <w:tcPr>
            <w:tcW w:w="400" w:type="dxa"/>
            <w:vAlign w:val="bottom"/>
          </w:tcPr>
          <w:p>
            <w:pPr>
              <w:spacing w:after="0"/>
              <w:rPr>
                <w:sz w:val="14"/>
                <w:szCs w:val="14"/>
                <w:color w:val="auto"/>
              </w:rPr>
            </w:pPr>
          </w:p>
        </w:tc>
        <w:tc>
          <w:tcPr>
            <w:tcW w:w="12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2000 (1)</w:t>
            </w:r>
          </w:p>
        </w:tc>
        <w:tc>
          <w:tcPr>
            <w:tcW w:w="15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02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4"/>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License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30,441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17,308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56,943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32,348</w:t>
            </w:r>
          </w:p>
        </w:tc>
      </w:tr>
      <w:tr>
        <w:trPr>
          <w:trHeight w:val="172"/>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Service</w:t>
            </w:r>
          </w:p>
        </w:tc>
        <w:tc>
          <w:tcPr>
            <w:tcW w:w="48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240,304</w:t>
            </w:r>
          </w:p>
        </w:tc>
        <w:tc>
          <w:tcPr>
            <w:tcW w:w="40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130,522</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449,308</w:t>
            </w:r>
          </w:p>
        </w:tc>
        <w:tc>
          <w:tcPr>
            <w:tcW w:w="8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246,907</w:t>
            </w:r>
          </w:p>
        </w:tc>
      </w:tr>
      <w:tr>
        <w:trPr>
          <w:trHeight w:val="172"/>
        </w:trPr>
        <w:tc>
          <w:tcPr>
            <w:tcW w:w="402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270,745</w:t>
            </w:r>
          </w:p>
        </w:tc>
        <w:tc>
          <w:tcPr>
            <w:tcW w:w="40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147,830</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506,251</w:t>
            </w:r>
          </w:p>
        </w:tc>
        <w:tc>
          <w:tcPr>
            <w:tcW w:w="8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279,255</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48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1,458</w:t>
            </w:r>
          </w:p>
        </w:tc>
        <w:tc>
          <w:tcPr>
            <w:tcW w:w="40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1,370</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2,631</w:t>
            </w:r>
          </w:p>
        </w:tc>
        <w:tc>
          <w:tcPr>
            <w:tcW w:w="8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2,693</w:t>
            </w:r>
          </w:p>
        </w:tc>
      </w:tr>
      <w:tr>
        <w:trPr>
          <w:trHeight w:val="172"/>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48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156,272</w:t>
            </w:r>
          </w:p>
        </w:tc>
        <w:tc>
          <w:tcPr>
            <w:tcW w:w="40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84,280</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295,100</w:t>
            </w:r>
          </w:p>
        </w:tc>
        <w:tc>
          <w:tcPr>
            <w:tcW w:w="8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160,195</w:t>
            </w:r>
          </w:p>
        </w:tc>
      </w:tr>
      <w:tr>
        <w:trPr>
          <w:trHeight w:val="172"/>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48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17,713</w:t>
            </w:r>
          </w:p>
        </w:tc>
        <w:tc>
          <w:tcPr>
            <w:tcW w:w="40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9,140</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32,683</w:t>
            </w:r>
          </w:p>
        </w:tc>
        <w:tc>
          <w:tcPr>
            <w:tcW w:w="8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17,519</w:t>
            </w:r>
          </w:p>
        </w:tc>
      </w:tr>
      <w:tr>
        <w:trPr>
          <w:trHeight w:val="172"/>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48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33,087</w:t>
            </w:r>
          </w:p>
        </w:tc>
        <w:tc>
          <w:tcPr>
            <w:tcW w:w="40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17,415</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60,186</w:t>
            </w:r>
          </w:p>
        </w:tc>
        <w:tc>
          <w:tcPr>
            <w:tcW w:w="8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33,062</w:t>
            </w:r>
          </w:p>
        </w:tc>
      </w:tr>
      <w:tr>
        <w:trPr>
          <w:trHeight w:val="172"/>
        </w:trPr>
        <w:tc>
          <w:tcPr>
            <w:tcW w:w="402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208,530</w:t>
            </w:r>
          </w:p>
        </w:tc>
        <w:tc>
          <w:tcPr>
            <w:tcW w:w="40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112,205</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390,600</w:t>
            </w:r>
          </w:p>
        </w:tc>
        <w:tc>
          <w:tcPr>
            <w:tcW w:w="8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213,469</w:t>
            </w:r>
          </w:p>
        </w:tc>
      </w:tr>
      <w:tr>
        <w:trPr>
          <w:trHeight w:val="172"/>
        </w:trPr>
        <w:tc>
          <w:tcPr>
            <w:tcW w:w="402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8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62,215</w:t>
            </w:r>
          </w:p>
        </w:tc>
        <w:tc>
          <w:tcPr>
            <w:tcW w:w="40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35,625</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115,651</w:t>
            </w:r>
          </w:p>
        </w:tc>
        <w:tc>
          <w:tcPr>
            <w:tcW w:w="8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65,786</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480" w:type="dxa"/>
            <w:vAlign w:val="bottom"/>
          </w:tcPr>
          <w:p>
            <w:pPr>
              <w:spacing w:after="0"/>
              <w:rPr>
                <w:sz w:val="24"/>
                <w:szCs w:val="2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2,318</w:t>
            </w:r>
          </w:p>
        </w:tc>
        <w:tc>
          <w:tcPr>
            <w:tcW w:w="400" w:type="dxa"/>
            <w:vAlign w:val="bottom"/>
          </w:tcPr>
          <w:p>
            <w:pPr>
              <w:spacing w:after="0"/>
              <w:rPr>
                <w:sz w:val="24"/>
                <w:szCs w:val="2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(2,566)</w:t>
            </w:r>
          </w:p>
        </w:tc>
        <w:tc>
          <w:tcPr>
            <w:tcW w:w="5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2,663</w:t>
            </w:r>
          </w:p>
        </w:tc>
        <w:tc>
          <w:tcPr>
            <w:tcW w:w="8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(3,953)</w:t>
            </w:r>
          </w:p>
        </w:tc>
      </w:tr>
      <w:tr>
        <w:trPr>
          <w:trHeight w:val="172"/>
        </w:trPr>
        <w:tc>
          <w:tcPr>
            <w:tcW w:w="402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8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64,533</w:t>
            </w:r>
          </w:p>
        </w:tc>
        <w:tc>
          <w:tcPr>
            <w:tcW w:w="40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33,059</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118,314</w:t>
            </w:r>
          </w:p>
        </w:tc>
        <w:tc>
          <w:tcPr>
            <w:tcW w:w="8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61,833</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80" w:type="dxa"/>
            <w:vAlign w:val="bottom"/>
          </w:tcPr>
          <w:p>
            <w:pPr>
              <w:spacing w:after="0"/>
              <w:rPr>
                <w:sz w:val="24"/>
                <w:szCs w:val="2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19,360</w:t>
            </w:r>
          </w:p>
        </w:tc>
        <w:tc>
          <w:tcPr>
            <w:tcW w:w="400" w:type="dxa"/>
            <w:vAlign w:val="bottom"/>
          </w:tcPr>
          <w:p>
            <w:pPr>
              <w:spacing w:after="0"/>
              <w:rPr>
                <w:sz w:val="24"/>
                <w:szCs w:val="2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9,918</w:t>
            </w:r>
          </w:p>
        </w:tc>
        <w:tc>
          <w:tcPr>
            <w:tcW w:w="5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35,494</w:t>
            </w:r>
          </w:p>
        </w:tc>
        <w:tc>
          <w:tcPr>
            <w:tcW w:w="86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18,550</w:t>
            </w:r>
          </w:p>
        </w:tc>
      </w:tr>
      <w:tr>
        <w:trPr>
          <w:trHeight w:val="172"/>
        </w:trPr>
        <w:tc>
          <w:tcPr>
            <w:tcW w:w="402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45,173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23,141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82,820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43,283</w:t>
            </w:r>
          </w:p>
        </w:tc>
      </w:tr>
      <w:tr>
        <w:trPr>
          <w:trHeight w:val="172"/>
        </w:trPr>
        <w:tc>
          <w:tcPr>
            <w:tcW w:w="402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0.21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0.12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0.40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0.22</w:t>
            </w:r>
          </w:p>
        </w:tc>
      </w:tr>
      <w:tr>
        <w:trPr>
          <w:trHeight w:val="172"/>
        </w:trPr>
        <w:tc>
          <w:tcPr>
            <w:tcW w:w="4020" w:type="dxa"/>
            <w:vAlign w:val="bottom"/>
          </w:tcPr>
          <w:p>
            <w:pPr>
              <w:spacing w:after="0"/>
              <w:rPr>
                <w:sz w:val="14"/>
                <w:szCs w:val="14"/>
                <w:color w:val="auto"/>
              </w:rPr>
            </w:pP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48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211,416</w:t>
            </w:r>
          </w:p>
        </w:tc>
        <w:tc>
          <w:tcPr>
            <w:tcW w:w="40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199,542</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207,904</w:t>
            </w:r>
          </w:p>
        </w:tc>
        <w:tc>
          <w:tcPr>
            <w:tcW w:w="8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199,263</w:t>
            </w:r>
          </w:p>
        </w:tc>
      </w:tr>
      <w:tr>
        <w:trPr>
          <w:trHeight w:val="172"/>
        </w:trPr>
        <w:tc>
          <w:tcPr>
            <w:tcW w:w="4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348" w:lineRule="exact"/>
        <w:rPr>
          <w:sz w:val="20"/>
          <w:szCs w:val="20"/>
          <w:color w:val="auto"/>
        </w:rPr>
      </w:pPr>
    </w:p>
    <w:p>
      <w:pPr>
        <w:ind w:left="448" w:right="3339" w:hanging="448"/>
        <w:spacing w:after="0" w:line="267" w:lineRule="auto"/>
        <w:tabs>
          <w:tab w:leader="none" w:pos="44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three and six months ended March 31, 2000, excludes $2,310 and $2,800 related to non-cash amortization charges for goodwill and other intangibles associated with the acquisition of ITDS, net of tax effects.</w:t>
      </w:r>
    </w:p>
    <w:p>
      <w:pPr>
        <w:spacing w:after="0" w:line="158" w:lineRule="exact"/>
        <w:rPr>
          <w:rFonts w:ascii="Courier New" w:cs="Courier New" w:eastAsia="Courier New" w:hAnsi="Courier New"/>
          <w:sz w:val="14"/>
          <w:szCs w:val="14"/>
          <w:color w:val="auto"/>
        </w:rPr>
      </w:pPr>
    </w:p>
    <w:p>
      <w:pPr>
        <w:ind w:left="448" w:right="3079"/>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For the six months ended March 31, 2000, also excludes $19,876 non-cash charge for in - process research and development related to the acquisition of ITDS.</w:t>
      </w:r>
    </w:p>
    <w:p>
      <w:pPr>
        <w:spacing w:after="0" w:line="176" w:lineRule="exact"/>
        <w:rPr>
          <w:rFonts w:ascii="Courier New" w:cs="Courier New" w:eastAsia="Courier New" w:hAnsi="Courier New"/>
          <w:sz w:val="14"/>
          <w:szCs w:val="14"/>
          <w:color w:val="auto"/>
        </w:rPr>
      </w:pPr>
    </w:p>
    <w:p>
      <w:pPr>
        <w:ind w:left="448" w:right="3339"/>
        <w:spacing w:after="0" w:line="26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these charges, income before taxes was $62,433 and $95,638 for the three and six months ended March 31, 2000 and diluted earnings per share were $0.20 and $0.29 for the three and six months ended March 31, 2000.</w:t>
      </w:r>
    </w:p>
    <w:p>
      <w:pPr>
        <w:sectPr>
          <w:pgSz w:w="11900" w:h="16838" w:orient="portrait"/>
          <w:cols w:equalWidth="0" w:num="1">
            <w:col w:w="10227"/>
          </w:cols>
          <w:pgMar w:left="232"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18"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8"/>
              </w:rPr>
              <w:t>Six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March 31,</w:t>
            </w:r>
          </w:p>
        </w:tc>
        <w:tc>
          <w:tcPr>
            <w:tcW w:w="440" w:type="dxa"/>
            <w:vAlign w:val="bottom"/>
          </w:tcPr>
          <w:p>
            <w:pPr>
              <w:spacing w:after="0"/>
              <w:rPr>
                <w:sz w:val="14"/>
                <w:szCs w:val="14"/>
                <w:color w:val="auto"/>
              </w:rPr>
            </w:pPr>
          </w:p>
        </w:tc>
        <w:tc>
          <w:tcPr>
            <w:tcW w:w="1440" w:type="dxa"/>
            <w:vAlign w:val="bottom"/>
          </w:tcPr>
          <w:p>
            <w:pPr>
              <w:ind w:left="460"/>
              <w:spacing w:after="0"/>
              <w:rPr>
                <w:sz w:val="20"/>
                <w:szCs w:val="20"/>
                <w:color w:val="auto"/>
              </w:rPr>
            </w:pPr>
            <w:r>
              <w:rPr>
                <w:rFonts w:ascii="Courier New" w:cs="Courier New" w:eastAsia="Courier New" w:hAnsi="Courier New"/>
                <w:sz w:val="15"/>
                <w:szCs w:val="15"/>
                <w:color w:val="auto"/>
              </w:rPr>
              <w:t>March 31,</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4"/>
              </w:rPr>
              <w:t>1999</w:t>
            </w:r>
          </w:p>
        </w:tc>
        <w:tc>
          <w:tcPr>
            <w:tcW w:w="440" w:type="dxa"/>
            <w:vAlign w:val="bottom"/>
          </w:tcPr>
          <w:p>
            <w:pPr>
              <w:spacing w:after="0"/>
              <w:rPr>
                <w:sz w:val="14"/>
                <w:szCs w:val="14"/>
                <w:color w:val="auto"/>
              </w:rPr>
            </w:pPr>
          </w:p>
        </w:tc>
        <w:tc>
          <w:tcPr>
            <w:tcW w:w="14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92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4"/>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License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30,441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17,308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56,943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32,348</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Service</w:t>
            </w:r>
          </w:p>
        </w:tc>
        <w:tc>
          <w:tcPr>
            <w:tcW w:w="4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240,304</w:t>
            </w:r>
          </w:p>
        </w:tc>
        <w:tc>
          <w:tcPr>
            <w:tcW w:w="8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130,522</w:t>
            </w:r>
          </w:p>
        </w:tc>
        <w:tc>
          <w:tcPr>
            <w:tcW w:w="440" w:type="dxa"/>
            <w:vAlign w:val="bottom"/>
          </w:tcPr>
          <w:p>
            <w:pPr>
              <w:spacing w:after="0"/>
              <w:rPr>
                <w:sz w:val="14"/>
                <w:szCs w:val="14"/>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449,308</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246,907</w:t>
            </w:r>
          </w:p>
        </w:tc>
      </w:tr>
      <w:tr>
        <w:trPr>
          <w:trHeight w:val="172"/>
        </w:trPr>
        <w:tc>
          <w:tcPr>
            <w:tcW w:w="492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270,745</w:t>
            </w:r>
          </w:p>
        </w:tc>
        <w:tc>
          <w:tcPr>
            <w:tcW w:w="8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147,830</w:t>
            </w:r>
          </w:p>
        </w:tc>
        <w:tc>
          <w:tcPr>
            <w:tcW w:w="440" w:type="dxa"/>
            <w:vAlign w:val="bottom"/>
          </w:tcPr>
          <w:p>
            <w:pPr>
              <w:spacing w:after="0"/>
              <w:rPr>
                <w:sz w:val="14"/>
                <w:szCs w:val="14"/>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506,251</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279,255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4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1,458</w:t>
            </w:r>
          </w:p>
        </w:tc>
        <w:tc>
          <w:tcPr>
            <w:tcW w:w="8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1,370</w:t>
            </w:r>
          </w:p>
        </w:tc>
        <w:tc>
          <w:tcPr>
            <w:tcW w:w="440" w:type="dxa"/>
            <w:vAlign w:val="bottom"/>
          </w:tcPr>
          <w:p>
            <w:pPr>
              <w:spacing w:after="0"/>
              <w:rPr>
                <w:sz w:val="14"/>
                <w:szCs w:val="14"/>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2,631</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2,693</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4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156,889</w:t>
            </w:r>
          </w:p>
        </w:tc>
        <w:tc>
          <w:tcPr>
            <w:tcW w:w="8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84,280</w:t>
            </w:r>
          </w:p>
        </w:tc>
        <w:tc>
          <w:tcPr>
            <w:tcW w:w="440" w:type="dxa"/>
            <w:vAlign w:val="bottom"/>
          </w:tcPr>
          <w:p>
            <w:pPr>
              <w:spacing w:after="0"/>
              <w:rPr>
                <w:sz w:val="14"/>
                <w:szCs w:val="14"/>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295,923</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160,195</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4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17,713</w:t>
            </w:r>
          </w:p>
        </w:tc>
        <w:tc>
          <w:tcPr>
            <w:tcW w:w="8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9,140</w:t>
            </w:r>
          </w:p>
        </w:tc>
        <w:tc>
          <w:tcPr>
            <w:tcW w:w="440" w:type="dxa"/>
            <w:vAlign w:val="bottom"/>
          </w:tcPr>
          <w:p>
            <w:pPr>
              <w:spacing w:after="0"/>
              <w:rPr>
                <w:sz w:val="14"/>
                <w:szCs w:val="14"/>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32,683</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17,519</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4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34,570</w:t>
            </w:r>
          </w:p>
        </w:tc>
        <w:tc>
          <w:tcPr>
            <w:tcW w:w="8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17,415</w:t>
            </w:r>
          </w:p>
        </w:tc>
        <w:tc>
          <w:tcPr>
            <w:tcW w:w="440" w:type="dxa"/>
            <w:vAlign w:val="bottom"/>
          </w:tcPr>
          <w:p>
            <w:pPr>
              <w:spacing w:after="0"/>
              <w:rPr>
                <w:sz w:val="14"/>
                <w:szCs w:val="14"/>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62,163</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33,062</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In process research and development expenses</w:t>
            </w:r>
          </w:p>
        </w:tc>
        <w:tc>
          <w:tcPr>
            <w:tcW w:w="480" w:type="dxa"/>
            <w:vAlign w:val="bottom"/>
          </w:tcPr>
          <w:p>
            <w:pPr>
              <w:spacing w:after="0"/>
              <w:rPr>
                <w:sz w:val="14"/>
                <w:szCs w:val="14"/>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19,876</w:t>
            </w:r>
          </w:p>
        </w:tc>
        <w:tc>
          <w:tcPr>
            <w:tcW w:w="140" w:type="dxa"/>
            <w:vAlign w:val="bottom"/>
          </w:tcPr>
          <w:p>
            <w:pPr>
              <w:spacing w:after="0"/>
              <w:rPr>
                <w:sz w:val="14"/>
                <w:szCs w:val="14"/>
                <w:color w:val="auto"/>
              </w:rPr>
            </w:pP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210,630</w:t>
            </w:r>
          </w:p>
        </w:tc>
        <w:tc>
          <w:tcPr>
            <w:tcW w:w="8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112,205</w:t>
            </w:r>
          </w:p>
        </w:tc>
        <w:tc>
          <w:tcPr>
            <w:tcW w:w="440" w:type="dxa"/>
            <w:vAlign w:val="bottom"/>
          </w:tcPr>
          <w:p>
            <w:pPr>
              <w:spacing w:after="0"/>
              <w:rPr>
                <w:sz w:val="14"/>
                <w:szCs w:val="14"/>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413,276</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213,469</w:t>
            </w:r>
          </w:p>
        </w:tc>
      </w:tr>
      <w:tr>
        <w:trPr>
          <w:trHeight w:val="172"/>
        </w:trPr>
        <w:tc>
          <w:tcPr>
            <w:tcW w:w="492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60,115</w:t>
            </w:r>
          </w:p>
        </w:tc>
        <w:tc>
          <w:tcPr>
            <w:tcW w:w="8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35,625</w:t>
            </w:r>
          </w:p>
        </w:tc>
        <w:tc>
          <w:tcPr>
            <w:tcW w:w="440" w:type="dxa"/>
            <w:vAlign w:val="bottom"/>
          </w:tcPr>
          <w:p>
            <w:pPr>
              <w:spacing w:after="0"/>
              <w:rPr>
                <w:sz w:val="14"/>
                <w:szCs w:val="14"/>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92,975</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65,786</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4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2,318</w:t>
            </w:r>
          </w:p>
        </w:tc>
        <w:tc>
          <w:tcPr>
            <w:tcW w:w="80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(2,566)</w:t>
            </w:r>
          </w:p>
        </w:tc>
        <w:tc>
          <w:tcPr>
            <w:tcW w:w="440" w:type="dxa"/>
            <w:vAlign w:val="bottom"/>
          </w:tcPr>
          <w:p>
            <w:pPr>
              <w:spacing w:after="0"/>
              <w:rPr>
                <w:sz w:val="24"/>
                <w:szCs w:val="24"/>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2,663</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(3,953)</w:t>
            </w:r>
          </w:p>
        </w:tc>
      </w:tr>
      <w:tr>
        <w:trPr>
          <w:trHeight w:val="172"/>
        </w:trPr>
        <w:tc>
          <w:tcPr>
            <w:tcW w:w="492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62,433</w:t>
            </w:r>
          </w:p>
        </w:tc>
        <w:tc>
          <w:tcPr>
            <w:tcW w:w="8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33,059</w:t>
            </w:r>
          </w:p>
        </w:tc>
        <w:tc>
          <w:tcPr>
            <w:tcW w:w="440" w:type="dxa"/>
            <w:vAlign w:val="bottom"/>
          </w:tcPr>
          <w:p>
            <w:pPr>
              <w:spacing w:after="0"/>
              <w:rPr>
                <w:sz w:val="14"/>
                <w:szCs w:val="14"/>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95,638</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61,833</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19,570</w:t>
            </w:r>
          </w:p>
        </w:tc>
        <w:tc>
          <w:tcPr>
            <w:tcW w:w="800" w:type="dxa"/>
            <w:vAlign w:val="bottom"/>
          </w:tcPr>
          <w:p>
            <w:pPr>
              <w:spacing w:after="0"/>
              <w:rPr>
                <w:sz w:val="24"/>
                <w:szCs w:val="2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9,918</w:t>
            </w:r>
          </w:p>
        </w:tc>
        <w:tc>
          <w:tcPr>
            <w:tcW w:w="440" w:type="dxa"/>
            <w:vAlign w:val="bottom"/>
          </w:tcPr>
          <w:p>
            <w:pPr>
              <w:spacing w:after="0"/>
              <w:rPr>
                <w:sz w:val="24"/>
                <w:szCs w:val="24"/>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35,494</w:t>
            </w:r>
          </w:p>
        </w:tc>
        <w:tc>
          <w:tcPr>
            <w:tcW w:w="14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18,550</w:t>
            </w:r>
          </w:p>
        </w:tc>
      </w:tr>
      <w:tr>
        <w:trPr>
          <w:trHeight w:val="172"/>
        </w:trPr>
        <w:tc>
          <w:tcPr>
            <w:tcW w:w="492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42,863</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23,141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60,144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43,283</w:t>
            </w:r>
          </w:p>
        </w:tc>
      </w:tr>
      <w:tr>
        <w:trPr>
          <w:trHeight w:val="172"/>
        </w:trPr>
        <w:tc>
          <w:tcPr>
            <w:tcW w:w="492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0.12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0.30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0.22</w:t>
            </w:r>
          </w:p>
        </w:tc>
      </w:tr>
      <w:tr>
        <w:trPr>
          <w:trHeight w:val="172"/>
        </w:trPr>
        <w:tc>
          <w:tcPr>
            <w:tcW w:w="492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0.12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0.29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0.22</w:t>
            </w:r>
          </w:p>
        </w:tc>
      </w:tr>
      <w:tr>
        <w:trPr>
          <w:trHeight w:val="172"/>
        </w:trPr>
        <w:tc>
          <w:tcPr>
            <w:tcW w:w="492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4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205,985</w:t>
            </w:r>
          </w:p>
        </w:tc>
        <w:tc>
          <w:tcPr>
            <w:tcW w:w="8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196,800</w:t>
            </w:r>
          </w:p>
        </w:tc>
        <w:tc>
          <w:tcPr>
            <w:tcW w:w="440" w:type="dxa"/>
            <w:vAlign w:val="bottom"/>
          </w:tcPr>
          <w:p>
            <w:pPr>
              <w:spacing w:after="0"/>
              <w:rPr>
                <w:sz w:val="14"/>
                <w:szCs w:val="14"/>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203,465</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196,800</w:t>
            </w:r>
          </w:p>
        </w:tc>
      </w:tr>
      <w:tr>
        <w:trPr>
          <w:trHeight w:val="172"/>
        </w:trPr>
        <w:tc>
          <w:tcPr>
            <w:tcW w:w="492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4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211,416</w:t>
            </w:r>
          </w:p>
        </w:tc>
        <w:tc>
          <w:tcPr>
            <w:tcW w:w="8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199,542</w:t>
            </w:r>
          </w:p>
        </w:tc>
        <w:tc>
          <w:tcPr>
            <w:tcW w:w="440" w:type="dxa"/>
            <w:vAlign w:val="bottom"/>
          </w:tcPr>
          <w:p>
            <w:pPr>
              <w:spacing w:after="0"/>
              <w:rPr>
                <w:sz w:val="14"/>
                <w:szCs w:val="14"/>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207,904</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199,263</w:t>
            </w:r>
          </w:p>
        </w:tc>
      </w:tr>
      <w:tr>
        <w:trPr>
          <w:trHeight w:val="172"/>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bl>
    <w:p>
      <w:pPr>
        <w:sectPr>
          <w:pgSz w:w="11900" w:h="16838" w:orient="portrait"/>
          <w:cols w:equalWidth="0" w:num="1">
            <w:col w:w="10820"/>
          </w:cols>
          <w:pgMar w:left="240" w:top="289" w:right="839"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Condensed Consolidated Balance Sheets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ind w:left="2940"/>
              <w:spacing w:after="0"/>
              <w:rPr>
                <w:sz w:val="20"/>
                <w:szCs w:val="20"/>
                <w:color w:val="auto"/>
              </w:rPr>
            </w:pPr>
            <w:r>
              <w:rPr>
                <w:rFonts w:ascii="Courier New" w:cs="Courier New" w:eastAsia="Courier New" w:hAnsi="Courier New"/>
                <w:sz w:val="15"/>
                <w:szCs w:val="15"/>
                <w:color w:val="auto"/>
              </w:rPr>
              <w:t>(in thousands)</w:t>
            </w: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860"/>
        </w:trPr>
        <w:tc>
          <w:tcPr>
            <w:tcW w:w="6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tcPr>
          <w:p>
            <w:pPr>
              <w:jc w:val="right"/>
              <w:ind w:right="1265"/>
              <w:spacing w:after="0"/>
              <w:rPr>
                <w:sz w:val="20"/>
                <w:szCs w:val="20"/>
                <w:color w:val="auto"/>
              </w:rPr>
            </w:pPr>
            <w:r>
              <w:rPr>
                <w:rFonts w:ascii="Courier New" w:cs="Courier New" w:eastAsia="Courier New" w:hAnsi="Courier New"/>
                <w:sz w:val="15"/>
                <w:szCs w:val="15"/>
                <w:color w:val="auto"/>
                <w:w w:val="97"/>
              </w:rPr>
              <w:t>As of</w:t>
            </w:r>
          </w:p>
        </w:tc>
      </w:tr>
      <w:tr>
        <w:trPr>
          <w:trHeight w:val="172"/>
        </w:trPr>
        <w:tc>
          <w:tcPr>
            <w:tcW w:w="6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jc w:val="right"/>
              <w:ind w:right="126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65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652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18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65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344"/>
        </w:trPr>
        <w:tc>
          <w:tcPr>
            <w:tcW w:w="65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44"/>
        </w:trPr>
        <w:tc>
          <w:tcPr>
            <w:tcW w:w="65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44"/>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Cash, cash equivalents and short term interest bearing investments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$242,551</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$ 85,174</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including unbilled of $9,764 and $4,243,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226,539</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159,312</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respectively</w:t>
            </w: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58,921</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46,289</w:t>
            </w:r>
          </w:p>
        </w:tc>
      </w:tr>
      <w:tr>
        <w:trPr>
          <w:trHeight w:val="172"/>
        </w:trPr>
        <w:tc>
          <w:tcPr>
            <w:tcW w:w="65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528,011</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290,775</w:t>
            </w:r>
          </w:p>
        </w:tc>
      </w:tr>
      <w:tr>
        <w:trPr>
          <w:trHeight w:val="344"/>
        </w:trPr>
        <w:tc>
          <w:tcPr>
            <w:tcW w:w="652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99,204</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83,997</w:t>
            </w:r>
          </w:p>
        </w:tc>
      </w:tr>
      <w:tr>
        <w:trPr>
          <w:trHeight w:val="172"/>
        </w:trPr>
        <w:tc>
          <w:tcPr>
            <w:tcW w:w="652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110,858</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20,742</w:t>
            </w:r>
          </w:p>
        </w:tc>
      </w:tr>
      <w:tr>
        <w:trPr>
          <w:trHeight w:val="172"/>
        </w:trPr>
        <w:tc>
          <w:tcPr>
            <w:tcW w:w="65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44,771</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34,497</w:t>
            </w:r>
          </w:p>
        </w:tc>
      </w:tr>
      <w:tr>
        <w:trPr>
          <w:trHeight w:val="172"/>
        </w:trPr>
        <w:tc>
          <w:tcPr>
            <w:tcW w:w="65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$782,844</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$430,011</w:t>
            </w:r>
          </w:p>
        </w:tc>
      </w:tr>
      <w:tr>
        <w:trPr>
          <w:trHeight w:val="172"/>
        </w:trPr>
        <w:tc>
          <w:tcPr>
            <w:tcW w:w="65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516"/>
        </w:trPr>
        <w:tc>
          <w:tcPr>
            <w:tcW w:w="65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2"/>
        </w:trPr>
        <w:tc>
          <w:tcPr>
            <w:tcW w:w="65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accruals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$136,009</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$108,686</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Short-term financing arrangements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23,154</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8,103</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114,682</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104,688</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income taxes payable</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53,184</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33,412</w:t>
            </w:r>
          </w:p>
        </w:tc>
      </w:tr>
      <w:tr>
        <w:trPr>
          <w:trHeight w:val="172"/>
        </w:trPr>
        <w:tc>
          <w:tcPr>
            <w:tcW w:w="65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327,029</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254,889</w:t>
            </w:r>
          </w:p>
        </w:tc>
      </w:tr>
      <w:tr>
        <w:trPr>
          <w:trHeight w:val="172"/>
        </w:trPr>
        <w:tc>
          <w:tcPr>
            <w:tcW w:w="6520" w:type="dxa"/>
            <w:vAlign w:val="bottom"/>
          </w:tcPr>
          <w:p>
            <w:pPr>
              <w:spacing w:after="0"/>
              <w:rPr>
                <w:sz w:val="20"/>
                <w:szCs w:val="20"/>
                <w:color w:val="auto"/>
              </w:rPr>
            </w:pPr>
            <w:r>
              <w:rPr>
                <w:rFonts w:ascii="Courier New" w:cs="Courier New" w:eastAsia="Courier New" w:hAnsi="Courier New"/>
                <w:sz w:val="15"/>
                <w:szCs w:val="15"/>
                <w:color w:val="auto"/>
              </w:rPr>
              <w:t>Noncurrent liabilities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63,852</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51,385</w:t>
            </w:r>
          </w:p>
        </w:tc>
      </w:tr>
      <w:tr>
        <w:trPr>
          <w:trHeight w:val="172"/>
        </w:trPr>
        <w:tc>
          <w:tcPr>
            <w:tcW w:w="65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391,963</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123,737</w:t>
            </w:r>
          </w:p>
        </w:tc>
      </w:tr>
      <w:tr>
        <w:trPr>
          <w:trHeight w:val="172"/>
        </w:trPr>
        <w:tc>
          <w:tcPr>
            <w:tcW w:w="65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$782,844</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$430,011</w:t>
            </w:r>
          </w:p>
        </w:tc>
      </w:tr>
      <w:tr>
        <w:trPr>
          <w:trHeight w:val="172"/>
        </w:trPr>
        <w:tc>
          <w:tcPr>
            <w:tcW w:w="65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 Amdocs Limited</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Thomas G. O'Brien</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Treasurer and Director of Investor Relations</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314/212-8328</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E-mail: dox_info@amdocs.com</w:t>
      </w:r>
    </w:p>
    <w:sectPr>
      <w:pgSz w:w="11900" w:h="16838" w:orient="portrait"/>
      <w:cols w:equalWidth="0" w:num="1">
        <w:col w:w="10219"/>
      </w:cols>
      <w:pgMar w:left="240"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2"/>
    </w:lvl>
    <w:lvl w:ilvl="1">
      <w:lvlJc w:val="left"/>
      <w:lvlText w:val="(%2)"/>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2019-12-11T20:01:23Z</dcterms:created>
  <dcterms:modified xsi:type="dcterms:W3CDTF">2019-12-11T20:01:23Z</dcterms:modified>
</cp:coreProperties>
</file>