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2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For the month of January, 2014</w:t>
      </w:r>
    </w:p>
    <w:p>
      <w:pPr>
        <w:spacing w:after="0" w:line="225"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279"/>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262255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Suite 5, Tower Hill House Le Bordage</w:t>
      </w:r>
    </w:p>
    <w:p>
      <w:pPr>
        <w:spacing w:after="0" w:line="27"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St. Peter Port, Island of Guernsey, GY1 3QT</w:t>
      </w:r>
    </w:p>
    <w:p>
      <w:pPr>
        <w:spacing w:after="0" w:line="207"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spacing w:after="0" w:line="207" w:lineRule="exact"/>
        <w:tabs>
          <w:tab w:leader="none" w:pos="8660" w:val="left"/>
          <w:tab w:leader="none" w:pos="9980" w:val="left"/>
        </w:tabs>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tab/>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3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1" w:lineRule="exact"/>
        <w:rPr>
          <w:sz w:val="24"/>
          <w:szCs w:val="24"/>
          <w:color w:val="auto"/>
        </w:rPr>
      </w:pPr>
    </w:p>
    <w:p>
      <w:pPr>
        <w:ind w:right="540"/>
        <w:spacing w:after="0" w:line="233" w:lineRule="exact"/>
        <w:rPr>
          <w:sz w:val="20"/>
          <w:szCs w:val="20"/>
          <w:color w:val="auto"/>
        </w:rPr>
      </w:pPr>
      <w:r>
        <w:rPr>
          <w:rFonts w:ascii="Arial" w:cs="Arial" w:eastAsia="Arial" w:hAnsi="Arial"/>
          <w:sz w:val="18"/>
          <w:szCs w:val="18"/>
          <w:color w:val="auto"/>
        </w:rPr>
        <w:t xml:space="preserve">Indicate by check mark whether the registrant by furnishing the information contained in this Form is also thereby furnishing the information to the Commission pursuant to rule 12g3-2(b) under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240" w:top="368" w:right="499" w:bottom="1440" w:gutter="0" w:footer="0" w:header="0"/>
        </w:sectPr>
      </w:pPr>
    </w:p>
    <w:bookmarkStart w:id="1" w:name="page2"/>
    <w:bookmarkEnd w:id="1"/>
    <w:p>
      <w:pPr>
        <w:ind w:right="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January 29, 2014, Amdocs Limited (“Amdocs”) issued a press release announcing financial results for the quarter ended December 31, 2013. A copy of the press release is furnished as Exhibit 99.1 to this Report of Foreign Private Issuer on Form 6-K.</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1100"/>
          </w:cols>
          <w:pgMar w:left="240" w:top="274" w:right="55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Elizabeth W. McDermon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Elizabeth W. McDermon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 and Authorized Signatory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January 29, 2014</w:t>
      </w:r>
    </w:p>
    <w:p>
      <w:pPr>
        <w:sectPr>
          <w:pgSz w:w="11900" w:h="16838" w:orient="portrait"/>
          <w:cols w:equalWidth="0" w:num="1">
            <w:col w:w="11260"/>
          </w:cols>
          <w:pgMar w:left="240" w:top="270"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0" w:type="dxa"/>
            <w:vAlign w:val="bottom"/>
          </w:tcPr>
          <w:p>
            <w:pPr>
              <w:ind w:left="2280"/>
              <w:spacing w:after="0"/>
              <w:rPr>
                <w:sz w:val="20"/>
                <w:szCs w:val="20"/>
                <w:color w:val="auto"/>
              </w:rPr>
            </w:pPr>
            <w:r>
              <w:rPr>
                <w:rFonts w:ascii="Arial" w:cs="Arial" w:eastAsia="Arial" w:hAnsi="Arial"/>
                <w:sz w:val="18"/>
                <w:szCs w:val="18"/>
                <w:color w:val="auto"/>
                <w:w w:val="99"/>
              </w:rPr>
              <w:t>EXHIBIT INDEX</w:t>
            </w:r>
          </w:p>
        </w:tc>
      </w:tr>
      <w:tr>
        <w:trPr>
          <w:trHeight w:val="392"/>
        </w:trPr>
        <w:tc>
          <w:tcPr>
            <w:tcW w:w="880" w:type="dxa"/>
            <w:vAlign w:val="bottom"/>
          </w:tcPr>
          <w:p>
            <w:pPr>
              <w:spacing w:after="0"/>
              <w:rPr>
                <w:sz w:val="20"/>
                <w:szCs w:val="20"/>
                <w:color w:val="auto"/>
              </w:rPr>
            </w:pPr>
            <w:r>
              <w:rPr>
                <w:rFonts w:ascii="Arial" w:cs="Arial" w:eastAsia="Arial" w:hAnsi="Arial"/>
                <w:sz w:val="14"/>
                <w:szCs w:val="14"/>
                <w:color w:val="auto"/>
              </w:rPr>
              <w:t>EXHIBIT NO.</w:t>
            </w:r>
          </w:p>
        </w:tc>
        <w:tc>
          <w:tcPr>
            <w:tcW w:w="96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4"/>
                <w:szCs w:val="14"/>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96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Amdocs Limited Press Release dated January 29, 2014.</w:t>
            </w:r>
          </w:p>
        </w:tc>
      </w:tr>
    </w:tbl>
    <w:p>
      <w:pPr>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283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Amdocs Limited Reports Record Quarterly Revenue of $864M, Up 4.6%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YoY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Reiterates FY14 Non-GAAP Diluted EPS Growth Outlook of 6-9% YoY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Closed Acquisition of Celcite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Key highlights:</w:t>
      </w:r>
    </w:p>
    <w:p>
      <w:pPr>
        <w:spacing w:after="0" w:line="131" w:lineRule="exact"/>
        <w:rPr>
          <w:sz w:val="20"/>
          <w:szCs w:val="20"/>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Closed the previously announced acquisition of Celcite on January 1, 2014, for $141 million in cash</w:t>
      </w:r>
    </w:p>
    <w:p>
      <w:pPr>
        <w:spacing w:after="0" w:line="130"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First fiscal quarter revenue of $864 million, within the $845-$875 million guidance range. Foreign currency movements positively affected revenue by approximately $2 million relative to the fourth quarter of fiscal 2013</w:t>
      </w:r>
    </w:p>
    <w:p>
      <w:pPr>
        <w:spacing w:after="0" w:line="75"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First fiscal quarter non-GAAP operating income of $145 million; non-GAAP operating margin of 16.8%; GAAP operating income of $121 million</w:t>
      </w:r>
    </w:p>
    <w:p>
      <w:pPr>
        <w:spacing w:after="0" w:line="75" w:lineRule="exact"/>
        <w:rPr>
          <w:rFonts w:ascii="Arial" w:cs="Arial" w:eastAsia="Arial" w:hAnsi="Arial"/>
          <w:sz w:val="18"/>
          <w:szCs w:val="18"/>
          <w:color w:val="auto"/>
        </w:rPr>
      </w:pPr>
    </w:p>
    <w:p>
      <w:pPr>
        <w:ind w:left="900" w:right="440" w:hanging="325"/>
        <w:spacing w:after="0" w:line="308" w:lineRule="auto"/>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First fiscal quarter diluted non-GAAP EPS of $0.76, within the $0.72-$0.78 guidance range, excluding amortization of purchased intangible assets and other acquisition related costs and equity-based compensation expense, net of related tax effects</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Diluted GAAP EPS of $0.63 for the first fiscal quarter, within the $0.58-$0.66 guidance range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Free cash flow of $160 million for the first fiscal quarter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Twelve-month backlog of $2.89 billion at the end of the first fiscal quarter, up $20 million from the end of the fourth quarter of fiscal 2013</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Repurchased $84 million of ordinary shares during the first fiscal quarter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board of directors approved a $0.155 per share quarterly cash dividend to be paid on April 17, 2014, subject to shareholder approval</w:t>
      </w:r>
    </w:p>
    <w:p>
      <w:pPr>
        <w:spacing w:after="0" w:line="142" w:lineRule="exact"/>
        <w:rPr>
          <w:rFonts w:ascii="Arial" w:cs="Arial" w:eastAsia="Arial" w:hAnsi="Arial"/>
          <w:sz w:val="17"/>
          <w:szCs w:val="17"/>
          <w:color w:val="auto"/>
        </w:rPr>
      </w:pPr>
    </w:p>
    <w:p>
      <w:pPr>
        <w:ind w:left="900" w:right="320" w:hanging="325"/>
        <w:spacing w:after="0" w:line="259"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Second quarter fiscal 2014 guidance: Expected revenue of approximately $880-$910 million which includes full quarter contributions from recently closed acquisitions. Expected diluted non-GAAP EPS of approximately $0.75-$0.81, excluding amortization of purchased intangible assets and other acquisition-related costs and approximately $0.05-$0.06 per share of equity-based compensation expense, net of related tax effects. Expected diluted GAAP EPS of approximately $0.61-$0.69</w:t>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ST. LOUIS – January 29, 2014 </w:t>
      </w:r>
      <w:r>
        <w:rPr>
          <w:rFonts w:ascii="Arial" w:cs="Arial" w:eastAsia="Arial" w:hAnsi="Arial"/>
          <w:sz w:val="17"/>
          <w:szCs w:val="17"/>
          <w:color w:val="auto"/>
        </w:rPr>
        <w:t>– Amdocs Limited (NASDAQ: DOX) today reported that for its fiscal quarter ended December 31, 2013, revenue was</w:t>
      </w:r>
    </w:p>
    <w:p>
      <w:pPr>
        <w:spacing w:after="0" w:line="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$864.0 million, up 2.2% sequentially from the fourth fiscal quarter of 2013 and up 4.6% as compared to last year’s first fiscal quarter. Net income on a non-GAAP basis was $122.6 million, or $0.76 per diluted share, compared to non-GAAP net income of $119.4 million, or $0.73 per diluted share, in the first quarter of fiscal 2013. Non-GAAP net income excludes amortization of purchased intangible assets and other acquisition related costs and equity-based compensation expenses of $21.1 million, net of related tax effects, in the first quarter of fiscal 2014 and excludes such amortization and other acquisition related costs and equity-based compensation expenses of $20.4 million, net of related tax effects, in the first quarter of fiscal 2013. The Company’s GAAP net income for the first quarter of fiscal 2014 was $101.4 million, or $0.63 per diluted share, compared to GAAP net income of $99.0 million, or $0.61 per diluted share, in the prior fiscal year’s first quarter.</w:t>
      </w:r>
    </w:p>
    <w:p>
      <w:pPr>
        <w:spacing w:after="0" w:line="19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made a solid start to fiscal 2014, with total revenue, profitability and earnings per share consistent with our expectations. North America was strong as we supported our key customers, including AT&amp;T, in their strategic initiatives as competition amongst carriers becomes increasingly fierce. In Europe, recent wins contributed to year-over-year growth in the region for the first time in five quarters. Finally, in the emerging markets, our first quarter results reflect normal fluctuations of delivery milestones on transformation projects; however, the long-term secular drivers remain favorable and we are strategically well placed to execute against the rich pipeline of opportunity we see ahead of us”, said Eli Gelman, chief executive officer of Amdocs Management Limited.</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Gelman continued, “During the first fiscal quarter, we extended our relationships with customers in Europe, including Telekom Austria for the implementation of a billing modernization project based on Amdocs Turbo Charging. Additionally, our customers continued to recognize the benefits of our managed services model to deliver innovative offerings to their customers in a more cost effective way. Along these lines, we strengthened our partnership with one of Asia Pacific’s leading Pay TV providers by signing a five-year, long-term service engagement. In Europe, we were selected by UK Mobile operator, EE, to deploy our MVNE solution under a managed service contract. We also on-boarded another affiliate of Vodafone Group to the global managed services agreement we signed in fiscal 2013.</w:t>
      </w:r>
    </w:p>
    <w:p>
      <w:pPr>
        <w:sectPr>
          <w:pgSz w:w="11900" w:h="16838" w:orient="portrait"/>
          <w:cols w:equalWidth="0" w:num="1">
            <w:col w:w="11400"/>
          </w:cols>
          <w:pgMar w:left="240" w:top="270" w:right="259" w:bottom="1440" w:gutter="0" w:footer="0" w:header="0"/>
        </w:sectPr>
      </w:pPr>
    </w:p>
    <w:bookmarkStart w:id="6" w:name="page7"/>
    <w:bookmarkEnd w:id="6"/>
    <w:p>
      <w:pPr>
        <w:ind w:right="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Gelman said, “We are also encouraged by our strategic initiatives in radio network optimization. We completed the acquisition of Celcite on January 1, 2014 and the post-merger integration of Actix is underway. Both of these acquired companies secured new customer wins during the first quarter, and we anticipate additional success over the longer term as we realize the benefits and synergies of our integrated network software business under Amdocs.”</w:t>
      </w:r>
    </w:p>
    <w:p>
      <w:pPr>
        <w:spacing w:after="0" w:line="14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Gelman concluded, “We are closely monitoring the many uncertainties in the global business environment, including those resulting from announced and potential consolidation activity amongst North American operators. We currently expect to deliver full year total revenue growth of 5% to 8% in fiscal 2014. This is slightly ahead of our previous outlook as we factor in the timing of M&amp;A deal closings and the performance of recently acquired assets. These include Actix, Celcite and a small IT services provider in Latin America that we acquired late in the first fiscal quarter. Our free cash flow generation remains robust and we remain confident in our ability to return cash to shareholders. Taking all these factors into consideration, we continue to expect non-GAAP earnings per share growth of 6-9% in fiscal 2014.”</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Discussion of First Fiscal Quarter Results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Free cash flow was $160 million for the quarter, comprised of cash flow from operations of $187 million less $27 million in net capital expenditures and other.</w:t>
      </w:r>
    </w:p>
    <w:p>
      <w:pPr>
        <w:spacing w:after="0" w:line="17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Twelve-month backlog, which includes anticipated revenue related to contracts, estimated revenue from managed services contracts, letters of intent, maintenance and estimated on-going support activities, was $2.89 billion at the end of the first quarter of fiscal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Amdocs expects that revenue for the second quarter of fiscal 2014 will be approximately $880-$910 million. Diluted earnings per share on a non-GAAP basis for the second fiscal quarter are expected to be $0.75-$0.81, excluding amortization of purchased intangible assets and other acquisition-related costs and approximately $0.05-$0.06 per share of equity-based compensation expense, net of related tax effects. Amdocs estimates GAAP diluted earnings per share for the second fiscal quarter will be $0.61-$0.69.</w:t>
      </w:r>
    </w:p>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Quarterly Cash Dividend Program</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January 29, 2014, the Board approved the Company’s next quarterly cash dividend payment of $0.155 and set March 31, 2014, as the record date for determining the shareholders entitled to receive the dividend, which is payable on April 17, 2014. The increased dividend is subject to shareholder approval at the Company’s Annual General Meeting on January 30,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Amdocs will host a conference call on January 29, 2014 at 5:00 p.m. Eastern Time to discuss the Company’s first fiscal quarter results. The call will be carried live on the Internet via the Amdocs website, www.amdocs.com.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This release includes non-GAAP diluted earnings per share and other non-GAAP financial measures, including free cash flow, non-GAAP cost of service, non-GAAP research and development, non-GAAP selling, general and administrative, non-GAAP operating income, non-GAAP operating margin, non-GAAP income taxes, non-GAAP net income and non-GAAP diluted earnings per share growth. These non-GAAP measures exclude the following items:</w:t>
      </w:r>
    </w:p>
    <w:p>
      <w:pPr>
        <w:spacing w:after="0" w:line="52"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amortization of purchased intangible assets and other acquisition related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equity-based compensation expense;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tax effects related to the above.</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1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Amdocs believes that the presentation of non-GAAP diluted earnings per share and other financial measures, including free cash flow, non-GAAP cost of service, non-GAAP research</w:t>
      </w:r>
    </w:p>
    <w:p>
      <w:pPr>
        <w:sectPr>
          <w:pgSz w:w="11900" w:h="16838" w:orient="portrait"/>
          <w:cols w:equalWidth="0" w:num="1">
            <w:col w:w="11400"/>
          </w:cols>
          <w:pgMar w:left="240" w:top="270" w:right="259" w:bottom="1440" w:gutter="0" w:footer="0" w:header="0"/>
        </w:sectPr>
      </w:pPr>
    </w:p>
    <w:bookmarkStart w:id="8" w:name="page9"/>
    <w:bookmarkEnd w:id="8"/>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development, non-GAAP selling, general and administrative, non-GAAP operating income, non-GAAP operating margin, non-GAAP income taxes, non-GAAP net income and non-GAAP diluted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154"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For its internal budgeting process and in monitoring the results of the business, Amdocs’ management uses financial statements that do not include amortization of purchased intangible assets and other acquisition related costs, equity-based compensation expense and related tax effects. Amdocs’ management also 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w:t>
      </w:r>
    </w:p>
    <w:p>
      <w:pPr>
        <w:spacing w:after="0" w:line="19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Amdocs further believes that, where the adjustments used in calculating non-GAAP diluted earnings per share are based on specific, identified amounts that impact different line items in the Consolidated Statements of Income (including cost of service, research and development, selling, general and administrative, operating income, interest and other expense, net, income taxes and net income), it is useful to investors to understand how these specific line items in the Consolidated Statements of Income are affected by these adjustments. Please refer to the Reconciliation of Selected Financial Metrics from GAAP to Non-GAAP tables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1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For 30 years, Amdocs has ensured service providers’ success and embraced their biggest challenges. To win in the connected world, service providers rely on Amdocs to simplify the customer experience, harness the data explosion, stay ahead with new services and improve operational efficiency. The global company uniquely combines a market-leading BSS, OSS and network control and optimization product portfolio with value-driven professional services and managed services operations. With revenue of $3.3 billion in fiscal 2013, Amdocs and its 21,000 employees serve customers in more than 70 countries.</w:t>
      </w:r>
    </w:p>
    <w:p>
      <w:pPr>
        <w:sectPr>
          <w:pgSz w:w="11900" w:h="16838" w:orient="portrait"/>
          <w:cols w:equalWidth="0" w:num="1">
            <w:col w:w="11400"/>
          </w:cols>
          <w:pgMar w:left="240" w:top="274"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Embrace Challenge, Experience Success.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Amdocs at </w:t>
      </w:r>
      <w:r>
        <w:rPr>
          <w:rFonts w:ascii="Arial" w:cs="Arial" w:eastAsia="Arial" w:hAnsi="Arial"/>
          <w:sz w:val="18"/>
          <w:szCs w:val="18"/>
          <w:u w:val="single" w:color="auto"/>
          <w:color w:val="auto"/>
        </w:rPr>
        <w:t>www.amdocs.com</w:t>
      </w:r>
      <w:r>
        <w:rPr>
          <w:rFonts w:ascii="Arial" w:cs="Arial" w:eastAsia="Arial" w:hAnsi="Arial"/>
          <w:sz w:val="18"/>
          <w:szCs w:val="18"/>
          <w:color w:val="auto"/>
        </w:rPr>
        <w:t>.</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the Company specifically disclaims any obligation to do so. These and other risks are discussed at greater length in the Company’s filings with the Securities and Exchange Commission, including in our Annual Report on Form 20-F for the fiscal year ended September 30, 2013 filed on December 9, 2013.</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Elizabeth W. Grausam McDermon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Corporate Strategy and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314-212-8328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dox_info@amdocs.com</w:t>
      </w:r>
    </w:p>
    <w:p>
      <w:pPr>
        <w:sectPr>
          <w:pgSz w:w="11900" w:h="16838" w:orient="portrait"/>
          <w:cols w:equalWidth="0" w:num="1">
            <w:col w:w="11360"/>
          </w:cols>
          <w:pgMar w:left="240" w:top="274" w:right="29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p>
      <w:pPr>
        <w:jc w:val="center"/>
        <w:ind w:left="9540"/>
        <w:spacing w:after="0"/>
        <w:rPr>
          <w:sz w:val="20"/>
          <w:szCs w:val="20"/>
          <w:color w:val="auto"/>
        </w:rPr>
      </w:pPr>
      <w:r>
        <w:rPr>
          <w:rFonts w:ascii="Arial" w:cs="Arial" w:eastAsia="Arial" w:hAnsi="Arial"/>
          <w:sz w:val="14"/>
          <w:szCs w:val="14"/>
          <w:b w:val="1"/>
          <w:bCs w:val="1"/>
          <w:color w:val="auto"/>
        </w:rPr>
        <w:t>Three months ended</w:t>
      </w:r>
    </w:p>
    <w:p>
      <w:pPr>
        <w:jc w:val="center"/>
        <w:ind w:left="95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920" w:type="dxa"/>
            <w:vAlign w:val="bottom"/>
            <w:tcBorders>
              <w:bottom w:val="single" w:sz="8" w:color="CCEEFF"/>
            </w:tcBorders>
          </w:tcPr>
          <w:p>
            <w:pPr>
              <w:spacing w:after="0"/>
              <w:rPr>
                <w:sz w:val="12"/>
                <w:szCs w:val="12"/>
                <w:color w:val="auto"/>
              </w:rPr>
            </w:pPr>
          </w:p>
        </w:tc>
        <w:tc>
          <w:tcPr>
            <w:tcW w:w="27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License</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27,209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w:t>
            </w:r>
          </w:p>
        </w:tc>
        <w:tc>
          <w:tcPr>
            <w:tcW w:w="2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836,836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807,443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864,045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826,359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9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Cost of license</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service</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556,633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535,013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62,325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59,360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111,959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107,460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2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743,355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713,702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9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120,690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112,657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9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4"/>
        </w:trPr>
        <w:tc>
          <w:tcPr>
            <w:tcW w:w="69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119,286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112,549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9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13,534</w:t>
            </w:r>
          </w:p>
        </w:tc>
        <w:tc>
          <w:tcPr>
            <w:tcW w:w="0" w:type="dxa"/>
            <w:vAlign w:val="bottom"/>
          </w:tcPr>
          <w:p>
            <w:pPr>
              <w:spacing w:after="0"/>
              <w:rPr>
                <w:sz w:val="1"/>
                <w:szCs w:val="1"/>
                <w:color w:val="auto"/>
              </w:rPr>
            </w:pPr>
          </w:p>
        </w:tc>
      </w:tr>
      <w:tr>
        <w:trPr>
          <w:trHeight w:val="223"/>
        </w:trPr>
        <w:tc>
          <w:tcPr>
            <w:tcW w:w="69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101,435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2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gridSpan w:val="2"/>
            <w:vMerge w:val="continue"/>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shares outstanding</w:t>
            </w:r>
          </w:p>
        </w:tc>
        <w:tc>
          <w:tcPr>
            <w:tcW w:w="2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159,659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162,176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2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gridSpan w:val="2"/>
            <w:vMerge w:val="continue"/>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161,845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163,587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Metrics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p>
      <w:pPr>
        <w:jc w:val="center"/>
        <w:ind w:left="9540"/>
        <w:spacing w:after="0"/>
        <w:rPr>
          <w:sz w:val="20"/>
          <w:szCs w:val="20"/>
          <w:color w:val="auto"/>
        </w:rPr>
      </w:pPr>
      <w:r>
        <w:rPr>
          <w:rFonts w:ascii="Arial" w:cs="Arial" w:eastAsia="Arial" w:hAnsi="Arial"/>
          <w:sz w:val="14"/>
          <w:szCs w:val="14"/>
          <w:b w:val="1"/>
          <w:bCs w:val="1"/>
          <w:color w:val="auto"/>
        </w:rPr>
        <w:t>Three months ended</w:t>
      </w:r>
    </w:p>
    <w:p>
      <w:pPr>
        <w:jc w:val="center"/>
        <w:ind w:left="95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840" w:type="dxa"/>
            <w:vAlign w:val="bottom"/>
            <w:tcBorders>
              <w:bottom w:val="single" w:sz="8" w:color="CCEEFF"/>
            </w:tcBorders>
          </w:tcPr>
          <w:p>
            <w:pPr>
              <w:spacing w:after="0"/>
              <w:rPr>
                <w:sz w:val="12"/>
                <w:szCs w:val="12"/>
                <w:color w:val="auto"/>
              </w:rPr>
            </w:pPr>
          </w:p>
        </w:tc>
        <w:tc>
          <w:tcPr>
            <w:tcW w:w="28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864,045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826,359</w:t>
            </w: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Non-GAAP operating income</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145,323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137,215</w:t>
            </w: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122,564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119,424</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Non-GAAP diluted earnings per share</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0.76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0.73</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161,845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163,587</w:t>
            </w: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27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ind w:left="8060"/>
        <w:spacing w:after="0"/>
        <w:rPr>
          <w:sz w:val="20"/>
          <w:szCs w:val="20"/>
          <w:color w:val="auto"/>
        </w:rPr>
      </w:pPr>
      <w:r>
        <w:rPr>
          <w:rFonts w:ascii="Arial" w:cs="Arial" w:eastAsia="Arial" w:hAnsi="Arial"/>
          <w:sz w:val="14"/>
          <w:szCs w:val="14"/>
          <w:b w:val="1"/>
          <w:bCs w:val="1"/>
          <w:color w:val="auto"/>
        </w:rPr>
        <w:t>Three months ended</w:t>
      </w:r>
    </w:p>
    <w:p>
      <w:pPr>
        <w:ind w:left="8120"/>
        <w:spacing w:after="0" w:line="236" w:lineRule="auto"/>
        <w:rPr>
          <w:sz w:val="20"/>
          <w:szCs w:val="20"/>
          <w:color w:val="auto"/>
        </w:rPr>
      </w:pPr>
      <w:r>
        <w:rPr>
          <w:rFonts w:ascii="Arial" w:cs="Arial" w:eastAsia="Arial" w:hAnsi="Arial"/>
          <w:sz w:val="14"/>
          <w:szCs w:val="14"/>
          <w:b w:val="1"/>
          <w:bCs w:val="1"/>
          <w:color w:val="auto"/>
        </w:rPr>
        <w:t>December 31, 2013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580" w:type="dxa"/>
            <w:vAlign w:val="bottom"/>
            <w:tcBorders>
              <w:top w:val="single" w:sz="8" w:color="auto"/>
              <w:bottom w:val="single" w:sz="8" w:color="auto"/>
            </w:tcBorders>
            <w:gridSpan w:val="4"/>
          </w:tcPr>
          <w:p>
            <w:pPr>
              <w:jc w:val="center"/>
              <w:ind w:right="300"/>
              <w:spacing w:after="0" w:line="142" w:lineRule="exact"/>
              <w:rPr>
                <w:sz w:val="20"/>
                <w:szCs w:val="20"/>
                <w:color w:val="auto"/>
              </w:rPr>
            </w:pPr>
            <w:r>
              <w:rPr>
                <w:rFonts w:ascii="Arial" w:cs="Arial" w:eastAsia="Arial" w:hAnsi="Arial"/>
                <w:sz w:val="14"/>
                <w:szCs w:val="14"/>
                <w:b w:val="1"/>
                <w:bCs w:val="1"/>
                <w:color w:val="auto"/>
                <w:w w:val="91"/>
              </w:rPr>
              <w:t>Reconciliation items</w:t>
            </w: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Amortization</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of purchased</w:t>
            </w:r>
          </w:p>
        </w:tc>
        <w:tc>
          <w:tcPr>
            <w:tcW w:w="320" w:type="dxa"/>
            <w:vAlign w:val="bottom"/>
          </w:tcPr>
          <w:p>
            <w:pPr>
              <w:spacing w:after="0"/>
              <w:rPr>
                <w:sz w:val="12"/>
                <w:szCs w:val="12"/>
                <w:color w:val="auto"/>
              </w:rPr>
            </w:pPr>
          </w:p>
        </w:tc>
        <w:tc>
          <w:tcPr>
            <w:tcW w:w="126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4"/>
              </w:rPr>
              <w:t>Equity based</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intangible</w:t>
            </w:r>
          </w:p>
        </w:tc>
        <w:tc>
          <w:tcPr>
            <w:tcW w:w="3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Non-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GAAP</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assets and</w:t>
            </w:r>
          </w:p>
        </w:tc>
        <w:tc>
          <w:tcPr>
            <w:tcW w:w="32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Tax effect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other</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2"/>
              </w:rPr>
              <w:t>expense</w:t>
            </w:r>
          </w:p>
        </w:tc>
        <w:tc>
          <w:tcPr>
            <w:tcW w:w="8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GAAP</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Cost of license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770</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556,633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(4,554)</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552,079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62,325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(933)</w:t>
            </w:r>
          </w:p>
        </w:tc>
        <w:tc>
          <w:tcPr>
            <w:tcW w:w="160" w:type="dxa"/>
            <w:vAlign w:val="bottom"/>
          </w:tcPr>
          <w:p>
            <w:pPr>
              <w:spacing w:after="0"/>
              <w:rPr>
                <w:sz w:val="18"/>
                <w:szCs w:val="18"/>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61,392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111,959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(7,478)</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104,481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11,668</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(11,668)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743,355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(11,668)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(12,965)</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718,722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120,690</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12,965</w:t>
            </w:r>
          </w:p>
        </w:tc>
        <w:tc>
          <w:tcPr>
            <w:tcW w:w="4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145,323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17,851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3,504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21,355</w:t>
            </w:r>
          </w:p>
        </w:tc>
        <w:tc>
          <w:tcPr>
            <w:tcW w:w="0" w:type="dxa"/>
            <w:vAlign w:val="bottom"/>
          </w:tcPr>
          <w:p>
            <w:pPr>
              <w:spacing w:after="0"/>
              <w:rPr>
                <w:sz w:val="1"/>
                <w:szCs w:val="1"/>
                <w:color w:val="auto"/>
              </w:rPr>
            </w:pPr>
          </w:p>
        </w:tc>
      </w:tr>
      <w:tr>
        <w:trPr>
          <w:trHeight w:val="223"/>
        </w:trPr>
        <w:tc>
          <w:tcPr>
            <w:tcW w:w="60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101,435</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12,965</w:t>
            </w:r>
          </w:p>
        </w:tc>
        <w:tc>
          <w:tcPr>
            <w:tcW w:w="40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 (3,504</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122,564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Three months ended</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1"/>
              </w:rPr>
              <w:t>December 31, 2012</w:t>
            </w: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4"/>
          </w:tcPr>
          <w:p>
            <w:pPr>
              <w:jc w:val="center"/>
              <w:ind w:right="300"/>
              <w:spacing w:after="0" w:line="142" w:lineRule="exact"/>
              <w:rPr>
                <w:sz w:val="20"/>
                <w:szCs w:val="20"/>
                <w:color w:val="auto"/>
              </w:rPr>
            </w:pPr>
            <w:r>
              <w:rPr>
                <w:rFonts w:ascii="Arial" w:cs="Arial" w:eastAsia="Arial" w:hAnsi="Arial"/>
                <w:sz w:val="14"/>
                <w:szCs w:val="14"/>
                <w:b w:val="1"/>
                <w:bCs w:val="1"/>
                <w:color w:val="auto"/>
                <w:w w:val="91"/>
              </w:rPr>
              <w:t>Reconciliation items</w:t>
            </w: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Amortization</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of purchased</w:t>
            </w:r>
          </w:p>
        </w:tc>
        <w:tc>
          <w:tcPr>
            <w:tcW w:w="320" w:type="dxa"/>
            <w:vAlign w:val="bottom"/>
          </w:tcPr>
          <w:p>
            <w:pPr>
              <w:spacing w:after="0"/>
              <w:rPr>
                <w:sz w:val="12"/>
                <w:szCs w:val="12"/>
                <w:color w:val="auto"/>
              </w:rPr>
            </w:pP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Equity based</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intangible</w:t>
            </w:r>
          </w:p>
        </w:tc>
        <w:tc>
          <w:tcPr>
            <w:tcW w:w="3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Non-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GAAP</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assets and</w:t>
            </w:r>
          </w:p>
        </w:tc>
        <w:tc>
          <w:tcPr>
            <w:tcW w:w="32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Tax effect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other</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2"/>
              </w:rPr>
              <w:t>expense</w:t>
            </w:r>
          </w:p>
        </w:tc>
        <w:tc>
          <w:tcPr>
            <w:tcW w:w="8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GAAP</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Cost of license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636</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535,013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(5,033)</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529,980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59,360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(1,025)</w:t>
            </w:r>
          </w:p>
        </w:tc>
        <w:tc>
          <w:tcPr>
            <w:tcW w:w="160" w:type="dxa"/>
            <w:vAlign w:val="bottom"/>
          </w:tcPr>
          <w:p>
            <w:pPr>
              <w:spacing w:after="0"/>
              <w:rPr>
                <w:sz w:val="18"/>
                <w:szCs w:val="18"/>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58,335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107,460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(7,267)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11,233</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(11,233)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713,702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(11,233)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(13,325)</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689,144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112,657</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11,233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13,325</w:t>
            </w:r>
          </w:p>
        </w:tc>
        <w:tc>
          <w:tcPr>
            <w:tcW w:w="4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137,215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13,534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4,149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17,683</w:t>
            </w:r>
          </w:p>
        </w:tc>
        <w:tc>
          <w:tcPr>
            <w:tcW w:w="0" w:type="dxa"/>
            <w:vAlign w:val="bottom"/>
          </w:tcPr>
          <w:p>
            <w:pPr>
              <w:spacing w:after="0"/>
              <w:rPr>
                <w:sz w:val="1"/>
                <w:szCs w:val="1"/>
                <w:color w:val="auto"/>
              </w:rPr>
            </w:pPr>
          </w:p>
        </w:tc>
      </w:tr>
      <w:tr>
        <w:trPr>
          <w:trHeight w:val="223"/>
        </w:trPr>
        <w:tc>
          <w:tcPr>
            <w:tcW w:w="60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99,015</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11,233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13,325</w:t>
            </w:r>
          </w:p>
        </w:tc>
        <w:tc>
          <w:tcPr>
            <w:tcW w:w="40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 (4,149</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119,424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6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38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76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interest-bearing investments</w:t>
            </w:r>
          </w:p>
        </w:tc>
        <w:tc>
          <w:tcPr>
            <w:tcW w:w="166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1,211,558</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1,326,380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Accounts receivable, net, including unbilled of $117,037 and $110,626, respectively</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680,947</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678,219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receivable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161,810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182,395</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2,236,710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2,282,074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620" w:type="dxa"/>
            <w:vAlign w:val="bottom"/>
            <w:gridSpan w:val="2"/>
          </w:tcPr>
          <w:p>
            <w:pPr>
              <w:spacing w:after="0"/>
              <w:rPr>
                <w:sz w:val="20"/>
                <w:szCs w:val="20"/>
                <w:color w:val="auto"/>
              </w:rPr>
            </w:pPr>
            <w:r>
              <w:rPr>
                <w:rFonts w:ascii="Arial" w:cs="Arial" w:eastAsia="Arial" w:hAnsi="Arial"/>
                <w:sz w:val="18"/>
                <w:szCs w:val="18"/>
                <w:color w:val="auto"/>
              </w:rPr>
              <w:t>Equipment and leasehold improvements, net</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266,404</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275,544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 net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1,972,777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1,975,060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382,065</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6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4,857,956</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4,925,813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620" w:type="dxa"/>
            <w:vAlign w:val="bottom"/>
            <w:gridSpan w:val="2"/>
            <w:vMerge w:val="continue"/>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6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Accounts payable, accruals and other</w:t>
            </w:r>
          </w:p>
        </w:tc>
        <w:tc>
          <w:tcPr>
            <w:tcW w:w="1660" w:type="dxa"/>
            <w:vAlign w:val="bottom"/>
            <w:gridSpan w:val="2"/>
          </w:tcPr>
          <w:p>
            <w:pPr>
              <w:ind w:left="156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716,709</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683,768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Short-term financing arrangements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Deferred revenue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173,284</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151,112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payable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50,848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940,841</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1,074,256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584,103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576,774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Shareholders’ equity</w:t>
            </w:r>
          </w:p>
        </w:tc>
        <w:tc>
          <w:tcPr>
            <w:tcW w:w="1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3,333,012</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3,274,783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66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4,857,956</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4,925,813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w w:val="91"/>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101,435</w:t>
            </w:r>
          </w:p>
        </w:tc>
        <w:tc>
          <w:tcPr>
            <w:tcW w:w="2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99,015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35,729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39,288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12,965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5,397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 from equity-based compensation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Loss from short-term interest-bearing investments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308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(3,660)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(7,596)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(14,453)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expenses and accrued personnel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34,514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20,460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(4,565)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186,538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145,463</w:t>
            </w:r>
          </w:p>
        </w:tc>
        <w:tc>
          <w:tcPr>
            <w:tcW w:w="0" w:type="dxa"/>
            <w:vAlign w:val="bottom"/>
          </w:tcPr>
          <w:p>
            <w:pPr>
              <w:spacing w:after="0"/>
              <w:rPr>
                <w:sz w:val="1"/>
                <w:szCs w:val="1"/>
                <w:color w:val="auto"/>
              </w:rPr>
            </w:pPr>
          </w:p>
        </w:tc>
      </w:tr>
      <w:tr>
        <w:trPr>
          <w:trHeight w:val="331"/>
        </w:trPr>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(26,743)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83,763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76,296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(92,878)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Net cash paid for acquisitions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(12,603)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7,309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23"/>
        </w:trPr>
        <w:tc>
          <w:tcPr>
            <w:tcW w:w="892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(41,152)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(113,196)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Payments under financing arrangements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(200,000)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(84,019)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Proceeds from employee stock options exercised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36,014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54,358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Payments of dividends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(20,812)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Payments under capital lease and 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(268,995)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(270,650)</w:t>
            </w:r>
          </w:p>
        </w:tc>
        <w:tc>
          <w:tcPr>
            <w:tcW w:w="0" w:type="dxa"/>
            <w:vAlign w:val="bottom"/>
          </w:tcPr>
          <w:p>
            <w:pPr>
              <w:spacing w:after="0"/>
              <w:rPr>
                <w:sz w:val="1"/>
                <w:szCs w:val="1"/>
                <w:color w:val="auto"/>
              </w:rPr>
            </w:pPr>
          </w:p>
        </w:tc>
      </w:tr>
      <w:tr>
        <w:trPr>
          <w:trHeight w:val="20"/>
        </w:trPr>
        <w:tc>
          <w:tcPr>
            <w:tcW w:w="8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92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(123,609)</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(238,383)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1,014,192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879,158</w:t>
            </w:r>
          </w:p>
        </w:tc>
        <w:tc>
          <w:tcPr>
            <w:tcW w:w="0" w:type="dxa"/>
            <w:vAlign w:val="bottom"/>
          </w:tcPr>
          <w:p>
            <w:pPr>
              <w:spacing w:after="0"/>
              <w:rPr>
                <w:sz w:val="1"/>
                <w:szCs w:val="1"/>
                <w:color w:val="auto"/>
              </w:rPr>
            </w:pPr>
          </w:p>
        </w:tc>
      </w:tr>
      <w:tr>
        <w:trPr>
          <w:trHeight w:val="223"/>
        </w:trPr>
        <w:tc>
          <w:tcPr>
            <w:tcW w:w="89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890,583</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640,775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center"/>
              <w:ind w:left="442"/>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3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1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40" w:type="dxa"/>
            <w:vAlign w:val="bottom"/>
          </w:tcPr>
          <w:p>
            <w:pPr>
              <w:spacing w:after="0"/>
              <w:rPr>
                <w:sz w:val="10"/>
                <w:szCs w:val="10"/>
                <w:color w:val="auto"/>
              </w:rPr>
            </w:pPr>
          </w:p>
        </w:tc>
        <w:tc>
          <w:tcPr>
            <w:tcW w:w="9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June 30,</w:t>
            </w:r>
          </w:p>
        </w:tc>
        <w:tc>
          <w:tcPr>
            <w:tcW w:w="8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22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
              <w:spacing w:after="0"/>
              <w:rPr>
                <w:sz w:val="20"/>
                <w:szCs w:val="20"/>
                <w:color w:val="auto"/>
              </w:rPr>
            </w:pPr>
            <w:r>
              <w:rPr>
                <w:rFonts w:ascii="Arial" w:cs="Arial" w:eastAsia="Arial" w:hAnsi="Arial"/>
                <w:sz w:val="14"/>
                <w:szCs w:val="14"/>
                <w:b w:val="1"/>
                <w:bCs w:val="1"/>
                <w:color w:val="auto"/>
                <w:w w:val="96"/>
              </w:rPr>
              <w:t>2013</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22"/>
              <w:spacing w:after="0"/>
              <w:rPr>
                <w:sz w:val="20"/>
                <w:szCs w:val="20"/>
                <w:color w:val="auto"/>
              </w:rPr>
            </w:pPr>
            <w:r>
              <w:rPr>
                <w:rFonts w:ascii="Arial" w:cs="Arial" w:eastAsia="Arial" w:hAnsi="Arial"/>
                <w:sz w:val="14"/>
                <w:szCs w:val="14"/>
                <w:b w:val="1"/>
                <w:bCs w:val="1"/>
                <w:color w:val="auto"/>
                <w:w w:val="89"/>
              </w:rPr>
              <w:t>2013</w:t>
            </w:r>
          </w:p>
        </w:tc>
        <w:tc>
          <w:tcPr>
            <w:tcW w:w="220" w:type="dxa"/>
            <w:vAlign w:val="bottom"/>
          </w:tcPr>
          <w:p>
            <w:pPr>
              <w:spacing w:after="0"/>
              <w:rPr>
                <w:sz w:val="14"/>
                <w:szCs w:val="14"/>
                <w:color w:val="auto"/>
              </w:rPr>
            </w:pPr>
          </w:p>
        </w:tc>
        <w:tc>
          <w:tcPr>
            <w:tcW w:w="760" w:type="dxa"/>
            <w:vAlign w:val="bottom"/>
            <w:gridSpan w:val="2"/>
          </w:tcPr>
          <w:p>
            <w:pPr>
              <w:jc w:val="center"/>
              <w:ind w:left="163"/>
              <w:spacing w:after="0"/>
              <w:rPr>
                <w:sz w:val="20"/>
                <w:szCs w:val="20"/>
                <w:color w:val="auto"/>
              </w:rPr>
            </w:pPr>
            <w:r>
              <w:rPr>
                <w:rFonts w:ascii="Arial" w:cs="Arial" w:eastAsia="Arial" w:hAnsi="Arial"/>
                <w:sz w:val="14"/>
                <w:szCs w:val="14"/>
                <w:b w:val="1"/>
                <w:bCs w:val="1"/>
                <w:color w:val="auto"/>
                <w:w w:val="89"/>
              </w:rPr>
              <w:t>2013</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628.0</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$619.2</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4"/>
              </w:rPr>
              <w:t>601.3</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Europe</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101.9</w:t>
            </w:r>
          </w:p>
        </w:tc>
        <w:tc>
          <w:tcPr>
            <w:tcW w:w="220" w:type="dxa"/>
            <w:vAlign w:val="bottom"/>
          </w:tcPr>
          <w:p>
            <w:pPr>
              <w:spacing w:after="0"/>
              <w:rPr>
                <w:sz w:val="18"/>
                <w:szCs w:val="18"/>
                <w:color w:val="auto"/>
              </w:rPr>
            </w:pPr>
          </w:p>
        </w:tc>
        <w:tc>
          <w:tcPr>
            <w:tcW w:w="1220" w:type="dxa"/>
            <w:vAlign w:val="bottom"/>
            <w:gridSpan w:val="3"/>
          </w:tcPr>
          <w:p>
            <w:pPr>
              <w:jc w:val="right"/>
              <w:ind w:right="460"/>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99.3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119.0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2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124.1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132.3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7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864.0</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841.3</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4"/>
              </w:rPr>
              <w:t>832.9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91"/>
              </w:rPr>
              <w:t>As of</w:t>
            </w: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w w:val="98"/>
              </w:rPr>
              <w:t>December</w:t>
            </w:r>
          </w:p>
        </w:tc>
        <w:tc>
          <w:tcPr>
            <w:tcW w:w="100" w:type="dxa"/>
            <w:vAlign w:val="bottom"/>
          </w:tcPr>
          <w:p>
            <w:pPr>
              <w:spacing w:after="0"/>
              <w:rPr>
                <w:sz w:val="10"/>
                <w:szCs w:val="10"/>
                <w:color w:val="auto"/>
              </w:rPr>
            </w:pPr>
          </w:p>
        </w:tc>
        <w:tc>
          <w:tcPr>
            <w:tcW w:w="10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w w:val="98"/>
              </w:rPr>
              <w:t>September</w:t>
            </w:r>
          </w:p>
        </w:tc>
        <w:tc>
          <w:tcPr>
            <w:tcW w:w="240" w:type="dxa"/>
            <w:vAlign w:val="bottom"/>
          </w:tcPr>
          <w:p>
            <w:pPr>
              <w:spacing w:after="0"/>
              <w:rPr>
                <w:sz w:val="10"/>
                <w:szCs w:val="10"/>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June 30,</w:t>
            </w: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ind w:right="21"/>
              <w:spacing w:after="0" w:line="119" w:lineRule="exact"/>
              <w:rPr>
                <w:sz w:val="20"/>
                <w:szCs w:val="20"/>
                <w:color w:val="auto"/>
              </w:rPr>
            </w:pPr>
            <w:r>
              <w:rPr>
                <w:rFonts w:ascii="Arial" w:cs="Arial" w:eastAsia="Arial" w:hAnsi="Arial"/>
                <w:sz w:val="13"/>
                <w:szCs w:val="13"/>
                <w:b w:val="1"/>
                <w:bCs w:val="1"/>
                <w:color w:val="auto"/>
                <w:w w:val="98"/>
              </w:rPr>
              <w:t>December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2"/>
              </w:rPr>
              <w:t>31,</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2"/>
              </w:rPr>
              <w:t>30,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2"/>
              </w:rPr>
              <w:t>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
              <w:spacing w:after="0"/>
              <w:rPr>
                <w:sz w:val="20"/>
                <w:szCs w:val="20"/>
                <w:color w:val="auto"/>
              </w:rPr>
            </w:pPr>
            <w:r>
              <w:rPr>
                <w:rFonts w:ascii="Arial" w:cs="Arial" w:eastAsia="Arial" w:hAnsi="Arial"/>
                <w:sz w:val="14"/>
                <w:szCs w:val="14"/>
                <w:b w:val="1"/>
                <w:bCs w:val="1"/>
                <w:color w:val="auto"/>
                <w:w w:val="96"/>
              </w:rPr>
              <w:t>2013</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22"/>
              <w:spacing w:after="0"/>
              <w:rPr>
                <w:sz w:val="20"/>
                <w:szCs w:val="20"/>
                <w:color w:val="auto"/>
              </w:rPr>
            </w:pPr>
            <w:r>
              <w:rPr>
                <w:rFonts w:ascii="Arial" w:cs="Arial" w:eastAsia="Arial" w:hAnsi="Arial"/>
                <w:sz w:val="14"/>
                <w:szCs w:val="14"/>
                <w:b w:val="1"/>
                <w:bCs w:val="1"/>
                <w:color w:val="auto"/>
                <w:w w:val="89"/>
              </w:rPr>
              <w:t>2013</w:t>
            </w:r>
          </w:p>
        </w:tc>
        <w:tc>
          <w:tcPr>
            <w:tcW w:w="220" w:type="dxa"/>
            <w:vAlign w:val="bottom"/>
          </w:tcPr>
          <w:p>
            <w:pPr>
              <w:spacing w:after="0"/>
              <w:rPr>
                <w:sz w:val="14"/>
                <w:szCs w:val="14"/>
                <w:color w:val="auto"/>
              </w:rPr>
            </w:pPr>
          </w:p>
        </w:tc>
        <w:tc>
          <w:tcPr>
            <w:tcW w:w="760" w:type="dxa"/>
            <w:vAlign w:val="bottom"/>
            <w:gridSpan w:val="2"/>
          </w:tcPr>
          <w:p>
            <w:pPr>
              <w:jc w:val="center"/>
              <w:ind w:left="163"/>
              <w:spacing w:after="0"/>
              <w:rPr>
                <w:sz w:val="20"/>
                <w:szCs w:val="20"/>
                <w:color w:val="auto"/>
              </w:rPr>
            </w:pPr>
            <w:r>
              <w:rPr>
                <w:rFonts w:ascii="Arial" w:cs="Arial" w:eastAsia="Arial" w:hAnsi="Arial"/>
                <w:sz w:val="14"/>
                <w:szCs w:val="14"/>
                <w:b w:val="1"/>
                <w:bCs w:val="1"/>
                <w:color w:val="auto"/>
                <w:w w:val="89"/>
              </w:rPr>
              <w:t>2013</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Emerging Markets Revenue</w:t>
            </w:r>
          </w:p>
        </w:tc>
        <w:tc>
          <w:tcPr>
            <w:tcW w:w="1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101.3</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79"/>
              </w:rPr>
              <w:t>98.1</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91"/>
              </w:rPr>
              <w:t>As of</w:t>
            </w: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w w:val="98"/>
              </w:rPr>
              <w:t>December</w:t>
            </w:r>
          </w:p>
        </w:tc>
        <w:tc>
          <w:tcPr>
            <w:tcW w:w="100" w:type="dxa"/>
            <w:vAlign w:val="bottom"/>
          </w:tcPr>
          <w:p>
            <w:pPr>
              <w:spacing w:after="0"/>
              <w:rPr>
                <w:sz w:val="10"/>
                <w:szCs w:val="10"/>
                <w:color w:val="auto"/>
              </w:rPr>
            </w:pPr>
          </w:p>
        </w:tc>
        <w:tc>
          <w:tcPr>
            <w:tcW w:w="10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w w:val="98"/>
              </w:rPr>
              <w:t>September</w:t>
            </w:r>
          </w:p>
        </w:tc>
        <w:tc>
          <w:tcPr>
            <w:tcW w:w="240" w:type="dxa"/>
            <w:vAlign w:val="bottom"/>
          </w:tcPr>
          <w:p>
            <w:pPr>
              <w:spacing w:after="0"/>
              <w:rPr>
                <w:sz w:val="10"/>
                <w:szCs w:val="10"/>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June 30,</w:t>
            </w: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ind w:right="21"/>
              <w:spacing w:after="0" w:line="119" w:lineRule="exact"/>
              <w:rPr>
                <w:sz w:val="20"/>
                <w:szCs w:val="20"/>
                <w:color w:val="auto"/>
              </w:rPr>
            </w:pPr>
            <w:r>
              <w:rPr>
                <w:rFonts w:ascii="Arial" w:cs="Arial" w:eastAsia="Arial" w:hAnsi="Arial"/>
                <w:sz w:val="13"/>
                <w:szCs w:val="13"/>
                <w:b w:val="1"/>
                <w:bCs w:val="1"/>
                <w:color w:val="auto"/>
                <w:w w:val="98"/>
              </w:rPr>
              <w:t>December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2"/>
              </w:rPr>
              <w:t>31,</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2"/>
              </w:rPr>
              <w:t>30,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2"/>
              </w:rPr>
              <w:t>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
              <w:spacing w:after="0"/>
              <w:rPr>
                <w:sz w:val="20"/>
                <w:szCs w:val="20"/>
                <w:color w:val="auto"/>
              </w:rPr>
            </w:pPr>
            <w:r>
              <w:rPr>
                <w:rFonts w:ascii="Arial" w:cs="Arial" w:eastAsia="Arial" w:hAnsi="Arial"/>
                <w:sz w:val="14"/>
                <w:szCs w:val="14"/>
                <w:b w:val="1"/>
                <w:bCs w:val="1"/>
                <w:color w:val="auto"/>
                <w:w w:val="96"/>
              </w:rPr>
              <w:t>2013</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22"/>
              <w:spacing w:after="0"/>
              <w:rPr>
                <w:sz w:val="20"/>
                <w:szCs w:val="20"/>
                <w:color w:val="auto"/>
              </w:rPr>
            </w:pPr>
            <w:r>
              <w:rPr>
                <w:rFonts w:ascii="Arial" w:cs="Arial" w:eastAsia="Arial" w:hAnsi="Arial"/>
                <w:sz w:val="14"/>
                <w:szCs w:val="14"/>
                <w:b w:val="1"/>
                <w:bCs w:val="1"/>
                <w:color w:val="auto"/>
                <w:w w:val="89"/>
              </w:rPr>
              <w:t>2013</w:t>
            </w:r>
          </w:p>
        </w:tc>
        <w:tc>
          <w:tcPr>
            <w:tcW w:w="220" w:type="dxa"/>
            <w:vAlign w:val="bottom"/>
          </w:tcPr>
          <w:p>
            <w:pPr>
              <w:spacing w:after="0"/>
              <w:rPr>
                <w:sz w:val="14"/>
                <w:szCs w:val="14"/>
                <w:color w:val="auto"/>
              </w:rPr>
            </w:pPr>
          </w:p>
        </w:tc>
        <w:tc>
          <w:tcPr>
            <w:tcW w:w="760" w:type="dxa"/>
            <w:vAlign w:val="bottom"/>
            <w:gridSpan w:val="2"/>
          </w:tcPr>
          <w:p>
            <w:pPr>
              <w:jc w:val="center"/>
              <w:ind w:left="163"/>
              <w:spacing w:after="0"/>
              <w:rPr>
                <w:sz w:val="20"/>
                <w:szCs w:val="20"/>
                <w:color w:val="auto"/>
              </w:rPr>
            </w:pPr>
            <w:r>
              <w:rPr>
                <w:rFonts w:ascii="Arial" w:cs="Arial" w:eastAsia="Arial" w:hAnsi="Arial"/>
                <w:sz w:val="14"/>
                <w:szCs w:val="14"/>
                <w:b w:val="1"/>
                <w:bCs w:val="1"/>
                <w:color w:val="auto"/>
                <w:w w:val="89"/>
              </w:rPr>
              <w:t>2013</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Managed Services Revenue</w:t>
            </w:r>
          </w:p>
        </w:tc>
        <w:tc>
          <w:tcPr>
            <w:tcW w:w="1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429.3</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417.1</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4"/>
              </w:rPr>
              <w:t>439.8</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jc w:val="center"/>
              <w:ind w:left="442"/>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w w:val="98"/>
              </w:rPr>
              <w:t>December</w:t>
            </w:r>
          </w:p>
        </w:tc>
        <w:tc>
          <w:tcPr>
            <w:tcW w:w="100" w:type="dxa"/>
            <w:vAlign w:val="bottom"/>
          </w:tcPr>
          <w:p>
            <w:pPr>
              <w:spacing w:after="0"/>
              <w:rPr>
                <w:sz w:val="10"/>
                <w:szCs w:val="10"/>
                <w:color w:val="auto"/>
              </w:rPr>
            </w:pPr>
          </w:p>
        </w:tc>
        <w:tc>
          <w:tcPr>
            <w:tcW w:w="10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w w:val="98"/>
              </w:rPr>
              <w:t>September</w:t>
            </w:r>
          </w:p>
        </w:tc>
        <w:tc>
          <w:tcPr>
            <w:tcW w:w="240" w:type="dxa"/>
            <w:vAlign w:val="bottom"/>
          </w:tcPr>
          <w:p>
            <w:pPr>
              <w:spacing w:after="0"/>
              <w:rPr>
                <w:sz w:val="10"/>
                <w:szCs w:val="10"/>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June 30,</w:t>
            </w: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ind w:right="21"/>
              <w:spacing w:after="0" w:line="119" w:lineRule="exact"/>
              <w:rPr>
                <w:sz w:val="20"/>
                <w:szCs w:val="20"/>
                <w:color w:val="auto"/>
              </w:rPr>
            </w:pPr>
            <w:r>
              <w:rPr>
                <w:rFonts w:ascii="Arial" w:cs="Arial" w:eastAsia="Arial" w:hAnsi="Arial"/>
                <w:sz w:val="13"/>
                <w:szCs w:val="13"/>
                <w:b w:val="1"/>
                <w:bCs w:val="1"/>
                <w:color w:val="auto"/>
                <w:w w:val="98"/>
              </w:rPr>
              <w:t>December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2"/>
              </w:rPr>
              <w:t>31,</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2"/>
              </w:rPr>
              <w:t>30,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2"/>
              </w:rPr>
              <w:t>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
              <w:spacing w:after="0"/>
              <w:rPr>
                <w:sz w:val="20"/>
                <w:szCs w:val="20"/>
                <w:color w:val="auto"/>
              </w:rPr>
            </w:pPr>
            <w:r>
              <w:rPr>
                <w:rFonts w:ascii="Arial" w:cs="Arial" w:eastAsia="Arial" w:hAnsi="Arial"/>
                <w:sz w:val="14"/>
                <w:szCs w:val="14"/>
                <w:b w:val="1"/>
                <w:bCs w:val="1"/>
                <w:color w:val="auto"/>
                <w:w w:val="96"/>
              </w:rPr>
              <w:t>2013</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22"/>
              <w:spacing w:after="0"/>
              <w:rPr>
                <w:sz w:val="20"/>
                <w:szCs w:val="20"/>
                <w:color w:val="auto"/>
              </w:rPr>
            </w:pPr>
            <w:r>
              <w:rPr>
                <w:rFonts w:ascii="Arial" w:cs="Arial" w:eastAsia="Arial" w:hAnsi="Arial"/>
                <w:sz w:val="14"/>
                <w:szCs w:val="14"/>
                <w:b w:val="1"/>
                <w:bCs w:val="1"/>
                <w:color w:val="auto"/>
                <w:w w:val="89"/>
              </w:rPr>
              <w:t>2013</w:t>
            </w:r>
          </w:p>
        </w:tc>
        <w:tc>
          <w:tcPr>
            <w:tcW w:w="220" w:type="dxa"/>
            <w:vAlign w:val="bottom"/>
          </w:tcPr>
          <w:p>
            <w:pPr>
              <w:spacing w:after="0"/>
              <w:rPr>
                <w:sz w:val="14"/>
                <w:szCs w:val="14"/>
                <w:color w:val="auto"/>
              </w:rPr>
            </w:pPr>
          </w:p>
        </w:tc>
        <w:tc>
          <w:tcPr>
            <w:tcW w:w="760" w:type="dxa"/>
            <w:vAlign w:val="bottom"/>
            <w:gridSpan w:val="2"/>
          </w:tcPr>
          <w:p>
            <w:pPr>
              <w:jc w:val="center"/>
              <w:ind w:left="163"/>
              <w:spacing w:after="0"/>
              <w:rPr>
                <w:sz w:val="20"/>
                <w:szCs w:val="20"/>
                <w:color w:val="auto"/>
              </w:rPr>
            </w:pPr>
            <w:r>
              <w:rPr>
                <w:rFonts w:ascii="Arial" w:cs="Arial" w:eastAsia="Arial" w:hAnsi="Arial"/>
                <w:sz w:val="14"/>
                <w:szCs w:val="14"/>
                <w:b w:val="1"/>
                <w:bCs w:val="1"/>
                <w:color w:val="auto"/>
                <w:w w:val="89"/>
              </w:rPr>
              <w:t>2013</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Experience Systems</w:t>
            </w:r>
          </w:p>
        </w:tc>
        <w:tc>
          <w:tcPr>
            <w:tcW w:w="1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829.6</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$803.2</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4"/>
              </w:rPr>
              <w:t>789.3</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Directory</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35.9</w:t>
            </w:r>
          </w:p>
        </w:tc>
        <w:tc>
          <w:tcPr>
            <w:tcW w:w="1220" w:type="dxa"/>
            <w:vAlign w:val="bottom"/>
            <w:gridSpan w:val="3"/>
          </w:tcPr>
          <w:p>
            <w:pPr>
              <w:jc w:val="right"/>
              <w:ind w:right="460"/>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43.6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841.3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832.9</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91"/>
              </w:rPr>
              <w:t>As of</w:t>
            </w: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w w:val="98"/>
              </w:rPr>
              <w:t>December</w:t>
            </w:r>
          </w:p>
        </w:tc>
        <w:tc>
          <w:tcPr>
            <w:tcW w:w="100" w:type="dxa"/>
            <w:vAlign w:val="bottom"/>
          </w:tcPr>
          <w:p>
            <w:pPr>
              <w:spacing w:after="0"/>
              <w:rPr>
                <w:sz w:val="10"/>
                <w:szCs w:val="10"/>
                <w:color w:val="auto"/>
              </w:rPr>
            </w:pPr>
          </w:p>
        </w:tc>
        <w:tc>
          <w:tcPr>
            <w:tcW w:w="10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w w:val="98"/>
              </w:rPr>
              <w:t>September</w:t>
            </w:r>
          </w:p>
        </w:tc>
        <w:tc>
          <w:tcPr>
            <w:tcW w:w="240" w:type="dxa"/>
            <w:vAlign w:val="bottom"/>
          </w:tcPr>
          <w:p>
            <w:pPr>
              <w:spacing w:after="0"/>
              <w:rPr>
                <w:sz w:val="10"/>
                <w:szCs w:val="10"/>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June 30,</w:t>
            </w: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ind w:right="21"/>
              <w:spacing w:after="0" w:line="119" w:lineRule="exact"/>
              <w:rPr>
                <w:sz w:val="20"/>
                <w:szCs w:val="20"/>
                <w:color w:val="auto"/>
              </w:rPr>
            </w:pPr>
            <w:r>
              <w:rPr>
                <w:rFonts w:ascii="Arial" w:cs="Arial" w:eastAsia="Arial" w:hAnsi="Arial"/>
                <w:sz w:val="13"/>
                <w:szCs w:val="13"/>
                <w:b w:val="1"/>
                <w:bCs w:val="1"/>
                <w:color w:val="auto"/>
                <w:w w:val="98"/>
              </w:rPr>
              <w:t>December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2"/>
              </w:rPr>
              <w:t>31,</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2"/>
              </w:rPr>
              <w:t>30,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2"/>
              </w:rPr>
              <w:t>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
              <w:spacing w:after="0"/>
              <w:rPr>
                <w:sz w:val="20"/>
                <w:szCs w:val="20"/>
                <w:color w:val="auto"/>
              </w:rPr>
            </w:pPr>
            <w:r>
              <w:rPr>
                <w:rFonts w:ascii="Arial" w:cs="Arial" w:eastAsia="Arial" w:hAnsi="Arial"/>
                <w:sz w:val="14"/>
                <w:szCs w:val="14"/>
                <w:b w:val="1"/>
                <w:bCs w:val="1"/>
                <w:color w:val="auto"/>
                <w:w w:val="96"/>
              </w:rPr>
              <w:t>2013</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22"/>
              <w:spacing w:after="0"/>
              <w:rPr>
                <w:sz w:val="20"/>
                <w:szCs w:val="20"/>
                <w:color w:val="auto"/>
              </w:rPr>
            </w:pPr>
            <w:r>
              <w:rPr>
                <w:rFonts w:ascii="Arial" w:cs="Arial" w:eastAsia="Arial" w:hAnsi="Arial"/>
                <w:sz w:val="14"/>
                <w:szCs w:val="14"/>
                <w:b w:val="1"/>
                <w:bCs w:val="1"/>
                <w:color w:val="auto"/>
                <w:w w:val="89"/>
              </w:rPr>
              <w:t>2013</w:t>
            </w:r>
          </w:p>
        </w:tc>
        <w:tc>
          <w:tcPr>
            <w:tcW w:w="220" w:type="dxa"/>
            <w:vAlign w:val="bottom"/>
          </w:tcPr>
          <w:p>
            <w:pPr>
              <w:spacing w:after="0"/>
              <w:rPr>
                <w:sz w:val="14"/>
                <w:szCs w:val="14"/>
                <w:color w:val="auto"/>
              </w:rPr>
            </w:pPr>
          </w:p>
        </w:tc>
        <w:tc>
          <w:tcPr>
            <w:tcW w:w="760" w:type="dxa"/>
            <w:vAlign w:val="bottom"/>
            <w:gridSpan w:val="2"/>
          </w:tcPr>
          <w:p>
            <w:pPr>
              <w:jc w:val="center"/>
              <w:ind w:left="163"/>
              <w:spacing w:after="0"/>
              <w:rPr>
                <w:sz w:val="20"/>
                <w:szCs w:val="20"/>
                <w:color w:val="auto"/>
              </w:rPr>
            </w:pPr>
            <w:r>
              <w:rPr>
                <w:rFonts w:ascii="Arial" w:cs="Arial" w:eastAsia="Arial" w:hAnsi="Arial"/>
                <w:sz w:val="14"/>
                <w:szCs w:val="14"/>
                <w:b w:val="1"/>
                <w:bCs w:val="1"/>
                <w:color w:val="auto"/>
                <w:w w:val="89"/>
              </w:rPr>
              <w:t>2013</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12-Month Backlog</w:t>
            </w:r>
          </w:p>
        </w:tc>
        <w:tc>
          <w:tcPr>
            <w:tcW w:w="1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2,830</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4"/>
              </w:rPr>
              <w:t>2,810</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 #</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2019-12-06T19:33:50Z</dcterms:created>
  <dcterms:modified xsi:type="dcterms:W3CDTF">2019-12-06T19:33:50Z</dcterms:modified>
</cp:coreProperties>
</file>