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5280" w:type="dxa"/>
            <w:vAlign w:val="bottom"/>
          </w:tcPr>
          <w:p>
            <w:pPr>
              <w:spacing w:after="0"/>
              <w:rPr>
                <w:sz w:val="17"/>
                <w:szCs w:val="17"/>
                <w:color w:val="auto"/>
              </w:rPr>
            </w:pP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w w:val="96"/>
              </w:rPr>
              <w:t>Amendment No. 1</w:t>
            </w:r>
          </w:p>
        </w:tc>
        <w:tc>
          <w:tcPr>
            <w:tcW w:w="5280" w:type="dxa"/>
            <w:vAlign w:val="bottom"/>
          </w:tcPr>
          <w:p>
            <w:pPr>
              <w:spacing w:after="0"/>
              <w:rPr>
                <w:sz w:val="24"/>
                <w:szCs w:val="24"/>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Amdocs Limited</w:t>
            </w:r>
          </w:p>
        </w:tc>
        <w:tc>
          <w:tcPr>
            <w:tcW w:w="5280" w:type="dxa"/>
            <w:vAlign w:val="bottom"/>
          </w:tcPr>
          <w:p>
            <w:pPr>
              <w:spacing w:after="0"/>
              <w:rPr>
                <w:sz w:val="17"/>
                <w:szCs w:val="17"/>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G02602103</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G02602103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483,500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7,107,200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7,107,200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3.530%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20" w:type="dxa"/>
            <w:vAlign w:val="bottom"/>
          </w:tcPr>
          <w:p>
            <w:pPr>
              <w:spacing w:after="0"/>
              <w:rPr>
                <w:sz w:val="17"/>
                <w:szCs w:val="17"/>
                <w:color w:val="auto"/>
              </w:rPr>
            </w:pPr>
          </w:p>
        </w:tc>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HC</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G02602103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7,107,200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7,107,200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3.530%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G02602103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7,107,200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7,107,200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3.530%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20" w:type="dxa"/>
            <w:vAlign w:val="bottom"/>
          </w:tcPr>
          <w:p>
            <w:pPr>
              <w:spacing w:after="0"/>
              <w:rPr>
                <w:sz w:val="17"/>
                <w:szCs w:val="17"/>
                <w:color w:val="auto"/>
              </w:rPr>
            </w:pPr>
          </w:p>
        </w:tc>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w:t>
            </w:r>
          </w:p>
        </w:tc>
      </w:tr>
      <w:tr>
        <w:trPr>
          <w:trHeight w:val="810"/>
        </w:trPr>
        <w:tc>
          <w:tcPr>
            <w:tcW w:w="860" w:type="dxa"/>
            <w:vAlign w:val="bottom"/>
          </w:tcPr>
          <w:p>
            <w:pPr>
              <w:spacing w:after="0"/>
              <w:rPr>
                <w:sz w:val="24"/>
                <w:szCs w:val="24"/>
                <w:color w:val="auto"/>
              </w:rPr>
            </w:pP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SCHEDULE 13G - TO BE INCLUDED IN</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528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FILED PURSUANT TO RULE 13d-1(b) or 13d-2(b)</w:t>
            </w:r>
          </w:p>
        </w:tc>
      </w:tr>
      <w:tr>
        <w:trPr>
          <w:trHeight w:val="1013"/>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1(a).</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Amdocs Limited</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1(b).</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Name of Issuer's Principal Executive Offices: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Tower Hill House Le Bordage</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Suite 5 St. Peter Port</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Island of Guernsey, United Kingdom</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GY1 3QT</w:t>
            </w:r>
          </w:p>
        </w:tc>
        <w:tc>
          <w:tcPr>
            <w:tcW w:w="72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608"/>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2(a).</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FMR Corp.</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2(b).</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w w:val="97"/>
              </w:rPr>
              <w:t>Address or Principal Business Office or, if None,</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528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82 Devonshire Street, Boston,</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Massachusetts</w:t>
            </w:r>
          </w:p>
        </w:tc>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02109</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Common Stock</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G02602103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7,107,200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3.530%</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483,500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7,107,200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the Common Stock of Amdocs Limited at December 31, 2004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2005</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6,623,700 shares or 3.290% of the Common Stock</w:t>
      </w:r>
    </w:p>
    <w:p>
      <w:pPr>
        <w:spacing w:after="0"/>
        <w:tabs>
          <w:tab w:leader="none" w:pos="3260" w:val="left"/>
        </w:tabs>
        <w:rPr>
          <w:sz w:val="20"/>
          <w:szCs w:val="20"/>
          <w:color w:val="auto"/>
        </w:rPr>
      </w:pPr>
      <w:r>
        <w:rPr>
          <w:rFonts w:ascii="Courier New" w:cs="Courier New" w:eastAsia="Courier New" w:hAnsi="Courier New"/>
          <w:sz w:val="18"/>
          <w:szCs w:val="18"/>
          <w:color w:val="auto"/>
        </w:rPr>
        <w:t>outstanding of Amdocs Limited</w:t>
      </w:r>
      <w:r>
        <w:rPr>
          <w:sz w:val="20"/>
          <w:szCs w:val="20"/>
          <w:color w:val="auto"/>
        </w:rPr>
        <w:tab/>
      </w:r>
      <w:r>
        <w:rPr>
          <w:rFonts w:ascii="Courier New" w:cs="Courier New" w:eastAsia="Courier New" w:hAnsi="Courier New"/>
          <w:sz w:val="16"/>
          <w:szCs w:val="16"/>
          <w:color w:val="auto"/>
        </w:rPr>
        <w:t>("the Company") as a result</w:t>
      </w:r>
    </w:p>
    <w:p>
      <w:pPr>
        <w:spacing w:after="0" w:line="237" w:lineRule="auto"/>
        <w:rPr>
          <w:sz w:val="20"/>
          <w:szCs w:val="20"/>
          <w:color w:val="auto"/>
        </w:rPr>
      </w:pPr>
      <w:r>
        <w:rPr>
          <w:rFonts w:ascii="Courier New" w:cs="Courier New" w:eastAsia="Courier New" w:hAnsi="Courier New"/>
          <w:sz w:val="18"/>
          <w:szCs w:val="18"/>
          <w:color w:val="auto"/>
        </w:rPr>
        <w:t>of acting as investment adviser to various investment</w:t>
      </w:r>
    </w:p>
    <w:p>
      <w:pPr>
        <w:spacing w:after="0"/>
        <w:rPr>
          <w:sz w:val="20"/>
          <w:szCs w:val="20"/>
          <w:color w:val="auto"/>
        </w:rPr>
      </w:pPr>
      <w:r>
        <w:rPr>
          <w:rFonts w:ascii="Courier New" w:cs="Courier New" w:eastAsia="Courier New" w:hAnsi="Courier New"/>
          <w:sz w:val="18"/>
          <w:szCs w:val="18"/>
          <w:color w:val="auto"/>
        </w:rPr>
        <w:t>companies registered under Section 8 of the Investment</w:t>
      </w:r>
    </w:p>
    <w:p>
      <w:pPr>
        <w:spacing w:after="0" w:line="237" w:lineRule="auto"/>
        <w:rPr>
          <w:sz w:val="20"/>
          <w:szCs w:val="20"/>
          <w:color w:val="auto"/>
        </w:rPr>
      </w:pPr>
      <w:r>
        <w:rPr>
          <w:rFonts w:ascii="Courier New" w:cs="Courier New" w:eastAsia="Courier New" w:hAnsi="Courier New"/>
          <w:sz w:val="18"/>
          <w:szCs w:val="18"/>
          <w:color w:val="auto"/>
        </w:rPr>
        <w:t>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6,623,700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8,200 shares or 0.004% of the Common Stock outstanding of the Company as a result of its serving as investment manager of the institutional account(s).</w:t>
      </w:r>
    </w:p>
    <w:p>
      <w:pPr>
        <w:spacing w:after="0" w:line="211" w:lineRule="exact"/>
        <w:rPr>
          <w:sz w:val="20"/>
          <w:szCs w:val="20"/>
          <w:color w:val="auto"/>
        </w:rPr>
      </w:pPr>
    </w:p>
    <w:p>
      <w:pPr>
        <w:ind w:right="3899" w:firstLine="843"/>
        <w:spacing w:after="0" w:line="273" w:lineRule="auto"/>
        <w:rPr>
          <w:sz w:val="20"/>
          <w:szCs w:val="20"/>
          <w:color w:val="auto"/>
        </w:rPr>
      </w:pPr>
      <w:r>
        <w:rPr>
          <w:rFonts w:ascii="Courier New" w:cs="Courier New" w:eastAsia="Courier New" w:hAnsi="Courier New"/>
          <w:sz w:val="16"/>
          <w:szCs w:val="16"/>
          <w:color w:val="auto"/>
        </w:rPr>
        <w:t>Edward C. Johnson 3d and FMR Corp., through its control of Fidelity Management Trust Company, each has sole dispositive power over 8,200 shares and sole power to vote or to direct the voting of 8,200 shares of Common Stock owned by the institutional account(s) as reported above.</w:t>
      </w:r>
    </w:p>
    <w:p>
      <w:pPr>
        <w:spacing w:after="0" w:line="185"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8" w:lineRule="exact"/>
        <w:rPr>
          <w:sz w:val="20"/>
          <w:szCs w:val="20"/>
          <w:color w:val="auto"/>
        </w:rPr>
      </w:pPr>
    </w:p>
    <w:p>
      <w:pPr>
        <w:ind w:right="3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475,300 shares or 0.236% of the Common Stock outstanding of the Company. Additional information with respect to the beneficial ownership of Fidelity International Limited is shown on Exhibit B.</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475,300 shares or 0.236% of the Common Stock outstanding of Amdocs Limited.</w:t>
      </w:r>
    </w:p>
    <w:p>
      <w:pPr>
        <w:spacing w:after="0" w:line="39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207"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w:t>
      </w:r>
    </w:p>
    <w:p>
      <w:pPr>
        <w:sectPr>
          <w:pgSz w:w="11900" w:h="16838" w:orient="portrait"/>
          <w:cols w:equalWidth="0" w:num="1">
            <w:col w:w="10219"/>
          </w:cols>
          <w:pgMar w:left="240" w:top="744"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registration pursuant to Section 12(g)(4) of the 1934 Act.</w:t>
      </w:r>
    </w:p>
    <w:p>
      <w:pPr>
        <w:spacing w:after="0" w:line="207"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475,300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2005, agree and consent to the joint filing on their behalf of this Schedule 13G in connection with their beneficial ownership of the Common Stock of Amdocs Limited at December 31, 2004.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2019-12-14T21:12:57Z</dcterms:created>
  <dcterms:modified xsi:type="dcterms:W3CDTF">2019-12-14T21:12:57Z</dcterms:modified>
</cp:coreProperties>
</file>