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AS FILED WITH THE SECURITIES AND EXCHANGE COMMISSION ON SEPTEMBER 7, 1999.</w:t>
      </w:r>
    </w:p>
    <w:p>
      <w:pPr>
        <w:spacing w:after="0" w:line="174" w:lineRule="exact"/>
        <w:rPr>
          <w:sz w:val="24"/>
          <w:szCs w:val="24"/>
          <w:color w:val="auto"/>
        </w:rPr>
      </w:pPr>
    </w:p>
    <w:p>
      <w:pPr>
        <w:ind w:left="4748"/>
        <w:spacing w:after="0"/>
        <w:rPr>
          <w:sz w:val="20"/>
          <w:szCs w:val="20"/>
          <w:color w:val="auto"/>
        </w:rPr>
      </w:pPr>
      <w:r>
        <w:rPr>
          <w:rFonts w:ascii="Courier New" w:cs="Courier New" w:eastAsia="Courier New" w:hAnsi="Courier New"/>
          <w:sz w:val="15"/>
          <w:szCs w:val="15"/>
          <w:color w:val="auto"/>
        </w:rPr>
        <w:t>REGISTRATION NO. 333-</w:t>
      </w:r>
    </w:p>
    <w:p>
      <w:pPr>
        <w:spacing w:after="0" w:line="2"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F-3</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31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ISLAND OF GUERNSEY</w:t>
            </w:r>
          </w:p>
        </w:tc>
        <w:tc>
          <w:tcPr>
            <w:tcW w:w="3440" w:type="dxa"/>
            <w:vAlign w:val="bottom"/>
          </w:tcPr>
          <w:p>
            <w:pPr>
              <w:jc w:val="right"/>
              <w:ind w:right="1565"/>
              <w:spacing w:after="0"/>
              <w:rPr>
                <w:sz w:val="20"/>
                <w:szCs w:val="20"/>
                <w:color w:val="auto"/>
              </w:rPr>
            </w:pPr>
            <w:r>
              <w:rPr>
                <w:rFonts w:ascii="Courier New" w:cs="Courier New" w:eastAsia="Courier New" w:hAnsi="Courier New"/>
                <w:sz w:val="15"/>
                <w:szCs w:val="15"/>
                <w:color w:val="auto"/>
              </w:rPr>
              <w:t>7371</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8"/>
              </w:rPr>
              <w:t>NOT APPLICABLE</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(STATE OR OTHER JURISDICTION OF</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(PRIMARY STANDARD INDUSTRIAL</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INCORPORATION OR ORGANIZATION)</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CLASSIFICATION CODE NUMBER)</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TOWER HILL HOUSE LE BORDAGE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011-44-1481-727272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74"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200" w:lineRule="exact"/>
        <w:rPr>
          <w:sz w:val="24"/>
          <w:szCs w:val="24"/>
          <w:color w:val="auto"/>
        </w:rPr>
      </w:pPr>
    </w:p>
    <w:p>
      <w:pPr>
        <w:spacing w:after="0" w:line="318" w:lineRule="exact"/>
        <w:rPr>
          <w:sz w:val="24"/>
          <w:szCs w:val="24"/>
          <w:color w:val="auto"/>
        </w:rPr>
      </w:pPr>
    </w:p>
    <w:tbl>
      <w:tblPr>
        <w:tblLayout w:type="fixed"/>
        <w:tblInd w:w="348" w:type="dxa"/>
        <w:tblCellMar>
          <w:top w:w="0" w:type="dxa"/>
          <w:left w:w="0" w:type="dxa"/>
          <w:bottom w:w="0" w:type="dxa"/>
          <w:right w:w="0" w:type="dxa"/>
        </w:tblCellMar>
      </w:tblPr>
      <w:tr>
        <w:trPr>
          <w:trHeight w:val="170"/>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ROBERT A. SCHWED, ESQ.</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PHYLLIS G. KORFF, ESQ.</w:t>
            </w:r>
          </w:p>
        </w:tc>
      </w:tr>
      <w:tr>
        <w:trPr>
          <w:trHeight w:val="172"/>
        </w:trPr>
        <w:tc>
          <w:tcPr>
            <w:tcW w:w="45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REBOUL, MACMURRAY, HEWITT, MAYNARD &amp; KRISTOL</w:t>
            </w:r>
          </w:p>
        </w:tc>
        <w:tc>
          <w:tcPr>
            <w:tcW w:w="416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SKADDEN, ARPS, SLATE, MEAGHER &amp; FLOM LLP</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45 ROCKEFELLER PLAZA</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919 THIRD AVENUE</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NEW YORK, NEW YORK 10111</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NEW YORK, NEW YORK 10022</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(212) 841-5700</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(212) 735-3000</w:t>
            </w:r>
          </w:p>
        </w:tc>
      </w:tr>
    </w:tbl>
    <w:p>
      <w:pPr>
        <w:spacing w:after="0" w:line="348" w:lineRule="exact"/>
        <w:rPr>
          <w:sz w:val="24"/>
          <w:szCs w:val="24"/>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 ] ----------</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348"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PROPOSED</w:t>
            </w:r>
          </w:p>
        </w:tc>
        <w:tc>
          <w:tcPr>
            <w:tcW w:w="1920" w:type="dxa"/>
            <w:vAlign w:val="bottom"/>
          </w:tcPr>
          <w:p>
            <w:pPr>
              <w:ind w:left="840"/>
              <w:spacing w:after="0"/>
              <w:rPr>
                <w:sz w:val="20"/>
                <w:szCs w:val="20"/>
                <w:color w:val="auto"/>
              </w:rPr>
            </w:pPr>
            <w:r>
              <w:rPr>
                <w:rFonts w:ascii="Courier New" w:cs="Courier New" w:eastAsia="Courier New" w:hAnsi="Courier New"/>
                <w:sz w:val="15"/>
                <w:szCs w:val="15"/>
                <w:color w:val="auto"/>
              </w:rPr>
              <w:t>PROPOSED</w:t>
            </w:r>
          </w:p>
        </w:tc>
      </w:tr>
      <w:tr>
        <w:trPr>
          <w:trHeight w:val="172"/>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CLASS OF</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AMOUNT TO</w:t>
            </w:r>
          </w:p>
        </w:tc>
        <w:tc>
          <w:tcPr>
            <w:tcW w:w="24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MAXIMUM OFFERING</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w w:val="98"/>
              </w:rPr>
              <w:t>MAXIMUM AGGREGATE</w:t>
            </w:r>
          </w:p>
        </w:tc>
      </w:tr>
      <w:tr>
        <w:trPr>
          <w:trHeight w:val="172"/>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TO BE</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REGISTERED</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BE REGISTERED</w:t>
            </w:r>
          </w:p>
        </w:tc>
        <w:tc>
          <w:tcPr>
            <w:tcW w:w="24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 PER UNIT(1)</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w w:val="98"/>
              </w:rPr>
              <w:t>OFFERING PRICE(1)</w:t>
            </w: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Ordinary shares, par value</w:t>
            </w:r>
          </w:p>
        </w:tc>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L0.01 per share...........</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20,700,000</w:t>
            </w:r>
          </w:p>
        </w:tc>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$26.35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$545,445,000</w:t>
            </w:r>
          </w:p>
        </w:tc>
      </w:tr>
    </w:tbl>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0" w:gutter="0" w:footer="0" w:header="0"/>
        </w:sectPr>
      </w:pPr>
    </w:p>
    <w:p>
      <w:pPr>
        <w:spacing w:after="0" w:line="357" w:lineRule="exact"/>
        <w:rPr>
          <w:sz w:val="24"/>
          <w:szCs w:val="24"/>
          <w:color w:val="auto"/>
        </w:rPr>
      </w:pPr>
    </w:p>
    <w:p>
      <w:pPr>
        <w:jc w:val="both"/>
        <w:ind w:left="8"/>
        <w:spacing w:after="0" w:line="274" w:lineRule="auto"/>
        <w:rPr>
          <w:sz w:val="20"/>
          <w:szCs w:val="20"/>
          <w:color w:val="auto"/>
        </w:rPr>
      </w:pPr>
      <w:r>
        <w:rPr>
          <w:rFonts w:ascii="Courier New" w:cs="Courier New" w:eastAsia="Courier New" w:hAnsi="Courier New"/>
          <w:sz w:val="14"/>
          <w:szCs w:val="14"/>
          <w:color w:val="auto"/>
        </w:rPr>
        <w:t>- ---------------------------- - ----------------------------</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2688" w:space="180"/>
            <w:col w:w="7359"/>
          </w:cols>
          <w:pgMar w:left="232" w:top="231" w:right="1440" w:bottom="0" w:gutter="0" w:footer="0" w:header="0"/>
          <w:type w:val="continuous"/>
        </w:sectPr>
      </w:pPr>
    </w:p>
    <w:p>
      <w:pPr>
        <w:spacing w:after="0" w:line="2" w:lineRule="exact"/>
        <w:rPr>
          <w:sz w:val="24"/>
          <w:szCs w:val="24"/>
          <w:color w:val="auto"/>
        </w:rPr>
      </w:pPr>
    </w:p>
    <w:p>
      <w:pPr>
        <w:ind w:left="8" w:firstLine="268"/>
        <w:spacing w:after="0" w:line="274"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ectPr>
          <w:pgSz w:w="11900" w:h="16838" w:orient="portrait"/>
          <w:cols w:equalWidth="0" w:num="2">
            <w:col w:w="2408" w:space="640"/>
            <w:col w:w="7179"/>
          </w:cols>
          <w:pgMar w:left="232" w:top="231" w:right="1440" w:bottom="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688" w:space="180"/>
            <w:col w:w="7359"/>
          </w:cols>
          <w:pgMar w:left="232" w:top="141" w:right="1440" w:bottom="1440" w:gutter="0" w:footer="0" w:header="0"/>
        </w:sectPr>
      </w:pPr>
    </w:p>
    <w:p>
      <w:pPr>
        <w:ind w:left="8"/>
        <w:spacing w:after="0"/>
        <w:rPr>
          <w:sz w:val="20"/>
          <w:szCs w:val="20"/>
          <w:color w:val="auto"/>
        </w:rPr>
      </w:pPr>
      <w:r>
        <w:rPr>
          <w:rFonts w:ascii="Courier New" w:cs="Courier New" w:eastAsia="Courier New" w:hAnsi="Courier New"/>
          <w:sz w:val="15"/>
          <w:szCs w:val="15"/>
          <w:color w:val="auto"/>
        </w:rPr>
        <w:t>Ordinary shares, par value</w:t>
      </w:r>
    </w:p>
    <w:p>
      <w:pPr>
        <w:spacing w:after="0" w:line="2" w:lineRule="exact"/>
        <w:rPr>
          <w:sz w:val="20"/>
          <w:szCs w:val="20"/>
          <w:color w:val="auto"/>
        </w:rPr>
      </w:pPr>
    </w:p>
    <w:p>
      <w:pPr>
        <w:ind w:left="188"/>
        <w:spacing w:after="0"/>
        <w:tabs>
          <w:tab w:leader="none" w:pos="3388" w:val="left"/>
        </w:tabs>
        <w:rPr>
          <w:sz w:val="20"/>
          <w:szCs w:val="20"/>
          <w:color w:val="auto"/>
        </w:rPr>
      </w:pPr>
      <w:r>
        <w:rPr>
          <w:rFonts w:ascii="Courier New" w:cs="Courier New" w:eastAsia="Courier New" w:hAnsi="Courier New"/>
          <w:sz w:val="15"/>
          <w:szCs w:val="15"/>
          <w:color w:val="auto"/>
        </w:rPr>
        <w:t>L0.01 per share...........</w:t>
      </w:r>
      <w:r>
        <w:rPr>
          <w:sz w:val="20"/>
          <w:szCs w:val="20"/>
          <w:color w:val="auto"/>
        </w:rPr>
        <w:tab/>
      </w:r>
      <w:r>
        <w:rPr>
          <w:rFonts w:ascii="Courier New" w:cs="Courier New" w:eastAsia="Courier New" w:hAnsi="Courier New"/>
          <w:sz w:val="14"/>
          <w:szCs w:val="14"/>
          <w:color w:val="auto"/>
        </w:rPr>
        <w:t>$151,634</w:t>
      </w:r>
    </w:p>
    <w:p>
      <w:pPr>
        <w:sectPr>
          <w:pgSz w:w="11900" w:h="16838" w:orient="portrait"/>
          <w:cols w:equalWidth="0" w:num="1">
            <w:col w:w="10227"/>
          </w:cols>
          <w:pgMar w:left="232" w:top="141" w:right="1440" w:bottom="1440" w:gutter="0" w:footer="0" w:header="0"/>
          <w:type w:val="continuous"/>
        </w:sectPr>
      </w:pPr>
    </w:p>
    <w:p>
      <w:pPr>
        <w:spacing w:after="0" w:line="2"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348" w:right="3159"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computing the registration fee pursuant to Rule 457(c) under the Securities Act of 1933, as amended, based upon the average of the high and low prices of shares as reported on the New York Stock Exchange on September 1, 1999.</w:t>
      </w:r>
    </w:p>
    <w:p>
      <w:pPr>
        <w:spacing w:after="0" w:line="1"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141"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Subject to Completion. Dated September 7, 1999.</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All of the ordinary shares in the offering are being sold by the selling shareholder identified in this prospectus. Amdocs will not receive any of the proceeds from the sale of the ordinary shares by the selling shareholder.</w:t>
      </w:r>
    </w:p>
    <w:p>
      <w:pPr>
        <w:spacing w:after="0" w:line="15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the ordinary shares on September 3, 1999 was $27.50 per share.</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Initial price to public.....................................</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 selling shareholder.......</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To the extent that the underwriters sell more than 18,000,000 ordinary shares, the underwriters have the option to purchase up to an additional 2,700,000 shares from the selling shareholder at the initial price to public less the underwriting discount.</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PRUDENTIAL SECURITIES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80"/>
        <w:spacing w:after="0"/>
        <w:tabs>
          <w:tab w:leader="none" w:pos="4620" w:val="left"/>
        </w:tabs>
        <w:rPr>
          <w:sz w:val="20"/>
          <w:szCs w:val="20"/>
          <w:color w:val="auto"/>
        </w:rPr>
      </w:pPr>
      <w:r>
        <w:rPr>
          <w:rFonts w:ascii="Courier New" w:cs="Courier New" w:eastAsia="Courier New" w:hAnsi="Courier New"/>
          <w:sz w:val="15"/>
          <w:szCs w:val="15"/>
          <w:color w:val="auto"/>
        </w:rPr>
        <w:t>Prospectus dated</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19"/>
          </w:cols>
          <w:pgMar w:left="240" w:top="28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ind w:left="360" w:right="3339" w:hanging="181"/>
        <w:spacing w:after="0" w:line="241"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9959"/>
          </w:cols>
          <w:pgMar w:left="50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August 24, 1999.</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Vodafone Group (United Kingdom), Mannesmann (Germany) and Telstra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multi-tier client-server architecture that provides the flexibility and scalability needed by major companies in the highly competitive and rapidly growing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$325.4 million or 73.3% of our revenue for the nine months ended June 30, 1999 and $251.8 million or 62.4% of our revenue for the year ended September 30, 1998. Directory sales and publishing systems and related services and other activities accounted for $118.8 million or 26.7% of our revenue for the nine months ended June 30, 1999 and $151.9 million or 37.6% of our revenue for the year ended September 30, 1998.</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1999, we had approximately 4,900 full-time equivalent employees, of which approximately 4,300 were software and information technology specialists engaged in research, development, maintenance and support activities. Our Israeli subsidiary employs over 2,900 software and information technology specialists and operates our largest development facility. 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 service providers. ITDS' revenue and net loss for its fiscal year ended December 31, 1998 were $115.5 million and $3.9 million, respectively. For the six months ended June 30, 1999, ITDS had revenue of $68.6 million and net income of $8.7 million.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185"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Shares offered by the selling shareholder........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18,000,000 shares</w:t>
      </w:r>
    </w:p>
    <w:p>
      <w:pPr>
        <w:spacing w:after="0" w:line="18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line="274" w:lineRule="auto"/>
        <w:rPr>
          <w:sz w:val="20"/>
          <w:szCs w:val="20"/>
          <w:color w:val="auto"/>
        </w:rPr>
      </w:pPr>
      <w:r>
        <w:rPr>
          <w:rFonts w:ascii="Courier New" w:cs="Courier New" w:eastAsia="Courier New" w:hAnsi="Courier New"/>
          <w:sz w:val="14"/>
          <w:szCs w:val="14"/>
          <w:color w:val="auto"/>
        </w:rPr>
        <w:t>Shares to be outstanding after the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17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339"/>
        <w:spacing w:after="0"/>
        <w:rPr>
          <w:sz w:val="20"/>
          <w:szCs w:val="20"/>
          <w:color w:val="auto"/>
        </w:rPr>
      </w:pPr>
      <w:r>
        <w:rPr>
          <w:rFonts w:ascii="Courier New" w:cs="Courier New" w:eastAsia="Courier New" w:hAnsi="Courier New"/>
          <w:sz w:val="15"/>
          <w:szCs w:val="15"/>
          <w:color w:val="auto"/>
        </w:rPr>
        <w:t>We will not receive any of the proceeds from the sale of the shares.</w:t>
      </w:r>
    </w:p>
    <w:p>
      <w:pPr>
        <w:spacing w:after="0" w:line="174"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tabs>
          <w:tab w:leader="none" w:pos="2568" w:val="left"/>
        </w:tabs>
        <w:rPr>
          <w:sz w:val="20"/>
          <w:szCs w:val="20"/>
          <w:color w:val="auto"/>
        </w:rPr>
      </w:pPr>
      <w:r>
        <w:rPr>
          <w:rFonts w:ascii="Courier New" w:cs="Courier New" w:eastAsia="Courier New" w:hAnsi="Courier New"/>
          <w:sz w:val="15"/>
          <w:szCs w:val="15"/>
          <w:color w:val="auto"/>
        </w:rPr>
        <w:t>NYSE symbol................</w:t>
        <w:tab/>
        <w:t>DOX</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289" w:right="1440" w:bottom="1440" w:gutter="0" w:footer="0" w:header="0"/>
          <w:type w:val="continuous"/>
        </w:sectPr>
      </w:pPr>
    </w:p>
    <w:p>
      <w:pPr>
        <w:spacing w:after="0" w:line="4" w:lineRule="exact"/>
        <w:rPr>
          <w:sz w:val="20"/>
          <w:szCs w:val="20"/>
          <w:color w:val="auto"/>
        </w:rPr>
      </w:pPr>
    </w:p>
    <w:p>
      <w:pPr>
        <w:ind w:left="348" w:right="3259"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September 3, 1999. Does not include (i) approximately 6,111,000 ordinary shares reserved for issuance upon the exercise of stock options that have been granted through July 31, 1999 under our stock option plan and (ii) approximately 489,000 ordinary shares to be reserved for future issuance of stock options under our stock option plan.</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3572"/>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76" w:lineRule="exact"/>
        <w:rPr>
          <w:sz w:val="20"/>
          <w:szCs w:val="20"/>
          <w:color w:val="auto"/>
        </w:rPr>
      </w:pPr>
    </w:p>
    <w:p>
      <w:pPr>
        <w:ind w:left="8" w:right="358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dollars. The summary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summary consolidated financial information as of and for the nine months ended June 30,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184" w:lineRule="exact"/>
        <w:rPr>
          <w:sz w:val="20"/>
          <w:szCs w:val="20"/>
          <w:color w:val="auto"/>
        </w:rPr>
      </w:pPr>
    </w:p>
    <w:p>
      <w:pPr>
        <w:ind w:left="8" w:right="376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NINE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$287,063</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58,791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18,509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1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w:t>
            </w:r>
          </w:p>
        </w:tc>
        <w:tc>
          <w:tcPr>
            <w:tcW w:w="1080" w:type="dxa"/>
            <w:vAlign w:val="bottom"/>
          </w:tcPr>
          <w:p>
            <w:pPr>
              <w:spacing w:after="0"/>
              <w:rPr>
                <w:sz w:val="14"/>
                <w:szCs w:val="14"/>
                <w:color w:val="auto"/>
              </w:rPr>
            </w:pPr>
          </w:p>
        </w:tc>
        <w:tc>
          <w:tcPr>
            <w:tcW w:w="2960" w:type="dxa"/>
            <w:vAlign w:val="bottom"/>
            <w:gridSpan w:val="3"/>
          </w:tcPr>
          <w:p>
            <w:pPr>
              <w:jc w:val="center"/>
              <w:ind w:left="105"/>
              <w:spacing w:after="0"/>
              <w:rPr>
                <w:sz w:val="20"/>
                <w:szCs w:val="20"/>
                <w:color w:val="auto"/>
              </w:rPr>
            </w:pPr>
            <w:r>
              <w:rPr>
                <w:rFonts w:ascii="Courier New" w:cs="Courier New" w:eastAsia="Courier New" w:hAnsi="Courier New"/>
                <w:sz w:val="15"/>
                <w:szCs w:val="15"/>
                <w:color w:val="auto"/>
                <w:w w:val="99"/>
              </w:rPr>
              <w:t>AS OF SEPTEMBER 30,</w:t>
            </w:r>
          </w:p>
        </w:tc>
        <w:tc>
          <w:tcPr>
            <w:tcW w:w="10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1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$386,782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$237,923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$220,582</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$104,531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$101,483</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12,649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7,370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96,272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(33,284)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94,253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15,988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29,429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84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76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728"/>
          </w:cols>
          <w:pgMar w:left="232" w:top="289" w:right="939" w:bottom="1440" w:gutter="0" w:footer="0" w:header="0"/>
        </w:sectPr>
      </w:pP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728"/>
          </w:cols>
          <w:pgMar w:left="232" w:top="289" w:right="93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telecommunications service providers. We also may acquire other companies where we believe we can acquire new products or services or otherwise enhance our market position or strategic strengths. We cannot assure you that suitable acquisition candidates can be found or that acquisitions can be consummated on favorable terms or that the ITDS acquisition, if completed, will enhance our products or strengthen our competitive position.</w:t>
      </w:r>
    </w:p>
    <w:p>
      <w:pPr>
        <w:spacing w:after="0" w:line="162"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19.5%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our total revenue in the nine months ended June 30, 1999 and 20.8%, 34.5% and 38.0% of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179"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27.6% of revenue in the nine months ended June 30, 1999 and 27.1%, 33.2% and 42.7% of revenue in fiscal 1998, 1997 and 1996, respectively.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4,300 software and information technology specialists, of which over 2,900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6"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Europe, the Asia-Pacific region, and Latin America. Our strategy is to continue to broaden our North American and European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also include an injunction or other court order that could prevent us from selling our products. Any of these events could seriously harm our business.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$1.0 million at June 30, 1999, representing the estimated costs to modify our software products to address year 2000 issues under existing agreements for previously sold products. See "Management's Discussion and Analysis of Results of Operation and Financial Condition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left="440" w:right="307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$1.6 million at June 30,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however, has not entered into any peace arrangement with Syria or Lebanon. In addition, in recent months there has been a deterioration in Israel's relationship with the Palestinian Community.</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After completion of the offering, our ordinary voting shares will be owned as follows:</w:t>
      </w:r>
    </w:p>
    <w:p>
      <w:pPr>
        <w:spacing w:after="0" w:line="176" w:lineRule="exact"/>
        <w:rPr>
          <w:sz w:val="20"/>
          <w:szCs w:val="20"/>
          <w:color w:val="auto"/>
        </w:rPr>
      </w:pPr>
    </w:p>
    <w:p>
      <w:pPr>
        <w:ind w:left="620" w:right="325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 by Amdocs International Limited, or AIL, a private company beneficially owned by Morris S. Kahn.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19.5% of the ordinary shares outstanding. In addition, WCAS and several entities in which some members of our management have a beneficial interest have granted irrevocable proxies with respect to a portion of the ordinary shares held by them to a company beneficially owned by Morris S. Kahn. Giving effect to such proxies and the sale of the ordinary shares in this offering, the company beneficially owned by Morris S. Kahn and AIL together will have the right to vote 28.3% of our ordinary voting shares, WCAS and its affiliates will have the right to vote 20.6% of our ordinary voting shares and SBCI will have the right to vote 8.3% of our ordinary voting shares. Following the offering, it is intended that the proxies granted by WCAS to AIL, as well as the proxies granted by several entities in which some members of our management have a beneficial interest to AIL, will be transferred from AIL to SBCI.</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the WCAS Investors. If the targets are met in full, and after giving effect to the sale of the ordinary shares in this offering, the WCAS Investors will hold 25.3% of our ordinary voting shares and AIL will hold 13.3% of our ordinary voting shares.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September 3, 1999 the closing price of our ordinary shares ranged from a high of $29.69 per share to a low of $8.38 per share. Many factors could cause the market price of our ordinary shares to rise and fall. Some of these factors are:</w:t>
      </w:r>
    </w:p>
    <w:p>
      <w:pPr>
        <w:spacing w:after="0" w:line="174"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September 3, 1999, the high and low reported closing prices for the ordinary shares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1999 (through September 3,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$29.69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 1999, the last reported closing price of the ordinary shares on the New York Stock Exchange was $27.50. As of September 2, 1999 our ordinary shares were held by approximately 135 recordholders. Based on a review of the addresses of such holders, 102 recordholders, holding approximately 75.5% of the outstanding ordinary shares, were residents of the United States.</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76" w:lineRule="exact"/>
        <w:rPr>
          <w:sz w:val="20"/>
          <w:szCs w:val="20"/>
          <w:color w:val="auto"/>
        </w:rPr>
      </w:pPr>
    </w:p>
    <w:p>
      <w:pPr>
        <w:ind w:left="8" w:right="332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U.S. GAAP and presented in dollars. The selected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consolidated financial information as of and for the nine months ended June 30,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184" w:lineRule="exact"/>
        <w:rPr>
          <w:sz w:val="20"/>
          <w:szCs w:val="20"/>
          <w:color w:val="auto"/>
        </w:rPr>
      </w:pPr>
    </w:p>
    <w:p>
      <w:pPr>
        <w:ind w:left="8" w:right="350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ENDED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$287,063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$403,767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r>
        <w:trPr>
          <w:trHeight w:val="860"/>
        </w:trPr>
        <w:tc>
          <w:tcPr>
            <w:tcW w:w="34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300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AS OF SEPTEMBER 30,</w:t>
            </w: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w w:val="98"/>
              </w:rPr>
              <w:t>(IN THOUSANDS)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$237,923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400"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500"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468"/>
          </w:cols>
          <w:pgMar w:left="232" w:top="289" w:right="1199"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468"/>
          </w:cols>
          <w:pgMar w:left="232" w:top="289" w:right="1199"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ended June 30,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ended June 30,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nine months to nine months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61" w:lineRule="exact"/>
        <w:rPr>
          <w:sz w:val="20"/>
          <w:szCs w:val="20"/>
          <w:color w:val="auto"/>
        </w:rPr>
      </w:pPr>
    </w:p>
    <w:p>
      <w:pPr>
        <w:jc w:val="both"/>
        <w:ind w:left="620" w:right="3079" w:hanging="181"/>
        <w:spacing w:after="0" w:line="241"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$325.4 million in the nine months ended June 30, 1999, representing 73.3%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079" w:hanging="181"/>
        <w:spacing w:after="0" w:line="241"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$118.8 million in the nine months ended June 30, 1999, accounting for 26.7%,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7, 1999 we sold 2 million ordinary shares in a public offering at a price of $22.4375 per share. The total net proceeds to us, after deduction of issuance costs, amounted to $41.4 million. At the same time, certain of our shareholders sold 18,426,000 ordinary shares, including an exercise of an over-allotment of 426,000 ordinary shares.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nine months ended June 30,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by $134.8 million, or 52.4%,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181"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the nine months ended June 30, 1999 and 1998, revenue from customers in North America, Europe and the rest of the world accounted for 39.5%, 39.1% and 21.4% compared to 54.3%, 23.4% and 22.3%,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175"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nine months ended June 30, 1999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 million on income before taxes of $98.1 million.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income taxes were $18.5 million on income before taxes of $37.0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 30, 1998 to $0.35 in the nine months ended June 30, 1999. Diluted earnings per share increased from $0.13 in the nine months ended June 30, 1998 to $0.34 in the nine months ended June 30,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revenue is attributable to sales to new customers as well as sales of additional products and services to existing customers.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 of $63.9 million, or 62.3%, from the prior year. Revenue attributable to Directory Systems was $123.8 million for fiscal 1997, an increase of $14.5 million, or 13.3%, from fiscal 1996.</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 the United States, the United Kingdom and Israel, and recorded a loss in Guernsey, a jurisdiction in which we are tax-exempt.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borrowings from banks and other lenders and two public offerings of our ordinary shares. Cash and cash equivalents totaled $71.1 million as of June 30, 1999 compared to $25.4 million as of September 30, 1998. Net cash provided by operating activities amounted to $102.8 million and $51.4 million for the nine months ended June 30, 1999 and 1998, respectively. The increase in cash and cash equivalents at June 30, 1999 is attributed primarily to the proceeds of an offering of our ordinary shares completed in June 1999. A significant portion of our cash flow from operations during the nine months ended June 30, 1999 was used to repay bank debt, which totalled $26.6 million as of June 30 1999.</w:t>
      </w:r>
    </w:p>
    <w:p>
      <w:pPr>
        <w:spacing w:after="0" w:line="16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support the further expansion of our business and to repay our outstanding loans.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30, 1999, we had short-term lines of credit totaling $152.0 million from various banks or bank groups, of which $26.6 million was outstanding. As of that date, we had also utilized approximately $13.1 million of our revolving credit facility to support outstanding letters of credit. As of June 30, 1999, we had positive working capital of $15.3 million as compared to negative working capital of $84.3 million as of September 30, 1998. The increase in working capital is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179"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As of June 30, 1999, we had long-term obligations outstanding of $17.1 million in connection with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and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As of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CONTINGENCY PLANS. Detailed contingency plans are nearly complete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$1.6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is in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1999, we had hedged most of our significant exposures in currencies other than the dollar.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as of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OF SEPTEMBER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FV OF</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AFTER</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1998, we had approximately $91.6 million outstanding on our revolving line of credit and short-term credit agreements and $12.2 million recorded as long-term lease obligations. The potential loss to us over one year that would result from a hypothetical, instantaneous, and unfavorable change of 100 basis points in the interest rates of all applicable financial assets and liabilities on September 30, 1998 would be approximately $1.0 million. This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As of June 30, 1999, our outstanding debt under our lines of credit was reduced from $91.6 million to $26.6 million. See Note 8 to our consolidated annual financial statements for additional discussion regarding the Company's short-term financing arrangements.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September 3, 1999, we entered into an agreement with ITDS pursuant to which we will acquire all of the outstanding shares of ITDS in a stock-for-stock merger transaction which will be accounted for under the purchase method of accounting. Based on the closing price of our ordinary shares on September 3, 1999 of $27.50, the exchange ratio in the agreement provides that we would issue approximately 6.6 million ordinary shares and 1.2 million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providers of wireless telecommunications services. ITDS' revenue and net loss for its fiscal year ended December 31, 1998 were $115.5 million and $3.9 million, respectively. For the six months ended June 30, 1999, ITDS had revenue of $68.6 million and net income of $8.7 million. See "Unaudited Pro Forma Condensed Combined Financials Statements" and ITDS' detailed consolidated financial statements included elsewhere in this prospectus.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the rest of the world.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Support Systems, or BSS, consist of families of customized software products and services designed to meet the mission-critical needs of specific telecommunications market sectors. We provide primarily CC&amp;B Systems for network operators and service providers offering (local, long distance, international, data, Internet and Voice Over Internet Protocol, or VOIP, cellular, personal communications services, or PCS, and paging). We also support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Mannesmann (Germany), Telstra (Australia) and Vodafone Group (United Kingdom)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Virtual Private Network (VPN) services, Digital Subscriber Line (DSL) for fast Internet access and broadband,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Mannesmann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2"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w:t>
      </w:r>
    </w:p>
    <w:p>
      <w:pPr>
        <w:spacing w:after="0" w:line="5" w:lineRule="exact"/>
        <w:rPr>
          <w:sz w:val="20"/>
          <w:szCs w:val="20"/>
          <w:color w:val="auto"/>
        </w:rPr>
      </w:pPr>
    </w:p>
    <w:p>
      <w:pPr>
        <w:jc w:val="both"/>
        <w:ind w:left="620" w:right="3079"/>
        <w:spacing w:after="0" w:line="260" w:lineRule="auto"/>
        <w:rPr>
          <w:sz w:val="20"/>
          <w:szCs w:val="20"/>
          <w:color w:val="auto"/>
        </w:rPr>
      </w:pPr>
      <w:r>
        <w:rPr>
          <w:rFonts w:ascii="Courier New" w:cs="Courier New" w:eastAsia="Courier New" w:hAnsi="Courier New"/>
          <w:sz w:val="14"/>
          <w:szCs w:val="14"/>
          <w:color w:val="auto"/>
        </w:rPr>
        <w:t>specifications, system modules are then adapted or customized to meet the customer's specific business requirements. We believe that this \approach minimizes risks and increases efficiencies by drawing on field-proven BSS</w:t>
      </w:r>
    </w:p>
    <w:p>
      <w:pPr>
        <w:ind w:left="3480"/>
        <w:spacing w:after="0" w:line="238" w:lineRule="auto"/>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local, long distance, international, cellular, PCS, paging,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jc w:val="both"/>
        <w:ind w:left="620" w:right="307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spacing w:after="0" w:line="153" w:lineRule="exact"/>
        <w:rPr>
          <w:rFonts w:ascii="Courier New" w:cs="Courier New" w:eastAsia="Courier New" w:hAnsi="Courier New"/>
          <w:sz w:val="14"/>
          <w:szCs w:val="14"/>
          <w:color w:val="auto"/>
        </w:rPr>
      </w:pPr>
    </w:p>
    <w:p>
      <w:pPr>
        <w:ind w:left="620" w:right="325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Intercarrier Settlement -- calculates, manages and reconciles payments for intercarrier network access.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operations, as well as for Internet directories and catalogs, including fully integrated electronic commerce capabilities. The directory line of products comprises a series of modules, including: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Telstra (Australia)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15.7% of our revenue in the nine months ended June 30, 1999 and for 20.8%, 34.5% and 38.0% of our revenue in fiscal 1998, 1997 and 1996, respectively. Our next largest customer is Telstra, which accounted for 7.8% of our revenue in the nine months ended June 30, 1999 and for 8.2%, 13.0% and 16.0% of our revenue in fiscal 1998, 1997 and 1996, respectively. Our third largest customer is BellSouth, which accounted for 5.9% of our revenue in the nine months ended June 30, 1999 and for 15.8%, 4.5% and 1.5% of our revenue in fiscal 1998, 1997 and 1996, respectively.</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27.6% of total revenue for the nine months ended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June 30, 1999 and 27.1%, 33.2% and 42.7% of revenue in fiscal 1998, 1997 and 1996, respectively.</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NINE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31, 1999, we employed on a full-time basis approximately 4,300 software and information technology specialists, engaged in research, development, maintenance and support activities, and approximately 620 managers and administrative professionals. We employ over 2,900 software and information technology specialists in Israel, with the remaining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$28.5 million, $25.6 million, $17.4 million and $14.7 million on research and development activities in the nine months ended June 30, 1999 and in fiscal 1998, 1997 and 1996, respectively, or 6.4%, 6.3%, 6.0% and 6.9%, respectively, of total revenue in those periods. For fiscal 1999, we expect to spend approximately $40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various facilities in Israel, aggregating approximately 650,000 square feet, pursuant to leases expiring on various dates between December 1999 and December 2008, and have various options to extend the terms of such leases. In Israel, we currently pay total yearly rental fees of approximately $12.4 million which are linked, in most cases, to the U.S. dollar. Included in these facilities are the following: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Israeli subsidiary rents approximately 297,000 square feet in Ra'anana, Israel under a ten-year lease (commencing June 1998). In June 1998, the Israeli subsidiary relocated its main offices and most of its operations to this location.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178" w:lineRule="exact"/>
        <w:rPr>
          <w:rFonts w:ascii="Courier New" w:cs="Courier New" w:eastAsia="Courier New" w:hAnsi="Courier New"/>
          <w:sz w:val="15"/>
          <w:szCs w:val="15"/>
          <w:color w:val="auto"/>
        </w:rPr>
      </w:pPr>
    </w:p>
    <w:p>
      <w:pPr>
        <w:jc w:val="both"/>
        <w:ind w:left="620" w:right="3439" w:hanging="181"/>
        <w:spacing w:after="0" w:line="241"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our Israeli subsidiary rents facilities in Ramat-Gan and Jerusalem. The annual rent for these facilities is approximately $2.9 million and $1.1 million, respectively.</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69,000 square feet of the facilities in Ramat-Gan are owned by related companies which lease these facilities to us.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December 1998, the Israeli subsidiary entered into a ten-year lease for an additional 55,000 square feet commencing July 2000. The annual rent is approximately $1.0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will be approximately $2.5 million. We also hold a number of other leases in the United States, with an aggregate annual rent of approximately $870,000.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also lease approximately 45,000 square feet for our development facility in Cyprus at an annual rent of approximately $550,000.</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lease additional office space in Australia, Brazil, Germany, Japan, Korea and the 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July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Melinos Pissourios........................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Development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Cyprus Institute of Certified Public Accountants and he is a registered auditor in Cyprus.</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President and then as a Managing Director, where he led its technology and telecommunications group. He is also a director of SpectraSite, a leading tower management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nine months ended June 30,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July 31, 1999 we granted options, net of forfeitures, to purchase approximately 6,070,000 ordinary shares to our officers and employees, and options to purchase 41,000 ordinary shares to our non-employee directors and consultants, pursuant to a stock option and incentive plan adopted in January 1998, or the Amdocs Plan. The weighted average exercise price of those options is $11.52.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180"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INVESTMENT AGREEMENTS.</w:t>
      </w:r>
      <w:r>
        <w:rPr>
          <w:sz w:val="20"/>
          <w:szCs w:val="20"/>
          <w:color w:val="auto"/>
        </w:rPr>
        <w:tab/>
      </w:r>
      <w:r>
        <w:rPr>
          <w:rFonts w:ascii="Courier New" w:cs="Courier New" w:eastAsia="Courier New" w:hAnsi="Courier New"/>
          <w:sz w:val="14"/>
          <w:szCs w:val="14"/>
          <w:color w:val="auto"/>
        </w:rPr>
        <w:t>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59,412,656 to 44,214,616 and increase the relative ownership of AIL, SBCI and the other investors with no change in the aggregate number of ordinary shares outstanding. If the conditions of the call option agreement are satisfied in full, AIL and SBCI each have the right to receive 6,154,138 ordinary shares and the other investors have the right to acquire 2,889,764 ordinary shares.</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nine months of fiscal 1999 and fiscal 1998, 1997 and 1996, SBC and those subsidiaries accounted for approximately 15.7%,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provides certain miscellaneous support services to us in Israel.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sectPr>
      </w:pPr>
    </w:p>
    <w:bookmarkStart w:id="53" w:name="page54"/>
    <w:bookmarkEnd w:id="53"/>
    <w:p>
      <w:pPr>
        <w:ind w:left="268"/>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PRINCIPAL SHAREHOLDERS AND SELLING SHAREHOLDER</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All of the shares that are offered in this offering will be sold by Amdocs International Limited. In addition, Amdocs International Limited has granted to the underwriters an option to purchase an aggregate of up to 2,700,000 additional ordinary shares solely to cover over-allotments.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sale of ordinary shares pursuant to this prospectus) as of September 2, 1999 of (i) any person known by us to be the beneficial owner of more than 10% of the outstanding ordinary shares, (ii) all of our directors and executive officers as a group and (iii) the selling shareholder.</w:t>
      </w:r>
    </w:p>
    <w:p>
      <w:pPr>
        <w:spacing w:after="0" w:line="200" w:lineRule="exact"/>
        <w:rPr>
          <w:sz w:val="20"/>
          <w:szCs w:val="20"/>
          <w:color w:val="auto"/>
        </w:rPr>
      </w:pPr>
    </w:p>
    <w:p>
      <w:pPr>
        <w:spacing w:after="0" w:line="318" w:lineRule="exact"/>
        <w:rPr>
          <w:sz w:val="20"/>
          <w:szCs w:val="20"/>
          <w:color w:val="auto"/>
        </w:rPr>
      </w:pPr>
    </w:p>
    <w:p>
      <w:pPr>
        <w:ind w:left="3488"/>
        <w:spacing w:after="0"/>
        <w:tabs>
          <w:tab w:leader="none" w:pos="7228" w:val="left"/>
        </w:tabs>
        <w:rPr>
          <w:sz w:val="20"/>
          <w:szCs w:val="20"/>
          <w:color w:val="auto"/>
        </w:rPr>
      </w:pPr>
      <w:r>
        <w:rPr>
          <w:rFonts w:ascii="Courier New" w:cs="Courier New" w:eastAsia="Courier New" w:hAnsi="Courier New"/>
          <w:sz w:val="15"/>
          <w:szCs w:val="15"/>
          <w:color w:val="auto"/>
        </w:rPr>
        <w:t>SHARES BENEFICIALLY OWNED</w:t>
      </w:r>
      <w:r>
        <w:rPr>
          <w:sz w:val="20"/>
          <w:szCs w:val="20"/>
          <w:color w:val="auto"/>
        </w:rPr>
        <w:tab/>
      </w:r>
      <w:r>
        <w:rPr>
          <w:rFonts w:ascii="Courier New" w:cs="Courier New" w:eastAsia="Courier New" w:hAnsi="Courier New"/>
          <w:sz w:val="14"/>
          <w:szCs w:val="14"/>
          <w:color w:val="auto"/>
        </w:rPr>
        <w:t>SHARED BENEFICIALLY OWNED</w:t>
      </w:r>
    </w:p>
    <w:p>
      <w:pPr>
        <w:spacing w:after="0" w:line="2" w:lineRule="exact"/>
        <w:rPr>
          <w:sz w:val="20"/>
          <w:szCs w:val="20"/>
          <w:color w:val="auto"/>
        </w:rPr>
      </w:pPr>
    </w:p>
    <w:p>
      <w:pPr>
        <w:ind w:left="3668"/>
        <w:spacing w:after="0"/>
        <w:tabs>
          <w:tab w:leader="none" w:pos="6248" w:val="left"/>
          <w:tab w:leader="none" w:pos="7588" w:val="left"/>
        </w:tabs>
        <w:rPr>
          <w:sz w:val="20"/>
          <w:szCs w:val="20"/>
          <w:color w:val="auto"/>
        </w:rPr>
      </w:pPr>
      <w:r>
        <w:rPr>
          <w:rFonts w:ascii="Courier New" w:cs="Courier New" w:eastAsia="Courier New" w:hAnsi="Courier New"/>
          <w:sz w:val="15"/>
          <w:szCs w:val="15"/>
          <w:color w:val="auto"/>
        </w:rPr>
        <w:t>PRIOR TO THE OFFERING</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AFTER THE OFFERING</w:t>
      </w:r>
    </w:p>
    <w:p>
      <w:pPr>
        <w:spacing w:after="0" w:line="2" w:lineRule="exact"/>
        <w:rPr>
          <w:sz w:val="20"/>
          <w:szCs w:val="20"/>
          <w:color w:val="auto"/>
        </w:rPr>
      </w:pPr>
    </w:p>
    <w:p>
      <w:pPr>
        <w:ind w:left="3488"/>
        <w:spacing w:after="0"/>
        <w:tabs>
          <w:tab w:leader="none" w:pos="6248" w:val="left"/>
          <w:tab w:leader="none" w:pos="72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BEING</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tabs>
          <w:tab w:leader="none" w:pos="3548" w:val="left"/>
          <w:tab w:leader="none" w:pos="4808" w:val="left"/>
          <w:tab w:leader="none" w:pos="6148" w:val="left"/>
          <w:tab w:leader="none" w:pos="7308" w:val="left"/>
          <w:tab w:leader="none" w:pos="8568"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r>
        <w:rPr>
          <w:sz w:val="20"/>
          <w:szCs w:val="20"/>
          <w:color w:val="auto"/>
        </w:rPr>
        <w:tab/>
      </w:r>
      <w:r>
        <w:rPr>
          <w:rFonts w:ascii="Courier New" w:cs="Courier New" w:eastAsia="Courier New" w:hAnsi="Courier New"/>
          <w:sz w:val="15"/>
          <w:szCs w:val="15"/>
          <w:color w:val="auto"/>
        </w:rPr>
        <w:t>OFFERED</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p>
    <w:p>
      <w:pPr>
        <w:spacing w:after="0" w:line="2" w:lineRule="exact"/>
        <w:rPr>
          <w:sz w:val="20"/>
          <w:szCs w:val="20"/>
          <w:color w:val="auto"/>
        </w:rPr>
      </w:pPr>
    </w:p>
    <w:p>
      <w:pPr>
        <w:ind w:left="8"/>
        <w:spacing w:after="0"/>
        <w:tabs>
          <w:tab w:leader="none" w:pos="3648" w:val="left"/>
          <w:tab w:leader="none" w:pos="4988" w:val="left"/>
          <w:tab w:leader="none" w:pos="6248" w:val="left"/>
          <w:tab w:leader="none" w:pos="7408" w:val="left"/>
          <w:tab w:leader="none" w:pos="87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Welsh, Carson, Anderson &amp;</w:t>
      </w:r>
    </w:p>
    <w:p>
      <w:pPr>
        <w:spacing w:after="0" w:line="2" w:lineRule="exact"/>
        <w:rPr>
          <w:sz w:val="20"/>
          <w:szCs w:val="20"/>
          <w:color w:val="auto"/>
        </w:rPr>
      </w:pPr>
    </w:p>
    <w:p>
      <w:pPr>
        <w:ind w:left="18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Stowe(3)(5)........................</w:t>
        <w:tab/>
        <w:t>54,445,228</w:t>
      </w:r>
      <w:r>
        <w:rPr>
          <w:sz w:val="20"/>
          <w:szCs w:val="20"/>
          <w:color w:val="auto"/>
        </w:rPr>
        <w:tab/>
      </w:r>
      <w:r>
        <w:rPr>
          <w:rFonts w:ascii="Courier New" w:cs="Courier New" w:eastAsia="Courier New" w:hAnsi="Courier New"/>
          <w:sz w:val="15"/>
          <w:szCs w:val="15"/>
          <w:color w:val="auto"/>
        </w:rPr>
        <w:t>27.4%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54,445,228</w:t>
      </w:r>
      <w:r>
        <w:rPr>
          <w:sz w:val="20"/>
          <w:szCs w:val="20"/>
          <w:color w:val="auto"/>
        </w:rPr>
        <w:tab/>
      </w:r>
      <w:r>
        <w:rPr>
          <w:rFonts w:ascii="Courier New" w:cs="Courier New" w:eastAsia="Courier New" w:hAnsi="Courier New"/>
          <w:sz w:val="15"/>
          <w:szCs w:val="15"/>
          <w:color w:val="auto"/>
        </w:rPr>
        <w:t>27.4%</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320 Park Avenue, Suite 2500</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0"/>
          <w:szCs w:val="20"/>
          <w:color w:val="auto"/>
        </w:rPr>
      </w:pPr>
    </w:p>
    <w:p>
      <w:pPr>
        <w:ind w:left="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SBC International, Inc.(4)...........</w:t>
        <w:tab/>
        <w:t>38,710,073</w:t>
      </w:r>
      <w:r>
        <w:rPr>
          <w:sz w:val="20"/>
          <w:szCs w:val="20"/>
          <w:color w:val="auto"/>
        </w:rPr>
        <w:tab/>
      </w:r>
      <w:r>
        <w:rPr>
          <w:rFonts w:ascii="Courier New" w:cs="Courier New" w:eastAsia="Courier New" w:hAnsi="Courier New"/>
          <w:sz w:val="15"/>
          <w:szCs w:val="15"/>
          <w:color w:val="auto"/>
        </w:rPr>
        <w:t>19.5%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38,710,073</w:t>
      </w:r>
      <w:r>
        <w:rPr>
          <w:sz w:val="20"/>
          <w:szCs w:val="20"/>
          <w:color w:val="auto"/>
        </w:rPr>
        <w:tab/>
      </w:r>
      <w:r>
        <w:rPr>
          <w:rFonts w:ascii="Courier New" w:cs="Courier New" w:eastAsia="Courier New" w:hAnsi="Courier New"/>
          <w:sz w:val="15"/>
          <w:szCs w:val="15"/>
          <w:color w:val="auto"/>
        </w:rPr>
        <w:t>19.5%</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175 E. Houston Street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San Antonio, Texas 78205-2233</w:t>
      </w:r>
    </w:p>
    <w:p>
      <w:pPr>
        <w:spacing w:after="0" w:line="2" w:lineRule="exact"/>
        <w:rPr>
          <w:sz w:val="20"/>
          <w:szCs w:val="20"/>
          <w:color w:val="auto"/>
        </w:rPr>
      </w:pPr>
    </w:p>
    <w:p>
      <w:pPr>
        <w:ind w:left="8"/>
        <w:spacing w:after="0"/>
        <w:tabs>
          <w:tab w:leader="none" w:pos="3548" w:val="left"/>
          <w:tab w:leader="none" w:pos="5088" w:val="left"/>
          <w:tab w:leader="none" w:pos="6068" w:val="left"/>
          <w:tab w:leader="none" w:pos="7308" w:val="left"/>
          <w:tab w:leader="none" w:pos="8928" w:val="left"/>
        </w:tabs>
        <w:rPr>
          <w:sz w:val="20"/>
          <w:szCs w:val="20"/>
          <w:color w:val="auto"/>
        </w:rPr>
      </w:pPr>
      <w:r>
        <w:rPr>
          <w:rFonts w:ascii="Courier New" w:cs="Courier New" w:eastAsia="Courier New" w:hAnsi="Courier New"/>
          <w:sz w:val="15"/>
          <w:szCs w:val="15"/>
          <w:color w:val="auto"/>
        </w:rPr>
        <w:t>Amdocs International Limited(5)(6)...</w:t>
        <w:tab/>
        <w:t>36,170,051</w:t>
      </w:r>
      <w:r>
        <w:rPr>
          <w:sz w:val="20"/>
          <w:szCs w:val="20"/>
          <w:color w:val="auto"/>
        </w:rPr>
        <w:tab/>
      </w: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18,170,051</w:t>
      </w:r>
      <w:r>
        <w:rPr>
          <w:sz w:val="20"/>
          <w:szCs w:val="20"/>
          <w:color w:val="auto"/>
        </w:rPr>
        <w:tab/>
      </w:r>
      <w:r>
        <w:rPr>
          <w:rFonts w:ascii="Courier New" w:cs="Courier New" w:eastAsia="Courier New" w:hAnsi="Courier New"/>
          <w:sz w:val="15"/>
          <w:szCs w:val="15"/>
          <w:color w:val="auto"/>
        </w:rPr>
        <w:t>9.1%</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Suite 5, Tower Hill House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Le Bordage, St. Peter Port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Guernsey GY1 3QT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Channel Islands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directors and executive officers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as a group (18</w:t>
      </w:r>
    </w:p>
    <w:p>
      <w:pPr>
        <w:spacing w:after="0" w:line="2" w:lineRule="exact"/>
        <w:rPr>
          <w:sz w:val="20"/>
          <w:szCs w:val="20"/>
          <w:color w:val="auto"/>
        </w:rPr>
      </w:pPr>
    </w:p>
    <w:p>
      <w:pPr>
        <w:ind w:left="188"/>
        <w:spacing w:after="0"/>
        <w:tabs>
          <w:tab w:leader="none" w:pos="3468" w:val="left"/>
          <w:tab w:leader="none" w:pos="5088" w:val="left"/>
          <w:tab w:leader="none" w:pos="6068" w:val="left"/>
          <w:tab w:leader="none" w:pos="7228" w:val="left"/>
          <w:tab w:leader="none" w:pos="8828" w:val="left"/>
        </w:tabs>
        <w:rPr>
          <w:sz w:val="20"/>
          <w:szCs w:val="20"/>
          <w:color w:val="auto"/>
        </w:rPr>
      </w:pPr>
      <w:r>
        <w:rPr>
          <w:rFonts w:ascii="Courier New" w:cs="Courier New" w:eastAsia="Courier New" w:hAnsi="Courier New"/>
          <w:sz w:val="15"/>
          <w:szCs w:val="15"/>
          <w:color w:val="auto"/>
        </w:rPr>
        <w:t>persons)(3)(4)(7)(8)...............</w:t>
        <w:tab/>
        <w:t>146,079,464</w:t>
      </w:r>
      <w:r>
        <w:rPr>
          <w:sz w:val="20"/>
          <w:szCs w:val="20"/>
          <w:color w:val="auto"/>
        </w:rPr>
        <w:tab/>
      </w:r>
      <w:r>
        <w:rPr>
          <w:rFonts w:ascii="Courier New" w:cs="Courier New" w:eastAsia="Courier New" w:hAnsi="Courier New"/>
          <w:sz w:val="15"/>
          <w:szCs w:val="15"/>
          <w:color w:val="auto"/>
        </w:rPr>
        <w:t>73.5%</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128,079,464</w:t>
      </w:r>
      <w:r>
        <w:rPr>
          <w:sz w:val="20"/>
          <w:szCs w:val="20"/>
          <w:color w:val="auto"/>
        </w:rPr>
        <w:tab/>
      </w:r>
      <w:r>
        <w:rPr>
          <w:rFonts w:ascii="Courier New" w:cs="Courier New" w:eastAsia="Courier New" w:hAnsi="Courier New"/>
          <w:sz w:val="15"/>
          <w:szCs w:val="15"/>
          <w:color w:val="auto"/>
        </w:rPr>
        <w:t>64.4%</w:t>
      </w:r>
    </w:p>
    <w:p>
      <w:pPr>
        <w:spacing w:after="0" w:line="346" w:lineRule="exact"/>
        <w:rPr>
          <w:sz w:val="20"/>
          <w:szCs w:val="20"/>
          <w:color w:val="auto"/>
        </w:rPr>
      </w:pPr>
    </w:p>
    <w:p>
      <w:pPr>
        <w:ind w:left="188" w:hanging="188"/>
        <w:spacing w:after="0"/>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75" w:lineRule="exact"/>
        <w:rPr>
          <w:rFonts w:ascii="Courier New" w:cs="Courier New" w:eastAsia="Courier New" w:hAnsi="Courier New"/>
          <w:sz w:val="15"/>
          <w:szCs w:val="15"/>
          <w:color w:val="auto"/>
        </w:rPr>
      </w:pPr>
    </w:p>
    <w:p>
      <w:pPr>
        <w:ind w:left="448" w:right="3259" w:hanging="359"/>
        <w:spacing w:after="0"/>
        <w:tabs>
          <w:tab w:leader="none" w:pos="44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174,589,951 ordinary voting shares and 24,210,073 ordinary nonvoting shares outstanding on August 24, 1999.</w:t>
      </w:r>
    </w:p>
    <w:p>
      <w:pPr>
        <w:spacing w:after="0" w:line="176" w:lineRule="exact"/>
        <w:rPr>
          <w:rFonts w:ascii="Courier New" w:cs="Courier New" w:eastAsia="Courier New" w:hAnsi="Courier New"/>
          <w:sz w:val="15"/>
          <w:szCs w:val="15"/>
          <w:color w:val="auto"/>
        </w:rPr>
      </w:pPr>
    </w:p>
    <w:p>
      <w:pPr>
        <w:ind w:left="448" w:right="3079" w:hanging="359"/>
        <w:spacing w:after="0" w:line="261" w:lineRule="auto"/>
        <w:tabs>
          <w:tab w:leader="none" w:pos="44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34,792,740 ordinary voting shares held by Welsh, Carson, Anderson &amp; Stowe VII, L.P., 9,978,181 ordinary voting shares held by Welsh, Carson, Anderson &amp; Stowe VI, L.P., 6,960,999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6" w:lineRule="exact"/>
        <w:rPr>
          <w:rFonts w:ascii="Courier New" w:cs="Courier New" w:eastAsia="Courier New" w:hAnsi="Courier New"/>
          <w:sz w:val="14"/>
          <w:szCs w:val="14"/>
          <w:color w:val="auto"/>
        </w:rPr>
      </w:pPr>
    </w:p>
    <w:p>
      <w:pPr>
        <w:ind w:left="448" w:right="3439" w:hanging="359"/>
        <w:spacing w:after="0" w:line="242" w:lineRule="auto"/>
        <w:tabs>
          <w:tab w:leader="none" w:pos="44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24,210,073 ordinary nonvoting shares. SBCI is the only shareholder of Amdocs that holds ordinary nonvoting shares.</w:t>
      </w:r>
    </w:p>
    <w:p>
      <w:pPr>
        <w:spacing w:after="0" w:line="175"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6,203,236 ordinary voting shares, respectively, to a company which is the sole shareholder of AIL and which is beneficially owned by Morris S. Kahn. The proxies granted by the WCAS partnerships</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89" w:right="1440" w:bottom="1440" w:gutter="0" w:footer="0" w:header="0"/>
          <w:type w:val="continuous"/>
        </w:sectPr>
      </w:pPr>
    </w:p>
    <w:bookmarkStart w:id="54" w:name="page55"/>
    <w:bookmarkEnd w:id="54"/>
    <w:p>
      <w:pPr>
        <w:ind w:left="179"/>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left="359" w:right="3079"/>
        <w:spacing w:after="0" w:line="261" w:lineRule="auto"/>
        <w:rPr>
          <w:sz w:val="20"/>
          <w:szCs w:val="20"/>
          <w:color w:val="auto"/>
        </w:rPr>
      </w:pPr>
      <w:r>
        <w:rPr>
          <w:rFonts w:ascii="Courier New" w:cs="Courier New" w:eastAsia="Courier New" w:hAnsi="Courier New"/>
          <w:sz w:val="14"/>
          <w:szCs w:val="14"/>
          <w:color w:val="auto"/>
        </w:rPr>
        <w:t>expire in May 2008, or sooner if at any time the WCAS entities collectively own less than 10.0% of our outstanding capital shares. The proxies granted by several entities in which some members of management have a beneficial interest expire ratably over the next one or two years. Several entities in which some members of management have beneficial interests granted irrevocable proxies with respect to an additional 4,786,110 ordinary voting shares to the sole shareholder of AIL. After giving effect to the offering, the proxies with respect to the 4,786,110 ordinary shares shall no longer be in effect. After giving effect to those proxies and the issuance and sale of ordinary shares in this offering, AIL and its sole shareholder will together have the right to vote 28.3% of our ordinary voting shares, and WCAS will have the right to vote 20.6% of such shares.</w:t>
      </w:r>
    </w:p>
    <w:p>
      <w:pPr>
        <w:spacing w:after="0" w:line="166" w:lineRule="exact"/>
        <w:rPr>
          <w:sz w:val="20"/>
          <w:szCs w:val="20"/>
          <w:color w:val="auto"/>
        </w:rPr>
      </w:pPr>
    </w:p>
    <w:p>
      <w:pPr>
        <w:ind w:left="359" w:right="3079" w:hanging="359"/>
        <w:spacing w:after="0" w:line="242" w:lineRule="auto"/>
        <w:tabs>
          <w:tab w:leader="none" w:pos="3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AIL may be required to deliver to the Amdocs Automatic Common Exchange Security Trust, or the TRACES Trust, upon the exchange of Automatic Common Exchange Securities that were issued and sold by the TRACES Trust in June 1999. The Exchange Date for the Automatic Common Exchange Securities will occur no earlier than June 11, 2002.</w:t>
      </w:r>
    </w:p>
    <w:p>
      <w:pPr>
        <w:spacing w:after="0" w:line="176" w:lineRule="exact"/>
        <w:rPr>
          <w:rFonts w:ascii="Courier New" w:cs="Courier New" w:eastAsia="Courier New" w:hAnsi="Courier New"/>
          <w:sz w:val="15"/>
          <w:szCs w:val="15"/>
          <w:color w:val="auto"/>
        </w:rPr>
      </w:pPr>
    </w:p>
    <w:p>
      <w:pPr>
        <w:ind w:left="359" w:right="3159" w:hanging="359"/>
        <w:spacing w:after="0" w:line="241" w:lineRule="auto"/>
        <w:tabs>
          <w:tab w:leader="none" w:pos="3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76" w:lineRule="exact"/>
        <w:rPr>
          <w:rFonts w:ascii="Courier New" w:cs="Courier New" w:eastAsia="Courier New" w:hAnsi="Courier New"/>
          <w:sz w:val="15"/>
          <w:szCs w:val="15"/>
          <w:color w:val="auto"/>
        </w:rPr>
      </w:pPr>
    </w:p>
    <w:p>
      <w:pPr>
        <w:ind w:left="359" w:right="3159" w:hanging="359"/>
        <w:spacing w:after="0" w:line="242" w:lineRule="auto"/>
        <w:tabs>
          <w:tab w:leader="none" w:pos="3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our key executive officers will receive any of the proceeds from the sale of the ordinary shares in this offering. All of our key executive officers hold and will continue to hold, directly and indirectly, economic interests in approximately 34.0% of our outstanding shares (of which 27.4% are held beneficially by WCAS).</w:t>
      </w:r>
    </w:p>
    <w:p>
      <w:pPr>
        <w:spacing w:after="0" w:line="174" w:lineRule="exact"/>
        <w:rPr>
          <w:sz w:val="20"/>
          <w:szCs w:val="20"/>
          <w:color w:val="auto"/>
        </w:rPr>
      </w:pPr>
    </w:p>
    <w:p>
      <w:pPr>
        <w:ind w:left="339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8"/>
          </w:cols>
          <w:pgMar w:left="321"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 and Selling Shareholder."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by AIL in the offering have been registered upon the exercise of one of these demand registration rights. If we propose to register any of our ordinary shares under the Securities Act, AIL, SBCI and WCAS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90 days after the effective date of the registration statement for the offering, without the prior written consent of the underwriters.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174,589,951 ordinary shares and 24,210,073 non-voting ordinary shares issued and outstanding. Of these shares, the 18,000,000 ordinary shares sold in the offering plus any shares sold upon exercise of the underwriters' overallotment options will be freely tradeable without restriction. We, substantially all of our principal shareholders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These shareholders will, upon the consummation of the offering, own an aggregate 128,161,825 shares or 64.5% of the then outstanding ordinary shares and non-voting ordinary shares.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18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on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selling shareholder entered into a forward purchase contract with the TRACES Trust under which it may be required to deliver up to 10,000,000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11, 2002.</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159"/>
        <w:spacing w:after="0" w:line="242"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 received from its subsidiaries, with a credit for underlying non-UK taxes paid by such subsidiaries and withholding taxes paid on such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3" w:name="page64"/>
    <w:bookmarkEnd w:id="63"/>
    <w:p>
      <w:pPr>
        <w:ind w:left="268"/>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8" w:hanging="359"/>
        <w:spacing w:after="0"/>
        <w:tabs>
          <w:tab w:leader="none" w:pos="44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8" w:right="3339" w:hanging="439"/>
        <w:spacing w:after="0"/>
        <w:tabs>
          <w:tab w:leader="none" w:pos="52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6" w:lineRule="exact"/>
        <w:rPr>
          <w:rFonts w:ascii="Courier New" w:cs="Courier New" w:eastAsia="Courier New" w:hAnsi="Courier New"/>
          <w:sz w:val="15"/>
          <w:szCs w:val="15"/>
          <w:color w:val="auto"/>
        </w:rPr>
      </w:pPr>
    </w:p>
    <w:p>
      <w:pPr>
        <w:ind w:left="528" w:right="3339" w:hanging="528"/>
        <w:spacing w:after="0"/>
        <w:tabs>
          <w:tab w:leader="none" w:pos="52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4" w:name="page65"/>
    <w:bookmarkEnd w:id="64"/>
    <w:p>
      <w:pPr>
        <w:ind w:left="268"/>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left="448" w:right="3339" w:hanging="448"/>
        <w:spacing w:after="0" w:line="242" w:lineRule="auto"/>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w:t>
      </w:r>
    </w:p>
    <w:p>
      <w:pPr>
        <w:spacing w:after="0" w:line="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289" w:right="1440" w:bottom="1440" w:gutter="0" w:footer="0" w:header="0"/>
        </w:sectPr>
      </w:pPr>
    </w:p>
    <w:bookmarkStart w:id="65" w:name="page66"/>
    <w:bookmarkEnd w:id="65"/>
    <w:p>
      <w:pPr>
        <w:ind w:left="268"/>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7"/>
          </w:cols>
          <w:pgMar w:left="232"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51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audited our consolidated financial statements as of September 30, 1998 and 1997, and for each of the three years in the period ended September 30, 1998, as set forth in their report. We have included our financial statements in the prospectus and elsewhere in the registration statement in reliance on Ernst &amp; Young LLP's report, given on their authority as experts in accounting and auditing.</w:t>
      </w:r>
    </w:p>
    <w:p>
      <w:pPr>
        <w:spacing w:after="0" w:line="16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5" w:lineRule="exact"/>
        <w:rPr>
          <w:sz w:val="20"/>
          <w:szCs w:val="20"/>
          <w:color w:val="auto"/>
        </w:rPr>
      </w:pPr>
    </w:p>
    <w:p>
      <w:pPr>
        <w:ind w:left="620"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1998.</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June 30, 1999, March 31, 1999 and December 31, 1998.</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filings on Forms 10-Q and 8-K filed by us pursuant to the Exchange Act.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6" w:lineRule="exact"/>
        <w:rPr>
          <w:sz w:val="20"/>
          <w:szCs w:val="20"/>
          <w:color w:val="auto"/>
        </w:rPr>
      </w:pPr>
    </w:p>
    <w:p>
      <w:pPr>
        <w:ind w:left="620" w:right="3259" w:hanging="181"/>
        <w:spacing w:after="0" w:line="242"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of other subsequent reports on Form 6-K unless we state in the report that it is not being incorporated by reference into this prospectus.</w:t>
      </w:r>
    </w:p>
    <w:p>
      <w:pPr>
        <w:spacing w:after="0" w:line="175"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Results of Operations and Financial Condition"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40" w:type="dxa"/>
            <w:vAlign w:val="bottom"/>
          </w:tcPr>
          <w:p>
            <w:pPr>
              <w:ind w:left="54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40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4"/>
                <w:szCs w:val="2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September 30,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nine months ended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516"/>
        </w:trPr>
        <w:tc>
          <w:tcPr>
            <w:tcW w:w="1160" w:type="dxa"/>
            <w:vAlign w:val="bottom"/>
          </w:tcPr>
          <w:p>
            <w:pPr>
              <w:spacing w:after="0"/>
              <w:rPr>
                <w:sz w:val="24"/>
                <w:szCs w:val="24"/>
                <w:color w:val="auto"/>
              </w:rPr>
            </w:pPr>
          </w:p>
        </w:tc>
        <w:tc>
          <w:tcPr>
            <w:tcW w:w="4340" w:type="dxa"/>
            <w:vAlign w:val="bottom"/>
          </w:tcPr>
          <w:p>
            <w:pPr>
              <w:ind w:left="232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4"/>
          </w:tcPr>
          <w:p>
            <w:pPr>
              <w:jc w:val="right"/>
              <w:ind w:right="685"/>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0"/>
              </w:rPr>
              <w:t>Unearned revenue..........................................</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4"/>
              </w:rPr>
              <w:t>outstanding............................................</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w w:val="98"/>
              </w:rPr>
              <w:t>Authorized 550,000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196,800 and 124,708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 respectively (1998 --</w:t>
            </w:r>
          </w:p>
        </w:tc>
        <w:tc>
          <w:tcPr>
            <w:tcW w:w="20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30,235 Non 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Ordinary Shares 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3"/>
                <w:szCs w:val="13"/>
                <w:color w:val="auto"/>
                <w:w w:val="72"/>
              </w:rPr>
              <w:t>Accumulated deficit.........................................</w:t>
            </w:r>
          </w:p>
        </w:tc>
        <w:tc>
          <w:tcPr>
            <w:tcW w:w="20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2" w:name="page83"/>
    <w:bookmarkEnd w:id="82"/>
    <w:p>
      <w:pPr>
        <w:ind w:left="268"/>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5" w:lineRule="exact"/>
        <w:rPr>
          <w:sz w:val="20"/>
          <w:szCs w:val="20"/>
          <w:color w:val="auto"/>
        </w:rPr>
      </w:pPr>
    </w:p>
    <w:p>
      <w:pPr>
        <w:ind w:left="188" w:right="3339"/>
        <w:spacing w:after="0" w:line="242" w:lineRule="auto"/>
        <w:rPr>
          <w:sz w:val="20"/>
          <w:szCs w:val="20"/>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8" w:name="page89"/>
    <w:bookmarkEnd w:id="88"/>
    <w:p>
      <w:pPr>
        <w:ind w:left="268"/>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71,078</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$2,478.........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144,326</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unbilled of $0.........................................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20,613</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262,686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70,704</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21,397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64,446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23,077</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247,382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29,972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issued</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198,800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gain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(5,145)</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(393,395)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96,272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$ 51,987</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$ 29,741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392,152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257,322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444,139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287,063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254,651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340,571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228,272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103,568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98,148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$ 68,704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$ 18,509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nine months ended June 30, 1999 and 1998,</w:t>
      </w:r>
    </w:p>
    <w:p>
      <w:pPr>
        <w:spacing w:after="0" w:line="4" w:lineRule="exact"/>
        <w:rPr>
          <w:sz w:val="20"/>
          <w:szCs w:val="20"/>
          <w:color w:val="auto"/>
        </w:rPr>
      </w:pPr>
    </w:p>
    <w:p>
      <w:pPr>
        <w:ind w:left="348" w:right="3079"/>
        <w:spacing w:after="0" w:line="267" w:lineRule="auto"/>
        <w:rPr>
          <w:sz w:val="20"/>
          <w:szCs w:val="20"/>
          <w:color w:val="auto"/>
        </w:rPr>
      </w:pPr>
      <w:r>
        <w:rPr>
          <w:rFonts w:ascii="Courier New" w:cs="Courier New" w:eastAsia="Courier New" w:hAnsi="Courier New"/>
          <w:sz w:val="14"/>
          <w:szCs w:val="14"/>
          <w:color w:val="auto"/>
        </w:rPr>
        <w:t>respectively: license revenue -- $418 and $2,290; service revenue -- $68,422 and $62,680; cost of service -- $(2,044) and $(2,036); selling, general and administrative -- $(428) and $(304); interest expense -- $(0) and $(4,150).</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68,704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41,384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$1,737 tax.......</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4,053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forfeitures..........................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3,965</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June 30, 1999 (unaudited)...</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$3,181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$489,073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(5,145)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$(393,395)</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96,272</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1520"/>
          </w:cols>
          <w:pgMar w:left="240" w:top="289" w:right="139"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23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8,211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63,503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10,236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12,935</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102,800</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51,368</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 and other....................................</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(32,913)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42,535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332,223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(293,012)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(208,449)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228,008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(267,763)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41,693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 Cash paid for: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26,710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20,891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$7,881 and $2,106 were incurred during the nine months ended June 30, 1999 and 1998, respectively, when the Company entered into lease agreements for the purchase of fixed assets.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As of June 30, 1999 and 1998, the Company incurred stock issuance costs of $1,150 and $1,586 respectively, which had not been paid as of that date.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5" w:name="page96"/>
    <w:bookmarkEnd w:id="95"/>
    <w:p>
      <w:pPr>
        <w:ind w:left="268"/>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178" w:lineRule="exact"/>
        <w:rPr>
          <w:sz w:val="20"/>
          <w:szCs w:val="20"/>
          <w:color w:val="auto"/>
        </w:rPr>
      </w:pP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162"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w:t>
      </w:r>
    </w:p>
    <w:p>
      <w:pPr>
        <w:spacing w:after="0" w:line="200" w:lineRule="exact"/>
        <w:rPr>
          <w:sz w:val="20"/>
          <w:szCs w:val="20"/>
          <w:color w:val="auto"/>
        </w:rPr>
      </w:pPr>
    </w:p>
    <w:p>
      <w:pPr>
        <w:spacing w:after="0" w:line="318"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ind w:left="57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$68,704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Change in unrealized income on derivative instruments, net</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of tax....................................................</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4,053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$72,757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27"/>
          </w:cols>
          <w:pgMar w:left="232" w:top="289" w:right="1440" w:bottom="1440" w:gutter="0" w:footer="0" w:header="0"/>
          <w:type w:val="continuous"/>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96</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318"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both"/>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5708" w:val="left"/>
          <w:tab w:leader="none" w:pos="6688"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$28,076</w:t>
      </w:r>
      <w:r>
        <w:rPr>
          <w:sz w:val="20"/>
          <w:szCs w:val="20"/>
          <w:color w:val="auto"/>
        </w:rPr>
        <w:tab/>
      </w:r>
      <w:r>
        <w:rPr>
          <w:rFonts w:ascii="Courier New" w:cs="Courier New" w:eastAsia="Courier New" w:hAnsi="Courier New"/>
          <w:sz w:val="14"/>
          <w:szCs w:val="14"/>
          <w:color w:val="auto"/>
        </w:rPr>
        <w:t>$20,260</w:t>
      </w:r>
    </w:p>
    <w:p>
      <w:pPr>
        <w:spacing w:after="0" w:line="2" w:lineRule="exact"/>
        <w:rPr>
          <w:sz w:val="20"/>
          <w:szCs w:val="20"/>
          <w:color w:val="auto"/>
        </w:rPr>
      </w:pPr>
    </w:p>
    <w:p>
      <w:pPr>
        <w:ind w:left="8"/>
        <w:spacing w:after="0"/>
        <w:tabs>
          <w:tab w:leader="none" w:pos="5888" w:val="left"/>
          <w:tab w:leader="none" w:pos="6768"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1,368</w:t>
      </w:r>
      <w:r>
        <w:rPr>
          <w:sz w:val="20"/>
          <w:szCs w:val="20"/>
          <w:color w:val="auto"/>
        </w:rPr>
        <w:tab/>
      </w:r>
      <w:r>
        <w:rPr>
          <w:rFonts w:ascii="Courier New" w:cs="Courier New" w:eastAsia="Courier New" w:hAnsi="Courier New"/>
          <w:sz w:val="15"/>
          <w:szCs w:val="15"/>
          <w:color w:val="auto"/>
        </w:rPr>
        <w:t>(1,750)</w:t>
      </w:r>
    </w:p>
    <w:p>
      <w:pPr>
        <w:spacing w:after="0" w:line="2" w:lineRule="exact"/>
        <w:rPr>
          <w:sz w:val="20"/>
          <w:szCs w:val="20"/>
          <w:color w:val="auto"/>
        </w:rPr>
      </w:pPr>
    </w:p>
    <w:p>
      <w:pPr>
        <w:jc w:val="both"/>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899"/>
        <w:spacing w:after="0"/>
        <w:tabs>
          <w:tab w:leader="none" w:pos="700" w:val="left"/>
        </w:tabs>
        <w:rPr>
          <w:sz w:val="20"/>
          <w:szCs w:val="20"/>
          <w:color w:val="auto"/>
        </w:rPr>
      </w:pPr>
      <w:r>
        <w:rPr>
          <w:rFonts w:ascii="Courier New" w:cs="Courier New" w:eastAsia="Courier New" w:hAnsi="Courier New"/>
          <w:sz w:val="15"/>
          <w:szCs w:val="15"/>
          <w:color w:val="auto"/>
        </w:rPr>
        <w:t>$29,444</w:t>
      </w:r>
      <w:r>
        <w:rPr>
          <w:sz w:val="20"/>
          <w:szCs w:val="20"/>
          <w:color w:val="auto"/>
        </w:rPr>
        <w:tab/>
      </w:r>
      <w:r>
        <w:rPr>
          <w:rFonts w:ascii="Courier New" w:cs="Courier New" w:eastAsia="Courier New" w:hAnsi="Courier New"/>
          <w:sz w:val="14"/>
          <w:szCs w:val="14"/>
          <w:color w:val="auto"/>
        </w:rPr>
        <w:t>$18,510</w:t>
      </w:r>
    </w:p>
    <w:p>
      <w:pPr>
        <w:spacing w:after="0" w:line="2" w:lineRule="exact"/>
        <w:rPr>
          <w:sz w:val="20"/>
          <w:szCs w:val="20"/>
          <w:color w:val="auto"/>
        </w:rPr>
      </w:pPr>
    </w:p>
    <w:p>
      <w:pPr>
        <w:jc w:val="both"/>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5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3040" w:type="dxa"/>
            <w:vAlign w:val="bottom"/>
            <w:gridSpan w:val="4"/>
          </w:tcPr>
          <w:p>
            <w:pPr>
              <w:ind w:left="1440"/>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1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Net income................................................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$68,704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196,976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145,630</w:t>
            </w: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 and assumed conversions.................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199,649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146,451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Basic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Diluted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89" w:right="1440" w:bottom="1440" w:gutter="0" w:footer="0" w:header="0"/>
          <w:type w:val="continuous"/>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pacing w:after="0" w:line="160" w:lineRule="exact"/>
        <w:rPr>
          <w:sz w:val="20"/>
          <w:szCs w:val="20"/>
          <w:color w:val="auto"/>
        </w:rPr>
      </w:pPr>
    </w:p>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acquire International Telecommunication Data Systems, Inc. (ITDS), in a stock-for-stock transaction, which will be accounted for under the purchase method of accounting. The Company will issue approximately 6,600 ordinary shares and 1,200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wireless and satellite telecommunication service providers. ITDS revenue and net loss for its fiscal year ended December 31, 1998 were $115,460 and $3,926, respectively. For the six months ended June 30, 1999, ITDS had revenue and net income of $68,623 and $8,714 respectively. ITDS had total assets of $164,541 at June 30, 1999.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289"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shareholder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Deutsche Bank Securities Inc., Lehman Brothers Inc. and Prudential Securities Incorporated are the representatives of the Underwriters.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Underwriters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820" w:space="720"/>
            <w:col w:w="46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 of America Securities LLC..............................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14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2,700,000 shares from the selling shareholder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the selling shareholder.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Shareholder</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4"/>
          <w:szCs w:val="14"/>
          <w:color w:val="auto"/>
        </w:rPr>
        <w:t>Full Exercise</w:t>
      </w:r>
    </w:p>
    <w:p>
      <w:pPr>
        <w:spacing w:after="0" w:line="4"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20" w:space="180"/>
            <w:col w:w="700" w:space="720"/>
            <w:col w:w="3699"/>
          </w:cols>
          <w:pgMar w:left="240" w:top="289" w:right="1440" w:bottom="1440" w:gutter="0" w:footer="0" w:header="0"/>
          <w:type w:val="continuous"/>
        </w:sectPr>
      </w:pPr>
    </w:p>
    <w:p>
      <w:pPr>
        <w:spacing w:after="0" w:line="1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Shares sold by the Underwriters to the public will initially be offered at the initial price to public set forth on the cover of this prospectus. Any shares sold by the Underwriters to securities dealers may be sold at a discount</w:t>
      </w:r>
    </w:p>
    <w:p>
      <w:pPr>
        <w:spacing w:after="0" w:line="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of up to $ per share from the initial price to public. Any such securities dealers may resell any shares purchased from the Underwriters to certain other</w:t>
      </w:r>
    </w:p>
    <w:p>
      <w:pPr>
        <w:ind w:right="3079"/>
        <w:spacing w:after="0" w:line="241" w:lineRule="auto"/>
        <w:rPr>
          <w:sz w:val="20"/>
          <w:szCs w:val="20"/>
          <w:color w:val="auto"/>
        </w:rPr>
      </w:pPr>
      <w:r>
        <w:rPr>
          <w:rFonts w:ascii="Courier New" w:cs="Courier New" w:eastAsia="Courier New" w:hAnsi="Courier New"/>
          <w:sz w:val="15"/>
          <w:szCs w:val="15"/>
          <w:color w:val="auto"/>
        </w:rPr>
        <w:t>brokers or dealers at a discount of up to $ per share from the initial price to public. If all the shares are not sold at the initial price to public, the representatives may change the offering price and the other selling terms.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and the selling shareholder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19"/>
          </w:cols>
          <w:pgMar w:left="240" w:top="289"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99</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Stabilizing transactions consist of certain bids or purchases made for the purpose of preventing or retarding a decline in the market price of the ordinary shares while the offering is in progress.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in the over-the-counter market or otherwise.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 excluding underwriting discounts and commissions. The expenses of the offering are estimated to be approximately $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 have agreed to indemnify the several Underwriters against certain liabilities, including liabilities under the Securities Act.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 dealer, salesperson or other person is authorized to give any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information or to represent anything not contained in this prospectus. You must</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not rely on any unauthorized information or representations. This prospectus is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offer to sell only the shares offered hereby, but only under circumstances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in jurisdictions where it is lawful to do so. The information contained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Enforceability of Civil</w:t>
      </w:r>
    </w:p>
    <w:p>
      <w:pPr>
        <w:spacing w:after="0" w:line="2" w:lineRule="exact"/>
        <w:rPr>
          <w:sz w:val="20"/>
          <w:szCs w:val="20"/>
          <w:color w:val="auto"/>
        </w:rPr>
      </w:pPr>
    </w:p>
    <w:p>
      <w:pPr>
        <w:ind w:left="188"/>
        <w:spacing w:after="0"/>
        <w:tabs>
          <w:tab w:leader="dot" w:pos="3728"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Condensed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Shareholders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 More</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Documents by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PRUDENTIAL SECURITIES</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2"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$151,634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York Stock Exchange listing fee.........................</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National Association of Securities Dealers fee..............</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w:t>
            </w:r>
          </w:p>
        </w:tc>
      </w:tr>
      <w:tr>
        <w:trPr>
          <w:trHeight w:val="516"/>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 To be filed by amendment</w:t>
            </w:r>
          </w:p>
        </w:tc>
        <w:tc>
          <w:tcPr>
            <w:tcW w:w="82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ITEM 15.  INDEMNIFICATION OF DIRECTORS AND OFFICERS</w:t>
            </w:r>
          </w:p>
        </w:tc>
        <w:tc>
          <w:tcPr>
            <w:tcW w:w="820" w:type="dxa"/>
            <w:vAlign w:val="bottom"/>
          </w:tcPr>
          <w:p>
            <w:pPr>
              <w:spacing w:after="0"/>
              <w:rPr>
                <w:sz w:val="24"/>
                <w:szCs w:val="24"/>
                <w:color w:val="auto"/>
              </w:rPr>
            </w:pPr>
          </w:p>
        </w:tc>
      </w:tr>
    </w:tbl>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EXHIBITS AND FINANCIAL STATEMENT SCHEDULES</w:t>
            </w:r>
          </w:p>
        </w:tc>
      </w:tr>
      <w:tr>
        <w:trPr>
          <w:trHeight w:val="344"/>
        </w:trPr>
        <w:tc>
          <w:tcPr>
            <w:tcW w:w="840" w:type="dxa"/>
            <w:vAlign w:val="bottom"/>
          </w:tcPr>
          <w:p>
            <w:pPr>
              <w:spacing w:after="0"/>
              <w:rPr>
                <w:sz w:val="24"/>
                <w:szCs w:val="2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516"/>
        </w:trPr>
        <w:tc>
          <w:tcPr>
            <w:tcW w:w="840" w:type="dxa"/>
            <w:vAlign w:val="bottom"/>
          </w:tcPr>
          <w:p>
            <w:pPr>
              <w:spacing w:after="0"/>
              <w:rPr>
                <w:sz w:val="24"/>
                <w:szCs w:val="24"/>
                <w:color w:val="auto"/>
              </w:rPr>
            </w:pPr>
          </w:p>
        </w:tc>
        <w:tc>
          <w:tcPr>
            <w:tcW w:w="5420" w:type="dxa"/>
            <w:vAlign w:val="bottom"/>
          </w:tcPr>
          <w:p>
            <w:pPr>
              <w:ind w:left="2560"/>
              <w:spacing w:after="0"/>
              <w:rPr>
                <w:sz w:val="20"/>
                <w:szCs w:val="20"/>
                <w:color w:val="auto"/>
              </w:rPr>
            </w:pPr>
            <w:r>
              <w:rPr>
                <w:rFonts w:ascii="Courier New" w:cs="Courier New" w:eastAsia="Courier New" w:hAnsi="Courier New"/>
                <w:sz w:val="15"/>
                <w:szCs w:val="15"/>
                <w:color w:val="auto"/>
              </w:rPr>
              <w:t>II-1</w:t>
            </w:r>
          </w:p>
        </w:tc>
      </w:tr>
    </w:tbl>
    <w:p>
      <w:pPr>
        <w:sectPr>
          <w:pgSz w:w="11900" w:h="16838" w:orient="portrait"/>
          <w:cols w:equalWidth="0" w:num="1">
            <w:col w:w="10219"/>
          </w:cols>
          <w:pgMar w:left="240" w:top="289"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spacing w:after="0"/>
              <w:rPr>
                <w:sz w:val="14"/>
                <w:szCs w:val="14"/>
                <w:color w:val="auto"/>
              </w:rPr>
            </w:pPr>
          </w:p>
        </w:tc>
      </w:tr>
      <w:tr>
        <w:trPr>
          <w:trHeight w:val="688"/>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688"/>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hereof).</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To be filed by amendment.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tab/>
        <w:t>UNDERTAKINGS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104</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right="3079" w:firstLine="439"/>
        <w:spacing w:after="0" w:line="242" w:lineRule="auto"/>
        <w:tabs>
          <w:tab w:leader="none" w:pos="80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105" w:name="page106"/>
    <w:bookmarkEnd w:id="105"/>
    <w:p>
      <w:pPr>
        <w:ind w:left="268"/>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this 7(th) day of September, 1999.</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AMDOS LIMITED</w:t>
      </w:r>
    </w:p>
    <w:p>
      <w:pPr>
        <w:spacing w:after="0" w:line="174" w:lineRule="exact"/>
        <w:rPr>
          <w:sz w:val="20"/>
          <w:szCs w:val="20"/>
          <w:color w:val="auto"/>
        </w:rPr>
      </w:pPr>
    </w:p>
    <w:p>
      <w:pPr>
        <w:jc w:val="center"/>
        <w:ind w:right="391"/>
        <w:spacing w:after="0"/>
        <w:tabs>
          <w:tab w:leader="none" w:pos="1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and Chairman of the Board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182" w:lineRule="exact"/>
        <w:rPr>
          <w:sz w:val="20"/>
          <w:szCs w:val="20"/>
          <w:color w:val="auto"/>
        </w:rPr>
      </w:pPr>
    </w:p>
    <w:p>
      <w:pPr>
        <w:jc w:val="both"/>
        <w:ind w:left="8"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SIGNATURE</w:t>
            </w:r>
          </w:p>
        </w:tc>
        <w:tc>
          <w:tcPr>
            <w:tcW w:w="102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152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BRUCE K. ANDERSON</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Chairman of</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the Board and</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Chief Executive Officer</w:t>
            </w:r>
          </w:p>
        </w:tc>
        <w:tc>
          <w:tcPr>
            <w:tcW w:w="152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Bruce K. Anderson</w:t>
            </w:r>
          </w:p>
        </w:tc>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52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47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Director and Chief Financial</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Officer</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(Principal</w:t>
            </w:r>
          </w:p>
        </w:tc>
        <w:tc>
          <w:tcPr>
            <w:tcW w:w="152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Robert A. Minicucci</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Financial</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and Accounting</w:t>
            </w:r>
          </w:p>
        </w:tc>
        <w:tc>
          <w:tcPr>
            <w:tcW w:w="152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 AVINOAM NAOR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Director of</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Amdocs Limited</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and Chief Executive Officer</w:t>
            </w:r>
          </w:p>
        </w:tc>
        <w:tc>
          <w:tcPr>
            <w:tcW w:w="1520" w:type="dxa"/>
            <w:vAlign w:val="bottom"/>
          </w:tcPr>
          <w:p>
            <w:pPr>
              <w:spacing w:after="0"/>
              <w:rPr>
                <w:sz w:val="14"/>
                <w:szCs w:val="14"/>
                <w:color w:val="auto"/>
              </w:rPr>
            </w:pPr>
          </w:p>
        </w:tc>
      </w:tr>
      <w:tr>
        <w:trPr>
          <w:trHeight w:val="172"/>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Avinoam Naor</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of Amdocs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Management</w:t>
            </w:r>
          </w:p>
        </w:tc>
        <w:tc>
          <w:tcPr>
            <w:tcW w:w="152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Limited</w:t>
            </w: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ADRIAN GARDNER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September 7, 1999</w:t>
            </w:r>
          </w:p>
        </w:tc>
      </w:tr>
    </w:tbl>
    <w:p>
      <w:pPr>
        <w:spacing w:after="0" w:line="2"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89" w:right="1440" w:bottom="1440" w:gutter="0" w:footer="0" w:header="0"/>
        </w:sectPr>
      </w:pPr>
    </w:p>
    <w:bookmarkStart w:id="106" w:name="page107"/>
    <w:bookmarkEnd w:id="106"/>
    <w:p>
      <w:pPr>
        <w:ind w:left="268"/>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5088" w:space="720"/>
            <w:col w:w="1520" w:space="720"/>
            <w:col w:w="2179"/>
          </w:cols>
          <w:pgMar w:left="232" w:top="291" w:right="1440" w:bottom="1440" w:gutter="0" w:footer="0" w:header="0"/>
          <w:type w:val="continuous"/>
        </w:sectPr>
      </w:pPr>
    </w:p>
    <w:p>
      <w:pPr>
        <w:ind w:left="1428"/>
        <w:spacing w:after="0"/>
        <w:rPr>
          <w:sz w:val="20"/>
          <w:szCs w:val="20"/>
          <w:color w:val="auto"/>
        </w:rPr>
      </w:pPr>
      <w:r>
        <w:rPr>
          <w:rFonts w:ascii="Courier New" w:cs="Courier New" w:eastAsia="Courier New" w:hAnsi="Courier New"/>
          <w:sz w:val="14"/>
          <w:szCs w:val="14"/>
          <w:color w:val="auto"/>
        </w:rPr>
        <w:t>/s/ STEPHEN HERMER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7, 1999</w:t>
      </w:r>
    </w:p>
    <w:p>
      <w:pPr>
        <w:spacing w:after="0" w:line="12" w:lineRule="exact"/>
        <w:rPr>
          <w:sz w:val="20"/>
          <w:szCs w:val="20"/>
          <w:color w:val="auto"/>
        </w:rPr>
      </w:pPr>
    </w:p>
    <w:p>
      <w:pPr>
        <w:sectPr>
          <w:pgSz w:w="11900" w:h="16838" w:orient="portrait"/>
          <w:cols w:equalWidth="0" w:num="3">
            <w:col w:w="4028" w:space="720"/>
            <w:col w:w="2040" w:space="720"/>
            <w:col w:w="2719"/>
          </w:cols>
          <w:pgMar w:left="232" w:top="291" w:right="1440" w:bottom="1440" w:gutter="0" w:footer="0" w:header="0"/>
          <w:type w:val="continuous"/>
        </w:sect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Hermer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JAMES KAHAN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James Kahan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PAZ LITTMAN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Paz Littman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REVITAL NAVEH</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Revital Naveh</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/s/ LAWRENCE PERLMAN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Lawrence Perlman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Michael J. Price</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URS SUTER</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Urs Suter</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THOMAS G. O'BRIEN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Amdocs Limited's Authorized</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7,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Representative in the</w:t>
            </w: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Thomas G. O'Brien</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700" w:type="dxa"/>
            <w:vAlign w:val="bottom"/>
          </w:tcPr>
          <w:p>
            <w:pPr>
              <w:spacing w:after="0"/>
              <w:rPr>
                <w:sz w:val="14"/>
                <w:szCs w:val="14"/>
                <w:color w:val="auto"/>
              </w:rPr>
            </w:pPr>
          </w:p>
        </w:tc>
      </w:tr>
      <w:tr>
        <w:trPr>
          <w:trHeight w:val="516"/>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II-5</w:t>
            </w:r>
          </w:p>
        </w:tc>
        <w:tc>
          <w:tcPr>
            <w:tcW w:w="2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27"/>
          </w:cols>
          <w:pgMar w:left="232" w:top="291" w:right="1440" w:bottom="1440" w:gutter="0" w:footer="0" w:header="0"/>
          <w:type w:val="continuous"/>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hereof).</w:t>
            </w:r>
          </w:p>
        </w:tc>
      </w:tr>
    </w:tbl>
    <w:p>
      <w:pPr>
        <w:spacing w:after="0" w:line="346"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ectPr>
          <w:pgSz w:w="11900" w:h="16838" w:orient="portrait"/>
          <w:cols w:equalWidth="0" w:num="1">
            <w:col w:w="10227"/>
          </w:cols>
          <w:pgMar w:left="232" w:top="289"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We consent to the reference to our firm under the captions "Summary Consolidated Financial Information," "Selected Consolidated Financial Information" and "Experts" and to the use of our report dated November 8, 1998,</w:t>
      </w:r>
    </w:p>
    <w:p>
      <w:pPr>
        <w:spacing w:after="0" w:line="1"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in the Registration Statement (Form F-3 No. 333- ) and related Prospectus of Amdocs Limited for the registration of 20,700,000 shares of its ordinary shares.</w:t>
      </w:r>
    </w:p>
    <w:p>
      <w:pPr>
        <w:sectPr>
          <w:pgSz w:w="11900" w:h="16838" w:orient="portrait"/>
          <w:cols w:equalWidth="0" w:num="1">
            <w:col w:w="10219"/>
          </w:cols>
          <w:pgMar w:left="240" w:top="140"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Louis, Missouri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7, 1999</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sectPr>
      <w:pgSz w:w="11900" w:h="16838" w:orient="portrait"/>
      <w:cols w:equalWidth="0" w:num="2">
        <w:col w:w="4540" w:space="720"/>
        <w:col w:w="4959"/>
      </w:cols>
      <w:pgMar w:left="24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lvl w:ilvl="1">
      <w:lvlJc w:val="left"/>
      <w:lvlText w:val="(%2)"/>
      <w:numFmt w:val="decimal"/>
      <w:start w:val="1"/>
    </w:lvl>
  </w:abstractNum>
  <w:abstractNum w:abstractNumId="34">
    <w:nsid w:val="3DC240FB"/>
    <w:multiLevelType w:val="hybridMultilevel"/>
    <w:lvl w:ilvl="0">
      <w:lvlJc w:val="left"/>
      <w:lvlText w:val="(%1)"/>
      <w:numFmt w:val="decimal"/>
      <w:start w:val="6"/>
    </w:lvl>
  </w:abstractNum>
  <w:abstractNum w:abstractNumId="35">
    <w:nsid w:val="1BA026FA"/>
    <w:multiLevelType w:val="hybridMultilevel"/>
    <w:lvl w:ilvl="0">
      <w:lvlJc w:val="left"/>
      <w:lvlText w:val="&amp;"/>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lowerRoman"/>
      <w:start w:val="1"/>
    </w:lvl>
    <w:lvl w:ilvl="1">
      <w:lvlJc w:val="left"/>
      <w:lvlText w:val="(%2)"/>
      <w:numFmt w:val="lowerRoman"/>
      <w:start w:val="1"/>
    </w:lvl>
  </w:abstractNum>
  <w:abstractNum w:abstractNumId="38">
    <w:nsid w:val="12E685FB"/>
    <w:multiLevelType w:val="hybridMultilevel"/>
    <w:lvl w:ilvl="0">
      <w:lvlJc w:val="left"/>
      <w:lvlText w:val="(%1)"/>
      <w:numFmt w:val="lowerRoman"/>
      <w:start w:val="3"/>
    </w:lvl>
    <w:lvl w:ilvl="1">
      <w:lvlJc w:val="left"/>
      <w:lvlText w:val="%2"/>
      <w:numFmt w:val="lowerRoman"/>
      <w:start w:val="1"/>
    </w:lvl>
  </w:abstractNum>
  <w:abstractNum w:abstractNumId="39">
    <w:nsid w:val="70C6A529"/>
    <w:multiLevelType w:val="hybridMultilevel"/>
    <w:lvl w:ilvl="0">
      <w:lvlJc w:val="left"/>
      <w:lvlText w:val="(%1)"/>
      <w:numFmt w:val="lowerRoman"/>
      <w:start w:val="4"/>
    </w:lvl>
  </w:abstractNum>
  <w:abstractNum w:abstractNumId="40">
    <w:nsid w:val="520EEDD1"/>
    <w:multiLevelType w:val="hybridMultilevel"/>
    <w:lvl w:ilvl="0">
      <w:lvlJc w:val="left"/>
      <w:lvlText w:val="(%1)"/>
      <w:numFmt w:val="decimal"/>
      <w:start w:val="2"/>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1."/>
      <w:numFmt w:val="decimal"/>
      <w:start w:val="3"/>
    </w:lvl>
  </w:abstractNum>
  <w:abstractNum w:abstractNumId="53">
    <w:nsid w:val="741226BB"/>
    <w:multiLevelType w:val="hybridMultilevel"/>
    <w:lvl w:ilvl="0">
      <w:lvlJc w:val="left"/>
      <w:lvlText w:val="%1."/>
      <w:numFmt w:val="decimal"/>
      <w:start w:val="4"/>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5"/>
    </w:lvl>
  </w:abstractNum>
  <w:abstractNum w:abstractNumId="56">
    <w:nsid w:val="3F6AB60F"/>
    <w:multiLevelType w:val="hybridMultilevel"/>
    <w:lvl w:ilvl="0">
      <w:lvlJc w:val="left"/>
      <w:lvlText w:val="%1."/>
      <w:numFmt w:val="decimal"/>
      <w:start w:val="6"/>
    </w:lvl>
  </w:abstractNum>
  <w:abstractNum w:abstractNumId="57">
    <w:nsid w:val="61574095"/>
    <w:multiLevelType w:val="hybridMultilevel"/>
    <w:lvl w:ilvl="0">
      <w:lvlJc w:val="left"/>
      <w:lvlText w:val="%1."/>
      <w:numFmt w:val="decimal"/>
      <w:start w:val="7"/>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lvl w:ilvl="1">
      <w:lvlJc w:val="left"/>
      <w:lvlText w:val="*"/>
      <w:numFmt w:val="bullet"/>
      <w:start w:val="1"/>
    </w:lvl>
  </w:abstractNum>
  <w:abstractNum w:abstractNumId="65">
    <w:nsid w:val="1DBABF00"/>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2020-02-22T14:21:26Z</dcterms:created>
  <dcterms:modified xsi:type="dcterms:W3CDTF">2020-02-22T14:21:26Z</dcterms:modified>
</cp:coreProperties>
</file>